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5B6124">
      <w:pPr>
        <w:jc w:val="center"/>
        <w:rPr>
          <w:rFonts w:hint="eastAsia" w:ascii="宋体" w:hAnsi="宋体" w:eastAsia="宋体" w:cs="宋体"/>
          <w:b/>
          <w:bCs/>
          <w:color w:val="auto"/>
          <w:sz w:val="54"/>
          <w:szCs w:val="48"/>
          <w:highlight w:val="none"/>
          <w:lang w:eastAsia="zh-CN"/>
        </w:rPr>
      </w:pPr>
    </w:p>
    <w:p w14:paraId="19357C65">
      <w:pPr>
        <w:pStyle w:val="13"/>
        <w:jc w:val="center"/>
        <w:rPr>
          <w:color w:val="auto"/>
          <w:sz w:val="60"/>
          <w:szCs w:val="60"/>
          <w:highlight w:val="none"/>
        </w:rPr>
      </w:pPr>
      <w:r>
        <w:rPr>
          <w:rFonts w:hint="eastAsia" w:ascii="宋体" w:hAnsi="宋体" w:eastAsia="宋体" w:cs="宋体"/>
          <w:b/>
          <w:bCs/>
          <w:color w:val="auto"/>
          <w:sz w:val="60"/>
          <w:szCs w:val="60"/>
          <w:highlight w:val="none"/>
          <w:lang w:eastAsia="zh-CN"/>
        </w:rPr>
        <w:t>昌宁县教育体育局2024至2025学年校方综合防范保险采购</w:t>
      </w:r>
    </w:p>
    <w:p w14:paraId="14628966">
      <w:pPr>
        <w:pStyle w:val="18"/>
        <w:spacing w:line="360" w:lineRule="auto"/>
        <w:jc w:val="center"/>
        <w:rPr>
          <w:rFonts w:hAnsi="宋体"/>
          <w:b/>
          <w:bCs/>
          <w:color w:val="auto"/>
          <w:sz w:val="84"/>
          <w:szCs w:val="84"/>
          <w:highlight w:val="none"/>
        </w:rPr>
      </w:pPr>
    </w:p>
    <w:p w14:paraId="67F1800C">
      <w:pPr>
        <w:pStyle w:val="18"/>
        <w:spacing w:line="360" w:lineRule="auto"/>
        <w:jc w:val="center"/>
        <w:rPr>
          <w:rFonts w:hAnsi="宋体"/>
          <w:b/>
          <w:bCs/>
          <w:color w:val="auto"/>
          <w:sz w:val="84"/>
          <w:szCs w:val="84"/>
          <w:highlight w:val="none"/>
        </w:rPr>
      </w:pPr>
      <w:r>
        <w:rPr>
          <w:rFonts w:hint="eastAsia" w:hAnsi="宋体"/>
          <w:b/>
          <w:bCs/>
          <w:color w:val="auto"/>
          <w:sz w:val="84"/>
          <w:szCs w:val="84"/>
          <w:highlight w:val="none"/>
        </w:rPr>
        <w:t>竞争性磋商文件</w:t>
      </w:r>
    </w:p>
    <w:p w14:paraId="5A2D78BE">
      <w:pPr>
        <w:pStyle w:val="18"/>
        <w:spacing w:line="360" w:lineRule="auto"/>
        <w:rPr>
          <w:rFonts w:hAnsi="宋体"/>
          <w:color w:val="auto"/>
          <w:highlight w:val="none"/>
        </w:rPr>
      </w:pPr>
    </w:p>
    <w:p w14:paraId="5B2D7C36">
      <w:pPr>
        <w:pStyle w:val="18"/>
        <w:spacing w:line="360" w:lineRule="auto"/>
        <w:ind w:firstLine="2875" w:firstLineChars="895"/>
        <w:rPr>
          <w:rFonts w:hint="eastAsia" w:hAnsi="宋体" w:eastAsia="宋体"/>
          <w:b/>
          <w:bCs/>
          <w:color w:val="auto"/>
          <w:sz w:val="32"/>
          <w:szCs w:val="32"/>
          <w:highlight w:val="none"/>
          <w:lang w:eastAsia="zh-CN"/>
        </w:rPr>
      </w:pPr>
      <w:r>
        <w:rPr>
          <w:rFonts w:hint="eastAsia" w:hAnsi="宋体"/>
          <w:b/>
          <w:bCs/>
          <w:color w:val="auto"/>
          <w:sz w:val="32"/>
          <w:szCs w:val="32"/>
          <w:highlight w:val="none"/>
        </w:rPr>
        <w:t>项目编号：</w:t>
      </w:r>
      <w:r>
        <w:rPr>
          <w:rFonts w:hint="eastAsia" w:hAnsi="宋体"/>
          <w:b/>
          <w:bCs/>
          <w:color w:val="auto"/>
          <w:sz w:val="32"/>
          <w:szCs w:val="32"/>
          <w:highlight w:val="none"/>
          <w:lang w:eastAsia="zh-CN"/>
        </w:rPr>
        <w:t>TRZBC2024-83</w:t>
      </w:r>
    </w:p>
    <w:p w14:paraId="1CE9F1F7">
      <w:pPr>
        <w:pStyle w:val="18"/>
        <w:spacing w:line="360" w:lineRule="auto"/>
        <w:jc w:val="center"/>
        <w:rPr>
          <w:rFonts w:hint="eastAsia" w:hAnsi="宋体" w:eastAsia="宋体"/>
          <w:b/>
          <w:bCs/>
          <w:color w:val="auto"/>
          <w:sz w:val="32"/>
          <w:szCs w:val="32"/>
          <w:highlight w:val="none"/>
          <w:lang w:eastAsia="zh-CN"/>
        </w:rPr>
      </w:pPr>
      <w:r>
        <w:rPr>
          <w:rFonts w:hint="eastAsia" w:hAnsi="宋体"/>
          <w:b/>
          <w:bCs/>
          <w:color w:val="auto"/>
          <w:sz w:val="32"/>
          <w:szCs w:val="32"/>
          <w:highlight w:val="none"/>
          <w:lang w:eastAsia="zh-CN"/>
        </w:rPr>
        <w:t>政采云项目编号：BSZC2024-C3-00557-BSST-0036</w:t>
      </w:r>
    </w:p>
    <w:p w14:paraId="193BBFC5">
      <w:pPr>
        <w:pStyle w:val="18"/>
        <w:spacing w:line="360" w:lineRule="auto"/>
        <w:rPr>
          <w:rFonts w:hAnsi="宋体"/>
          <w:color w:val="auto"/>
          <w:highlight w:val="none"/>
        </w:rPr>
      </w:pPr>
    </w:p>
    <w:p w14:paraId="631C73EE">
      <w:pPr>
        <w:rPr>
          <w:rFonts w:ascii="宋体" w:hAnsi="宋体" w:eastAsia="宋体" w:cs="宋体"/>
          <w:color w:val="auto"/>
          <w:highlight w:val="none"/>
        </w:rPr>
      </w:pPr>
    </w:p>
    <w:p w14:paraId="7907AB62">
      <w:pPr>
        <w:rPr>
          <w:rFonts w:ascii="宋体" w:hAnsi="宋体" w:eastAsia="宋体" w:cs="宋体"/>
          <w:color w:val="auto"/>
          <w:highlight w:val="none"/>
        </w:rPr>
      </w:pPr>
    </w:p>
    <w:p w14:paraId="164B3F8B">
      <w:pPr>
        <w:rPr>
          <w:rFonts w:ascii="宋体" w:hAnsi="宋体" w:eastAsia="宋体" w:cs="宋体"/>
          <w:color w:val="auto"/>
          <w:highlight w:val="none"/>
        </w:rPr>
      </w:pPr>
    </w:p>
    <w:p w14:paraId="65833143">
      <w:pPr>
        <w:rPr>
          <w:rFonts w:ascii="宋体" w:hAnsi="宋体" w:eastAsia="宋体" w:cs="宋体"/>
          <w:color w:val="auto"/>
          <w:highlight w:val="none"/>
        </w:rPr>
      </w:pPr>
    </w:p>
    <w:p w14:paraId="55E1FB18">
      <w:pPr>
        <w:rPr>
          <w:rFonts w:ascii="宋体" w:hAnsi="宋体" w:eastAsia="宋体" w:cs="宋体"/>
          <w:color w:val="auto"/>
          <w:highlight w:val="none"/>
        </w:rPr>
      </w:pPr>
    </w:p>
    <w:p w14:paraId="023A0AC3">
      <w:pPr>
        <w:rPr>
          <w:rFonts w:ascii="宋体" w:hAnsi="宋体" w:eastAsia="宋体" w:cs="宋体"/>
          <w:color w:val="auto"/>
          <w:highlight w:val="none"/>
        </w:rPr>
      </w:pPr>
    </w:p>
    <w:p w14:paraId="7C45DC19">
      <w:pPr>
        <w:rPr>
          <w:rFonts w:ascii="宋体" w:hAnsi="宋体" w:eastAsia="宋体" w:cs="宋体"/>
          <w:color w:val="auto"/>
          <w:highlight w:val="none"/>
        </w:rPr>
      </w:pPr>
    </w:p>
    <w:p w14:paraId="78FE14CE">
      <w:pPr>
        <w:rPr>
          <w:rFonts w:ascii="宋体" w:hAnsi="宋体" w:eastAsia="宋体" w:cs="宋体"/>
          <w:color w:val="auto"/>
          <w:highlight w:val="none"/>
        </w:rPr>
      </w:pPr>
    </w:p>
    <w:p w14:paraId="55A38669">
      <w:pPr>
        <w:rPr>
          <w:rFonts w:ascii="宋体" w:hAnsi="宋体" w:eastAsia="宋体" w:cs="宋体"/>
          <w:color w:val="auto"/>
          <w:highlight w:val="none"/>
        </w:rPr>
      </w:pPr>
    </w:p>
    <w:p w14:paraId="788489EB">
      <w:pPr>
        <w:pStyle w:val="18"/>
        <w:spacing w:line="360" w:lineRule="auto"/>
        <w:ind w:firstLine="964" w:firstLineChars="300"/>
        <w:jc w:val="both"/>
        <w:rPr>
          <w:rFonts w:hint="eastAsia" w:hAnsi="宋体" w:eastAsia="宋体"/>
          <w:b/>
          <w:bCs/>
          <w:color w:val="auto"/>
          <w:sz w:val="32"/>
          <w:szCs w:val="32"/>
          <w:highlight w:val="none"/>
          <w:lang w:eastAsia="zh-CN"/>
        </w:rPr>
      </w:pPr>
      <w:r>
        <w:rPr>
          <w:rFonts w:hint="eastAsia" w:hAnsi="宋体"/>
          <w:b/>
          <w:bCs/>
          <w:color w:val="auto"/>
          <w:sz w:val="32"/>
          <w:szCs w:val="32"/>
          <w:highlight w:val="none"/>
        </w:rPr>
        <w:t>采购人：</w:t>
      </w:r>
      <w:r>
        <w:rPr>
          <w:rFonts w:hint="eastAsia" w:hAnsi="宋体"/>
          <w:b/>
          <w:bCs/>
          <w:color w:val="auto"/>
          <w:sz w:val="32"/>
          <w:szCs w:val="32"/>
          <w:highlight w:val="none"/>
          <w:lang w:eastAsia="zh-CN"/>
        </w:rPr>
        <w:t>昌宁县教育体育局</w:t>
      </w:r>
    </w:p>
    <w:p w14:paraId="070D53F5">
      <w:pPr>
        <w:pStyle w:val="18"/>
        <w:spacing w:line="360" w:lineRule="auto"/>
        <w:jc w:val="center"/>
        <w:rPr>
          <w:rFonts w:hAnsi="宋体"/>
          <w:b/>
          <w:bCs/>
          <w:color w:val="auto"/>
          <w:sz w:val="32"/>
          <w:szCs w:val="32"/>
          <w:highlight w:val="none"/>
        </w:rPr>
      </w:pPr>
      <w:r>
        <w:rPr>
          <w:rFonts w:hint="eastAsia" w:hAnsi="宋体"/>
          <w:b/>
          <w:bCs/>
          <w:color w:val="auto"/>
          <w:sz w:val="32"/>
          <w:szCs w:val="32"/>
          <w:highlight w:val="none"/>
        </w:rPr>
        <w:t>采购代理机构：保山市天瑞建设工程招标咨询有限公司</w:t>
      </w:r>
    </w:p>
    <w:p w14:paraId="283AB23C">
      <w:pPr>
        <w:pStyle w:val="18"/>
        <w:spacing w:line="360" w:lineRule="auto"/>
        <w:jc w:val="center"/>
        <w:rPr>
          <w:rFonts w:hAnsi="宋体"/>
          <w:b/>
          <w:bCs/>
          <w:color w:val="auto"/>
          <w:sz w:val="32"/>
          <w:szCs w:val="32"/>
          <w:highlight w:val="none"/>
        </w:rPr>
      </w:pPr>
      <w:r>
        <w:rPr>
          <w:rFonts w:hint="eastAsia" w:hAnsi="宋体"/>
          <w:b/>
          <w:bCs/>
          <w:color w:val="auto"/>
          <w:sz w:val="32"/>
          <w:szCs w:val="32"/>
          <w:highlight w:val="none"/>
        </w:rPr>
        <w:t>二〇二四年</w:t>
      </w:r>
      <w:r>
        <w:rPr>
          <w:rFonts w:hint="eastAsia" w:hAnsi="宋体"/>
          <w:b/>
          <w:bCs/>
          <w:color w:val="auto"/>
          <w:sz w:val="32"/>
          <w:szCs w:val="32"/>
          <w:highlight w:val="none"/>
          <w:lang w:val="en-US" w:eastAsia="zh-CN"/>
        </w:rPr>
        <w:t>八</w:t>
      </w:r>
      <w:r>
        <w:rPr>
          <w:rFonts w:hint="eastAsia" w:hAnsi="宋体"/>
          <w:b/>
          <w:bCs/>
          <w:color w:val="auto"/>
          <w:sz w:val="32"/>
          <w:szCs w:val="32"/>
          <w:highlight w:val="none"/>
        </w:rPr>
        <w:t>月</w:t>
      </w:r>
    </w:p>
    <w:p w14:paraId="6AA2A011">
      <w:pPr>
        <w:pStyle w:val="18"/>
        <w:spacing w:line="740" w:lineRule="atLeast"/>
        <w:ind w:firstLine="643" w:firstLineChars="200"/>
        <w:rPr>
          <w:rFonts w:hAnsi="宋体"/>
          <w:b/>
          <w:bCs/>
          <w:color w:val="auto"/>
          <w:sz w:val="32"/>
          <w:szCs w:val="32"/>
          <w:highlight w:val="none"/>
        </w:rPr>
      </w:pPr>
    </w:p>
    <w:p w14:paraId="1A5509B4">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35981CED">
      <w:pPr>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64800661">
      <w:pPr>
        <w:rPr>
          <w:rFonts w:ascii="宋体" w:hAnsi="宋体" w:eastAsia="宋体" w:cs="宋体"/>
          <w:color w:val="auto"/>
          <w:highlight w:val="none"/>
        </w:rPr>
      </w:pPr>
    </w:p>
    <w:p w14:paraId="385527CD">
      <w:pPr>
        <w:pStyle w:val="24"/>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 MERGEFORMAT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rPr>
        <w:fldChar w:fldCharType="end"/>
      </w:r>
    </w:p>
    <w:p w14:paraId="7E059986">
      <w:pPr>
        <w:pStyle w:val="24"/>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第二章  磋商申请人须知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p>
    <w:p w14:paraId="3497B2B3">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磋商申请人须知前附表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p>
    <w:p w14:paraId="52C4AA10">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一、总则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p>
    <w:p w14:paraId="3F944E73">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二、磋商文件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p>
    <w:p w14:paraId="1D79C180">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三、响应文件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p>
    <w:p w14:paraId="7F6D9D07">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四、响应文件的提交</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p>
    <w:p w14:paraId="5057DAE8">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五、磋商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p>
    <w:p w14:paraId="095368F8">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六、成交结果</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p>
    <w:p w14:paraId="359633C7">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七、其他事项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p>
    <w:p w14:paraId="4CA382D9">
      <w:pPr>
        <w:pStyle w:val="24"/>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第三章  合同书样式（参考文本）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rPr>
        <w:fldChar w:fldCharType="end"/>
      </w:r>
    </w:p>
    <w:p w14:paraId="64953AF8">
      <w:pPr>
        <w:pStyle w:val="24"/>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第四章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26</w:t>
      </w:r>
      <w:r>
        <w:rPr>
          <w:rFonts w:hint="eastAsia" w:ascii="宋体" w:hAnsi="宋体" w:eastAsia="宋体" w:cs="宋体"/>
          <w:color w:val="auto"/>
          <w:sz w:val="28"/>
          <w:szCs w:val="28"/>
          <w:highlight w:val="none"/>
        </w:rPr>
        <w:fldChar w:fldCharType="end"/>
      </w:r>
    </w:p>
    <w:p w14:paraId="4CDDE444">
      <w:pPr>
        <w:pStyle w:val="24"/>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第五章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_Toc39092140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66</w:t>
      </w:r>
      <w:r>
        <w:rPr>
          <w:rFonts w:hint="eastAsia" w:ascii="宋体" w:hAnsi="宋体" w:eastAsia="宋体" w:cs="宋体"/>
          <w:color w:val="auto"/>
          <w:sz w:val="28"/>
          <w:szCs w:val="28"/>
          <w:highlight w:val="none"/>
        </w:rPr>
        <w:fldChar w:fldCharType="end"/>
      </w:r>
    </w:p>
    <w:p w14:paraId="3AD6E7CF">
      <w:pPr>
        <w:pStyle w:val="24"/>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第六章  磋商程序和方法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75</w:t>
      </w:r>
      <w:r>
        <w:rPr>
          <w:rFonts w:hint="eastAsia" w:ascii="宋体" w:hAnsi="宋体" w:eastAsia="宋体" w:cs="宋体"/>
          <w:color w:val="auto"/>
          <w:sz w:val="28"/>
          <w:szCs w:val="28"/>
          <w:highlight w:val="none"/>
        </w:rPr>
        <w:fldChar w:fldCharType="end"/>
      </w:r>
    </w:p>
    <w:p w14:paraId="231A0298">
      <w:pPr>
        <w:pStyle w:val="25"/>
        <w:tabs>
          <w:tab w:val="right" w:leader="dot" w:pos="9628"/>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磋商程序和方法前附表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_Toc39092143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75</w:t>
      </w:r>
      <w:r>
        <w:rPr>
          <w:rFonts w:hint="eastAsia" w:ascii="宋体" w:hAnsi="宋体" w:eastAsia="宋体" w:cs="宋体"/>
          <w:color w:val="auto"/>
          <w:sz w:val="28"/>
          <w:szCs w:val="28"/>
          <w:highlight w:val="none"/>
        </w:rPr>
        <w:fldChar w:fldCharType="end"/>
      </w:r>
    </w:p>
    <w:p w14:paraId="39F1C063">
      <w:pPr>
        <w:spacing w:line="360" w:lineRule="auto"/>
        <w:rPr>
          <w:rFonts w:ascii="宋体" w:hAnsi="宋体" w:eastAsia="宋体" w:cs="宋体"/>
          <w:color w:val="auto"/>
          <w:highlight w:val="none"/>
        </w:rPr>
      </w:pPr>
      <w:r>
        <w:rPr>
          <w:rFonts w:hint="eastAsia" w:ascii="宋体" w:hAnsi="宋体" w:eastAsia="宋体" w:cs="宋体"/>
          <w:color w:val="auto"/>
          <w:sz w:val="28"/>
          <w:szCs w:val="28"/>
          <w:highlight w:val="none"/>
        </w:rPr>
        <w:fldChar w:fldCharType="end"/>
      </w:r>
    </w:p>
    <w:p w14:paraId="569AD351">
      <w:pPr>
        <w:rPr>
          <w:rFonts w:ascii="宋体" w:hAnsi="宋体" w:eastAsia="宋体" w:cs="宋体"/>
          <w:color w:val="auto"/>
          <w:highlight w:val="none"/>
        </w:rPr>
      </w:pPr>
    </w:p>
    <w:p w14:paraId="34DB660F">
      <w:pPr>
        <w:rPr>
          <w:rFonts w:ascii="宋体" w:hAnsi="宋体" w:eastAsia="宋体" w:cs="宋体"/>
          <w:color w:val="auto"/>
          <w:highlight w:val="none"/>
        </w:rPr>
        <w:sectPr>
          <w:headerReference r:id="rId4" w:type="first"/>
          <w:headerReference r:id="rId3" w:type="default"/>
          <w:footerReference r:id="rId5" w:type="default"/>
          <w:pgSz w:w="11906" w:h="16838"/>
          <w:pgMar w:top="936" w:right="1134" w:bottom="1089" w:left="1134" w:header="851" w:footer="572" w:gutter="0"/>
          <w:pgNumType w:start="0"/>
          <w:cols w:space="425" w:num="1"/>
          <w:docGrid w:type="lines" w:linePitch="312" w:charSpace="0"/>
        </w:sectPr>
      </w:pPr>
    </w:p>
    <w:p w14:paraId="0224F1F0">
      <w:pPr>
        <w:rPr>
          <w:rFonts w:ascii="宋体" w:hAnsi="宋体" w:eastAsia="宋体" w:cs="宋体"/>
          <w:color w:val="auto"/>
          <w:highlight w:val="none"/>
        </w:rPr>
      </w:pPr>
    </w:p>
    <w:p w14:paraId="1BF39E76">
      <w:pPr>
        <w:pStyle w:val="2"/>
        <w:spacing w:line="360" w:lineRule="auto"/>
        <w:jc w:val="center"/>
        <w:rPr>
          <w:rFonts w:ascii="宋体" w:hAnsi="宋体" w:eastAsia="宋体" w:cs="宋体"/>
          <w:color w:val="auto"/>
          <w:sz w:val="32"/>
          <w:szCs w:val="32"/>
          <w:highlight w:val="none"/>
        </w:rPr>
      </w:pPr>
      <w:bookmarkStart w:id="0" w:name="_Toc39092128"/>
      <w:r>
        <w:rPr>
          <w:rFonts w:hint="eastAsia" w:ascii="宋体" w:hAnsi="宋体" w:eastAsia="宋体" w:cs="宋体"/>
          <w:color w:val="auto"/>
          <w:sz w:val="32"/>
          <w:szCs w:val="32"/>
          <w:highlight w:val="none"/>
        </w:rPr>
        <w:t>第一章  竞争性磋商公告</w:t>
      </w:r>
      <w:bookmarkEnd w:id="0"/>
    </w:p>
    <w:p w14:paraId="00107545">
      <w:pPr>
        <w:widowControl/>
        <w:spacing w:line="360" w:lineRule="auto"/>
        <w:jc w:val="center"/>
        <w:rPr>
          <w:rFonts w:hint="eastAsia" w:ascii="宋体" w:hAnsi="宋体" w:eastAsia="宋体" w:cs="宋体"/>
          <w:b/>
          <w:bCs/>
          <w:color w:val="auto"/>
          <w:kern w:val="0"/>
          <w:sz w:val="36"/>
          <w:szCs w:val="36"/>
          <w:highlight w:val="none"/>
          <w:lang w:eastAsia="zh-CN"/>
        </w:rPr>
      </w:pPr>
      <w:r>
        <w:rPr>
          <w:rFonts w:hint="eastAsia" w:ascii="宋体" w:hAnsi="宋体" w:eastAsia="宋体" w:cs="宋体"/>
          <w:b/>
          <w:bCs/>
          <w:color w:val="auto"/>
          <w:kern w:val="0"/>
          <w:sz w:val="36"/>
          <w:szCs w:val="36"/>
          <w:highlight w:val="none"/>
          <w:lang w:eastAsia="zh-CN"/>
        </w:rPr>
        <w:t>昌宁县教育体育局2024至2025学年校方综合防范保险采购</w:t>
      </w:r>
    </w:p>
    <w:p w14:paraId="6D84C5C0">
      <w:pPr>
        <w:widowControl/>
        <w:spacing w:line="360" w:lineRule="auto"/>
        <w:jc w:val="center"/>
        <w:rPr>
          <w:rFonts w:ascii="宋体" w:hAnsi="宋体" w:eastAsia="宋体" w:cs="宋体"/>
          <w:b/>
          <w:bCs/>
          <w:color w:val="auto"/>
          <w:kern w:val="0"/>
          <w:sz w:val="36"/>
          <w:szCs w:val="36"/>
          <w:highlight w:val="none"/>
        </w:rPr>
      </w:pPr>
      <w:r>
        <w:rPr>
          <w:rFonts w:hint="eastAsia" w:ascii="宋体" w:hAnsi="宋体" w:eastAsia="宋体" w:cs="宋体"/>
          <w:b/>
          <w:bCs/>
          <w:color w:val="auto"/>
          <w:kern w:val="0"/>
          <w:sz w:val="36"/>
          <w:szCs w:val="36"/>
          <w:highlight w:val="none"/>
        </w:rPr>
        <w:t>竞争性磋商公告</w:t>
      </w:r>
    </w:p>
    <w:p w14:paraId="35B63CD5">
      <w:pPr>
        <w:pBdr>
          <w:top w:val="single" w:color="auto" w:sz="4" w:space="1"/>
          <w:left w:val="single" w:color="auto" w:sz="4" w:space="4"/>
          <w:bottom w:val="single" w:color="auto" w:sz="4" w:space="1"/>
          <w:right w:val="single" w:color="auto" w:sz="4" w:space="4"/>
        </w:pBdr>
        <w:spacing w:line="44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项目概况</w:t>
      </w:r>
    </w:p>
    <w:p w14:paraId="72370BA0">
      <w:pPr>
        <w:pBdr>
          <w:top w:val="single" w:color="auto" w:sz="4" w:space="1"/>
          <w:left w:val="single" w:color="auto" w:sz="4" w:space="4"/>
          <w:bottom w:val="single" w:color="auto" w:sz="4" w:space="1"/>
          <w:right w:val="single" w:color="auto" w:sz="4" w:space="4"/>
        </w:pBdr>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昌宁县教育体育局2024至2025学年校方综合防范保险采购</w:t>
      </w:r>
      <w:r>
        <w:rPr>
          <w:rFonts w:hint="eastAsia" w:ascii="宋体" w:hAnsi="宋体" w:eastAsia="宋体" w:cs="宋体"/>
          <w:color w:val="auto"/>
          <w:sz w:val="21"/>
          <w:szCs w:val="21"/>
          <w:highlight w:val="none"/>
        </w:rPr>
        <w:t>的潜在磋商申请人应在</w:t>
      </w:r>
      <w:r>
        <w:rPr>
          <w:rFonts w:hint="eastAsia" w:ascii="宋体" w:hAnsi="宋体" w:eastAsia="宋体" w:cs="宋体"/>
          <w:color w:val="auto"/>
          <w:kern w:val="0"/>
          <w:sz w:val="21"/>
          <w:szCs w:val="21"/>
          <w:highlight w:val="none"/>
          <w:u w:val="single"/>
        </w:rPr>
        <w:t>政府采购云平台（www.zcygov.cn）</w:t>
      </w:r>
      <w:r>
        <w:rPr>
          <w:rFonts w:hint="eastAsia" w:ascii="宋体" w:hAnsi="宋体" w:eastAsia="宋体" w:cs="宋体"/>
          <w:color w:val="auto"/>
          <w:sz w:val="21"/>
          <w:szCs w:val="21"/>
          <w:highlight w:val="none"/>
        </w:rPr>
        <w:t>获取采购文件，并于</w:t>
      </w:r>
      <w:r>
        <w:rPr>
          <w:rFonts w:hint="eastAsia" w:ascii="宋体" w:hAnsi="宋体" w:eastAsia="宋体" w:cs="宋体"/>
          <w:color w:val="auto"/>
          <w:sz w:val="21"/>
          <w:szCs w:val="21"/>
          <w:highlight w:val="none"/>
          <w:u w:val="single"/>
          <w:lang w:eastAsia="zh-CN"/>
        </w:rPr>
        <w:t>2024年09月05日09时00分</w:t>
      </w:r>
      <w:r>
        <w:rPr>
          <w:rFonts w:hint="eastAsia" w:ascii="宋体" w:hAnsi="宋体" w:eastAsia="宋体" w:cs="宋体"/>
          <w:bCs/>
          <w:color w:val="auto"/>
          <w:sz w:val="21"/>
          <w:szCs w:val="21"/>
          <w:highlight w:val="none"/>
        </w:rPr>
        <w:t>（北京时间）前提交响应文件</w:t>
      </w:r>
      <w:r>
        <w:rPr>
          <w:rFonts w:hint="eastAsia" w:ascii="宋体" w:hAnsi="宋体" w:eastAsia="宋体" w:cs="宋体"/>
          <w:color w:val="auto"/>
          <w:sz w:val="21"/>
          <w:szCs w:val="21"/>
          <w:highlight w:val="none"/>
        </w:rPr>
        <w:t>。</w:t>
      </w:r>
    </w:p>
    <w:p w14:paraId="47E8EE38">
      <w:pPr>
        <w:widowControl/>
        <w:spacing w:line="440" w:lineRule="exact"/>
        <w:ind w:firstLine="426" w:firstLineChars="202"/>
        <w:rPr>
          <w:rFonts w:hint="eastAsia" w:ascii="宋体" w:hAnsi="宋体" w:eastAsia="宋体" w:cs="宋体"/>
          <w:b/>
          <w:color w:val="auto"/>
          <w:kern w:val="0"/>
          <w:sz w:val="21"/>
          <w:szCs w:val="21"/>
          <w:highlight w:val="none"/>
        </w:rPr>
      </w:pPr>
    </w:p>
    <w:p w14:paraId="4378E576">
      <w:pPr>
        <w:widowControl/>
        <w:spacing w:line="440" w:lineRule="exact"/>
        <w:ind w:firstLine="426" w:firstLineChars="202"/>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一、项目基本情况</w:t>
      </w:r>
    </w:p>
    <w:p w14:paraId="1D9E2FCD">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1.项目编号：</w:t>
      </w:r>
      <w:r>
        <w:rPr>
          <w:rFonts w:hint="eastAsia" w:ascii="宋体" w:hAnsi="宋体" w:eastAsia="宋体" w:cs="宋体"/>
          <w:color w:val="auto"/>
          <w:kern w:val="0"/>
          <w:sz w:val="21"/>
          <w:szCs w:val="21"/>
          <w:highlight w:val="none"/>
          <w:lang w:eastAsia="zh-CN"/>
        </w:rPr>
        <w:t>TRZBC2024-83</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政采云项目编号：BSZC2024-C3-00557-BSST-0036</w:t>
      </w:r>
      <w:r>
        <w:rPr>
          <w:rFonts w:hint="eastAsia" w:ascii="宋体" w:hAnsi="宋体" w:eastAsia="宋体" w:cs="宋体"/>
          <w:color w:val="auto"/>
          <w:kern w:val="0"/>
          <w:sz w:val="21"/>
          <w:szCs w:val="21"/>
          <w:highlight w:val="none"/>
        </w:rPr>
        <w:t>）</w:t>
      </w:r>
    </w:p>
    <w:p w14:paraId="1B6AB66F">
      <w:pPr>
        <w:widowControl/>
        <w:spacing w:line="440" w:lineRule="exact"/>
        <w:ind w:firstLine="424" w:firstLineChars="202"/>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2.项目名称：</w:t>
      </w:r>
      <w:r>
        <w:rPr>
          <w:rFonts w:hint="eastAsia" w:ascii="宋体" w:hAnsi="宋体" w:eastAsia="宋体" w:cs="宋体"/>
          <w:color w:val="auto"/>
          <w:kern w:val="0"/>
          <w:sz w:val="21"/>
          <w:szCs w:val="21"/>
          <w:highlight w:val="none"/>
          <w:lang w:eastAsia="zh-CN"/>
        </w:rPr>
        <w:t>昌宁县教育体育局2024至2025学年校方综合防范保险采购</w:t>
      </w:r>
    </w:p>
    <w:p w14:paraId="0A89FE41">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3.采购方式：竞争性磋商</w:t>
      </w:r>
    </w:p>
    <w:p w14:paraId="52594665">
      <w:pPr>
        <w:widowControl/>
        <w:spacing w:line="440" w:lineRule="exact"/>
        <w:ind w:firstLine="424" w:firstLineChars="202"/>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lang w:eastAsia="zh-CN"/>
        </w:rPr>
        <w:t>预算金额：¥759210</w:t>
      </w:r>
      <w:r>
        <w:rPr>
          <w:rFonts w:hint="eastAsia" w:ascii="宋体" w:hAnsi="宋体" w:eastAsia="宋体" w:cs="宋体"/>
          <w:color w:val="auto"/>
          <w:kern w:val="0"/>
          <w:sz w:val="21"/>
          <w:szCs w:val="21"/>
          <w:highlight w:val="none"/>
          <w:lang w:val="en-US" w:eastAsia="zh-CN"/>
        </w:rPr>
        <w:t>.00</w:t>
      </w:r>
      <w:r>
        <w:rPr>
          <w:rFonts w:hint="eastAsia" w:ascii="宋体" w:hAnsi="宋体" w:eastAsia="宋体" w:cs="宋体"/>
          <w:color w:val="auto"/>
          <w:kern w:val="0"/>
          <w:sz w:val="21"/>
          <w:szCs w:val="21"/>
          <w:highlight w:val="none"/>
          <w:lang w:eastAsia="zh-CN"/>
        </w:rPr>
        <w:t>元。</w:t>
      </w:r>
    </w:p>
    <w:p w14:paraId="397D0A13">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说明：本项目所公示的采购预算</w:t>
      </w:r>
      <w:r>
        <w:rPr>
          <w:rFonts w:hint="eastAsia" w:ascii="宋体" w:hAnsi="宋体" w:eastAsia="宋体" w:cs="宋体"/>
          <w:color w:val="auto"/>
          <w:kern w:val="0"/>
          <w:sz w:val="21"/>
          <w:szCs w:val="21"/>
          <w:highlight w:val="none"/>
          <w:lang w:val="en-US" w:eastAsia="zh-CN"/>
        </w:rPr>
        <w:t>是</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kern w:val="0"/>
          <w:sz w:val="21"/>
          <w:szCs w:val="21"/>
          <w:highlight w:val="none"/>
          <w:lang w:val="en-US" w:eastAsia="zh-CN"/>
        </w:rPr>
        <w:t>根据初步预估参保的</w:t>
      </w:r>
      <w:r>
        <w:rPr>
          <w:rFonts w:hint="eastAsia" w:ascii="宋体" w:hAnsi="宋体" w:eastAsia="宋体" w:cs="宋体"/>
          <w:color w:val="auto"/>
          <w:kern w:val="0"/>
          <w:sz w:val="21"/>
          <w:szCs w:val="21"/>
          <w:highlight w:val="none"/>
        </w:rPr>
        <w:t>义务教育阶段学生</w:t>
      </w:r>
      <w:r>
        <w:rPr>
          <w:rFonts w:hint="eastAsia" w:ascii="宋体" w:hAnsi="宋体" w:eastAsia="宋体" w:cs="宋体"/>
          <w:color w:val="auto"/>
          <w:kern w:val="0"/>
          <w:sz w:val="21"/>
          <w:szCs w:val="21"/>
          <w:highlight w:val="none"/>
          <w:lang w:val="en-US" w:eastAsia="zh-CN"/>
        </w:rPr>
        <w:t>的暂定人数31214人和非</w:t>
      </w:r>
      <w:r>
        <w:rPr>
          <w:rFonts w:hint="eastAsia" w:ascii="宋体" w:hAnsi="宋体" w:eastAsia="宋体" w:cs="宋体"/>
          <w:color w:val="auto"/>
          <w:kern w:val="0"/>
          <w:sz w:val="21"/>
          <w:szCs w:val="21"/>
          <w:highlight w:val="none"/>
        </w:rPr>
        <w:t>义务教育阶段学生</w:t>
      </w:r>
      <w:r>
        <w:rPr>
          <w:rFonts w:hint="eastAsia" w:ascii="宋体" w:hAnsi="宋体" w:eastAsia="宋体" w:cs="宋体"/>
          <w:color w:val="auto"/>
          <w:kern w:val="0"/>
          <w:sz w:val="21"/>
          <w:szCs w:val="21"/>
          <w:highlight w:val="none"/>
          <w:lang w:val="en-US" w:eastAsia="zh-CN"/>
        </w:rPr>
        <w:t>的暂定人数14550人，以及</w:t>
      </w:r>
      <w:r>
        <w:rPr>
          <w:rFonts w:hint="eastAsia" w:ascii="宋体" w:hAnsi="宋体" w:eastAsia="宋体" w:cs="宋体"/>
          <w:color w:val="auto"/>
          <w:kern w:val="0"/>
          <w:sz w:val="21"/>
          <w:szCs w:val="21"/>
          <w:highlight w:val="none"/>
        </w:rPr>
        <w:t>义务教育类学校每人每年</w:t>
      </w:r>
      <w:r>
        <w:rPr>
          <w:rFonts w:hint="eastAsia" w:ascii="宋体" w:hAnsi="宋体" w:eastAsia="宋体" w:cs="宋体"/>
          <w:color w:val="auto"/>
          <w:kern w:val="0"/>
          <w:sz w:val="21"/>
          <w:szCs w:val="21"/>
          <w:highlight w:val="none"/>
          <w:lang w:val="en-US" w:eastAsia="zh-CN"/>
        </w:rPr>
        <w:t>15</w:t>
      </w:r>
      <w:r>
        <w:rPr>
          <w:rFonts w:hint="eastAsia" w:ascii="宋体" w:hAnsi="宋体" w:eastAsia="宋体" w:cs="宋体"/>
          <w:color w:val="auto"/>
          <w:kern w:val="0"/>
          <w:sz w:val="21"/>
          <w:szCs w:val="21"/>
          <w:highlight w:val="none"/>
        </w:rPr>
        <w:t>元</w:t>
      </w:r>
      <w:r>
        <w:rPr>
          <w:rFonts w:hint="eastAsia" w:ascii="宋体" w:hAnsi="宋体" w:eastAsia="宋体" w:cs="宋体"/>
          <w:color w:val="auto"/>
          <w:kern w:val="0"/>
          <w:sz w:val="21"/>
          <w:szCs w:val="21"/>
          <w:highlight w:val="none"/>
          <w:lang w:val="en-US" w:eastAsia="zh-CN"/>
        </w:rPr>
        <w:t>和</w:t>
      </w:r>
      <w:r>
        <w:rPr>
          <w:rFonts w:hint="eastAsia" w:ascii="宋体" w:hAnsi="宋体" w:eastAsia="宋体" w:cs="宋体"/>
          <w:color w:val="auto"/>
          <w:kern w:val="0"/>
          <w:sz w:val="21"/>
          <w:szCs w:val="21"/>
          <w:highlight w:val="none"/>
        </w:rPr>
        <w:t>非义务教育类学校每人每年</w:t>
      </w:r>
      <w:r>
        <w:rPr>
          <w:rFonts w:hint="eastAsia" w:ascii="宋体" w:hAnsi="宋体" w:eastAsia="宋体" w:cs="宋体"/>
          <w:color w:val="auto"/>
          <w:kern w:val="0"/>
          <w:sz w:val="21"/>
          <w:szCs w:val="21"/>
          <w:highlight w:val="none"/>
          <w:lang w:val="en-US" w:eastAsia="zh-CN"/>
        </w:rPr>
        <w:t>20</w:t>
      </w:r>
      <w:r>
        <w:rPr>
          <w:rFonts w:hint="eastAsia" w:ascii="宋体" w:hAnsi="宋体" w:eastAsia="宋体" w:cs="宋体"/>
          <w:color w:val="auto"/>
          <w:kern w:val="0"/>
          <w:sz w:val="21"/>
          <w:szCs w:val="21"/>
          <w:highlight w:val="none"/>
        </w:rPr>
        <w:t>元</w:t>
      </w:r>
      <w:r>
        <w:rPr>
          <w:rFonts w:hint="eastAsia" w:ascii="宋体" w:hAnsi="宋体" w:eastAsia="宋体" w:cs="宋体"/>
          <w:color w:val="auto"/>
          <w:kern w:val="0"/>
          <w:sz w:val="21"/>
          <w:szCs w:val="21"/>
          <w:highlight w:val="none"/>
          <w:lang w:val="en-US" w:eastAsia="zh-CN"/>
        </w:rPr>
        <w:t>的保费标准在一个自然年计算的</w:t>
      </w:r>
      <w:r>
        <w:rPr>
          <w:rFonts w:hint="eastAsia" w:ascii="宋体" w:hAnsi="宋体" w:eastAsia="宋体" w:cs="宋体"/>
          <w:color w:val="auto"/>
          <w:kern w:val="0"/>
          <w:sz w:val="21"/>
          <w:szCs w:val="21"/>
          <w:highlight w:val="none"/>
        </w:rPr>
        <w:t>预计金额，</w:t>
      </w:r>
      <w:r>
        <w:rPr>
          <w:rFonts w:hint="eastAsia" w:ascii="宋体" w:hAnsi="宋体" w:eastAsia="宋体" w:cs="宋体"/>
          <w:color w:val="auto"/>
          <w:kern w:val="0"/>
          <w:sz w:val="21"/>
          <w:szCs w:val="21"/>
          <w:highlight w:val="none"/>
          <w:lang w:val="en-US" w:eastAsia="zh-CN"/>
        </w:rPr>
        <w:t>磋商申请人</w:t>
      </w:r>
      <w:r>
        <w:rPr>
          <w:rFonts w:hint="eastAsia" w:ascii="宋体" w:hAnsi="宋体" w:eastAsia="宋体" w:cs="宋体"/>
          <w:color w:val="auto"/>
          <w:kern w:val="0"/>
          <w:sz w:val="21"/>
          <w:szCs w:val="21"/>
          <w:highlight w:val="none"/>
        </w:rPr>
        <w:t>一旦</w:t>
      </w:r>
      <w:r>
        <w:rPr>
          <w:rFonts w:hint="eastAsia" w:ascii="宋体" w:hAnsi="宋体" w:eastAsia="宋体" w:cs="宋体"/>
          <w:color w:val="auto"/>
          <w:kern w:val="0"/>
          <w:sz w:val="21"/>
          <w:szCs w:val="21"/>
          <w:highlight w:val="none"/>
          <w:lang w:val="en-US" w:eastAsia="zh-CN"/>
        </w:rPr>
        <w:t>成交</w:t>
      </w:r>
      <w:r>
        <w:rPr>
          <w:rFonts w:hint="eastAsia" w:ascii="宋体" w:hAnsi="宋体" w:eastAsia="宋体" w:cs="宋体"/>
          <w:color w:val="auto"/>
          <w:kern w:val="0"/>
          <w:sz w:val="21"/>
          <w:szCs w:val="21"/>
          <w:highlight w:val="none"/>
        </w:rPr>
        <w:t>，将据实结算。</w:t>
      </w:r>
    </w:p>
    <w:p w14:paraId="6FDAE965">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5.采购需求：</w:t>
      </w:r>
    </w:p>
    <w:p w14:paraId="74C94FB0">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5.1项目概况：本次采购通过采购服务的方式选择一家保险服务机构（保险公司或保险经纪公司</w:t>
      </w:r>
      <w:r>
        <w:rPr>
          <w:rFonts w:hint="eastAsia" w:ascii="宋体" w:hAnsi="宋体" w:eastAsia="宋体" w:cs="宋体"/>
          <w:color w:val="auto"/>
          <w:kern w:val="0"/>
          <w:sz w:val="21"/>
          <w:szCs w:val="21"/>
          <w:highlight w:val="none"/>
          <w:lang w:val="en-US" w:eastAsia="zh-CN"/>
        </w:rPr>
        <w:t>组建的联合体</w:t>
      </w:r>
      <w:r>
        <w:rPr>
          <w:rFonts w:hint="eastAsia" w:ascii="宋体" w:hAnsi="宋体" w:eastAsia="宋体" w:cs="宋体"/>
          <w:color w:val="auto"/>
          <w:kern w:val="0"/>
          <w:sz w:val="21"/>
          <w:szCs w:val="21"/>
          <w:highlight w:val="none"/>
        </w:rPr>
        <w:t>），承保</w:t>
      </w:r>
      <w:r>
        <w:rPr>
          <w:rFonts w:hint="eastAsia" w:ascii="宋体" w:hAnsi="宋体" w:eastAsia="宋体" w:cs="宋体"/>
          <w:color w:val="auto"/>
          <w:kern w:val="0"/>
          <w:sz w:val="21"/>
          <w:szCs w:val="21"/>
          <w:highlight w:val="none"/>
          <w:lang w:eastAsia="zh-CN"/>
        </w:rPr>
        <w:t>昌宁县教育体育局2024至2025学年校方综合防范保险采购</w:t>
      </w:r>
      <w:r>
        <w:rPr>
          <w:rFonts w:hint="eastAsia" w:ascii="宋体" w:hAnsi="宋体" w:eastAsia="宋体" w:cs="宋体"/>
          <w:color w:val="auto"/>
          <w:kern w:val="0"/>
          <w:sz w:val="21"/>
          <w:szCs w:val="21"/>
          <w:highlight w:val="none"/>
        </w:rPr>
        <w:t>以及涉及特定条款、其他要求，具体内容详见竞争性磋商采购文件。</w:t>
      </w:r>
    </w:p>
    <w:p w14:paraId="45814E81">
      <w:pPr>
        <w:widowControl/>
        <w:spacing w:line="440" w:lineRule="exact"/>
        <w:ind w:firstLine="424" w:firstLineChars="202"/>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5.2保险险种：非义务教育校方包含四种保险：校方责任保险、校方无过失责任保险、传染病防治责任保险、食品安全责任保险</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义务教育校方包含三种保险：校方无过失责任保险、传染病防治责任保险、食品安全责任保险</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以及</w:t>
      </w:r>
      <w:r>
        <w:rPr>
          <w:rFonts w:hint="eastAsia" w:ascii="宋体" w:hAnsi="宋体" w:eastAsia="宋体" w:cs="宋体"/>
          <w:color w:val="auto"/>
          <w:kern w:val="0"/>
          <w:sz w:val="21"/>
          <w:szCs w:val="21"/>
          <w:highlight w:val="none"/>
        </w:rPr>
        <w:t>特定条款、其他要求</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具体要求见竞争性磋商文件</w:t>
      </w:r>
      <w:r>
        <w:rPr>
          <w:rFonts w:hint="eastAsia" w:ascii="宋体" w:hAnsi="宋体" w:eastAsia="宋体" w:cs="宋体"/>
          <w:color w:val="auto"/>
          <w:kern w:val="0"/>
          <w:sz w:val="21"/>
          <w:szCs w:val="21"/>
          <w:highlight w:val="none"/>
        </w:rPr>
        <w:t>第五章采购需求</w:t>
      </w:r>
      <w:r>
        <w:rPr>
          <w:rFonts w:hint="eastAsia" w:ascii="宋体" w:hAnsi="宋体" w:eastAsia="宋体" w:cs="宋体"/>
          <w:color w:val="auto"/>
          <w:kern w:val="0"/>
          <w:sz w:val="21"/>
          <w:szCs w:val="21"/>
          <w:highlight w:val="none"/>
          <w:lang w:eastAsia="zh-CN"/>
        </w:rPr>
        <w:t>。</w:t>
      </w:r>
    </w:p>
    <w:p w14:paraId="5BAF5164">
      <w:pPr>
        <w:widowControl/>
        <w:spacing w:line="440" w:lineRule="exact"/>
        <w:ind w:firstLine="424" w:firstLineChars="202"/>
        <w:rPr>
          <w:rFonts w:hint="eastAsia" w:ascii="宋体" w:hAnsi="宋体" w:eastAsia="宋体" w:cs="宋体"/>
          <w:color w:val="auto"/>
          <w:kern w:val="0"/>
          <w:sz w:val="21"/>
          <w:szCs w:val="21"/>
          <w:highlight w:val="none"/>
          <w:lang w:val="en-US" w:eastAsia="zh-CN"/>
        </w:rPr>
      </w:pPr>
      <w:bookmarkStart w:id="1" w:name="_Toc10121"/>
      <w:bookmarkStart w:id="2" w:name="_Toc13893"/>
      <w:bookmarkStart w:id="3" w:name="_Toc17019"/>
      <w:bookmarkStart w:id="4" w:name="_Toc25766"/>
      <w:bookmarkStart w:id="5" w:name="_Toc31226"/>
      <w:r>
        <w:rPr>
          <w:rFonts w:hint="eastAsia" w:ascii="宋体" w:hAnsi="宋体" w:eastAsia="宋体" w:cs="宋体"/>
          <w:color w:val="auto"/>
          <w:kern w:val="0"/>
          <w:sz w:val="21"/>
          <w:szCs w:val="21"/>
          <w:highlight w:val="none"/>
          <w:lang w:val="en-US" w:eastAsia="zh-CN"/>
        </w:rPr>
        <w:t>5.3服务地点：采购方指定区域。</w:t>
      </w:r>
      <w:bookmarkEnd w:id="1"/>
      <w:bookmarkEnd w:id="2"/>
      <w:bookmarkEnd w:id="3"/>
      <w:bookmarkEnd w:id="4"/>
      <w:bookmarkEnd w:id="5"/>
    </w:p>
    <w:p w14:paraId="48C6031B">
      <w:pPr>
        <w:widowControl/>
        <w:spacing w:line="440" w:lineRule="exact"/>
        <w:ind w:firstLine="424" w:firstLineChars="202"/>
        <w:rPr>
          <w:rFonts w:hint="eastAsia" w:ascii="宋体" w:hAnsi="宋体" w:eastAsia="宋体" w:cs="宋体"/>
          <w:color w:val="auto"/>
          <w:kern w:val="0"/>
          <w:sz w:val="21"/>
          <w:szCs w:val="21"/>
          <w:highlight w:val="none"/>
          <w:lang w:val="en-US" w:eastAsia="zh-CN"/>
        </w:rPr>
      </w:pPr>
      <w:bookmarkStart w:id="6" w:name="_Toc24387"/>
      <w:bookmarkStart w:id="7" w:name="_Toc7861"/>
      <w:bookmarkStart w:id="8" w:name="_Toc2306"/>
      <w:bookmarkStart w:id="9" w:name="_Toc31264"/>
      <w:bookmarkStart w:id="10" w:name="_Toc25878"/>
      <w:r>
        <w:rPr>
          <w:rFonts w:hint="eastAsia" w:ascii="宋体" w:hAnsi="宋体" w:eastAsia="宋体" w:cs="宋体"/>
          <w:color w:val="auto"/>
          <w:kern w:val="0"/>
          <w:sz w:val="21"/>
          <w:szCs w:val="21"/>
          <w:highlight w:val="none"/>
          <w:lang w:val="en-US" w:eastAsia="zh-CN"/>
        </w:rPr>
        <w:t>5.4保险地域范围：昌宁县辖区内的所有公办学校。</w:t>
      </w:r>
      <w:bookmarkEnd w:id="6"/>
      <w:bookmarkEnd w:id="7"/>
      <w:bookmarkEnd w:id="8"/>
      <w:bookmarkEnd w:id="9"/>
      <w:bookmarkEnd w:id="10"/>
    </w:p>
    <w:p w14:paraId="00CE6A5C">
      <w:pPr>
        <w:widowControl/>
        <w:spacing w:line="440" w:lineRule="exact"/>
        <w:ind w:firstLine="424" w:firstLineChars="202"/>
        <w:rPr>
          <w:rFonts w:hint="eastAsia" w:ascii="宋体" w:hAnsi="宋体" w:eastAsia="宋体" w:cs="宋体"/>
          <w:color w:val="auto"/>
          <w:kern w:val="0"/>
          <w:sz w:val="21"/>
          <w:szCs w:val="21"/>
          <w:highlight w:val="none"/>
          <w:lang w:val="en-US" w:eastAsia="zh-CN"/>
        </w:rPr>
      </w:pPr>
      <w:bookmarkStart w:id="11" w:name="_Toc6301"/>
      <w:bookmarkStart w:id="12" w:name="_Toc4729"/>
      <w:bookmarkStart w:id="13" w:name="_Toc18963"/>
      <w:bookmarkStart w:id="14" w:name="_Toc28479"/>
      <w:bookmarkStart w:id="15" w:name="_Toc29177"/>
      <w:r>
        <w:rPr>
          <w:rFonts w:hint="eastAsia" w:ascii="宋体" w:hAnsi="宋体" w:eastAsia="宋体" w:cs="宋体"/>
          <w:color w:val="auto"/>
          <w:kern w:val="0"/>
          <w:sz w:val="21"/>
          <w:szCs w:val="21"/>
          <w:highlight w:val="none"/>
          <w:lang w:val="en-US" w:eastAsia="zh-CN"/>
        </w:rPr>
        <w:t>5.5标段划分：一个标段，磋商申请人须针对本项目整体提出磋商申请。</w:t>
      </w:r>
      <w:bookmarkEnd w:id="11"/>
      <w:bookmarkEnd w:id="12"/>
      <w:bookmarkEnd w:id="13"/>
      <w:bookmarkEnd w:id="14"/>
      <w:bookmarkEnd w:id="15"/>
    </w:p>
    <w:p w14:paraId="568914BA">
      <w:pPr>
        <w:widowControl/>
        <w:spacing w:line="440" w:lineRule="exact"/>
        <w:ind w:firstLine="424" w:firstLineChars="202"/>
        <w:rPr>
          <w:rFonts w:hint="eastAsia" w:ascii="宋体" w:hAnsi="宋体" w:eastAsia="宋体" w:cs="宋体"/>
          <w:color w:val="auto"/>
          <w:kern w:val="0"/>
          <w:sz w:val="21"/>
          <w:szCs w:val="21"/>
          <w:highlight w:val="none"/>
          <w:lang w:val="en-US" w:eastAsia="zh-CN"/>
        </w:rPr>
      </w:pPr>
      <w:bookmarkStart w:id="16" w:name="_Toc14634"/>
      <w:bookmarkStart w:id="17" w:name="_Toc4250"/>
      <w:bookmarkStart w:id="18" w:name="_Toc27932"/>
      <w:bookmarkStart w:id="19" w:name="_Toc18953"/>
      <w:bookmarkStart w:id="20" w:name="_Toc2946"/>
      <w:r>
        <w:rPr>
          <w:rFonts w:hint="eastAsia" w:ascii="宋体" w:hAnsi="宋体" w:eastAsia="宋体" w:cs="宋体"/>
          <w:color w:val="auto"/>
          <w:kern w:val="0"/>
          <w:sz w:val="21"/>
          <w:szCs w:val="21"/>
          <w:highlight w:val="none"/>
          <w:lang w:val="en-US" w:eastAsia="zh-CN"/>
        </w:rPr>
        <w:t>5.6选择保险服务机构数量：1家。</w:t>
      </w:r>
      <w:bookmarkEnd w:id="16"/>
      <w:bookmarkEnd w:id="17"/>
      <w:bookmarkEnd w:id="18"/>
      <w:bookmarkEnd w:id="19"/>
      <w:bookmarkEnd w:id="20"/>
    </w:p>
    <w:p w14:paraId="613A655C">
      <w:pPr>
        <w:widowControl/>
        <w:spacing w:line="440" w:lineRule="exact"/>
        <w:ind w:firstLine="424" w:firstLineChars="202"/>
        <w:rPr>
          <w:rFonts w:hint="eastAsia" w:ascii="宋体" w:hAnsi="宋体" w:eastAsia="宋体" w:cs="宋体"/>
          <w:color w:val="auto"/>
          <w:kern w:val="0"/>
          <w:sz w:val="21"/>
          <w:szCs w:val="21"/>
          <w:highlight w:val="none"/>
          <w:lang w:val="en-US" w:eastAsia="zh-CN"/>
        </w:rPr>
      </w:pPr>
      <w:bookmarkStart w:id="21" w:name="_Toc8711"/>
      <w:bookmarkStart w:id="22" w:name="_Toc12685"/>
      <w:bookmarkStart w:id="23" w:name="_Toc32530"/>
      <w:bookmarkStart w:id="24" w:name="_Toc4619"/>
      <w:bookmarkStart w:id="25" w:name="_Toc18361"/>
      <w:r>
        <w:rPr>
          <w:rFonts w:hint="eastAsia" w:ascii="宋体" w:hAnsi="宋体" w:eastAsia="宋体" w:cs="宋体"/>
          <w:color w:val="auto"/>
          <w:kern w:val="0"/>
          <w:sz w:val="21"/>
          <w:szCs w:val="21"/>
          <w:highlight w:val="none"/>
          <w:lang w:val="en-US" w:eastAsia="zh-CN"/>
        </w:rPr>
        <w:t>6.合同履行期限：</w:t>
      </w:r>
      <w:bookmarkEnd w:id="21"/>
      <w:bookmarkEnd w:id="22"/>
      <w:bookmarkEnd w:id="23"/>
      <w:bookmarkEnd w:id="24"/>
      <w:bookmarkEnd w:id="25"/>
    </w:p>
    <w:p w14:paraId="0A372A92">
      <w:pPr>
        <w:widowControl/>
        <w:spacing w:line="440" w:lineRule="exact"/>
        <w:ind w:firstLine="424" w:firstLineChars="202"/>
        <w:rPr>
          <w:rFonts w:hint="eastAsia" w:ascii="宋体" w:hAnsi="宋体" w:eastAsia="宋体" w:cs="宋体"/>
          <w:color w:val="auto"/>
          <w:kern w:val="0"/>
          <w:sz w:val="21"/>
          <w:szCs w:val="21"/>
          <w:highlight w:val="none"/>
          <w:lang w:val="en-US" w:eastAsia="zh-CN"/>
        </w:rPr>
      </w:pPr>
      <w:bookmarkStart w:id="26" w:name="_Toc8601"/>
      <w:bookmarkStart w:id="27" w:name="_Toc9880"/>
      <w:bookmarkStart w:id="28" w:name="_Toc30773"/>
      <w:bookmarkStart w:id="29" w:name="_Toc23656"/>
      <w:bookmarkStart w:id="30" w:name="_Toc10114"/>
      <w:r>
        <w:rPr>
          <w:rFonts w:hint="eastAsia" w:ascii="宋体" w:hAnsi="宋体" w:eastAsia="宋体" w:cs="宋体"/>
          <w:color w:val="auto"/>
          <w:kern w:val="0"/>
          <w:sz w:val="21"/>
          <w:szCs w:val="21"/>
          <w:highlight w:val="none"/>
        </w:rPr>
        <w:t>6.1</w:t>
      </w:r>
      <w:bookmarkEnd w:id="26"/>
      <w:bookmarkEnd w:id="27"/>
      <w:bookmarkEnd w:id="28"/>
      <w:bookmarkEnd w:id="29"/>
      <w:bookmarkEnd w:id="30"/>
      <w:r>
        <w:rPr>
          <w:rFonts w:hint="eastAsia" w:ascii="宋体" w:hAnsi="宋体" w:eastAsia="宋体" w:cs="宋体"/>
          <w:color w:val="auto"/>
          <w:kern w:val="0"/>
          <w:sz w:val="21"/>
          <w:szCs w:val="21"/>
          <w:highlight w:val="none"/>
        </w:rPr>
        <w:t>保险期限：</w:t>
      </w:r>
      <w:bookmarkStart w:id="31" w:name="_Toc6634"/>
      <w:bookmarkStart w:id="32" w:name="_Toc12437"/>
      <w:bookmarkStart w:id="33" w:name="_Toc21880"/>
      <w:bookmarkStart w:id="34" w:name="_Toc1886"/>
      <w:bookmarkStart w:id="35" w:name="_Toc29451"/>
      <w:r>
        <w:rPr>
          <w:rFonts w:hint="eastAsia" w:ascii="宋体" w:hAnsi="宋体" w:eastAsia="宋体" w:cs="宋体"/>
          <w:color w:val="auto"/>
          <w:kern w:val="0"/>
          <w:sz w:val="21"/>
          <w:szCs w:val="21"/>
          <w:highlight w:val="none"/>
          <w:lang w:eastAsia="zh-CN"/>
        </w:rPr>
        <w:t>1年，以合同中约定时间为准</w:t>
      </w:r>
      <w:r>
        <w:rPr>
          <w:rFonts w:hint="eastAsia" w:ascii="宋体" w:hAnsi="宋体" w:eastAsia="宋体" w:cs="宋体"/>
          <w:color w:val="auto"/>
          <w:kern w:val="0"/>
          <w:sz w:val="21"/>
          <w:szCs w:val="21"/>
          <w:highlight w:val="none"/>
        </w:rPr>
        <w:t>。</w:t>
      </w:r>
    </w:p>
    <w:p w14:paraId="75F5484E">
      <w:pPr>
        <w:widowControl/>
        <w:spacing w:line="440" w:lineRule="exact"/>
        <w:ind w:firstLine="424" w:firstLineChars="202"/>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6.2服务期限：</w:t>
      </w:r>
      <w:bookmarkEnd w:id="31"/>
      <w:bookmarkEnd w:id="32"/>
      <w:bookmarkEnd w:id="33"/>
      <w:bookmarkEnd w:id="34"/>
      <w:bookmarkEnd w:id="35"/>
      <w:bookmarkStart w:id="36" w:name="_Toc30831"/>
      <w:bookmarkStart w:id="37" w:name="_Toc2802"/>
      <w:bookmarkStart w:id="38" w:name="_Toc24319"/>
      <w:bookmarkStart w:id="39" w:name="_Toc24759"/>
      <w:bookmarkStart w:id="40" w:name="_Toc11124"/>
      <w:r>
        <w:rPr>
          <w:rFonts w:hint="eastAsia" w:ascii="宋体" w:hAnsi="宋体" w:eastAsia="宋体" w:cs="宋体"/>
          <w:color w:val="auto"/>
          <w:kern w:val="0"/>
          <w:sz w:val="21"/>
          <w:szCs w:val="21"/>
          <w:highlight w:val="none"/>
          <w:lang w:val="en-US" w:eastAsia="zh-CN"/>
        </w:rPr>
        <w:t>自合同签订之日起在保险期限内的全部时间及保险期限终止后所有材料及档案整理并移交至采购人。</w:t>
      </w:r>
    </w:p>
    <w:p w14:paraId="53D783A8">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7.本项目接受联合体参与磋商。</w:t>
      </w:r>
      <w:bookmarkEnd w:id="36"/>
      <w:bookmarkEnd w:id="37"/>
      <w:bookmarkEnd w:id="38"/>
      <w:bookmarkEnd w:id="39"/>
      <w:bookmarkEnd w:id="40"/>
    </w:p>
    <w:p w14:paraId="64B5D190">
      <w:pPr>
        <w:widowControl/>
        <w:spacing w:line="440" w:lineRule="exact"/>
        <w:ind w:firstLine="426" w:firstLineChars="202"/>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二、申请人资格要求：</w:t>
      </w:r>
    </w:p>
    <w:p w14:paraId="2ED9442F">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1.满足《中华人民共和国政府采购法》第二十二条规定；</w:t>
      </w:r>
    </w:p>
    <w:p w14:paraId="3C4E7ED2">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2.落实政府采购政策需满足的资格要求：</w:t>
      </w:r>
    </w:p>
    <w:p w14:paraId="38126DD0">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扶持中小企业政策：无，</w:t>
      </w:r>
      <w:r>
        <w:rPr>
          <w:rFonts w:hint="eastAsia" w:ascii="宋体" w:hAnsi="宋体" w:eastAsia="宋体" w:cs="宋体"/>
          <w:color w:val="auto"/>
          <w:sz w:val="21"/>
          <w:szCs w:val="21"/>
          <w:highlight w:val="none"/>
        </w:rPr>
        <w:t>本项目不属于专门面向中小企业的政府采购项目。</w:t>
      </w:r>
    </w:p>
    <w:p w14:paraId="7CFBAE85">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3.本项目的特定资格要求：</w:t>
      </w:r>
    </w:p>
    <w:p w14:paraId="6C348DD1">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磋商申请人具有独立承担民事责任的能力。提供法人或者其他组织的营业执照等证明文件。磋商申请人应具备经国家金融监督管理总局（原中国银行保险监督管理委员会）批准设立并提供有效《保险许可证》的保险机构。鉴于保险行业的特殊性，保险机构不能直接参与磋商的，可由其分支机构参与磋商。若为</w:t>
      </w:r>
      <w:r>
        <w:rPr>
          <w:rFonts w:hint="eastAsia" w:ascii="宋体" w:hAnsi="宋体" w:eastAsia="宋体" w:cs="宋体"/>
          <w:color w:val="auto"/>
          <w:kern w:val="0"/>
          <w:sz w:val="21"/>
          <w:szCs w:val="21"/>
          <w:highlight w:val="none"/>
          <w:lang w:val="en-US" w:eastAsia="zh-CN"/>
        </w:rPr>
        <w:t>项目所在地的</w:t>
      </w:r>
      <w:r>
        <w:rPr>
          <w:rFonts w:hint="eastAsia" w:ascii="宋体" w:hAnsi="宋体" w:eastAsia="宋体" w:cs="宋体"/>
          <w:color w:val="auto"/>
          <w:kern w:val="0"/>
          <w:sz w:val="21"/>
          <w:szCs w:val="21"/>
          <w:highlight w:val="none"/>
        </w:rPr>
        <w:t>保险机构分支机构参与磋商，应分别提供保险机构</w:t>
      </w:r>
      <w:r>
        <w:rPr>
          <w:rFonts w:hint="eastAsia" w:ascii="宋体" w:hAnsi="宋体" w:eastAsia="宋体" w:cs="宋体"/>
          <w:color w:val="auto"/>
          <w:sz w:val="21"/>
          <w:szCs w:val="21"/>
          <w:highlight w:val="none"/>
          <w:lang w:val="en-US" w:eastAsia="zh-CN"/>
        </w:rPr>
        <w:t>总部（总公司）</w:t>
      </w:r>
      <w:r>
        <w:rPr>
          <w:rFonts w:hint="eastAsia" w:ascii="宋体" w:hAnsi="宋体" w:eastAsia="宋体" w:cs="宋体"/>
          <w:color w:val="auto"/>
          <w:kern w:val="0"/>
          <w:sz w:val="21"/>
          <w:szCs w:val="21"/>
          <w:highlight w:val="none"/>
        </w:rPr>
        <w:t>及其分支机构的《营业执照》</w:t>
      </w:r>
      <w:r>
        <w:rPr>
          <w:rFonts w:hint="eastAsia" w:ascii="宋体" w:hAnsi="宋体" w:eastAsia="宋体" w:cs="宋体"/>
          <w:color w:val="auto"/>
          <w:kern w:val="0"/>
          <w:sz w:val="21"/>
          <w:szCs w:val="21"/>
          <w:highlight w:val="none"/>
          <w:lang w:val="en-US" w:eastAsia="zh-CN"/>
        </w:rPr>
        <w:t>等证件</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并取得保险机构</w:t>
      </w:r>
      <w:r>
        <w:rPr>
          <w:rFonts w:hint="eastAsia" w:ascii="宋体" w:hAnsi="宋体" w:eastAsia="宋体" w:cs="宋体"/>
          <w:color w:val="auto"/>
          <w:sz w:val="21"/>
          <w:szCs w:val="21"/>
          <w:highlight w:val="none"/>
          <w:lang w:val="en-US" w:eastAsia="zh-CN"/>
        </w:rPr>
        <w:t>总部（总公司）</w:t>
      </w:r>
      <w:r>
        <w:rPr>
          <w:rFonts w:hint="eastAsia" w:ascii="宋体" w:hAnsi="宋体" w:eastAsia="宋体" w:cs="宋体"/>
          <w:color w:val="auto"/>
          <w:sz w:val="21"/>
          <w:szCs w:val="21"/>
          <w:highlight w:val="none"/>
        </w:rPr>
        <w:t>的有效</w:t>
      </w:r>
      <w:r>
        <w:rPr>
          <w:rFonts w:hint="eastAsia" w:ascii="宋体" w:hAnsi="宋体" w:eastAsia="宋体" w:cs="宋体"/>
          <w:color w:val="auto"/>
          <w:sz w:val="21"/>
          <w:szCs w:val="21"/>
          <w:highlight w:val="none"/>
          <w:lang w:val="en-US" w:eastAsia="zh-CN"/>
        </w:rPr>
        <w:t>逐级</w:t>
      </w:r>
      <w:r>
        <w:rPr>
          <w:rFonts w:hint="eastAsia" w:ascii="宋体" w:hAnsi="宋体" w:eastAsia="宋体" w:cs="宋体"/>
          <w:color w:val="auto"/>
          <w:sz w:val="21"/>
          <w:szCs w:val="21"/>
          <w:highlight w:val="none"/>
        </w:rPr>
        <w:t>授权</w:t>
      </w:r>
      <w:r>
        <w:rPr>
          <w:rFonts w:hint="eastAsia" w:ascii="宋体" w:hAnsi="宋体" w:eastAsia="宋体" w:cs="宋体"/>
          <w:color w:val="auto"/>
          <w:kern w:val="0"/>
          <w:sz w:val="21"/>
          <w:szCs w:val="21"/>
          <w:highlight w:val="none"/>
        </w:rPr>
        <w:t>。不接受保险中介机构的分支机构直接参与。</w:t>
      </w:r>
    </w:p>
    <w:p w14:paraId="072BD5E1">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3.2本项目接受联合体参与磋商，但须具备以下条件：</w:t>
      </w:r>
    </w:p>
    <w:p w14:paraId="666E3C0D">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（1）联合体成员单位不得超过2家；若为联合体形式参与本项目，则联合体需满足上述资格要求。</w:t>
      </w:r>
    </w:p>
    <w:p w14:paraId="052EE613">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（2）联合体成员之间必须订立有效的联合体协议书，约定联合体各方承担的工作和相应的责任，且联合体各方应相互承担连带责任；</w:t>
      </w:r>
    </w:p>
    <w:p w14:paraId="181F31D0">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已作为联合体成员参与磋商的各方，在订立联合体协议书后，联合体各方不得再单独或组成新的联合体参加本项目的磋商。若为非联合体参与磋商，磋商申请人应为经国家金融监督管理总局（原中国银行保险监督管理委员会）核发的《保险许可证》的保险机构。若为联合体参与磋商，联合体一方应为经国家金融监督管理总局（原中国银行保险监督管理委员会）核发的《保险中介许可证》的保险中介机构，另一方应为经国家金融监督管理总局（原中国银行保险监督管理委员会）核发的《保险许可证》的保险机构。若为保险机构的分支机构参与磋商，应分别提供保险机构及其分支机构的《保险许可证》。</w:t>
      </w:r>
    </w:p>
    <w:p w14:paraId="267807D7">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磋商申请人在采购公告发出日期之前未被列入“信用中国”网站“严重失信主体名单”“失信被执行人”“重大税收违法失信主体”“政府采购严重违法失信行为记录名单”，未被列入中国政府采购网“政府采购严重违法失信行为信息记录名单”，由采购人及采购代理机构将按照以上条款对参与各磋商申请人的信用信息进行查询，有不良记录的其磋商申请将被拒绝。</w:t>
      </w:r>
    </w:p>
    <w:p w14:paraId="43F77A5B">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3.4单位负责人为同一人或者存在直接控股、管理关系的不同磋商申请人，不得参加同一合同项下的政府采购活动。</w:t>
      </w:r>
    </w:p>
    <w:p w14:paraId="680C147D">
      <w:pPr>
        <w:widowControl/>
        <w:spacing w:line="440" w:lineRule="exact"/>
        <w:ind w:firstLine="426" w:firstLineChars="202"/>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三、获取采购文件：</w:t>
      </w:r>
    </w:p>
    <w:p w14:paraId="0F4C1F57">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1.时间：</w:t>
      </w:r>
      <w:r>
        <w:rPr>
          <w:rFonts w:hint="eastAsia" w:ascii="宋体" w:hAnsi="宋体" w:eastAsia="宋体" w:cs="宋体"/>
          <w:color w:val="auto"/>
          <w:sz w:val="21"/>
          <w:szCs w:val="21"/>
          <w:highlight w:val="none"/>
        </w:rPr>
        <w:t>2024年0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日至 2024年0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59</w:t>
      </w:r>
      <w:r>
        <w:rPr>
          <w:rFonts w:hint="eastAsia" w:ascii="宋体" w:hAnsi="宋体" w:eastAsia="宋体" w:cs="宋体"/>
          <w:color w:val="auto"/>
          <w:sz w:val="21"/>
          <w:szCs w:val="21"/>
          <w:highlight w:val="none"/>
        </w:rPr>
        <w:t>分（北京时间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五个工作日）。</w:t>
      </w:r>
    </w:p>
    <w:p w14:paraId="00E42B30">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2.地点：政府采购云平台（www.zcygov.cn）。</w:t>
      </w:r>
    </w:p>
    <w:p w14:paraId="1E3C5F91">
      <w:pPr>
        <w:spacing w:line="4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3.方式：</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请于本公告规定招标文件获取时间内登录政府采购云平台（www.zcygov.cn），采用单位数字证书（CA）登录政采云平台并进行账号与数字证书（CA）绑定后，凭数字证书（CA）进行确认参与本项目并免费获取采购文件及其他相关资料（如有）。</w:t>
      </w:r>
    </w:p>
    <w:p w14:paraId="29A5B1CB">
      <w:pPr>
        <w:spacing w:line="4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注：本次采购采用在政府采购云平台（www.zcygov.cn）开展电子化政府采购活动，</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参与本项目需要使用CA（数字证书），云南支持云南壹证通CA、云南CA等，申请相关说明如下：</w:t>
      </w:r>
    </w:p>
    <w:p w14:paraId="6CF7CBBE">
      <w:pPr>
        <w:spacing w:line="4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（1）云南壹证通CA申领链接：http://yzt.ynsmartcert.cn/cms/yztyzt0011.html，紧急CA办理电话：19987563037。</w:t>
      </w:r>
    </w:p>
    <w:p w14:paraId="1923C66F">
      <w:pPr>
        <w:spacing w:line="4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（2）云南CA申领链接：https://cap.yunnanca.net/login，请</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 xml:space="preserve">自行注册办理，云南CA客服热线400-6727-666。 </w:t>
      </w:r>
    </w:p>
    <w:p w14:paraId="55D58D74">
      <w:pPr>
        <w:spacing w:line="4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（3）如果</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已办理以上任一CA机构的数字证书（CA）且证书处于有效期内，均可直接在政府采购云平台绑定即可，无需重复办理。云南省外供应商在政采云平台办理的其他CA（汇信CA、福建CA）可直接使用，无需重办。</w:t>
      </w:r>
    </w:p>
    <w:p w14:paraId="32DF296B">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4.售价：¥0.00元。</w:t>
      </w:r>
    </w:p>
    <w:p w14:paraId="7147631B">
      <w:pPr>
        <w:widowControl/>
        <w:spacing w:line="440" w:lineRule="exact"/>
        <w:ind w:firstLine="426" w:firstLineChars="202"/>
        <w:rPr>
          <w:rFonts w:hint="eastAsia" w:ascii="宋体" w:hAnsi="宋体" w:eastAsia="宋体" w:cs="宋体"/>
          <w:b/>
          <w:color w:val="auto"/>
          <w:kern w:val="0"/>
          <w:sz w:val="21"/>
          <w:szCs w:val="21"/>
          <w:highlight w:val="none"/>
        </w:rPr>
      </w:pPr>
      <w:bookmarkStart w:id="41" w:name="_Toc7252730"/>
      <w:bookmarkStart w:id="42" w:name="_Toc39092129"/>
      <w:r>
        <w:rPr>
          <w:rFonts w:hint="eastAsia" w:ascii="宋体" w:hAnsi="宋体" w:eastAsia="宋体" w:cs="宋体"/>
          <w:b/>
          <w:color w:val="auto"/>
          <w:kern w:val="0"/>
          <w:sz w:val="21"/>
          <w:szCs w:val="21"/>
          <w:highlight w:val="none"/>
        </w:rPr>
        <w:t>四、响应文件提交：</w:t>
      </w:r>
    </w:p>
    <w:p w14:paraId="05F70C94">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1.截止时间：</w:t>
      </w:r>
      <w:r>
        <w:rPr>
          <w:rFonts w:hint="eastAsia" w:ascii="宋体" w:hAnsi="宋体" w:eastAsia="宋体" w:cs="宋体"/>
          <w:color w:val="auto"/>
          <w:sz w:val="21"/>
          <w:szCs w:val="21"/>
          <w:highlight w:val="none"/>
          <w:u w:val="single"/>
          <w:lang w:eastAsia="zh-CN"/>
        </w:rPr>
        <w:t>2024年09月05日09时00分</w:t>
      </w:r>
      <w:r>
        <w:rPr>
          <w:rFonts w:hint="eastAsia" w:ascii="宋体" w:hAnsi="宋体" w:eastAsia="宋体" w:cs="宋体"/>
          <w:color w:val="auto"/>
          <w:kern w:val="0"/>
          <w:sz w:val="21"/>
          <w:szCs w:val="21"/>
          <w:highlight w:val="none"/>
        </w:rPr>
        <w:t>（北京时间）。</w:t>
      </w:r>
    </w:p>
    <w:p w14:paraId="2C1E2D38">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2.地点：</w:t>
      </w:r>
      <w:r>
        <w:rPr>
          <w:rFonts w:hint="eastAsia" w:ascii="宋体" w:hAnsi="宋体" w:eastAsia="宋体" w:cs="宋体"/>
          <w:bCs/>
          <w:color w:val="auto"/>
          <w:sz w:val="21"/>
          <w:szCs w:val="21"/>
          <w:highlight w:val="none"/>
          <w:lang w:eastAsia="zh-CN"/>
        </w:rPr>
        <w:t>保山市天瑞建设工程招标咨询有限公司昌宁县开标会议室（保山市昌宁县九丰商贸城C4栋1-9二楼）</w:t>
      </w:r>
      <w:r>
        <w:rPr>
          <w:rFonts w:hint="eastAsia" w:ascii="宋体" w:hAnsi="宋体" w:eastAsia="宋体" w:cs="宋体"/>
          <w:bCs/>
          <w:color w:val="auto"/>
          <w:kern w:val="0"/>
          <w:sz w:val="21"/>
          <w:szCs w:val="21"/>
          <w:highlight w:val="none"/>
        </w:rPr>
        <w:t>，请各磋商申请人登录政采云投标客户端参与采购活动并递交磋商响应文件</w:t>
      </w:r>
      <w:r>
        <w:rPr>
          <w:rFonts w:hint="eastAsia" w:ascii="宋体" w:hAnsi="宋体" w:eastAsia="宋体" w:cs="宋体"/>
          <w:color w:val="auto"/>
          <w:kern w:val="0"/>
          <w:sz w:val="21"/>
          <w:szCs w:val="21"/>
          <w:highlight w:val="none"/>
        </w:rPr>
        <w:t>。</w:t>
      </w:r>
    </w:p>
    <w:p w14:paraId="03BB90B0">
      <w:pPr>
        <w:widowControl/>
        <w:spacing w:line="440" w:lineRule="exact"/>
        <w:ind w:firstLine="426" w:firstLineChars="202"/>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五、响应文件开启：</w:t>
      </w:r>
    </w:p>
    <w:p w14:paraId="38CAA78C">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1.时间：</w:t>
      </w:r>
      <w:r>
        <w:rPr>
          <w:rFonts w:hint="eastAsia" w:ascii="宋体" w:hAnsi="宋体" w:eastAsia="宋体" w:cs="宋体"/>
          <w:color w:val="auto"/>
          <w:sz w:val="21"/>
          <w:szCs w:val="21"/>
          <w:highlight w:val="none"/>
          <w:u w:val="single"/>
          <w:lang w:eastAsia="zh-CN"/>
        </w:rPr>
        <w:t>2024年09月05日09时00分</w:t>
      </w:r>
      <w:r>
        <w:rPr>
          <w:rFonts w:hint="eastAsia" w:ascii="宋体" w:hAnsi="宋体" w:eastAsia="宋体" w:cs="宋体"/>
          <w:color w:val="auto"/>
          <w:kern w:val="0"/>
          <w:sz w:val="21"/>
          <w:szCs w:val="21"/>
          <w:highlight w:val="none"/>
        </w:rPr>
        <w:t>（北京时间）。</w:t>
      </w:r>
    </w:p>
    <w:p w14:paraId="6E9F49A9">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2.地点：</w:t>
      </w:r>
      <w:r>
        <w:rPr>
          <w:rFonts w:hint="eastAsia" w:ascii="宋体" w:hAnsi="宋体" w:eastAsia="宋体" w:cs="宋体"/>
          <w:bCs/>
          <w:color w:val="auto"/>
          <w:sz w:val="21"/>
          <w:szCs w:val="21"/>
          <w:highlight w:val="none"/>
          <w:lang w:eastAsia="zh-CN"/>
        </w:rPr>
        <w:t>保山市天瑞建设工程招标咨询有限公司昌宁县开标会议室（保山市昌宁县九丰商贸城C4栋1-9二楼）</w:t>
      </w:r>
      <w:r>
        <w:rPr>
          <w:rFonts w:hint="eastAsia" w:ascii="宋体" w:hAnsi="宋体" w:eastAsia="宋体" w:cs="宋体"/>
          <w:color w:val="auto"/>
          <w:kern w:val="0"/>
          <w:sz w:val="21"/>
          <w:szCs w:val="21"/>
          <w:highlight w:val="none"/>
        </w:rPr>
        <w:t>。</w:t>
      </w:r>
    </w:p>
    <w:p w14:paraId="0F7CC0A0">
      <w:pPr>
        <w:widowControl/>
        <w:spacing w:line="440" w:lineRule="exact"/>
        <w:ind w:firstLine="426" w:firstLineChars="202"/>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六、公告期限：</w:t>
      </w:r>
    </w:p>
    <w:p w14:paraId="3DDE3CA3">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自本公告发布之日起3个工作日。</w:t>
      </w:r>
    </w:p>
    <w:p w14:paraId="794F3262">
      <w:pPr>
        <w:widowControl/>
        <w:spacing w:line="440" w:lineRule="exact"/>
        <w:ind w:firstLine="426" w:firstLineChars="202"/>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七、其他补充事宜：</w:t>
      </w:r>
    </w:p>
    <w:p w14:paraId="4F9A76E1">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1.本项目磋商保证金金额：¥1</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000.00元。</w:t>
      </w:r>
    </w:p>
    <w:p w14:paraId="50D2D624">
      <w:pPr>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2.本项目磋商保证金形式为转账或银行保函或保证保险或其他非现金方式（不接受现场缴纳现金）。</w:t>
      </w:r>
    </w:p>
    <w:p w14:paraId="26A5E91E">
      <w:pPr>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2.1采用转账的方式提交磋商保证金的，磋商保证金缴纳账户如下：</w:t>
      </w:r>
    </w:p>
    <w:tbl>
      <w:tblPr>
        <w:tblStyle w:val="31"/>
        <w:tblW w:w="9740"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740"/>
      </w:tblGrid>
      <w:tr w14:paraId="2CE07BB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8" w:hRule="atLeast"/>
        </w:trPr>
        <w:tc>
          <w:tcPr>
            <w:tcW w:w="9740" w:type="dxa"/>
            <w:tcBorders>
              <w:top w:val="outset" w:color="auto" w:sz="6" w:space="0"/>
              <w:left w:val="outset" w:color="auto" w:sz="6" w:space="0"/>
              <w:bottom w:val="outset" w:color="auto" w:sz="6" w:space="0"/>
              <w:right w:val="outset" w:color="auto" w:sz="6" w:space="0"/>
            </w:tcBorders>
            <w:vAlign w:val="center"/>
          </w:tcPr>
          <w:p w14:paraId="138D0D0B">
            <w:pPr>
              <w:widowControl/>
              <w:spacing w:line="380" w:lineRule="exact"/>
              <w:ind w:firstLine="422" w:firstLineChars="200"/>
              <w:jc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磋商保证金汇款账户</w:t>
            </w:r>
          </w:p>
        </w:tc>
      </w:tr>
      <w:tr w14:paraId="3C8A86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8" w:hRule="atLeast"/>
        </w:trPr>
        <w:tc>
          <w:tcPr>
            <w:tcW w:w="9740" w:type="dxa"/>
            <w:tcBorders>
              <w:top w:val="outset" w:color="auto" w:sz="6" w:space="0"/>
              <w:left w:val="outset" w:color="auto" w:sz="6" w:space="0"/>
              <w:bottom w:val="outset" w:color="auto" w:sz="6" w:space="0"/>
              <w:right w:val="outset" w:color="auto" w:sz="6" w:space="0"/>
            </w:tcBorders>
            <w:vAlign w:val="center"/>
          </w:tcPr>
          <w:p w14:paraId="62E14D35">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开户名称：保山市天瑞建设工程招标咨询有限公司</w:t>
            </w:r>
          </w:p>
        </w:tc>
      </w:tr>
      <w:tr w14:paraId="234470E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8" w:hRule="atLeast"/>
        </w:trPr>
        <w:tc>
          <w:tcPr>
            <w:tcW w:w="9740" w:type="dxa"/>
            <w:tcBorders>
              <w:top w:val="outset" w:color="auto" w:sz="6" w:space="0"/>
              <w:left w:val="outset" w:color="auto" w:sz="6" w:space="0"/>
              <w:bottom w:val="outset" w:color="auto" w:sz="6" w:space="0"/>
              <w:right w:val="outset" w:color="auto" w:sz="6" w:space="0"/>
            </w:tcBorders>
            <w:vAlign w:val="center"/>
          </w:tcPr>
          <w:p w14:paraId="0D94D520">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开户银行：中国建设银行股份有限公司保山新村支行</w:t>
            </w:r>
          </w:p>
        </w:tc>
      </w:tr>
      <w:tr w14:paraId="108387F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8" w:hRule="atLeast"/>
        </w:trPr>
        <w:tc>
          <w:tcPr>
            <w:tcW w:w="9740" w:type="dxa"/>
            <w:tcBorders>
              <w:top w:val="outset" w:color="auto" w:sz="6" w:space="0"/>
              <w:left w:val="outset" w:color="auto" w:sz="6" w:space="0"/>
              <w:bottom w:val="outset" w:color="auto" w:sz="6" w:space="0"/>
              <w:right w:val="outset" w:color="auto" w:sz="6" w:space="0"/>
            </w:tcBorders>
            <w:vAlign w:val="center"/>
          </w:tcPr>
          <w:p w14:paraId="491C2C61">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账号：5300 1728 6420 5100 0568</w:t>
            </w:r>
          </w:p>
        </w:tc>
      </w:tr>
      <w:tr w14:paraId="0BF601E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8" w:hRule="atLeast"/>
        </w:trPr>
        <w:tc>
          <w:tcPr>
            <w:tcW w:w="9740" w:type="dxa"/>
            <w:tcBorders>
              <w:top w:val="outset" w:color="auto" w:sz="6" w:space="0"/>
              <w:left w:val="outset" w:color="auto" w:sz="6" w:space="0"/>
              <w:bottom w:val="outset" w:color="auto" w:sz="6" w:space="0"/>
              <w:right w:val="outset" w:color="auto" w:sz="6" w:space="0"/>
            </w:tcBorders>
            <w:vAlign w:val="center"/>
          </w:tcPr>
          <w:p w14:paraId="35E8FF16">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汇入地址：云南省保山市</w:t>
            </w:r>
          </w:p>
        </w:tc>
      </w:tr>
      <w:tr w14:paraId="0C8AD2E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8" w:hRule="atLeast"/>
        </w:trPr>
        <w:tc>
          <w:tcPr>
            <w:tcW w:w="9740" w:type="dxa"/>
            <w:tcBorders>
              <w:top w:val="outset" w:color="auto" w:sz="6" w:space="0"/>
              <w:left w:val="outset" w:color="auto" w:sz="6" w:space="0"/>
              <w:bottom w:val="outset" w:color="auto" w:sz="6" w:space="0"/>
              <w:right w:val="outset" w:color="auto" w:sz="6" w:space="0"/>
            </w:tcBorders>
            <w:vAlign w:val="center"/>
          </w:tcPr>
          <w:p w14:paraId="751A8EA0">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汇款缴纳查询电话：0875—2147689</w:t>
            </w:r>
          </w:p>
        </w:tc>
      </w:tr>
      <w:tr w14:paraId="1CD24E2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8" w:hRule="atLeast"/>
        </w:trPr>
        <w:tc>
          <w:tcPr>
            <w:tcW w:w="9740" w:type="dxa"/>
            <w:tcBorders>
              <w:top w:val="outset" w:color="auto" w:sz="6" w:space="0"/>
              <w:left w:val="outset" w:color="auto" w:sz="6" w:space="0"/>
              <w:bottom w:val="outset" w:color="auto" w:sz="6" w:space="0"/>
              <w:right w:val="outset" w:color="auto" w:sz="6" w:space="0"/>
            </w:tcBorders>
            <w:vAlign w:val="center"/>
          </w:tcPr>
          <w:p w14:paraId="4403E148">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联系人：寸女士</w:t>
            </w:r>
          </w:p>
        </w:tc>
      </w:tr>
      <w:tr w14:paraId="740D003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85" w:hRule="atLeast"/>
        </w:trPr>
        <w:tc>
          <w:tcPr>
            <w:tcW w:w="9740" w:type="dxa"/>
            <w:tcBorders>
              <w:top w:val="outset" w:color="auto" w:sz="6" w:space="0"/>
              <w:left w:val="outset" w:color="auto" w:sz="6" w:space="0"/>
              <w:bottom w:val="outset" w:color="auto" w:sz="6" w:space="0"/>
              <w:right w:val="outset" w:color="auto" w:sz="6" w:space="0"/>
            </w:tcBorders>
            <w:vAlign w:val="center"/>
          </w:tcPr>
          <w:p w14:paraId="1D834C86">
            <w:pPr>
              <w:widowControl/>
              <w:spacing w:line="40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注：</w:t>
            </w:r>
            <w:r>
              <w:rPr>
                <w:rFonts w:hint="eastAsia" w:ascii="宋体" w:hAnsi="宋体" w:eastAsia="宋体" w:cs="宋体"/>
                <w:color w:val="auto"/>
                <w:sz w:val="21"/>
                <w:szCs w:val="21"/>
                <w:highlight w:val="none"/>
              </w:rPr>
              <w:t>1.磋商保证金的缴纳：磋商申请人缴纳保证金须从单位基本户或对公账户（自然人请使用自身合法有效账户）转出，并注明项目名称或项目编号。</w:t>
            </w:r>
          </w:p>
          <w:p w14:paraId="6A8FDE80">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保证金的退还：在成交公告发布后，请未成交的磋商申请人将保证金银行存款、汇款证明及开户许可证明发送至保山市天瑞建设工程招标咨询有限公司邮箱：bstrzb@126.com办理退保证金手续，成交人在合同签订后携带合同协议书及保证金相关凭证退保证金。</w:t>
            </w:r>
          </w:p>
        </w:tc>
      </w:tr>
    </w:tbl>
    <w:p w14:paraId="53C95B2C">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2.2采用</w:t>
      </w:r>
      <w:r>
        <w:rPr>
          <w:rFonts w:hint="eastAsia" w:ascii="宋体" w:hAnsi="宋体" w:eastAsia="宋体" w:cs="宋体"/>
          <w:bCs/>
          <w:color w:val="auto"/>
          <w:sz w:val="21"/>
          <w:szCs w:val="21"/>
          <w:highlight w:val="none"/>
        </w:rPr>
        <w:t>银行保函或保证保险或其他非现金方式提供磋商保证金按照国家现行规定实施，其中银行保函或保证保险可实行线下购买银行保函或保证保险，也可以在</w:t>
      </w:r>
      <w:r>
        <w:rPr>
          <w:rFonts w:hint="eastAsia" w:ascii="宋体" w:hAnsi="宋体" w:eastAsia="宋体" w:cs="宋体"/>
          <w:color w:val="auto"/>
          <w:kern w:val="0"/>
          <w:sz w:val="21"/>
          <w:szCs w:val="21"/>
          <w:highlight w:val="none"/>
        </w:rPr>
        <w:t>政府采购云平台中“金融服务”的模块进行操作</w:t>
      </w:r>
      <w:r>
        <w:rPr>
          <w:rFonts w:hint="eastAsia" w:ascii="宋体" w:hAnsi="宋体" w:eastAsia="宋体" w:cs="宋体"/>
          <w:bCs/>
          <w:color w:val="auto"/>
          <w:sz w:val="21"/>
          <w:szCs w:val="21"/>
          <w:highlight w:val="none"/>
        </w:rPr>
        <w:t>。</w:t>
      </w:r>
    </w:p>
    <w:p w14:paraId="5AC6002F">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3.公告发布媒体</w:t>
      </w:r>
    </w:p>
    <w:p w14:paraId="41FABC5D">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3.1本项目竞争性磋商公告发布媒体：云南省政府采购网（www.yngp.com）。</w:t>
      </w:r>
    </w:p>
    <w:p w14:paraId="7F195BB7">
      <w:pPr>
        <w:widowControl/>
        <w:spacing w:line="44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3.2磋商申请人在参加磋商申请之前务必认真阅读竞争性磋商公告全部内容；竞争性磋商公告或竞争性磋商文件如有变更，将在以上网站或以书面形式发布。</w:t>
      </w:r>
    </w:p>
    <w:p w14:paraId="2BAF85AC">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4.采购意向公开情况：根据《财政部关于开展政府采购意向公开工作的通知》（财库〔2020〕10号）等有关规定，2024年0</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rPr>
        <w:t>日本项目采购意向公开信息在云南省政府采购网发布，采购意向公开信息网“http://www.yngp.com/viewPurchaseInfo.html?sys_purchaseintention_id=5cc8ddae.19095a8fa0e.-1a7e”。</w:t>
      </w:r>
    </w:p>
    <w:p w14:paraId="0AB3EB2C">
      <w:pPr>
        <w:widowControl/>
        <w:spacing w:line="4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5.落实政府采购政策：</w:t>
      </w:r>
    </w:p>
    <w:p w14:paraId="419BA486">
      <w:pPr>
        <w:widowControl/>
        <w:spacing w:line="4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扶持中小企业政策：本项目不属于专门面向中小企业的政府采购项目，在评审时小型、微型企业提供的产品（提供本企业承担的服务）价格给予</w:t>
      </w:r>
      <w:r>
        <w:rPr>
          <w:rFonts w:hint="eastAsia" w:ascii="宋体" w:hAnsi="宋体" w:eastAsia="宋体" w:cs="宋体"/>
          <w:color w:val="auto"/>
          <w:sz w:val="21"/>
          <w:szCs w:val="21"/>
          <w:highlight w:val="none"/>
          <w:lang w:val="en-US" w:eastAsia="zh-CN"/>
        </w:rPr>
        <w:t>相应</w:t>
      </w:r>
      <w:r>
        <w:rPr>
          <w:rFonts w:hint="eastAsia" w:ascii="宋体" w:hAnsi="宋体" w:eastAsia="宋体" w:cs="宋体"/>
          <w:color w:val="auto"/>
          <w:sz w:val="21"/>
          <w:szCs w:val="21"/>
          <w:highlight w:val="none"/>
        </w:rPr>
        <w:t>扣除。监狱企业、残疾人福利性单位视同小型和微型企业，其产品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7F2DAC80">
      <w:pPr>
        <w:widowControl/>
        <w:spacing w:line="4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6.本次采购采用在政府采购云平台（www.zcygov.cn）上进行采购与递交磋商响应文件，采购过程具体操作流程请各磋商申请人在政府采购云平台（https://www. zcygov.cn/）的网站操作指南中下载《供应商操作指南》查看操作或在该网站中采购学院中观看《政府采购电子交易供应商线上培训》相关视频。磋商申请人在制作响应文件前，需先下载政采云电子投标客户端并进行安装，下载安装完成之后，可通过账号密码或CA登录客户端制作响应文件（客户端下载网址： https://customer.zcygov.cn/CA-driver-download ）。</w:t>
      </w:r>
    </w:p>
    <w:p w14:paraId="513360DA">
      <w:pPr>
        <w:widowControl/>
        <w:spacing w:line="420" w:lineRule="exact"/>
        <w:ind w:firstLine="424" w:firstLineChars="202"/>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.监督电话：昌宁县财政局：0875-7130708</w:t>
      </w:r>
    </w:p>
    <w:p w14:paraId="05FF479B">
      <w:pPr>
        <w:widowControl/>
        <w:spacing w:line="420" w:lineRule="exact"/>
        <w:ind w:firstLine="426" w:firstLineChars="202"/>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八、凡对本次采购提出询问，请按以下方式联系：</w:t>
      </w:r>
    </w:p>
    <w:p w14:paraId="33C6BCBC">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1.采购人信息</w:t>
      </w:r>
    </w:p>
    <w:p w14:paraId="1F37CC99">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名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称：昌宁县教育体育局</w:t>
      </w:r>
    </w:p>
    <w:p w14:paraId="34AB5ECB">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址：昌宁县田园镇右甸西路62号</w:t>
      </w:r>
    </w:p>
    <w:p w14:paraId="2D880925">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联系方式：0875-7131167</w:t>
      </w:r>
    </w:p>
    <w:p w14:paraId="11E020B7">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2.采购代理机构信息 </w:t>
      </w:r>
    </w:p>
    <w:p w14:paraId="253F2DF4">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    称：保山市天瑞建设工程招标咨询有限公司　</w:t>
      </w:r>
    </w:p>
    <w:p w14:paraId="4F213884">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　　址：云南省保山市隆阳区象山路5号　</w:t>
      </w:r>
    </w:p>
    <w:p w14:paraId="36E00894">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联系方式：0875-2147689　</w:t>
      </w:r>
    </w:p>
    <w:p w14:paraId="1A45C3C6">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3.项目联系方式</w:t>
      </w:r>
    </w:p>
    <w:p w14:paraId="4DA598FF">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采购人项目联系人：张老师　</w:t>
      </w:r>
    </w:p>
    <w:p w14:paraId="0FBB1F43">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　 话：0875-7131167</w:t>
      </w:r>
    </w:p>
    <w:p w14:paraId="576FEF6B">
      <w:pPr>
        <w:widowControl/>
        <w:spacing w:line="420" w:lineRule="exact"/>
        <w:ind w:firstLine="424" w:firstLineChars="20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采购代理机构项目联系人：王先生</w:t>
      </w:r>
    </w:p>
    <w:p w14:paraId="0B5396DD">
      <w:pPr>
        <w:widowControl/>
        <w:spacing w:line="420" w:lineRule="exact"/>
        <w:ind w:firstLine="424" w:firstLineChars="202"/>
        <w:jc w:val="left"/>
        <w:rPr>
          <w:rFonts w:ascii="宋体" w:hAnsi="宋体" w:eastAsia="宋体" w:cs="宋体"/>
          <w:color w:val="auto"/>
          <w:kern w:val="0"/>
          <w:szCs w:val="21"/>
          <w:highlight w:val="none"/>
        </w:rPr>
      </w:pPr>
      <w:r>
        <w:rPr>
          <w:rFonts w:hint="eastAsia" w:ascii="宋体" w:hAnsi="宋体" w:eastAsia="宋体" w:cs="宋体"/>
          <w:color w:val="auto"/>
          <w:kern w:val="0"/>
          <w:sz w:val="21"/>
          <w:szCs w:val="21"/>
          <w:highlight w:val="none"/>
        </w:rPr>
        <w:t>电   话：0875-21317689</w:t>
      </w:r>
    </w:p>
    <w:p w14:paraId="229B42F5">
      <w:pPr>
        <w:widowControl/>
        <w:spacing w:line="440" w:lineRule="exact"/>
        <w:ind w:firstLine="424" w:firstLineChars="202"/>
        <w:rPr>
          <w:rFonts w:ascii="宋体" w:hAnsi="宋体" w:eastAsia="宋体" w:cs="宋体"/>
          <w:b/>
          <w:bCs/>
          <w:color w:val="auto"/>
          <w:kern w:val="0"/>
          <w:sz w:val="32"/>
          <w:szCs w:val="32"/>
          <w:highlight w:val="none"/>
        </w:rPr>
      </w:pPr>
      <w:r>
        <w:rPr>
          <w:rFonts w:hint="eastAsia" w:ascii="宋体" w:hAnsi="宋体" w:eastAsia="宋体" w:cs="宋体"/>
          <w:color w:val="auto"/>
          <w:kern w:val="0"/>
          <w:szCs w:val="21"/>
          <w:highlight w:val="none"/>
        </w:rPr>
        <w:br w:type="page"/>
      </w:r>
    </w:p>
    <w:p w14:paraId="7AAFC011">
      <w:pPr>
        <w:pStyle w:val="2"/>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第二章  磋商申请人须知</w:t>
      </w:r>
      <w:bookmarkEnd w:id="41"/>
      <w:bookmarkEnd w:id="42"/>
    </w:p>
    <w:p w14:paraId="38A1A231">
      <w:pPr>
        <w:pStyle w:val="3"/>
        <w:spacing w:before="0" w:after="0" w:line="360" w:lineRule="auto"/>
        <w:jc w:val="center"/>
        <w:rPr>
          <w:rFonts w:ascii="宋体" w:hAnsi="宋体" w:eastAsia="宋体" w:cs="宋体"/>
          <w:color w:val="auto"/>
          <w:highlight w:val="none"/>
        </w:rPr>
      </w:pPr>
      <w:bookmarkStart w:id="43" w:name="_Toc39092130"/>
      <w:bookmarkStart w:id="44" w:name="_Toc7252731"/>
      <w:bookmarkStart w:id="45" w:name="_Toc86124039"/>
      <w:r>
        <w:rPr>
          <w:rFonts w:hint="eastAsia" w:ascii="宋体" w:hAnsi="宋体" w:eastAsia="宋体" w:cs="宋体"/>
          <w:color w:val="auto"/>
          <w:highlight w:val="none"/>
        </w:rPr>
        <w:t>磋商申请人须知前附表</w:t>
      </w:r>
      <w:bookmarkEnd w:id="43"/>
      <w:bookmarkEnd w:id="44"/>
      <w:bookmarkEnd w:id="45"/>
    </w:p>
    <w:tbl>
      <w:tblPr>
        <w:tblStyle w:val="31"/>
        <w:tblW w:w="10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188"/>
        <w:gridCol w:w="1192"/>
        <w:gridCol w:w="6999"/>
      </w:tblGrid>
      <w:tr w14:paraId="5E91B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883" w:type="dxa"/>
            <w:vAlign w:val="center"/>
          </w:tcPr>
          <w:p w14:paraId="1F6D6A14">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条款号</w:t>
            </w:r>
          </w:p>
        </w:tc>
        <w:tc>
          <w:tcPr>
            <w:tcW w:w="2380" w:type="dxa"/>
            <w:gridSpan w:val="2"/>
            <w:vAlign w:val="center"/>
          </w:tcPr>
          <w:p w14:paraId="5A70B6BC">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条款名称</w:t>
            </w:r>
          </w:p>
        </w:tc>
        <w:tc>
          <w:tcPr>
            <w:tcW w:w="6999" w:type="dxa"/>
            <w:vAlign w:val="center"/>
          </w:tcPr>
          <w:p w14:paraId="6601C89B">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编列内容</w:t>
            </w:r>
          </w:p>
        </w:tc>
      </w:tr>
      <w:tr w14:paraId="68CBD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restart"/>
            <w:vAlign w:val="center"/>
          </w:tcPr>
          <w:p w14:paraId="13E37A29">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1.2</w:t>
            </w:r>
          </w:p>
        </w:tc>
        <w:tc>
          <w:tcPr>
            <w:tcW w:w="2380" w:type="dxa"/>
            <w:gridSpan w:val="2"/>
            <w:vAlign w:val="center"/>
          </w:tcPr>
          <w:p w14:paraId="2E736DD1">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采购人</w:t>
            </w:r>
          </w:p>
        </w:tc>
        <w:tc>
          <w:tcPr>
            <w:tcW w:w="6999" w:type="dxa"/>
            <w:vAlign w:val="center"/>
          </w:tcPr>
          <w:p w14:paraId="5B35071D">
            <w:pPr>
              <w:pStyle w:val="18"/>
              <w:spacing w:line="420" w:lineRule="exact"/>
              <w:rPr>
                <w:rFonts w:hint="eastAsia" w:hAnsi="宋体" w:eastAsia="宋体"/>
                <w:color w:val="auto"/>
                <w:kern w:val="0"/>
                <w:sz w:val="21"/>
                <w:szCs w:val="21"/>
                <w:highlight w:val="none"/>
                <w:lang w:eastAsia="zh-CN"/>
              </w:rPr>
            </w:pPr>
            <w:r>
              <w:rPr>
                <w:rFonts w:hint="eastAsia" w:hAnsi="宋体"/>
                <w:color w:val="auto"/>
                <w:kern w:val="0"/>
                <w:sz w:val="21"/>
                <w:szCs w:val="21"/>
                <w:highlight w:val="none"/>
                <w:lang w:eastAsia="zh-CN"/>
              </w:rPr>
              <w:t>昌宁县教育体育局</w:t>
            </w:r>
          </w:p>
        </w:tc>
      </w:tr>
      <w:tr w14:paraId="7430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883" w:type="dxa"/>
            <w:vMerge w:val="continue"/>
            <w:vAlign w:val="center"/>
          </w:tcPr>
          <w:p w14:paraId="722E8D31">
            <w:pPr>
              <w:spacing w:line="420" w:lineRule="exact"/>
              <w:rPr>
                <w:rFonts w:ascii="宋体" w:hAnsi="宋体" w:eastAsia="宋体" w:cs="宋体"/>
                <w:color w:val="auto"/>
                <w:kern w:val="0"/>
                <w:sz w:val="21"/>
                <w:szCs w:val="21"/>
                <w:highlight w:val="none"/>
              </w:rPr>
            </w:pPr>
          </w:p>
        </w:tc>
        <w:tc>
          <w:tcPr>
            <w:tcW w:w="2380" w:type="dxa"/>
            <w:gridSpan w:val="2"/>
            <w:vAlign w:val="center"/>
          </w:tcPr>
          <w:p w14:paraId="67A70F10">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采购代理机构</w:t>
            </w:r>
          </w:p>
        </w:tc>
        <w:tc>
          <w:tcPr>
            <w:tcW w:w="6999" w:type="dxa"/>
            <w:vAlign w:val="center"/>
          </w:tcPr>
          <w:p w14:paraId="532AC507">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保山市天瑞建设工程招标咨询有限公司</w:t>
            </w:r>
          </w:p>
        </w:tc>
      </w:tr>
      <w:tr w14:paraId="1439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83" w:type="dxa"/>
            <w:vMerge w:val="continue"/>
            <w:vAlign w:val="center"/>
          </w:tcPr>
          <w:p w14:paraId="23CCFEEB">
            <w:pPr>
              <w:spacing w:line="420" w:lineRule="exact"/>
              <w:rPr>
                <w:rFonts w:ascii="宋体" w:hAnsi="宋体" w:eastAsia="宋体" w:cs="宋体"/>
                <w:color w:val="auto"/>
                <w:kern w:val="0"/>
                <w:sz w:val="21"/>
                <w:szCs w:val="21"/>
                <w:highlight w:val="none"/>
              </w:rPr>
            </w:pPr>
          </w:p>
        </w:tc>
        <w:tc>
          <w:tcPr>
            <w:tcW w:w="2380" w:type="dxa"/>
            <w:gridSpan w:val="2"/>
            <w:vAlign w:val="center"/>
          </w:tcPr>
          <w:p w14:paraId="1AE5C584">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项目名称</w:t>
            </w:r>
          </w:p>
        </w:tc>
        <w:tc>
          <w:tcPr>
            <w:tcW w:w="6999" w:type="dxa"/>
            <w:vAlign w:val="center"/>
          </w:tcPr>
          <w:p w14:paraId="50B76845">
            <w:pPr>
              <w:pStyle w:val="18"/>
              <w:spacing w:line="420" w:lineRule="exact"/>
              <w:rPr>
                <w:rFonts w:hint="eastAsia" w:hAnsi="宋体" w:eastAsia="宋体"/>
                <w:color w:val="auto"/>
                <w:kern w:val="0"/>
                <w:sz w:val="21"/>
                <w:szCs w:val="21"/>
                <w:highlight w:val="none"/>
                <w:lang w:eastAsia="zh-CN"/>
              </w:rPr>
            </w:pPr>
            <w:r>
              <w:rPr>
                <w:rFonts w:hint="eastAsia" w:hAnsi="宋体"/>
                <w:color w:val="auto"/>
                <w:kern w:val="0"/>
                <w:sz w:val="21"/>
                <w:szCs w:val="21"/>
                <w:highlight w:val="none"/>
                <w:lang w:eastAsia="zh-CN"/>
              </w:rPr>
              <w:t>昌宁县教育体育局2024至2025学年校方综合防范保险采购</w:t>
            </w:r>
          </w:p>
        </w:tc>
      </w:tr>
      <w:tr w14:paraId="0E6D7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02239558">
            <w:pPr>
              <w:spacing w:line="420" w:lineRule="exact"/>
              <w:rPr>
                <w:rFonts w:ascii="宋体" w:hAnsi="宋体" w:eastAsia="宋体" w:cs="宋体"/>
                <w:color w:val="auto"/>
                <w:kern w:val="0"/>
                <w:sz w:val="21"/>
                <w:szCs w:val="21"/>
                <w:highlight w:val="none"/>
              </w:rPr>
            </w:pPr>
          </w:p>
        </w:tc>
        <w:tc>
          <w:tcPr>
            <w:tcW w:w="2380" w:type="dxa"/>
            <w:gridSpan w:val="2"/>
            <w:vAlign w:val="center"/>
          </w:tcPr>
          <w:p w14:paraId="1D89EBF6">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项目编号</w:t>
            </w:r>
          </w:p>
        </w:tc>
        <w:tc>
          <w:tcPr>
            <w:tcW w:w="6999" w:type="dxa"/>
            <w:vAlign w:val="center"/>
          </w:tcPr>
          <w:p w14:paraId="5B86D709">
            <w:pPr>
              <w:pStyle w:val="18"/>
              <w:spacing w:line="420" w:lineRule="exact"/>
              <w:rPr>
                <w:rFonts w:hint="eastAsia" w:hAnsi="宋体" w:eastAsia="宋体"/>
                <w:color w:val="auto"/>
                <w:kern w:val="0"/>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TRZBC2024-83</w:t>
            </w:r>
          </w:p>
          <w:p w14:paraId="77E6E5B1">
            <w:pPr>
              <w:pStyle w:val="18"/>
              <w:spacing w:line="420" w:lineRule="exact"/>
              <w:rPr>
                <w:rFonts w:hint="eastAsia" w:eastAsia="宋体"/>
                <w:color w:val="auto"/>
                <w:sz w:val="21"/>
                <w:szCs w:val="21"/>
                <w:highlight w:val="none"/>
                <w:lang w:eastAsia="zh-CN"/>
              </w:rPr>
            </w:pPr>
            <w:r>
              <w:rPr>
                <w:rFonts w:hint="eastAsia" w:hAnsi="宋体"/>
                <w:color w:val="auto"/>
                <w:kern w:val="0"/>
                <w:sz w:val="21"/>
                <w:szCs w:val="21"/>
                <w:highlight w:val="none"/>
                <w:lang w:eastAsia="zh-CN"/>
              </w:rPr>
              <w:t>政采云项目编号：BSZC2024-C3-00557-BSST-0036</w:t>
            </w:r>
          </w:p>
        </w:tc>
      </w:tr>
      <w:tr w14:paraId="1DB4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5A729E47">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3.1</w:t>
            </w:r>
          </w:p>
        </w:tc>
        <w:tc>
          <w:tcPr>
            <w:tcW w:w="2380" w:type="dxa"/>
            <w:gridSpan w:val="2"/>
            <w:vAlign w:val="center"/>
          </w:tcPr>
          <w:p w14:paraId="24DDA48F">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采购内容</w:t>
            </w:r>
          </w:p>
        </w:tc>
        <w:tc>
          <w:tcPr>
            <w:tcW w:w="6999" w:type="dxa"/>
            <w:vAlign w:val="center"/>
          </w:tcPr>
          <w:p w14:paraId="5DBCC6D6">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详见第五章《采购需求》</w:t>
            </w:r>
          </w:p>
        </w:tc>
      </w:tr>
      <w:tr w14:paraId="53A1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783BC88">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3.2</w:t>
            </w:r>
          </w:p>
        </w:tc>
        <w:tc>
          <w:tcPr>
            <w:tcW w:w="2380" w:type="dxa"/>
            <w:gridSpan w:val="2"/>
            <w:vAlign w:val="center"/>
          </w:tcPr>
          <w:p w14:paraId="5D5BD8B7">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标段划分</w:t>
            </w:r>
          </w:p>
        </w:tc>
        <w:tc>
          <w:tcPr>
            <w:tcW w:w="6999" w:type="dxa"/>
            <w:vAlign w:val="center"/>
          </w:tcPr>
          <w:p w14:paraId="4A4345E6">
            <w:pPr>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标段划分情况：本次采购共划分为1个标段，拟参与本项目的磋商申请人必须整体报价不得拆分。</w:t>
            </w:r>
          </w:p>
        </w:tc>
      </w:tr>
      <w:tr w14:paraId="37822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16405DC9">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3.3</w:t>
            </w:r>
          </w:p>
        </w:tc>
        <w:tc>
          <w:tcPr>
            <w:tcW w:w="2380" w:type="dxa"/>
            <w:gridSpan w:val="2"/>
            <w:vAlign w:val="center"/>
          </w:tcPr>
          <w:p w14:paraId="5CB13448">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项目服务地点及合同履行期限</w:t>
            </w:r>
          </w:p>
        </w:tc>
        <w:tc>
          <w:tcPr>
            <w:tcW w:w="6999" w:type="dxa"/>
            <w:vAlign w:val="center"/>
          </w:tcPr>
          <w:p w14:paraId="25A5CCDA">
            <w:pPr>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（1）项目服务地点：采购方指定区域。</w:t>
            </w:r>
          </w:p>
          <w:p w14:paraId="42E684AD">
            <w:pPr>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保险地域范围：昌宁县辖区内的所有公办学校。</w:t>
            </w:r>
          </w:p>
          <w:p w14:paraId="5D98E717">
            <w:pPr>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）合同履行期限：</w:t>
            </w:r>
          </w:p>
          <w:p w14:paraId="568BC03C">
            <w:pPr>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①</w:t>
            </w:r>
            <w:r>
              <w:rPr>
                <w:rFonts w:hint="eastAsia" w:ascii="宋体" w:hAnsi="宋体" w:eastAsia="宋体" w:cs="宋体"/>
                <w:color w:val="auto"/>
                <w:kern w:val="0"/>
                <w:sz w:val="21"/>
                <w:szCs w:val="21"/>
                <w:highlight w:val="none"/>
              </w:rPr>
              <w:t>保险期限：</w:t>
            </w:r>
            <w:r>
              <w:rPr>
                <w:rFonts w:hint="eastAsia" w:ascii="宋体" w:hAnsi="宋体" w:eastAsia="宋体" w:cs="宋体"/>
                <w:color w:val="auto"/>
                <w:kern w:val="0"/>
                <w:sz w:val="21"/>
                <w:szCs w:val="21"/>
                <w:highlight w:val="none"/>
                <w:lang w:eastAsia="zh-CN"/>
              </w:rPr>
              <w:t>1年，以合同中约定时间为准</w:t>
            </w:r>
            <w:r>
              <w:rPr>
                <w:rFonts w:hint="eastAsia" w:ascii="宋体" w:hAnsi="宋体" w:eastAsia="宋体" w:cs="宋体"/>
                <w:color w:val="auto"/>
                <w:kern w:val="0"/>
                <w:sz w:val="21"/>
                <w:szCs w:val="21"/>
                <w:highlight w:val="none"/>
              </w:rPr>
              <w:t>。</w:t>
            </w:r>
          </w:p>
          <w:p w14:paraId="1443496A">
            <w:pPr>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②</w:t>
            </w:r>
            <w:r>
              <w:rPr>
                <w:rFonts w:hint="eastAsia" w:ascii="宋体" w:hAnsi="宋体" w:eastAsia="宋体" w:cs="宋体"/>
                <w:color w:val="auto"/>
                <w:kern w:val="0"/>
                <w:sz w:val="21"/>
                <w:szCs w:val="21"/>
                <w:highlight w:val="none"/>
              </w:rPr>
              <w:t>服务期限</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自合同签订之日起在保险期限内的全部时间及保险期限终止后所有材料及档案整理并移交至采购人。</w:t>
            </w:r>
          </w:p>
        </w:tc>
      </w:tr>
      <w:tr w14:paraId="71879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360D1E8">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4</w:t>
            </w:r>
          </w:p>
        </w:tc>
        <w:tc>
          <w:tcPr>
            <w:tcW w:w="2380" w:type="dxa"/>
            <w:gridSpan w:val="2"/>
            <w:vAlign w:val="center"/>
          </w:tcPr>
          <w:p w14:paraId="60824B2D">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磋商申请人资格要求</w:t>
            </w:r>
          </w:p>
        </w:tc>
        <w:tc>
          <w:tcPr>
            <w:tcW w:w="6999" w:type="dxa"/>
            <w:vAlign w:val="center"/>
          </w:tcPr>
          <w:p w14:paraId="68B842ED">
            <w:pPr>
              <w:spacing w:line="42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见第一章“竞争性磋商公告”</w:t>
            </w:r>
          </w:p>
        </w:tc>
      </w:tr>
      <w:tr w14:paraId="3E8DE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5ACA566">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7.1</w:t>
            </w:r>
          </w:p>
        </w:tc>
        <w:tc>
          <w:tcPr>
            <w:tcW w:w="2380" w:type="dxa"/>
            <w:gridSpan w:val="2"/>
            <w:vAlign w:val="center"/>
          </w:tcPr>
          <w:p w14:paraId="47861492">
            <w:pPr>
              <w:autoSpaceDE w:val="0"/>
              <w:autoSpaceDN w:val="0"/>
              <w:snapToGrid w:val="0"/>
              <w:spacing w:line="420" w:lineRule="exact"/>
              <w:textAlignment w:val="bottom"/>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磋商文件澄清截止时间</w:t>
            </w:r>
          </w:p>
        </w:tc>
        <w:tc>
          <w:tcPr>
            <w:tcW w:w="6999" w:type="dxa"/>
            <w:vAlign w:val="center"/>
          </w:tcPr>
          <w:p w14:paraId="0264AF06">
            <w:pPr>
              <w:autoSpaceDE w:val="0"/>
              <w:autoSpaceDN w:val="0"/>
              <w:snapToGrid w:val="0"/>
              <w:spacing w:line="420" w:lineRule="exact"/>
              <w:textAlignment w:val="bottom"/>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提交响应文件截止时间5日前。</w:t>
            </w:r>
          </w:p>
        </w:tc>
      </w:tr>
      <w:tr w14:paraId="4CAC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883" w:type="dxa"/>
            <w:vAlign w:val="center"/>
          </w:tcPr>
          <w:p w14:paraId="395A81A8">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7.5</w:t>
            </w:r>
          </w:p>
        </w:tc>
        <w:tc>
          <w:tcPr>
            <w:tcW w:w="2380" w:type="dxa"/>
            <w:gridSpan w:val="2"/>
            <w:vAlign w:val="center"/>
          </w:tcPr>
          <w:p w14:paraId="777282B3">
            <w:pPr>
              <w:autoSpaceDE w:val="0"/>
              <w:autoSpaceDN w:val="0"/>
              <w:snapToGrid w:val="0"/>
              <w:spacing w:line="420" w:lineRule="exact"/>
              <w:textAlignment w:val="bottom"/>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本项目磋商小组根据与磋商申请人磋商情况可能实质性变动的内容</w:t>
            </w:r>
          </w:p>
        </w:tc>
        <w:tc>
          <w:tcPr>
            <w:tcW w:w="6999" w:type="dxa"/>
            <w:vAlign w:val="center"/>
          </w:tcPr>
          <w:p w14:paraId="59F41F3F">
            <w:pPr>
              <w:autoSpaceDE w:val="0"/>
              <w:autoSpaceDN w:val="0"/>
              <w:snapToGrid w:val="0"/>
              <w:spacing w:line="420" w:lineRule="exact"/>
              <w:textAlignment w:val="bottom"/>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第五章  采购需求等</w:t>
            </w:r>
          </w:p>
        </w:tc>
      </w:tr>
      <w:tr w14:paraId="56381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50CBBB8">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 xml:space="preserve">9.1 </w:t>
            </w:r>
          </w:p>
        </w:tc>
        <w:tc>
          <w:tcPr>
            <w:tcW w:w="1188" w:type="dxa"/>
            <w:vAlign w:val="center"/>
          </w:tcPr>
          <w:p w14:paraId="3265CC80">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构成响应文件的其他资料</w:t>
            </w:r>
          </w:p>
        </w:tc>
        <w:tc>
          <w:tcPr>
            <w:tcW w:w="1192" w:type="dxa"/>
            <w:vAlign w:val="center"/>
          </w:tcPr>
          <w:p w14:paraId="2DD4177D">
            <w:pPr>
              <w:autoSpaceDE w:val="0"/>
              <w:autoSpaceDN w:val="0"/>
              <w:snapToGrid w:val="0"/>
              <w:spacing w:line="420" w:lineRule="exact"/>
              <w:textAlignment w:val="bottom"/>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其他材料</w:t>
            </w:r>
          </w:p>
        </w:tc>
        <w:tc>
          <w:tcPr>
            <w:tcW w:w="6999" w:type="dxa"/>
            <w:vAlign w:val="center"/>
          </w:tcPr>
          <w:p w14:paraId="45035DD3">
            <w:pPr>
              <w:spacing w:line="420" w:lineRule="exact"/>
              <w:ind w:left="38" w:leftChars="18"/>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1.具备履行合同所必需的设备和专业技术能力的证明材料。</w:t>
            </w:r>
          </w:p>
          <w:p w14:paraId="07AA57E0">
            <w:pPr>
              <w:pStyle w:val="18"/>
              <w:spacing w:line="420" w:lineRule="exact"/>
              <w:ind w:left="38" w:leftChars="18" w:firstLine="39" w:firstLineChars="19"/>
              <w:rPr>
                <w:rFonts w:hAnsi="宋体"/>
                <w:color w:val="auto"/>
                <w:kern w:val="0"/>
                <w:sz w:val="21"/>
                <w:szCs w:val="21"/>
                <w:highlight w:val="none"/>
              </w:rPr>
            </w:pPr>
            <w:r>
              <w:rPr>
                <w:rFonts w:hint="eastAsia" w:hAnsi="宋体"/>
                <w:color w:val="auto"/>
                <w:kern w:val="0"/>
                <w:sz w:val="21"/>
                <w:szCs w:val="21"/>
                <w:highlight w:val="none"/>
              </w:rPr>
              <w:t>2.若磋商文件中另有要求的，则还应满足其他要求中的相关资质要求。</w:t>
            </w:r>
          </w:p>
          <w:p w14:paraId="4F91E378">
            <w:pPr>
              <w:pStyle w:val="18"/>
              <w:spacing w:line="420" w:lineRule="exact"/>
              <w:ind w:left="38" w:leftChars="18"/>
              <w:rPr>
                <w:rFonts w:hAnsi="宋体"/>
                <w:color w:val="auto"/>
                <w:kern w:val="0"/>
                <w:sz w:val="21"/>
                <w:szCs w:val="21"/>
                <w:highlight w:val="none"/>
              </w:rPr>
            </w:pPr>
            <w:r>
              <w:rPr>
                <w:rFonts w:hint="eastAsia" w:hAnsi="宋体"/>
                <w:color w:val="auto"/>
                <w:kern w:val="0"/>
                <w:sz w:val="21"/>
                <w:szCs w:val="21"/>
                <w:highlight w:val="none"/>
              </w:rPr>
              <w:t>3.磋商申请人资格要求中要求提供的资料以及磋商申请人认为需要提供的其他资料。</w:t>
            </w:r>
          </w:p>
        </w:tc>
      </w:tr>
      <w:tr w14:paraId="7CBC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0DB8E11">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10.1</w:t>
            </w:r>
          </w:p>
        </w:tc>
        <w:tc>
          <w:tcPr>
            <w:tcW w:w="2380" w:type="dxa"/>
            <w:gridSpan w:val="2"/>
            <w:vAlign w:val="center"/>
          </w:tcPr>
          <w:p w14:paraId="0CDAEF29">
            <w:pPr>
              <w:autoSpaceDE w:val="0"/>
              <w:autoSpaceDN w:val="0"/>
              <w:snapToGrid w:val="0"/>
              <w:spacing w:line="420" w:lineRule="exact"/>
              <w:textAlignment w:val="bottom"/>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采购预算</w:t>
            </w:r>
          </w:p>
        </w:tc>
        <w:tc>
          <w:tcPr>
            <w:tcW w:w="6999" w:type="dxa"/>
            <w:vAlign w:val="center"/>
          </w:tcPr>
          <w:p w14:paraId="51746C99">
            <w:pPr>
              <w:pStyle w:val="18"/>
              <w:spacing w:line="420" w:lineRule="exact"/>
              <w:rPr>
                <w:rFonts w:hint="eastAsia"/>
                <w:color w:val="auto"/>
                <w:sz w:val="21"/>
                <w:szCs w:val="21"/>
                <w:highlight w:val="none"/>
                <w:lang w:eastAsia="zh-CN"/>
              </w:rPr>
            </w:pPr>
            <w:r>
              <w:rPr>
                <w:rFonts w:hint="eastAsia"/>
                <w:color w:val="auto"/>
                <w:sz w:val="21"/>
                <w:szCs w:val="21"/>
                <w:highlight w:val="none"/>
                <w:lang w:eastAsia="zh-CN"/>
              </w:rPr>
              <w:t>预算金额：¥759210.00元。</w:t>
            </w:r>
          </w:p>
          <w:p w14:paraId="4AAB0119">
            <w:pPr>
              <w:pStyle w:val="18"/>
              <w:spacing w:line="420" w:lineRule="exact"/>
              <w:rPr>
                <w:rFonts w:eastAsia="Akzidenz Grotesk"/>
                <w:color w:val="auto"/>
                <w:sz w:val="21"/>
                <w:szCs w:val="21"/>
                <w:highlight w:val="none"/>
              </w:rPr>
            </w:pPr>
            <w:r>
              <w:rPr>
                <w:rFonts w:hint="eastAsia"/>
                <w:color w:val="auto"/>
                <w:sz w:val="21"/>
                <w:szCs w:val="21"/>
                <w:highlight w:val="none"/>
                <w:lang w:eastAsia="zh-CN"/>
              </w:rPr>
              <w:t>说明：</w:t>
            </w:r>
            <w:r>
              <w:rPr>
                <w:rFonts w:hint="eastAsia" w:ascii="宋体" w:hAnsi="宋体" w:eastAsia="宋体" w:cs="宋体"/>
                <w:color w:val="auto"/>
                <w:kern w:val="0"/>
                <w:sz w:val="21"/>
                <w:szCs w:val="21"/>
                <w:highlight w:val="none"/>
              </w:rPr>
              <w:t>本项目所公示的采购预算</w:t>
            </w:r>
            <w:r>
              <w:rPr>
                <w:rFonts w:hint="eastAsia" w:ascii="宋体" w:hAnsi="宋体" w:eastAsia="宋体" w:cs="宋体"/>
                <w:color w:val="auto"/>
                <w:kern w:val="0"/>
                <w:sz w:val="21"/>
                <w:szCs w:val="21"/>
                <w:highlight w:val="none"/>
                <w:lang w:val="en-US" w:eastAsia="zh-CN"/>
              </w:rPr>
              <w:t>是</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kern w:val="0"/>
                <w:sz w:val="21"/>
                <w:szCs w:val="21"/>
                <w:highlight w:val="none"/>
                <w:lang w:val="en-US" w:eastAsia="zh-CN"/>
              </w:rPr>
              <w:t>根据初步预估参保的</w:t>
            </w:r>
            <w:r>
              <w:rPr>
                <w:rFonts w:hint="eastAsia" w:ascii="宋体" w:hAnsi="宋体" w:eastAsia="宋体" w:cs="宋体"/>
                <w:color w:val="auto"/>
                <w:kern w:val="0"/>
                <w:sz w:val="21"/>
                <w:szCs w:val="21"/>
                <w:highlight w:val="none"/>
              </w:rPr>
              <w:t>义务教育阶段学生</w:t>
            </w:r>
            <w:r>
              <w:rPr>
                <w:rFonts w:hint="eastAsia" w:ascii="宋体" w:hAnsi="宋体" w:eastAsia="宋体" w:cs="宋体"/>
                <w:color w:val="auto"/>
                <w:kern w:val="0"/>
                <w:sz w:val="21"/>
                <w:szCs w:val="21"/>
                <w:highlight w:val="none"/>
                <w:lang w:val="en-US" w:eastAsia="zh-CN"/>
              </w:rPr>
              <w:t>的暂定人数31214人和非</w:t>
            </w:r>
            <w:r>
              <w:rPr>
                <w:rFonts w:hint="eastAsia" w:ascii="宋体" w:hAnsi="宋体" w:eastAsia="宋体" w:cs="宋体"/>
                <w:color w:val="auto"/>
                <w:kern w:val="0"/>
                <w:sz w:val="21"/>
                <w:szCs w:val="21"/>
                <w:highlight w:val="none"/>
              </w:rPr>
              <w:t>义务教育阶段学生</w:t>
            </w:r>
            <w:r>
              <w:rPr>
                <w:rFonts w:hint="eastAsia" w:ascii="宋体" w:hAnsi="宋体" w:eastAsia="宋体" w:cs="宋体"/>
                <w:color w:val="auto"/>
                <w:kern w:val="0"/>
                <w:sz w:val="21"/>
                <w:szCs w:val="21"/>
                <w:highlight w:val="none"/>
                <w:lang w:val="en-US" w:eastAsia="zh-CN"/>
              </w:rPr>
              <w:t>的暂定人数14550人，以及</w:t>
            </w:r>
            <w:r>
              <w:rPr>
                <w:rFonts w:hint="eastAsia" w:ascii="宋体" w:hAnsi="宋体" w:eastAsia="宋体" w:cs="宋体"/>
                <w:color w:val="auto"/>
                <w:kern w:val="0"/>
                <w:sz w:val="21"/>
                <w:szCs w:val="21"/>
                <w:highlight w:val="none"/>
              </w:rPr>
              <w:t>义务教育类学校每人每年</w:t>
            </w:r>
            <w:r>
              <w:rPr>
                <w:rFonts w:hint="eastAsia" w:ascii="宋体" w:hAnsi="宋体" w:eastAsia="宋体" w:cs="宋体"/>
                <w:color w:val="auto"/>
                <w:kern w:val="0"/>
                <w:sz w:val="21"/>
                <w:szCs w:val="21"/>
                <w:highlight w:val="none"/>
                <w:lang w:val="en-US" w:eastAsia="zh-CN"/>
              </w:rPr>
              <w:t>15</w:t>
            </w:r>
            <w:r>
              <w:rPr>
                <w:rFonts w:hint="eastAsia" w:ascii="宋体" w:hAnsi="宋体" w:eastAsia="宋体" w:cs="宋体"/>
                <w:color w:val="auto"/>
                <w:kern w:val="0"/>
                <w:sz w:val="21"/>
                <w:szCs w:val="21"/>
                <w:highlight w:val="none"/>
              </w:rPr>
              <w:t>元</w:t>
            </w:r>
            <w:r>
              <w:rPr>
                <w:rFonts w:hint="eastAsia" w:ascii="宋体" w:hAnsi="宋体" w:eastAsia="宋体" w:cs="宋体"/>
                <w:color w:val="auto"/>
                <w:kern w:val="0"/>
                <w:sz w:val="21"/>
                <w:szCs w:val="21"/>
                <w:highlight w:val="none"/>
                <w:lang w:val="en-US" w:eastAsia="zh-CN"/>
              </w:rPr>
              <w:t>和</w:t>
            </w:r>
            <w:r>
              <w:rPr>
                <w:rFonts w:hint="eastAsia" w:ascii="宋体" w:hAnsi="宋体" w:eastAsia="宋体" w:cs="宋体"/>
                <w:color w:val="auto"/>
                <w:kern w:val="0"/>
                <w:sz w:val="21"/>
                <w:szCs w:val="21"/>
                <w:highlight w:val="none"/>
              </w:rPr>
              <w:t>非义务教育类学校每人每年</w:t>
            </w:r>
            <w:r>
              <w:rPr>
                <w:rFonts w:hint="eastAsia" w:ascii="宋体" w:hAnsi="宋体" w:eastAsia="宋体" w:cs="宋体"/>
                <w:color w:val="auto"/>
                <w:kern w:val="0"/>
                <w:sz w:val="21"/>
                <w:szCs w:val="21"/>
                <w:highlight w:val="none"/>
                <w:lang w:val="en-US" w:eastAsia="zh-CN"/>
              </w:rPr>
              <w:t>20</w:t>
            </w:r>
            <w:r>
              <w:rPr>
                <w:rFonts w:hint="eastAsia" w:ascii="宋体" w:hAnsi="宋体" w:eastAsia="宋体" w:cs="宋体"/>
                <w:color w:val="auto"/>
                <w:kern w:val="0"/>
                <w:sz w:val="21"/>
                <w:szCs w:val="21"/>
                <w:highlight w:val="none"/>
              </w:rPr>
              <w:t>元</w:t>
            </w:r>
            <w:r>
              <w:rPr>
                <w:rFonts w:hint="eastAsia" w:ascii="宋体" w:hAnsi="宋体" w:eastAsia="宋体" w:cs="宋体"/>
                <w:color w:val="auto"/>
                <w:kern w:val="0"/>
                <w:sz w:val="21"/>
                <w:szCs w:val="21"/>
                <w:highlight w:val="none"/>
                <w:lang w:val="en-US" w:eastAsia="zh-CN"/>
              </w:rPr>
              <w:t>的保费标准在一个自然年计算的</w:t>
            </w:r>
            <w:r>
              <w:rPr>
                <w:rFonts w:hint="eastAsia" w:ascii="宋体" w:hAnsi="宋体" w:eastAsia="宋体" w:cs="宋体"/>
                <w:color w:val="auto"/>
                <w:kern w:val="0"/>
                <w:sz w:val="21"/>
                <w:szCs w:val="21"/>
                <w:highlight w:val="none"/>
              </w:rPr>
              <w:t>预计金额，</w:t>
            </w:r>
            <w:r>
              <w:rPr>
                <w:rFonts w:hint="eastAsia" w:ascii="宋体" w:hAnsi="宋体" w:eastAsia="宋体" w:cs="宋体"/>
                <w:color w:val="auto"/>
                <w:kern w:val="0"/>
                <w:sz w:val="21"/>
                <w:szCs w:val="21"/>
                <w:highlight w:val="none"/>
                <w:lang w:val="en-US" w:eastAsia="zh-CN"/>
              </w:rPr>
              <w:t>磋商申请人</w:t>
            </w:r>
            <w:r>
              <w:rPr>
                <w:rFonts w:hint="eastAsia" w:ascii="宋体" w:hAnsi="宋体" w:eastAsia="宋体" w:cs="宋体"/>
                <w:color w:val="auto"/>
                <w:kern w:val="0"/>
                <w:sz w:val="21"/>
                <w:szCs w:val="21"/>
                <w:highlight w:val="none"/>
              </w:rPr>
              <w:t>一旦</w:t>
            </w:r>
            <w:r>
              <w:rPr>
                <w:rFonts w:hint="eastAsia" w:ascii="宋体" w:hAnsi="宋体" w:eastAsia="宋体" w:cs="宋体"/>
                <w:color w:val="auto"/>
                <w:kern w:val="0"/>
                <w:sz w:val="21"/>
                <w:szCs w:val="21"/>
                <w:highlight w:val="none"/>
                <w:lang w:val="en-US" w:eastAsia="zh-CN"/>
              </w:rPr>
              <w:t>成交</w:t>
            </w:r>
            <w:r>
              <w:rPr>
                <w:rFonts w:hint="eastAsia" w:ascii="宋体" w:hAnsi="宋体" w:eastAsia="宋体" w:cs="宋体"/>
                <w:color w:val="auto"/>
                <w:kern w:val="0"/>
                <w:sz w:val="21"/>
                <w:szCs w:val="21"/>
                <w:highlight w:val="none"/>
              </w:rPr>
              <w:t>，将据实结算。</w:t>
            </w:r>
          </w:p>
        </w:tc>
      </w:tr>
      <w:tr w14:paraId="6565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B3A4A3A">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11.1</w:t>
            </w:r>
          </w:p>
        </w:tc>
        <w:tc>
          <w:tcPr>
            <w:tcW w:w="2380" w:type="dxa"/>
            <w:gridSpan w:val="2"/>
            <w:vAlign w:val="center"/>
          </w:tcPr>
          <w:p w14:paraId="29E68E18">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有效期</w:t>
            </w:r>
          </w:p>
        </w:tc>
        <w:tc>
          <w:tcPr>
            <w:tcW w:w="6999" w:type="dxa"/>
            <w:vAlign w:val="center"/>
          </w:tcPr>
          <w:p w14:paraId="57B9D91B">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递交响应文件的截止日期后90天</w:t>
            </w:r>
          </w:p>
        </w:tc>
      </w:tr>
      <w:tr w14:paraId="6FF8E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5EA97F51">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12.6</w:t>
            </w:r>
          </w:p>
        </w:tc>
        <w:tc>
          <w:tcPr>
            <w:tcW w:w="2380" w:type="dxa"/>
            <w:gridSpan w:val="2"/>
            <w:vAlign w:val="center"/>
          </w:tcPr>
          <w:p w14:paraId="7210AE4B">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响应文件上传相关要求</w:t>
            </w:r>
          </w:p>
        </w:tc>
        <w:tc>
          <w:tcPr>
            <w:tcW w:w="6999" w:type="dxa"/>
            <w:vAlign w:val="center"/>
          </w:tcPr>
          <w:p w14:paraId="154E54E5">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本次采购采用在政府采购云平台（www.zcygov.cn）上进行采购与递交响应文件，磋商响应文件递交要求如下：</w:t>
            </w:r>
          </w:p>
          <w:p w14:paraId="16FCC6A5">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1）网上递交：磋商申请人网上递交需登录政府采购云平台（www.zcygov.cn），须在磋商响应文件提交截止时间前完成所有电子竞争性磋商响应文件的上传，磋商响应文件递交截止时间前未完成文件上传的，视为撤回磋商响应文件。</w:t>
            </w:r>
          </w:p>
          <w:p w14:paraId="700C8655">
            <w:pPr>
              <w:pStyle w:val="18"/>
              <w:spacing w:line="420" w:lineRule="exact"/>
              <w:rPr>
                <w:rFonts w:hint="eastAsia" w:hAnsi="宋体"/>
                <w:color w:val="auto"/>
                <w:kern w:val="0"/>
                <w:sz w:val="21"/>
                <w:szCs w:val="21"/>
                <w:highlight w:val="none"/>
              </w:rPr>
            </w:pPr>
            <w:r>
              <w:rPr>
                <w:rFonts w:hint="eastAsia" w:hAnsi="宋体"/>
                <w:color w:val="auto"/>
                <w:kern w:val="0"/>
                <w:sz w:val="21"/>
                <w:szCs w:val="21"/>
                <w:highlight w:val="none"/>
              </w:rPr>
              <w:t>（2）本项目采用在政府采购云平台（www.zcygov.cn）上进行采购与递交响应文件，无需现场递交纸质文件，但应在文件递交截止时间登录系统，并根据开标系统的提示操作解密文件。</w:t>
            </w:r>
          </w:p>
          <w:p w14:paraId="6D64FA1F">
            <w:pPr>
              <w:pStyle w:val="18"/>
              <w:spacing w:line="420" w:lineRule="exact"/>
              <w:rPr>
                <w:rFonts w:hint="eastAsia" w:hAnsi="宋体"/>
                <w:color w:val="auto"/>
                <w:kern w:val="0"/>
                <w:sz w:val="21"/>
                <w:szCs w:val="21"/>
                <w:highlight w:val="none"/>
              </w:rPr>
            </w:pPr>
            <w:r>
              <w:rPr>
                <w:rFonts w:hint="eastAsia" w:hAnsi="宋体"/>
                <w:color w:val="auto"/>
                <w:kern w:val="0"/>
                <w:sz w:val="21"/>
                <w:szCs w:val="21"/>
                <w:highlight w:val="none"/>
              </w:rPr>
              <w:t>（3）磋商申请人若有幸成交，须在签收采购合同前向采购人提交纸质磋商响应文件一份。</w:t>
            </w:r>
          </w:p>
        </w:tc>
      </w:tr>
      <w:tr w14:paraId="5EA8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1A425FC">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13</w:t>
            </w:r>
          </w:p>
        </w:tc>
        <w:tc>
          <w:tcPr>
            <w:tcW w:w="2380" w:type="dxa"/>
            <w:gridSpan w:val="2"/>
            <w:vAlign w:val="center"/>
          </w:tcPr>
          <w:p w14:paraId="3BCEC02E">
            <w:pPr>
              <w:pStyle w:val="18"/>
              <w:spacing w:line="420" w:lineRule="exact"/>
              <w:ind w:firstLine="420" w:firstLineChars="200"/>
              <w:rPr>
                <w:rFonts w:hAnsi="宋体"/>
                <w:color w:val="auto"/>
                <w:kern w:val="0"/>
                <w:sz w:val="21"/>
                <w:szCs w:val="21"/>
                <w:highlight w:val="none"/>
              </w:rPr>
            </w:pPr>
            <w:r>
              <w:rPr>
                <w:rFonts w:hint="eastAsia" w:hAnsi="宋体"/>
                <w:color w:val="auto"/>
                <w:kern w:val="0"/>
                <w:sz w:val="21"/>
                <w:szCs w:val="21"/>
                <w:highlight w:val="none"/>
              </w:rPr>
              <w:t>磋商保证金</w:t>
            </w:r>
          </w:p>
        </w:tc>
        <w:tc>
          <w:tcPr>
            <w:tcW w:w="6999" w:type="dxa"/>
            <w:vAlign w:val="center"/>
          </w:tcPr>
          <w:p w14:paraId="0F913DBA">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13.1磋商保证金相关信息</w:t>
            </w:r>
          </w:p>
          <w:p w14:paraId="3816F3E0">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昌宁县教育体育局2024至2025学年校方综合防范保险采购</w:t>
            </w:r>
            <w:r>
              <w:rPr>
                <w:rFonts w:hint="eastAsia" w:ascii="宋体" w:hAnsi="宋体" w:eastAsia="宋体" w:cs="宋体"/>
                <w:color w:val="auto"/>
                <w:sz w:val="21"/>
                <w:szCs w:val="21"/>
                <w:highlight w:val="none"/>
              </w:rPr>
              <w:t>磋商保证金形式：银行转账或银行保函或保证保险或其他非现金方式（不接受现场缴纳现金）</w:t>
            </w:r>
          </w:p>
          <w:p w14:paraId="4BA1716F">
            <w:pPr>
              <w:widowControl/>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磋商保证金金额：¥1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000.00元（壹万</w:t>
            </w:r>
            <w:r>
              <w:rPr>
                <w:rFonts w:hint="eastAsia" w:ascii="宋体" w:hAnsi="宋体" w:eastAsia="宋体" w:cs="宋体"/>
                <w:color w:val="auto"/>
                <w:sz w:val="21"/>
                <w:szCs w:val="21"/>
                <w:highlight w:val="none"/>
                <w:lang w:val="en-US" w:eastAsia="zh-CN"/>
              </w:rPr>
              <w:t>叁仟</w:t>
            </w:r>
            <w:r>
              <w:rPr>
                <w:rFonts w:hint="eastAsia" w:ascii="宋体" w:hAnsi="宋体" w:eastAsia="宋体" w:cs="宋体"/>
                <w:color w:val="auto"/>
                <w:sz w:val="21"/>
                <w:szCs w:val="21"/>
                <w:highlight w:val="none"/>
              </w:rPr>
              <w:t>元整）。</w:t>
            </w:r>
          </w:p>
          <w:p w14:paraId="35866102">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13.2磋商保证金的提交方式</w:t>
            </w:r>
          </w:p>
          <w:p w14:paraId="062E95AC">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形式：银行转账或银行保函或保证保险或其他非现金方式（不接受现场缴纳现金），磋商申请人可根据实际情况，选择保证金的提供或缴纳方式，有关部门、单位和企业不得以任何方式排斥、限制或拒绝接受。</w:t>
            </w:r>
          </w:p>
          <w:p w14:paraId="22FD3C60">
            <w:pPr>
              <w:spacing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3</w:t>
            </w:r>
            <w:r>
              <w:rPr>
                <w:rFonts w:ascii="宋体" w:hAnsi="宋体" w:eastAsia="宋体" w:cs="宋体"/>
                <w:color w:val="auto"/>
                <w:sz w:val="21"/>
                <w:szCs w:val="21"/>
                <w:highlight w:val="none"/>
              </w:rPr>
              <w:t>.2.1采用银行转账：</w:t>
            </w:r>
          </w:p>
          <w:p w14:paraId="20F33A3B">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1）保证金应以磋商申请人自身的名义提交，并且必须从其基本账户转出（按照规定，磋商申请人可以为自然人的项目除外</w:t>
            </w:r>
            <w:r>
              <w:rPr>
                <w:rFonts w:hint="eastAsia" w:ascii="宋体" w:hAnsi="宋体" w:eastAsia="宋体" w:cs="宋体"/>
                <w:color w:val="auto"/>
                <w:sz w:val="21"/>
                <w:szCs w:val="21"/>
                <w:highlight w:val="none"/>
              </w:rPr>
              <w:t>，若为联合体，保证金由联合体牵头人进行缴纳</w:t>
            </w:r>
            <w:r>
              <w:rPr>
                <w:rFonts w:ascii="宋体" w:hAnsi="宋体" w:eastAsia="宋体" w:cs="宋体"/>
                <w:color w:val="auto"/>
                <w:sz w:val="21"/>
                <w:szCs w:val="21"/>
                <w:highlight w:val="none"/>
              </w:rPr>
              <w:t>）。</w:t>
            </w:r>
          </w:p>
          <w:p w14:paraId="750EE6BC">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本次项目磋商保证金专用账号转账信息如下（</w:t>
            </w:r>
            <w:r>
              <w:rPr>
                <w:rFonts w:ascii="宋体" w:hAnsi="宋体" w:eastAsia="宋体" w:cs="宋体"/>
                <w:color w:val="auto"/>
                <w:sz w:val="21"/>
                <w:szCs w:val="21"/>
                <w:highlight w:val="none"/>
              </w:rPr>
              <w:t>唯一账户</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w:t>
            </w:r>
          </w:p>
          <w:p w14:paraId="3BA6A2D4">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磋商保证金指定账户：</w:t>
            </w:r>
          </w:p>
          <w:p w14:paraId="44E5477C">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户名：保山市天瑞建设工程招标咨询有限公司</w:t>
            </w:r>
          </w:p>
          <w:p w14:paraId="6C68EAEA">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开户银行：中国建设银行有限公司保山新村支行</w:t>
            </w:r>
          </w:p>
          <w:p w14:paraId="38ABF80C">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ascii="宋体" w:hAnsi="宋体" w:eastAsia="宋体" w:cs="宋体"/>
                <w:color w:val="auto"/>
                <w:sz w:val="21"/>
                <w:szCs w:val="21"/>
                <w:highlight w:val="none"/>
              </w:rPr>
              <w:t>5300 1728 6420 5100 0568</w:t>
            </w:r>
          </w:p>
          <w:p w14:paraId="7B007679">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汇入地址：云南省保山市</w:t>
            </w:r>
          </w:p>
          <w:p w14:paraId="339F5401">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汇款缴纳查询电话：</w:t>
            </w:r>
            <w:r>
              <w:rPr>
                <w:rFonts w:ascii="宋体" w:hAnsi="宋体" w:eastAsia="宋体" w:cs="宋体"/>
                <w:color w:val="auto"/>
                <w:sz w:val="21"/>
                <w:szCs w:val="21"/>
                <w:highlight w:val="none"/>
              </w:rPr>
              <w:t>0875—2147689</w:t>
            </w:r>
          </w:p>
          <w:p w14:paraId="7CF1E164">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联系人：寸女士</w:t>
            </w:r>
          </w:p>
          <w:p w14:paraId="0601F7EC">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磋商申请人需在磋商保证金缴纳截止时间前递交保证金，保证金单据内要注明项目名称或项目编号（内容须填写完整），到账时间以实际到达专用账号时间为准，未在磋商保证金缴纳</w:t>
            </w:r>
            <w:r>
              <w:rPr>
                <w:rFonts w:ascii="宋体" w:hAnsi="宋体" w:eastAsia="宋体" w:cs="宋体"/>
                <w:color w:val="auto"/>
                <w:sz w:val="21"/>
                <w:szCs w:val="21"/>
                <w:highlight w:val="none"/>
              </w:rPr>
              <w:t>截止时间前到账的保证金视为未提交，为避免由于晚到账的原因造成</w:t>
            </w:r>
            <w:r>
              <w:rPr>
                <w:rFonts w:hint="eastAsia" w:ascii="宋体" w:hAnsi="宋体" w:eastAsia="宋体" w:cs="宋体"/>
                <w:color w:val="auto"/>
                <w:sz w:val="21"/>
                <w:szCs w:val="21"/>
                <w:highlight w:val="none"/>
              </w:rPr>
              <w:t>参与采购活动</w:t>
            </w:r>
            <w:r>
              <w:rPr>
                <w:rFonts w:ascii="宋体" w:hAnsi="宋体" w:eastAsia="宋体" w:cs="宋体"/>
                <w:color w:val="auto"/>
                <w:sz w:val="21"/>
                <w:szCs w:val="21"/>
                <w:highlight w:val="none"/>
              </w:rPr>
              <w:t>失败，请各磋商申请人预留充足时间。在跨行转账时请考虑以下因素：1.按照人民银行相关规定，跨行转账在工作日下午</w:t>
            </w:r>
            <w:r>
              <w:rPr>
                <w:rFonts w:hint="eastAsia" w:ascii="宋体" w:hAnsi="宋体" w:eastAsia="宋体" w:cs="宋体"/>
                <w:color w:val="auto"/>
                <w:sz w:val="21"/>
                <w:szCs w:val="21"/>
                <w:highlight w:val="none"/>
              </w:rPr>
              <w:t>四点半</w:t>
            </w:r>
            <w:r>
              <w:rPr>
                <w:rFonts w:ascii="宋体" w:hAnsi="宋体" w:eastAsia="宋体" w:cs="宋体"/>
                <w:color w:val="auto"/>
                <w:sz w:val="21"/>
                <w:szCs w:val="21"/>
                <w:highlight w:val="none"/>
              </w:rPr>
              <w:t>前办理手续，可以保证实时跨行到账；2.跨行转账尽量采用电汇方式。</w:t>
            </w:r>
          </w:p>
          <w:p w14:paraId="3FF3B49E">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注意事项：</w:t>
            </w:r>
          </w:p>
          <w:p w14:paraId="404E0E12">
            <w:pPr>
              <w:spacing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1.保证金必须从磋商申请人的基本账户划出；</w:t>
            </w:r>
          </w:p>
          <w:p w14:paraId="7D87B9FB">
            <w:pPr>
              <w:spacing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2.保证金转账仅限电汇、网银方式，其他转账方式视为无效；</w:t>
            </w:r>
          </w:p>
          <w:p w14:paraId="6D453E3B">
            <w:pPr>
              <w:spacing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3.到账时间以保证金专用账户实际到账时间为准，未在缴纳保证金截止时间前到账的保证金无效；</w:t>
            </w:r>
          </w:p>
          <w:p w14:paraId="165DBCC1">
            <w:pPr>
              <w:spacing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13.2.2采用</w:t>
            </w:r>
            <w:r>
              <w:rPr>
                <w:rFonts w:hint="eastAsia" w:ascii="宋体" w:hAnsi="宋体" w:eastAsia="宋体" w:cs="宋体"/>
                <w:color w:val="auto"/>
                <w:sz w:val="21"/>
                <w:szCs w:val="21"/>
                <w:highlight w:val="none"/>
              </w:rPr>
              <w:t>银行</w:t>
            </w:r>
            <w:r>
              <w:rPr>
                <w:rFonts w:ascii="宋体" w:hAnsi="宋体" w:eastAsia="宋体" w:cs="宋体"/>
                <w:color w:val="auto"/>
                <w:sz w:val="21"/>
                <w:szCs w:val="21"/>
                <w:highlight w:val="none"/>
              </w:rPr>
              <w:t>保函：</w:t>
            </w:r>
          </w:p>
          <w:p w14:paraId="579BAB63">
            <w:pPr>
              <w:keepNext/>
              <w:spacing w:line="420" w:lineRule="exact"/>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保函申请人必须是磋商申请人，受益人必须是采购人，保证人必须是磋商申请人基本账户的开户银行；银行保函必须正确填写受益人和申请人的全称，并与采购文件规定的名称一致，以免造成磋商无效。</w:t>
            </w:r>
          </w:p>
          <w:p w14:paraId="2882C5FC">
            <w:pPr>
              <w:keepNext/>
              <w:spacing w:line="42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13.2.3采用保证保险：</w:t>
            </w:r>
          </w:p>
          <w:p w14:paraId="224D5C98">
            <w:pPr>
              <w:keepNext/>
              <w:spacing w:line="42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须按照国家关于保证保险的要求购买保证保险，磋商申请人持保证保险材料参加磋商。保险受益人（采购人）：</w:t>
            </w:r>
            <w:r>
              <w:rPr>
                <w:rFonts w:hint="eastAsia" w:ascii="宋体" w:hAnsi="宋体" w:eastAsia="宋体" w:cs="宋体"/>
                <w:color w:val="auto"/>
                <w:kern w:val="0"/>
                <w:sz w:val="21"/>
                <w:szCs w:val="21"/>
                <w:highlight w:val="none"/>
                <w:lang w:eastAsia="zh-CN"/>
              </w:rPr>
              <w:t>昌宁县教育体育局</w:t>
            </w:r>
            <w:r>
              <w:rPr>
                <w:rFonts w:hint="eastAsia" w:ascii="宋体" w:hAnsi="宋体" w:eastAsia="宋体" w:cs="宋体"/>
                <w:color w:val="auto"/>
                <w:kern w:val="0"/>
                <w:sz w:val="21"/>
                <w:szCs w:val="21"/>
                <w:highlight w:val="none"/>
              </w:rPr>
              <w:t>（社会统一信用代码：1153302501526405XN）。</w:t>
            </w:r>
          </w:p>
          <w:p w14:paraId="5BC0ECA9">
            <w:pPr>
              <w:keepNext/>
              <w:spacing w:line="420" w:lineRule="exact"/>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13.3对未足额提交磋商保证金的磋商申请人提交的</w:t>
            </w:r>
            <w:r>
              <w:rPr>
                <w:rFonts w:hint="eastAsia" w:ascii="宋体" w:hAnsi="宋体" w:eastAsia="宋体" w:cs="宋体"/>
                <w:color w:val="auto"/>
                <w:kern w:val="0"/>
                <w:sz w:val="21"/>
                <w:szCs w:val="21"/>
                <w:highlight w:val="none"/>
              </w:rPr>
              <w:t>磋商响应文件</w:t>
            </w:r>
            <w:r>
              <w:rPr>
                <w:rFonts w:ascii="宋体" w:hAnsi="宋体" w:eastAsia="宋体" w:cs="宋体"/>
                <w:color w:val="auto"/>
                <w:kern w:val="0"/>
                <w:sz w:val="21"/>
                <w:szCs w:val="21"/>
                <w:highlight w:val="none"/>
              </w:rPr>
              <w:t>，采购代理机构将视其为不响应</w:t>
            </w:r>
            <w:r>
              <w:rPr>
                <w:rFonts w:hint="eastAsia" w:ascii="宋体" w:hAnsi="宋体" w:eastAsia="宋体" w:cs="宋体"/>
                <w:color w:val="auto"/>
                <w:kern w:val="0"/>
                <w:sz w:val="21"/>
                <w:szCs w:val="21"/>
                <w:highlight w:val="none"/>
              </w:rPr>
              <w:t>符合性审查</w:t>
            </w:r>
            <w:r>
              <w:rPr>
                <w:rFonts w:ascii="宋体" w:hAnsi="宋体" w:eastAsia="宋体" w:cs="宋体"/>
                <w:color w:val="auto"/>
                <w:kern w:val="0"/>
                <w:sz w:val="21"/>
                <w:szCs w:val="21"/>
                <w:highlight w:val="none"/>
              </w:rPr>
              <w:t>条件而予以拒绝。</w:t>
            </w:r>
          </w:p>
          <w:p w14:paraId="55D38AB5">
            <w:pPr>
              <w:spacing w:line="420" w:lineRule="exact"/>
              <w:jc w:val="left"/>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13.4未成交</w:t>
            </w:r>
            <w:r>
              <w:rPr>
                <w:rFonts w:hint="eastAsia" w:ascii="宋体" w:hAnsi="宋体" w:eastAsia="宋体" w:cs="宋体"/>
                <w:color w:val="auto"/>
                <w:kern w:val="0"/>
                <w:sz w:val="21"/>
                <w:szCs w:val="21"/>
                <w:highlight w:val="none"/>
              </w:rPr>
              <w:t>的</w:t>
            </w:r>
            <w:r>
              <w:rPr>
                <w:rFonts w:ascii="宋体" w:hAnsi="宋体" w:eastAsia="宋体" w:cs="宋体"/>
                <w:color w:val="auto"/>
                <w:kern w:val="0"/>
                <w:sz w:val="21"/>
                <w:szCs w:val="21"/>
                <w:highlight w:val="none"/>
              </w:rPr>
              <w:t>磋商申请人的磋商保证金，将在成交公示</w:t>
            </w:r>
            <w:r>
              <w:rPr>
                <w:rFonts w:hint="eastAsia" w:ascii="宋体" w:hAnsi="宋体" w:eastAsia="宋体" w:cs="宋体"/>
                <w:color w:val="auto"/>
                <w:kern w:val="0"/>
                <w:sz w:val="21"/>
                <w:szCs w:val="21"/>
                <w:highlight w:val="none"/>
              </w:rPr>
              <w:t>生效</w:t>
            </w:r>
            <w:r>
              <w:rPr>
                <w:rFonts w:ascii="宋体" w:hAnsi="宋体" w:eastAsia="宋体" w:cs="宋体"/>
                <w:color w:val="auto"/>
                <w:kern w:val="0"/>
                <w:sz w:val="21"/>
                <w:szCs w:val="21"/>
                <w:highlight w:val="none"/>
              </w:rPr>
              <w:t>后予以退还。</w:t>
            </w:r>
            <w:r>
              <w:rPr>
                <w:rFonts w:hint="eastAsia" w:ascii="宋体" w:hAnsi="宋体" w:eastAsia="宋体" w:cs="宋体"/>
                <w:color w:val="auto"/>
                <w:kern w:val="0"/>
                <w:sz w:val="21"/>
                <w:szCs w:val="21"/>
                <w:highlight w:val="none"/>
              </w:rPr>
              <w:t>成交人</w:t>
            </w:r>
            <w:r>
              <w:rPr>
                <w:rFonts w:ascii="宋体" w:hAnsi="宋体" w:eastAsia="宋体" w:cs="宋体"/>
                <w:color w:val="auto"/>
                <w:kern w:val="0"/>
                <w:sz w:val="21"/>
                <w:szCs w:val="21"/>
                <w:highlight w:val="none"/>
              </w:rPr>
              <w:t>的磋商保证金在合同签订后５日内予以退还。</w:t>
            </w:r>
          </w:p>
        </w:tc>
      </w:tr>
      <w:tr w14:paraId="3ABB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13D6BF78">
            <w:pPr>
              <w:pStyle w:val="14"/>
              <w:spacing w:line="420" w:lineRule="exact"/>
              <w:jc w:val="center"/>
              <w:rPr>
                <w:rFonts w:hAnsi="宋体"/>
                <w:color w:val="auto"/>
                <w:sz w:val="21"/>
                <w:szCs w:val="21"/>
                <w:highlight w:val="none"/>
              </w:rPr>
            </w:pPr>
            <w:r>
              <w:rPr>
                <w:rFonts w:hint="eastAsia" w:hAnsi="宋体"/>
                <w:color w:val="auto"/>
                <w:sz w:val="21"/>
                <w:szCs w:val="21"/>
                <w:highlight w:val="none"/>
              </w:rPr>
              <w:t>15.1</w:t>
            </w:r>
          </w:p>
        </w:tc>
        <w:tc>
          <w:tcPr>
            <w:tcW w:w="2380" w:type="dxa"/>
            <w:gridSpan w:val="2"/>
            <w:vAlign w:val="center"/>
          </w:tcPr>
          <w:p w14:paraId="7C4C87CB">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递交响应文件的截止时间</w:t>
            </w:r>
          </w:p>
        </w:tc>
        <w:tc>
          <w:tcPr>
            <w:tcW w:w="6999" w:type="dxa"/>
            <w:vAlign w:val="center"/>
          </w:tcPr>
          <w:p w14:paraId="238D5EC9">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递交响应文件的截止时间：</w:t>
            </w:r>
            <w:r>
              <w:rPr>
                <w:rFonts w:hint="eastAsia" w:hAnsi="宋体"/>
                <w:color w:val="auto"/>
                <w:sz w:val="21"/>
                <w:szCs w:val="21"/>
                <w:highlight w:val="none"/>
                <w:u w:val="single"/>
                <w:lang w:eastAsia="zh-CN"/>
              </w:rPr>
              <w:t>2024年09月05日09时00分</w:t>
            </w:r>
            <w:r>
              <w:rPr>
                <w:rFonts w:hint="eastAsia" w:hAnsi="宋体"/>
                <w:color w:val="auto"/>
                <w:kern w:val="0"/>
                <w:sz w:val="21"/>
                <w:szCs w:val="21"/>
                <w:highlight w:val="none"/>
              </w:rPr>
              <w:t>（北京时间）；</w:t>
            </w:r>
          </w:p>
          <w:p w14:paraId="75A203ED">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注：磋商申请人须在竞争性磋商响应文件提交截止时间以前将电子磋商响应文件上传至</w:t>
            </w:r>
            <w:r>
              <w:rPr>
                <w:rFonts w:hint="eastAsia" w:hAnsi="宋体"/>
                <w:color w:val="auto"/>
                <w:sz w:val="21"/>
                <w:szCs w:val="21"/>
                <w:highlight w:val="none"/>
              </w:rPr>
              <w:t>政府采购云平台（www.zcygov.cn）</w:t>
            </w:r>
            <w:r>
              <w:rPr>
                <w:rFonts w:hAnsi="宋体"/>
                <w:color w:val="auto"/>
                <w:kern w:val="0"/>
                <w:sz w:val="21"/>
                <w:szCs w:val="21"/>
                <w:highlight w:val="none"/>
              </w:rPr>
              <w:t>。逾期上传电子响应文件或逾期未能到达指定地点进行磋商响应文件解密的或未能上传电子响应文件的，其磋商响应文件将视为不合格并拒绝。</w:t>
            </w:r>
          </w:p>
        </w:tc>
      </w:tr>
      <w:tr w14:paraId="4B32E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9F0A46F">
            <w:pPr>
              <w:pStyle w:val="14"/>
              <w:spacing w:line="420" w:lineRule="exact"/>
              <w:jc w:val="center"/>
              <w:rPr>
                <w:rFonts w:hAnsi="宋体"/>
                <w:color w:val="auto"/>
                <w:sz w:val="21"/>
                <w:szCs w:val="21"/>
                <w:highlight w:val="none"/>
              </w:rPr>
            </w:pPr>
            <w:r>
              <w:rPr>
                <w:rFonts w:hint="eastAsia" w:hAnsi="宋体"/>
                <w:color w:val="auto"/>
                <w:sz w:val="21"/>
                <w:szCs w:val="21"/>
                <w:highlight w:val="none"/>
              </w:rPr>
              <w:t>15.2</w:t>
            </w:r>
          </w:p>
        </w:tc>
        <w:tc>
          <w:tcPr>
            <w:tcW w:w="2380" w:type="dxa"/>
            <w:gridSpan w:val="2"/>
            <w:vAlign w:val="center"/>
          </w:tcPr>
          <w:p w14:paraId="44FE6692">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递交响应文件地点</w:t>
            </w:r>
          </w:p>
        </w:tc>
        <w:tc>
          <w:tcPr>
            <w:tcW w:w="6999" w:type="dxa"/>
            <w:vAlign w:val="center"/>
          </w:tcPr>
          <w:p w14:paraId="4544D6B4">
            <w:pPr>
              <w:pStyle w:val="18"/>
              <w:spacing w:line="420" w:lineRule="exact"/>
              <w:jc w:val="both"/>
              <w:rPr>
                <w:rFonts w:hAnsi="宋体"/>
                <w:color w:val="auto"/>
                <w:kern w:val="0"/>
                <w:sz w:val="21"/>
                <w:szCs w:val="21"/>
                <w:highlight w:val="none"/>
              </w:rPr>
            </w:pPr>
            <w:r>
              <w:rPr>
                <w:rFonts w:hint="eastAsia" w:hAnsi="宋体"/>
                <w:bCs/>
                <w:color w:val="auto"/>
                <w:sz w:val="21"/>
                <w:szCs w:val="21"/>
                <w:highlight w:val="none"/>
                <w:lang w:eastAsia="zh-CN"/>
              </w:rPr>
              <w:t>保山市天瑞建设工程招标咨询有限公司昌宁县开标会议室（保山市昌宁县九丰商贸城C4栋1-9二楼）</w:t>
            </w:r>
            <w:r>
              <w:rPr>
                <w:rFonts w:hint="eastAsia" w:hAnsi="宋体"/>
                <w:bCs/>
                <w:color w:val="auto"/>
                <w:kern w:val="0"/>
                <w:sz w:val="21"/>
                <w:szCs w:val="21"/>
                <w:highlight w:val="none"/>
              </w:rPr>
              <w:t>，请各磋商申请人登录政采云投标客户端参与采购活动并递交磋商响应文件</w:t>
            </w:r>
            <w:r>
              <w:rPr>
                <w:rFonts w:hint="eastAsia" w:hAnsi="宋体"/>
                <w:color w:val="auto"/>
                <w:kern w:val="0"/>
                <w:sz w:val="21"/>
                <w:szCs w:val="21"/>
                <w:highlight w:val="none"/>
              </w:rPr>
              <w:t>。</w:t>
            </w:r>
          </w:p>
        </w:tc>
      </w:tr>
      <w:tr w14:paraId="0F9E9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5A40F434">
            <w:pPr>
              <w:pStyle w:val="14"/>
              <w:spacing w:line="420" w:lineRule="exact"/>
              <w:jc w:val="center"/>
              <w:rPr>
                <w:rFonts w:hAnsi="宋体"/>
                <w:color w:val="auto"/>
                <w:sz w:val="21"/>
                <w:szCs w:val="21"/>
                <w:highlight w:val="none"/>
              </w:rPr>
            </w:pPr>
            <w:r>
              <w:rPr>
                <w:rFonts w:hint="eastAsia" w:hAnsi="宋体"/>
                <w:color w:val="auto"/>
                <w:sz w:val="21"/>
                <w:szCs w:val="21"/>
                <w:highlight w:val="none"/>
              </w:rPr>
              <w:t>15.3</w:t>
            </w:r>
          </w:p>
        </w:tc>
        <w:tc>
          <w:tcPr>
            <w:tcW w:w="2380" w:type="dxa"/>
            <w:gridSpan w:val="2"/>
            <w:vAlign w:val="center"/>
          </w:tcPr>
          <w:p w14:paraId="6E637C8A">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是否退还响应文件</w:t>
            </w:r>
          </w:p>
        </w:tc>
        <w:tc>
          <w:tcPr>
            <w:tcW w:w="6999" w:type="dxa"/>
            <w:vAlign w:val="center"/>
          </w:tcPr>
          <w:p w14:paraId="5DD2F53D">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否</w:t>
            </w:r>
          </w:p>
        </w:tc>
      </w:tr>
      <w:tr w14:paraId="48F4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A6B6318">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16.1</w:t>
            </w:r>
          </w:p>
        </w:tc>
        <w:tc>
          <w:tcPr>
            <w:tcW w:w="2380" w:type="dxa"/>
            <w:gridSpan w:val="2"/>
            <w:vAlign w:val="center"/>
          </w:tcPr>
          <w:p w14:paraId="33C21CFB">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磋商时间和地点</w:t>
            </w:r>
          </w:p>
        </w:tc>
        <w:tc>
          <w:tcPr>
            <w:tcW w:w="6999" w:type="dxa"/>
            <w:vAlign w:val="center"/>
          </w:tcPr>
          <w:p w14:paraId="699A1AE7">
            <w:pPr>
              <w:pStyle w:val="18"/>
              <w:spacing w:line="420" w:lineRule="exact"/>
              <w:jc w:val="both"/>
              <w:rPr>
                <w:rFonts w:hAnsi="宋体"/>
                <w:color w:val="auto"/>
                <w:kern w:val="0"/>
                <w:sz w:val="21"/>
                <w:szCs w:val="21"/>
                <w:highlight w:val="none"/>
              </w:rPr>
            </w:pPr>
            <w:r>
              <w:rPr>
                <w:rFonts w:hint="eastAsia" w:hAnsi="宋体"/>
                <w:color w:val="auto"/>
                <w:kern w:val="0"/>
                <w:sz w:val="21"/>
                <w:szCs w:val="21"/>
                <w:highlight w:val="none"/>
              </w:rPr>
              <w:t>磋商响应文件启封时间：</w:t>
            </w:r>
            <w:r>
              <w:rPr>
                <w:rFonts w:hint="eastAsia" w:hAnsi="宋体"/>
                <w:color w:val="auto"/>
                <w:sz w:val="21"/>
                <w:szCs w:val="21"/>
                <w:highlight w:val="none"/>
                <w:u w:val="single"/>
                <w:lang w:eastAsia="zh-CN"/>
              </w:rPr>
              <w:t>2024年09月05日09时00分</w:t>
            </w:r>
            <w:r>
              <w:rPr>
                <w:rFonts w:hint="eastAsia" w:hAnsi="宋体"/>
                <w:color w:val="auto"/>
                <w:kern w:val="0"/>
                <w:sz w:val="21"/>
                <w:szCs w:val="21"/>
                <w:highlight w:val="none"/>
              </w:rPr>
              <w:t>（北京时间）开始</w:t>
            </w:r>
          </w:p>
          <w:p w14:paraId="72F62AB7">
            <w:pPr>
              <w:pStyle w:val="18"/>
              <w:spacing w:line="420" w:lineRule="exact"/>
              <w:rPr>
                <w:rFonts w:hint="eastAsia" w:hAnsi="宋体" w:eastAsia="宋体"/>
                <w:color w:val="auto"/>
                <w:kern w:val="0"/>
                <w:sz w:val="21"/>
                <w:szCs w:val="21"/>
                <w:highlight w:val="none"/>
                <w:lang w:eastAsia="zh-CN"/>
              </w:rPr>
            </w:pPr>
            <w:r>
              <w:rPr>
                <w:rFonts w:hint="eastAsia" w:hAnsi="宋体"/>
                <w:color w:val="auto"/>
                <w:kern w:val="0"/>
                <w:sz w:val="21"/>
                <w:szCs w:val="21"/>
                <w:highlight w:val="none"/>
              </w:rPr>
              <w:t>磋商地点：</w:t>
            </w:r>
            <w:r>
              <w:rPr>
                <w:rFonts w:hint="eastAsia" w:hAnsi="宋体"/>
                <w:bCs/>
                <w:color w:val="auto"/>
                <w:sz w:val="21"/>
                <w:szCs w:val="21"/>
                <w:highlight w:val="none"/>
                <w:lang w:eastAsia="zh-CN"/>
              </w:rPr>
              <w:t>保山市天瑞建设工程招标咨询有限公司昌宁县开标会议室（保山市昌宁县九丰商贸城C4栋1-9二楼）</w:t>
            </w:r>
          </w:p>
        </w:tc>
      </w:tr>
      <w:tr w14:paraId="16D93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restart"/>
            <w:vAlign w:val="center"/>
          </w:tcPr>
          <w:p w14:paraId="2F0A2DE1">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16.4</w:t>
            </w:r>
          </w:p>
        </w:tc>
        <w:tc>
          <w:tcPr>
            <w:tcW w:w="2380" w:type="dxa"/>
            <w:gridSpan w:val="2"/>
            <w:vAlign w:val="center"/>
          </w:tcPr>
          <w:p w14:paraId="60788583">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磋商程序和方法</w:t>
            </w:r>
          </w:p>
        </w:tc>
        <w:tc>
          <w:tcPr>
            <w:tcW w:w="6999" w:type="dxa"/>
            <w:vAlign w:val="center"/>
          </w:tcPr>
          <w:p w14:paraId="229FD0CA">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综合评估评分法</w:t>
            </w:r>
          </w:p>
        </w:tc>
      </w:tr>
      <w:tr w14:paraId="0522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3905EA0B">
            <w:pPr>
              <w:pStyle w:val="18"/>
              <w:spacing w:line="420" w:lineRule="exact"/>
              <w:jc w:val="center"/>
              <w:rPr>
                <w:rFonts w:hAnsi="宋体"/>
                <w:color w:val="auto"/>
                <w:kern w:val="0"/>
                <w:sz w:val="21"/>
                <w:szCs w:val="21"/>
                <w:highlight w:val="none"/>
              </w:rPr>
            </w:pPr>
          </w:p>
        </w:tc>
        <w:tc>
          <w:tcPr>
            <w:tcW w:w="9379" w:type="dxa"/>
            <w:gridSpan w:val="3"/>
            <w:vAlign w:val="center"/>
          </w:tcPr>
          <w:p w14:paraId="2D569E25">
            <w:pPr>
              <w:spacing w:line="420" w:lineRule="exact"/>
              <w:rPr>
                <w:rFonts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第六章“磋商程序和方法”第2.1款资格审查标准规定的内容，为参加磋商的磋商申请人必须具备的资格条件，凡有一条不满足的磋商申请人不再参与磋商。请各参加磋商的磋商申请人仔细阅读资格审查标准。</w:t>
            </w:r>
          </w:p>
        </w:tc>
      </w:tr>
      <w:tr w14:paraId="58FF2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143D858">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23.1</w:t>
            </w:r>
          </w:p>
        </w:tc>
        <w:tc>
          <w:tcPr>
            <w:tcW w:w="2380" w:type="dxa"/>
            <w:gridSpan w:val="2"/>
            <w:vAlign w:val="center"/>
          </w:tcPr>
          <w:p w14:paraId="5B652FA6">
            <w:pPr>
              <w:spacing w:line="420" w:lineRule="exact"/>
              <w:rPr>
                <w:rFonts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采购代理服务费</w:t>
            </w:r>
          </w:p>
        </w:tc>
        <w:tc>
          <w:tcPr>
            <w:tcW w:w="6999" w:type="dxa"/>
            <w:vAlign w:val="center"/>
          </w:tcPr>
          <w:p w14:paraId="2C2DC381">
            <w:p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bCs/>
                <w:color w:val="auto"/>
                <w:kern w:val="0"/>
                <w:sz w:val="21"/>
                <w:szCs w:val="21"/>
                <w:highlight w:val="none"/>
              </w:rPr>
              <w:t>招标代理费（成交服务费）：采购代理机构</w:t>
            </w:r>
            <w:r>
              <w:rPr>
                <w:rFonts w:hint="eastAsia" w:ascii="宋体" w:hAnsi="宋体" w:eastAsia="宋体" w:cs="宋体"/>
                <w:bCs/>
                <w:color w:val="auto"/>
                <w:kern w:val="0"/>
                <w:sz w:val="21"/>
                <w:szCs w:val="21"/>
                <w:highlight w:val="none"/>
                <w:lang w:val="en-US" w:eastAsia="zh-CN"/>
              </w:rPr>
              <w:t>按¥12000.00元的标准</w:t>
            </w:r>
            <w:r>
              <w:rPr>
                <w:rFonts w:hint="eastAsia" w:ascii="宋体" w:hAnsi="宋体" w:eastAsia="宋体" w:cs="宋体"/>
                <w:bCs/>
                <w:color w:val="auto"/>
                <w:kern w:val="0"/>
                <w:sz w:val="21"/>
                <w:szCs w:val="21"/>
                <w:highlight w:val="none"/>
              </w:rPr>
              <w:t>向成交人分别收取成交服务费</w:t>
            </w:r>
            <w:r>
              <w:rPr>
                <w:rFonts w:hint="eastAsia" w:ascii="宋体" w:hAnsi="宋体" w:eastAsia="宋体" w:cs="宋体"/>
                <w:bCs/>
                <w:color w:val="auto"/>
                <w:kern w:val="0"/>
                <w:sz w:val="21"/>
                <w:szCs w:val="21"/>
                <w:highlight w:val="none"/>
                <w:lang w:eastAsia="zh-CN"/>
              </w:rPr>
              <w:t>。</w:t>
            </w:r>
          </w:p>
          <w:p w14:paraId="12DB4F6E">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（1）成交人在领取成交通知书时一次性向采购代理机构支付。除上述费用外，不再收取其他任何费用。</w:t>
            </w:r>
          </w:p>
          <w:p w14:paraId="3328FCF9">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）招标代理费（成交服务费）缴纳指定账户：</w:t>
            </w:r>
          </w:p>
          <w:p w14:paraId="2FAB6937">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户名：保山市天瑞建设工程招标咨询有限公司</w:t>
            </w:r>
          </w:p>
          <w:p w14:paraId="5995FC43">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开户银行：中国建设银行有限公司保山新村支行</w:t>
            </w:r>
          </w:p>
          <w:p w14:paraId="5B22E224">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账号：5300 1728 6420 5100 0568</w:t>
            </w:r>
          </w:p>
          <w:p w14:paraId="471C0E7C">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汇入地址：云南省保山市</w:t>
            </w:r>
          </w:p>
          <w:p w14:paraId="181F00BD">
            <w:pPr>
              <w:spacing w:line="420" w:lineRule="exact"/>
              <w:rPr>
                <w:color w:val="auto"/>
                <w:sz w:val="21"/>
                <w:szCs w:val="21"/>
                <w:highlight w:val="none"/>
              </w:rPr>
            </w:pPr>
            <w:r>
              <w:rPr>
                <w:rFonts w:hint="eastAsia" w:ascii="宋体" w:hAnsi="宋体" w:eastAsia="宋体" w:cs="宋体"/>
                <w:color w:val="auto"/>
                <w:sz w:val="21"/>
                <w:szCs w:val="21"/>
                <w:highlight w:val="none"/>
              </w:rPr>
              <w:t>联系人：寸女士</w:t>
            </w:r>
          </w:p>
        </w:tc>
      </w:tr>
      <w:tr w14:paraId="62B0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54E3696A">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25.1</w:t>
            </w:r>
          </w:p>
        </w:tc>
        <w:tc>
          <w:tcPr>
            <w:tcW w:w="9379" w:type="dxa"/>
            <w:gridSpan w:val="3"/>
            <w:vAlign w:val="center"/>
          </w:tcPr>
          <w:p w14:paraId="3BBB5526">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需要补充的其他内容</w:t>
            </w:r>
          </w:p>
        </w:tc>
      </w:tr>
      <w:tr w14:paraId="35337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2846618">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（1）</w:t>
            </w:r>
          </w:p>
        </w:tc>
        <w:tc>
          <w:tcPr>
            <w:tcW w:w="9379" w:type="dxa"/>
            <w:gridSpan w:val="3"/>
            <w:vAlign w:val="center"/>
          </w:tcPr>
          <w:p w14:paraId="038D2386">
            <w:pPr>
              <w:pStyle w:val="18"/>
              <w:spacing w:line="420" w:lineRule="exact"/>
              <w:rPr>
                <w:rFonts w:hint="eastAsia" w:hAnsi="宋体"/>
                <w:color w:val="auto"/>
                <w:kern w:val="0"/>
                <w:sz w:val="21"/>
                <w:szCs w:val="21"/>
                <w:highlight w:val="none"/>
              </w:rPr>
            </w:pPr>
            <w:r>
              <w:rPr>
                <w:rFonts w:hint="eastAsia" w:hAnsi="宋体"/>
                <w:color w:val="auto"/>
                <w:kern w:val="0"/>
                <w:sz w:val="21"/>
                <w:szCs w:val="21"/>
                <w:highlight w:val="none"/>
              </w:rPr>
              <w:t>1.磋商报价要求：</w:t>
            </w:r>
          </w:p>
          <w:p w14:paraId="51F2061F">
            <w:pPr>
              <w:pStyle w:val="18"/>
              <w:spacing w:line="420" w:lineRule="exact"/>
              <w:rPr>
                <w:rFonts w:hint="default" w:ascii="宋体" w:hAnsi="宋体" w:eastAsia="宋体" w:cs="宋体"/>
                <w:color w:val="auto"/>
                <w:sz w:val="21"/>
                <w:szCs w:val="21"/>
                <w:highlight w:val="none"/>
                <w:lang w:val="en-US" w:eastAsia="zh-CN"/>
              </w:rPr>
            </w:pPr>
            <w:r>
              <w:rPr>
                <w:rFonts w:hint="eastAsia" w:hAnsi="宋体"/>
                <w:color w:val="auto"/>
                <w:sz w:val="21"/>
                <w:szCs w:val="21"/>
                <w:highlight w:val="none"/>
              </w:rPr>
              <w:t>本项目填报固定金</w:t>
            </w:r>
            <w:r>
              <w:rPr>
                <w:rFonts w:hint="eastAsia" w:ascii="宋体" w:hAnsi="宋体" w:eastAsia="宋体" w:cs="宋体"/>
                <w:color w:val="auto"/>
                <w:sz w:val="21"/>
                <w:szCs w:val="21"/>
                <w:highlight w:val="none"/>
              </w:rPr>
              <w:t>额，其中</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总价按预算金额</w:t>
            </w:r>
            <w:r>
              <w:rPr>
                <w:rFonts w:hint="eastAsia" w:hAnsi="宋体" w:cs="宋体"/>
                <w:color w:val="auto"/>
                <w:sz w:val="21"/>
                <w:szCs w:val="21"/>
                <w:highlight w:val="none"/>
                <w:lang w:val="en-US" w:eastAsia="zh-CN"/>
              </w:rPr>
              <w:t>759210.00</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rPr>
              <w:t>填报，义务教育阶段</w:t>
            </w:r>
            <w:r>
              <w:rPr>
                <w:rFonts w:hint="eastAsia" w:ascii="宋体" w:hAnsi="宋体" w:eastAsia="宋体" w:cs="宋体"/>
                <w:color w:val="auto"/>
                <w:sz w:val="21"/>
                <w:szCs w:val="21"/>
                <w:highlight w:val="none"/>
                <w:lang w:eastAsia="zh-CN"/>
              </w:rPr>
              <w:t>校方综合防范保险</w:t>
            </w:r>
            <w:r>
              <w:rPr>
                <w:rFonts w:hint="eastAsia" w:ascii="宋体" w:hAnsi="宋体" w:eastAsia="宋体" w:cs="宋体"/>
                <w:color w:val="auto"/>
                <w:sz w:val="21"/>
                <w:szCs w:val="21"/>
                <w:highlight w:val="none"/>
                <w:lang w:val="en-US" w:eastAsia="zh-CN"/>
              </w:rPr>
              <w:t>单价报价按</w:t>
            </w:r>
            <w:r>
              <w:rPr>
                <w:rFonts w:hint="eastAsia" w:ascii="宋体" w:hAnsi="宋体" w:eastAsia="宋体" w:cs="宋体"/>
                <w:color w:val="auto"/>
                <w:sz w:val="21"/>
                <w:szCs w:val="21"/>
                <w:highlight w:val="none"/>
              </w:rPr>
              <w:t>每人每年</w:t>
            </w:r>
            <w:r>
              <w:rPr>
                <w:rFonts w:hint="eastAsia" w:ascii="宋体" w:hAnsi="宋体" w:eastAsia="宋体" w:cs="宋体"/>
                <w:color w:val="auto"/>
                <w:sz w:val="21"/>
                <w:szCs w:val="21"/>
                <w:highlight w:val="none"/>
                <w:lang w:val="en-US" w:eastAsia="zh-CN"/>
              </w:rPr>
              <w:t>15.00</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val="en-US" w:eastAsia="zh-CN"/>
              </w:rPr>
              <w:t>填报，非</w:t>
            </w:r>
            <w:r>
              <w:rPr>
                <w:rFonts w:hint="eastAsia" w:ascii="宋体" w:hAnsi="宋体" w:eastAsia="宋体" w:cs="宋体"/>
                <w:color w:val="auto"/>
                <w:sz w:val="21"/>
                <w:szCs w:val="21"/>
                <w:highlight w:val="none"/>
              </w:rPr>
              <w:t>义务教育阶段</w:t>
            </w:r>
            <w:r>
              <w:rPr>
                <w:rFonts w:hint="eastAsia" w:ascii="宋体" w:hAnsi="宋体" w:eastAsia="宋体" w:cs="宋体"/>
                <w:color w:val="auto"/>
                <w:sz w:val="21"/>
                <w:szCs w:val="21"/>
                <w:highlight w:val="none"/>
                <w:lang w:eastAsia="zh-CN"/>
              </w:rPr>
              <w:t>校方综合防范保险</w:t>
            </w:r>
            <w:r>
              <w:rPr>
                <w:rFonts w:hint="eastAsia" w:ascii="宋体" w:hAnsi="宋体" w:eastAsia="宋体" w:cs="宋体"/>
                <w:color w:val="auto"/>
                <w:sz w:val="21"/>
                <w:szCs w:val="21"/>
                <w:highlight w:val="none"/>
                <w:lang w:val="en-US" w:eastAsia="zh-CN"/>
              </w:rPr>
              <w:t>单价报价按</w:t>
            </w:r>
            <w:r>
              <w:rPr>
                <w:rFonts w:hint="eastAsia" w:ascii="宋体" w:hAnsi="宋体" w:eastAsia="宋体" w:cs="宋体"/>
                <w:color w:val="auto"/>
                <w:sz w:val="21"/>
                <w:szCs w:val="21"/>
                <w:highlight w:val="none"/>
              </w:rPr>
              <w:t>每人每年</w:t>
            </w:r>
            <w:r>
              <w:rPr>
                <w:rFonts w:hint="eastAsia" w:ascii="宋体" w:hAnsi="宋体" w:eastAsia="宋体" w:cs="宋体"/>
                <w:color w:val="auto"/>
                <w:sz w:val="21"/>
                <w:szCs w:val="21"/>
                <w:highlight w:val="none"/>
                <w:lang w:val="en-US" w:eastAsia="zh-CN"/>
              </w:rPr>
              <w:t>20.00</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val="en-US" w:eastAsia="zh-CN"/>
              </w:rPr>
              <w:t>填报，磋商申请人不得</w:t>
            </w:r>
            <w:r>
              <w:rPr>
                <w:rFonts w:hint="eastAsia" w:hAnsi="宋体"/>
                <w:color w:val="auto"/>
                <w:sz w:val="21"/>
                <w:szCs w:val="21"/>
                <w:highlight w:val="none"/>
              </w:rPr>
              <w:t>改变填报报价，否则视为实质性不响应。磋商报价须包含保险费、经纪服务费（若发生）、人工费、差旅费、税、费、风险及为完成本项目须发生的其它费用等全部费用及合理利润的总和，并充分考虑可能发生的各种风险。即：凡属本次采购文件中涉及的或者是为完成本次采购所必需的各项费用，以及</w:t>
            </w:r>
            <w:r>
              <w:rPr>
                <w:rFonts w:hint="eastAsia" w:hAnsi="宋体"/>
                <w:color w:val="auto"/>
                <w:sz w:val="21"/>
                <w:szCs w:val="21"/>
                <w:highlight w:val="none"/>
                <w:lang w:val="en-US" w:eastAsia="zh-CN"/>
              </w:rPr>
              <w:t>磋</w:t>
            </w:r>
            <w:r>
              <w:rPr>
                <w:rFonts w:hint="eastAsia" w:ascii="宋体" w:hAnsi="宋体" w:eastAsia="宋体" w:cs="宋体"/>
                <w:color w:val="auto"/>
                <w:sz w:val="21"/>
                <w:szCs w:val="21"/>
                <w:highlight w:val="none"/>
                <w:lang w:val="en-US" w:eastAsia="zh-CN"/>
              </w:rPr>
              <w:t>商</w:t>
            </w:r>
            <w:r>
              <w:rPr>
                <w:rFonts w:hint="eastAsia" w:ascii="宋体" w:hAnsi="宋体" w:eastAsia="宋体" w:cs="宋体"/>
                <w:color w:val="auto"/>
                <w:sz w:val="21"/>
                <w:szCs w:val="21"/>
                <w:highlight w:val="none"/>
              </w:rPr>
              <w:t>申请人为完成本次采购而漏报的费用，均视为已包括在磋商申请人所报的总报价及单价中。</w:t>
            </w:r>
          </w:p>
          <w:p w14:paraId="33269628">
            <w:pPr>
              <w:pStyle w:val="18"/>
              <w:spacing w:line="420" w:lineRule="exact"/>
              <w:rPr>
                <w:color w:val="auto"/>
                <w:sz w:val="21"/>
                <w:szCs w:val="21"/>
                <w:highlight w:val="none"/>
              </w:rPr>
            </w:pPr>
            <w:r>
              <w:rPr>
                <w:rFonts w:hint="eastAsia" w:hAnsi="宋体"/>
                <w:color w:val="auto"/>
                <w:kern w:val="0"/>
                <w:sz w:val="21"/>
                <w:szCs w:val="21"/>
                <w:highlight w:val="none"/>
              </w:rPr>
              <w:t>2.最终磋商报价应按照政府采购云平台系统提示和要求在规定时间内填报。磋商申请人一旦成交，成交价即作为合同签订的执行依据</w:t>
            </w:r>
            <w:r>
              <w:rPr>
                <w:rFonts w:hint="eastAsia" w:hAnsi="宋体"/>
                <w:color w:val="auto"/>
                <w:kern w:val="0"/>
                <w:sz w:val="21"/>
                <w:szCs w:val="21"/>
                <w:highlight w:val="none"/>
                <w:lang w:val="en-US" w:eastAsia="zh-CN"/>
              </w:rPr>
              <w:t>。</w:t>
            </w:r>
            <w:r>
              <w:rPr>
                <w:rFonts w:hint="eastAsia" w:hAnsi="宋体"/>
                <w:color w:val="auto"/>
                <w:kern w:val="0"/>
                <w:sz w:val="21"/>
                <w:szCs w:val="21"/>
                <w:highlight w:val="none"/>
              </w:rPr>
              <w:t>合同履行过程中根据实际注册学生人数投保并据实结算。合同履行</w:t>
            </w:r>
            <w:r>
              <w:rPr>
                <w:rFonts w:hint="eastAsia" w:hAnsi="宋体"/>
                <w:color w:val="auto"/>
                <w:kern w:val="0"/>
                <w:sz w:val="21"/>
                <w:szCs w:val="21"/>
                <w:highlight w:val="none"/>
                <w:lang w:val="en-US" w:eastAsia="zh-CN"/>
              </w:rPr>
              <w:t>期限</w:t>
            </w:r>
            <w:r>
              <w:rPr>
                <w:rFonts w:hint="eastAsia" w:hAnsi="宋体"/>
                <w:color w:val="auto"/>
                <w:kern w:val="0"/>
                <w:sz w:val="21"/>
                <w:szCs w:val="21"/>
                <w:highlight w:val="none"/>
              </w:rPr>
              <w:t>中内，若因其它原因致使学生人数增加的，学生</w:t>
            </w:r>
            <w:r>
              <w:rPr>
                <w:rFonts w:hint="eastAsia" w:hAnsi="宋体"/>
                <w:color w:val="auto"/>
                <w:kern w:val="0"/>
                <w:sz w:val="21"/>
                <w:szCs w:val="21"/>
                <w:highlight w:val="none"/>
                <w:lang w:val="en-US" w:eastAsia="zh-CN"/>
              </w:rPr>
              <w:t>人数</w:t>
            </w:r>
            <w:r>
              <w:rPr>
                <w:rFonts w:hint="eastAsia" w:hAnsi="宋体"/>
                <w:color w:val="auto"/>
                <w:kern w:val="0"/>
                <w:sz w:val="21"/>
                <w:szCs w:val="21"/>
                <w:highlight w:val="none"/>
              </w:rPr>
              <w:t>增加</w:t>
            </w:r>
            <w:r>
              <w:rPr>
                <w:rFonts w:hint="eastAsia" w:hAnsi="宋体"/>
                <w:color w:val="auto"/>
                <w:kern w:val="0"/>
                <w:sz w:val="21"/>
                <w:szCs w:val="21"/>
                <w:highlight w:val="none"/>
                <w:lang w:val="en-US" w:eastAsia="zh-CN"/>
              </w:rPr>
              <w:t>在</w:t>
            </w:r>
            <w:r>
              <w:rPr>
                <w:rFonts w:hint="eastAsia" w:hAnsi="宋体"/>
                <w:color w:val="auto"/>
                <w:kern w:val="0"/>
                <w:sz w:val="21"/>
                <w:szCs w:val="21"/>
                <w:highlight w:val="none"/>
              </w:rPr>
              <w:t>5％内免费承保</w:t>
            </w:r>
            <w:r>
              <w:rPr>
                <w:rFonts w:hint="eastAsia" w:ascii="宋体" w:hAnsi="宋体" w:eastAsia="宋体" w:cs="宋体"/>
                <w:color w:val="auto"/>
                <w:sz w:val="21"/>
                <w:szCs w:val="21"/>
                <w:highlight w:val="none"/>
              </w:rPr>
              <w:t>。</w:t>
            </w:r>
          </w:p>
        </w:tc>
      </w:tr>
      <w:tr w14:paraId="54B0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C925B57">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（2）</w:t>
            </w:r>
          </w:p>
        </w:tc>
        <w:tc>
          <w:tcPr>
            <w:tcW w:w="9379" w:type="dxa"/>
            <w:gridSpan w:val="3"/>
            <w:vAlign w:val="center"/>
          </w:tcPr>
          <w:p w14:paraId="346382A3">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评审办法：综合评分法（详见第六章磋商程序和方法）</w:t>
            </w:r>
          </w:p>
        </w:tc>
      </w:tr>
      <w:tr w14:paraId="71AC8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1207C62B">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（3）</w:t>
            </w:r>
          </w:p>
        </w:tc>
        <w:tc>
          <w:tcPr>
            <w:tcW w:w="9379" w:type="dxa"/>
            <w:gridSpan w:val="3"/>
            <w:vAlign w:val="center"/>
          </w:tcPr>
          <w:p w14:paraId="7C87526B">
            <w:pPr>
              <w:pStyle w:val="18"/>
              <w:keepNext/>
              <w:spacing w:line="420" w:lineRule="exact"/>
              <w:rPr>
                <w:rFonts w:hAnsi="宋体"/>
                <w:color w:val="auto"/>
                <w:kern w:val="0"/>
                <w:sz w:val="21"/>
                <w:szCs w:val="21"/>
                <w:highlight w:val="none"/>
              </w:rPr>
            </w:pPr>
            <w:r>
              <w:rPr>
                <w:rFonts w:hint="eastAsia" w:hAnsi="宋体"/>
                <w:color w:val="auto"/>
                <w:kern w:val="0"/>
                <w:sz w:val="21"/>
                <w:szCs w:val="21"/>
                <w:highlight w:val="none"/>
              </w:rPr>
              <w:t>书面提疑时间：</w:t>
            </w:r>
            <w:r>
              <w:rPr>
                <w:rFonts w:hAnsi="宋体"/>
                <w:color w:val="auto"/>
                <w:kern w:val="0"/>
                <w:sz w:val="21"/>
                <w:szCs w:val="21"/>
                <w:highlight w:val="none"/>
              </w:rPr>
              <w:t>20</w:t>
            </w:r>
            <w:r>
              <w:rPr>
                <w:rFonts w:hint="eastAsia" w:hAnsi="宋体"/>
                <w:color w:val="auto"/>
                <w:kern w:val="0"/>
                <w:sz w:val="21"/>
                <w:szCs w:val="21"/>
                <w:highlight w:val="none"/>
              </w:rPr>
              <w:t>24年0</w:t>
            </w:r>
            <w:r>
              <w:rPr>
                <w:rFonts w:hint="eastAsia" w:hAnsi="宋体"/>
                <w:color w:val="auto"/>
                <w:kern w:val="0"/>
                <w:sz w:val="21"/>
                <w:szCs w:val="21"/>
                <w:highlight w:val="none"/>
                <w:lang w:val="en-US" w:eastAsia="zh-CN"/>
              </w:rPr>
              <w:t>9</w:t>
            </w:r>
            <w:r>
              <w:rPr>
                <w:rFonts w:hint="eastAsia" w:hAnsi="宋体"/>
                <w:color w:val="auto"/>
                <w:kern w:val="0"/>
                <w:sz w:val="21"/>
                <w:szCs w:val="21"/>
                <w:highlight w:val="none"/>
              </w:rPr>
              <w:t>月</w:t>
            </w:r>
            <w:r>
              <w:rPr>
                <w:rFonts w:hint="eastAsia" w:hAnsi="宋体"/>
                <w:color w:val="auto"/>
                <w:kern w:val="0"/>
                <w:sz w:val="21"/>
                <w:szCs w:val="21"/>
                <w:highlight w:val="none"/>
                <w:lang w:val="en-US" w:eastAsia="zh-CN"/>
              </w:rPr>
              <w:t>02</w:t>
            </w:r>
            <w:r>
              <w:rPr>
                <w:rFonts w:hint="eastAsia" w:hAnsi="宋体"/>
                <w:color w:val="auto"/>
                <w:kern w:val="0"/>
                <w:sz w:val="21"/>
                <w:szCs w:val="21"/>
                <w:highlight w:val="none"/>
              </w:rPr>
              <w:t>日</w:t>
            </w:r>
            <w:r>
              <w:rPr>
                <w:rFonts w:hAnsi="宋体"/>
                <w:color w:val="auto"/>
                <w:kern w:val="0"/>
                <w:sz w:val="21"/>
                <w:szCs w:val="21"/>
                <w:highlight w:val="none"/>
              </w:rPr>
              <w:t>1</w:t>
            </w:r>
            <w:r>
              <w:rPr>
                <w:rFonts w:hint="eastAsia" w:hAnsi="宋体"/>
                <w:color w:val="auto"/>
                <w:kern w:val="0"/>
                <w:sz w:val="21"/>
                <w:szCs w:val="21"/>
                <w:highlight w:val="none"/>
              </w:rPr>
              <w:t>7时</w:t>
            </w:r>
            <w:r>
              <w:rPr>
                <w:rFonts w:hAnsi="宋体"/>
                <w:color w:val="auto"/>
                <w:kern w:val="0"/>
                <w:sz w:val="21"/>
                <w:szCs w:val="21"/>
                <w:highlight w:val="none"/>
              </w:rPr>
              <w:t>00</w:t>
            </w:r>
            <w:r>
              <w:rPr>
                <w:rFonts w:hint="eastAsia" w:hAnsi="宋体"/>
                <w:color w:val="auto"/>
                <w:kern w:val="0"/>
                <w:sz w:val="21"/>
                <w:szCs w:val="21"/>
                <w:highlight w:val="none"/>
              </w:rPr>
              <w:t>分前，</w:t>
            </w:r>
            <w:r>
              <w:rPr>
                <w:rFonts w:hint="eastAsia" w:hAnsi="宋体"/>
                <w:color w:val="auto"/>
                <w:sz w:val="21"/>
                <w:szCs w:val="21"/>
                <w:highlight w:val="none"/>
              </w:rPr>
              <w:t>在竞争性磋商获取时间前，所有获取了竞争性磋商文件的潜在磋商申请人通过书面形式向或</w:t>
            </w:r>
            <w:r>
              <w:rPr>
                <w:rFonts w:hint="eastAsia" w:hAnsi="宋体"/>
                <w:color w:val="auto"/>
                <w:kern w:val="0"/>
                <w:sz w:val="21"/>
                <w:szCs w:val="21"/>
                <w:highlight w:val="none"/>
              </w:rPr>
              <w:t>政府采购云平台</w:t>
            </w:r>
            <w:r>
              <w:rPr>
                <w:rFonts w:hint="eastAsia" w:hAnsi="宋体"/>
                <w:color w:val="auto"/>
                <w:sz w:val="21"/>
                <w:szCs w:val="21"/>
                <w:highlight w:val="none"/>
              </w:rPr>
              <w:t>向采购代理机构提问。</w:t>
            </w:r>
          </w:p>
          <w:p w14:paraId="62837C56">
            <w:pPr>
              <w:pStyle w:val="18"/>
              <w:spacing w:line="420" w:lineRule="exact"/>
              <w:rPr>
                <w:rFonts w:hAnsi="宋体"/>
                <w:color w:val="auto"/>
                <w:kern w:val="0"/>
                <w:sz w:val="21"/>
                <w:szCs w:val="21"/>
                <w:highlight w:val="none"/>
              </w:rPr>
            </w:pPr>
            <w:r>
              <w:rPr>
                <w:rFonts w:hint="eastAsia" w:hAnsi="宋体"/>
                <w:color w:val="auto"/>
                <w:kern w:val="0"/>
                <w:sz w:val="21"/>
                <w:szCs w:val="21"/>
                <w:highlight w:val="none"/>
              </w:rPr>
              <w:t>书面答疑时间：</w:t>
            </w:r>
            <w:r>
              <w:rPr>
                <w:rFonts w:hAnsi="宋体"/>
                <w:color w:val="auto"/>
                <w:kern w:val="0"/>
                <w:sz w:val="21"/>
                <w:szCs w:val="21"/>
                <w:highlight w:val="none"/>
              </w:rPr>
              <w:t>20</w:t>
            </w:r>
            <w:r>
              <w:rPr>
                <w:rFonts w:hint="eastAsia" w:hAnsi="宋体"/>
                <w:color w:val="auto"/>
                <w:kern w:val="0"/>
                <w:sz w:val="21"/>
                <w:szCs w:val="21"/>
                <w:highlight w:val="none"/>
              </w:rPr>
              <w:t>24年0</w:t>
            </w:r>
            <w:r>
              <w:rPr>
                <w:rFonts w:hint="eastAsia" w:hAnsi="宋体"/>
                <w:color w:val="auto"/>
                <w:kern w:val="0"/>
                <w:sz w:val="21"/>
                <w:szCs w:val="21"/>
                <w:highlight w:val="none"/>
                <w:lang w:val="en-US" w:eastAsia="zh-CN"/>
              </w:rPr>
              <w:t>9</w:t>
            </w:r>
            <w:r>
              <w:rPr>
                <w:rFonts w:hint="eastAsia" w:hAnsi="宋体"/>
                <w:color w:val="auto"/>
                <w:kern w:val="0"/>
                <w:sz w:val="21"/>
                <w:szCs w:val="21"/>
                <w:highlight w:val="none"/>
              </w:rPr>
              <w:t>月</w:t>
            </w:r>
            <w:r>
              <w:rPr>
                <w:rFonts w:hint="eastAsia" w:hAnsi="宋体"/>
                <w:color w:val="auto"/>
                <w:kern w:val="0"/>
                <w:sz w:val="21"/>
                <w:szCs w:val="21"/>
                <w:highlight w:val="none"/>
                <w:lang w:val="en-US" w:eastAsia="zh-CN"/>
              </w:rPr>
              <w:t>03</w:t>
            </w:r>
            <w:r>
              <w:rPr>
                <w:rFonts w:hint="eastAsia" w:hAnsi="宋体"/>
                <w:color w:val="auto"/>
                <w:kern w:val="0"/>
                <w:sz w:val="21"/>
                <w:szCs w:val="21"/>
                <w:highlight w:val="none"/>
              </w:rPr>
              <w:t>日</w:t>
            </w:r>
            <w:r>
              <w:rPr>
                <w:rFonts w:hAnsi="宋体"/>
                <w:color w:val="auto"/>
                <w:kern w:val="0"/>
                <w:sz w:val="21"/>
                <w:szCs w:val="21"/>
                <w:highlight w:val="none"/>
              </w:rPr>
              <w:t>17</w:t>
            </w:r>
            <w:r>
              <w:rPr>
                <w:rFonts w:hint="eastAsia" w:hAnsi="宋体"/>
                <w:color w:val="auto"/>
                <w:kern w:val="0"/>
                <w:sz w:val="21"/>
                <w:szCs w:val="21"/>
                <w:highlight w:val="none"/>
              </w:rPr>
              <w:t>时</w:t>
            </w:r>
            <w:r>
              <w:rPr>
                <w:rFonts w:hAnsi="宋体"/>
                <w:color w:val="auto"/>
                <w:kern w:val="0"/>
                <w:sz w:val="21"/>
                <w:szCs w:val="21"/>
                <w:highlight w:val="none"/>
              </w:rPr>
              <w:t>00</w:t>
            </w:r>
            <w:r>
              <w:rPr>
                <w:rFonts w:hint="eastAsia" w:hAnsi="宋体"/>
                <w:color w:val="auto"/>
                <w:kern w:val="0"/>
                <w:sz w:val="21"/>
                <w:szCs w:val="21"/>
                <w:highlight w:val="none"/>
              </w:rPr>
              <w:t>分前，</w:t>
            </w:r>
            <w:r>
              <w:rPr>
                <w:rFonts w:hint="eastAsia" w:hAnsi="宋体"/>
                <w:color w:val="auto"/>
                <w:sz w:val="21"/>
                <w:szCs w:val="21"/>
                <w:highlight w:val="none"/>
              </w:rPr>
              <w:t>由采购代理机构以补遗书方式按程序报有采购人同意后，向潜在磋商申请人发布，且磋商申请人须回函确认。若发生实质性变更的，磋商时间、磋商响应文件递交时间顺延，顺延时间为自发布实质性变更的更正公告之日起不少于5日历天。</w:t>
            </w:r>
          </w:p>
        </w:tc>
      </w:tr>
      <w:tr w14:paraId="7108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AAA0848">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（4）</w:t>
            </w:r>
          </w:p>
        </w:tc>
        <w:tc>
          <w:tcPr>
            <w:tcW w:w="9379" w:type="dxa"/>
            <w:gridSpan w:val="3"/>
            <w:vAlign w:val="center"/>
          </w:tcPr>
          <w:p w14:paraId="744E6D17">
            <w:pPr>
              <w:pStyle w:val="18"/>
              <w:spacing w:line="420" w:lineRule="exact"/>
              <w:rPr>
                <w:rFonts w:hAnsi="宋体"/>
                <w:color w:val="auto"/>
                <w:sz w:val="21"/>
                <w:szCs w:val="21"/>
                <w:highlight w:val="none"/>
              </w:rPr>
            </w:pPr>
            <w:r>
              <w:rPr>
                <w:rFonts w:hint="eastAsia" w:hAnsi="宋体"/>
                <w:color w:val="auto"/>
                <w:sz w:val="21"/>
                <w:szCs w:val="21"/>
                <w:highlight w:val="none"/>
              </w:rPr>
              <w:t>商务条款说明：商务条款包含合同履行期限、项目服务地点</w:t>
            </w:r>
            <w:r>
              <w:rPr>
                <w:rFonts w:hint="eastAsia" w:hAnsi="宋体"/>
                <w:color w:val="auto"/>
                <w:sz w:val="21"/>
                <w:szCs w:val="21"/>
                <w:highlight w:val="none"/>
                <w:lang w:eastAsia="zh-CN"/>
              </w:rPr>
              <w:t>、</w:t>
            </w:r>
            <w:r>
              <w:rPr>
                <w:rFonts w:hint="eastAsia" w:hAnsi="宋体"/>
                <w:color w:val="auto"/>
                <w:sz w:val="21"/>
                <w:szCs w:val="21"/>
                <w:highlight w:val="none"/>
                <w:lang w:val="en-US" w:eastAsia="zh-CN"/>
              </w:rPr>
              <w:t>保险地域范围要求</w:t>
            </w:r>
            <w:r>
              <w:rPr>
                <w:rFonts w:hint="eastAsia" w:hAnsi="宋体"/>
                <w:color w:val="auto"/>
                <w:sz w:val="21"/>
                <w:szCs w:val="21"/>
                <w:highlight w:val="none"/>
              </w:rPr>
              <w:t>等非技术要求的指标。</w:t>
            </w:r>
          </w:p>
        </w:tc>
      </w:tr>
      <w:tr w14:paraId="3E84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56CAC1D">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（5）</w:t>
            </w:r>
          </w:p>
        </w:tc>
        <w:tc>
          <w:tcPr>
            <w:tcW w:w="9379" w:type="dxa"/>
            <w:gridSpan w:val="3"/>
            <w:vAlign w:val="center"/>
          </w:tcPr>
          <w:p w14:paraId="3A5C7AC2">
            <w:pPr>
              <w:pStyle w:val="18"/>
              <w:spacing w:line="420" w:lineRule="exact"/>
              <w:rPr>
                <w:rFonts w:hAnsi="宋体"/>
                <w:b/>
                <w:bCs/>
                <w:color w:val="auto"/>
                <w:sz w:val="21"/>
                <w:szCs w:val="21"/>
                <w:highlight w:val="none"/>
              </w:rPr>
            </w:pPr>
            <w:r>
              <w:rPr>
                <w:rFonts w:hint="eastAsia" w:hAnsi="宋体"/>
                <w:b/>
                <w:bCs/>
                <w:color w:val="auto"/>
                <w:sz w:val="21"/>
                <w:szCs w:val="21"/>
                <w:highlight w:val="none"/>
              </w:rPr>
              <w:t>关于本项目的实质性要求：</w:t>
            </w:r>
          </w:p>
          <w:p w14:paraId="4918FD1C">
            <w:pPr>
              <w:pStyle w:val="18"/>
              <w:spacing w:line="420" w:lineRule="exact"/>
              <w:rPr>
                <w:rFonts w:hAnsi="宋体"/>
                <w:b/>
                <w:bCs/>
                <w:color w:val="auto"/>
                <w:sz w:val="21"/>
                <w:szCs w:val="21"/>
                <w:highlight w:val="none"/>
              </w:rPr>
            </w:pPr>
            <w:r>
              <w:rPr>
                <w:rFonts w:hint="eastAsia" w:hAnsi="宋体"/>
                <w:b/>
                <w:bCs/>
                <w:color w:val="auto"/>
                <w:sz w:val="21"/>
                <w:szCs w:val="21"/>
                <w:highlight w:val="none"/>
              </w:rPr>
              <w:t>1</w:t>
            </w:r>
            <w:r>
              <w:rPr>
                <w:rFonts w:hint="eastAsia" w:hAnsi="宋体"/>
                <w:b/>
                <w:bCs/>
                <w:color w:val="auto"/>
                <w:sz w:val="21"/>
                <w:szCs w:val="21"/>
                <w:highlight w:val="none"/>
                <w:lang w:val="en-US" w:eastAsia="zh-CN"/>
              </w:rPr>
              <w:t xml:space="preserve"> </w:t>
            </w:r>
            <w:r>
              <w:rPr>
                <w:rFonts w:hint="eastAsia" w:hAnsi="宋体"/>
                <w:b/>
                <w:bCs/>
                <w:color w:val="auto"/>
                <w:sz w:val="21"/>
                <w:szCs w:val="21"/>
                <w:highlight w:val="none"/>
              </w:rPr>
              <w:t>.磋商申请人填报的“商务条款”不满足采购需求的，则视为实质性不响应。</w:t>
            </w:r>
          </w:p>
          <w:p w14:paraId="30ADCA09">
            <w:pPr>
              <w:pStyle w:val="18"/>
              <w:spacing w:line="420" w:lineRule="exact"/>
              <w:rPr>
                <w:rFonts w:hint="default" w:hAnsi="宋体"/>
                <w:b/>
                <w:bCs/>
                <w:color w:val="auto"/>
                <w:sz w:val="21"/>
                <w:szCs w:val="21"/>
                <w:highlight w:val="none"/>
                <w:lang w:val="en-US" w:eastAsia="zh-CN"/>
              </w:rPr>
            </w:pPr>
            <w:r>
              <w:rPr>
                <w:rFonts w:hint="eastAsia" w:hAnsi="宋体"/>
                <w:b/>
                <w:bCs/>
                <w:color w:val="auto"/>
                <w:sz w:val="21"/>
                <w:szCs w:val="21"/>
                <w:highlight w:val="none"/>
              </w:rPr>
              <w:t>2</w:t>
            </w:r>
            <w:r>
              <w:rPr>
                <w:rFonts w:hint="eastAsia" w:hAnsi="宋体"/>
                <w:b/>
                <w:bCs/>
                <w:color w:val="auto"/>
                <w:sz w:val="21"/>
                <w:szCs w:val="21"/>
                <w:highlight w:val="none"/>
                <w:lang w:val="en-US" w:eastAsia="zh-CN"/>
              </w:rPr>
              <w:t>.磋商申请人未按要求提供“针对合同履行期限中内，若因其它原因致使学生人数增加的，学生人数增加在5％内免费承保”的书面承诺</w:t>
            </w:r>
            <w:r>
              <w:rPr>
                <w:rFonts w:hint="eastAsia" w:hAnsi="宋体"/>
                <w:b/>
                <w:bCs/>
                <w:color w:val="auto"/>
                <w:sz w:val="21"/>
                <w:szCs w:val="21"/>
                <w:highlight w:val="none"/>
              </w:rPr>
              <w:t>的，则视为实质性不响应。</w:t>
            </w:r>
          </w:p>
          <w:p w14:paraId="7A12FC02">
            <w:pPr>
              <w:pStyle w:val="18"/>
              <w:spacing w:line="420" w:lineRule="exact"/>
              <w:rPr>
                <w:rFonts w:hint="eastAsia" w:hAnsi="宋体"/>
                <w:b/>
                <w:bCs/>
                <w:color w:val="auto"/>
                <w:sz w:val="21"/>
                <w:szCs w:val="21"/>
                <w:highlight w:val="none"/>
              </w:rPr>
            </w:pPr>
            <w:r>
              <w:rPr>
                <w:rFonts w:hint="eastAsia" w:hAnsi="宋体"/>
                <w:b/>
                <w:bCs/>
                <w:color w:val="auto"/>
                <w:sz w:val="21"/>
                <w:szCs w:val="21"/>
                <w:highlight w:val="none"/>
                <w:lang w:val="en-US" w:eastAsia="zh-CN"/>
              </w:rPr>
              <w:t>3.</w:t>
            </w:r>
            <w:r>
              <w:rPr>
                <w:rFonts w:hint="eastAsia" w:hAnsi="宋体"/>
                <w:b/>
                <w:bCs/>
                <w:color w:val="auto"/>
                <w:sz w:val="21"/>
                <w:szCs w:val="21"/>
                <w:highlight w:val="none"/>
              </w:rPr>
              <w:t>磋商响应文件中如有瞒报或虚报或提供虚假材料的，则视为实质性不响应。</w:t>
            </w:r>
          </w:p>
          <w:p w14:paraId="75DAABEE">
            <w:pPr>
              <w:pStyle w:val="18"/>
              <w:spacing w:line="420" w:lineRule="exact"/>
              <w:rPr>
                <w:rFonts w:hAnsi="宋体"/>
                <w:color w:val="auto"/>
                <w:sz w:val="21"/>
                <w:szCs w:val="21"/>
                <w:highlight w:val="none"/>
              </w:rPr>
            </w:pPr>
            <w:r>
              <w:rPr>
                <w:rFonts w:hint="eastAsia" w:hAnsi="宋体"/>
                <w:b/>
                <w:bCs/>
                <w:color w:val="auto"/>
                <w:sz w:val="21"/>
                <w:szCs w:val="21"/>
                <w:highlight w:val="none"/>
                <w:lang w:val="en-US" w:eastAsia="zh-CN"/>
              </w:rPr>
              <w:t>4</w:t>
            </w:r>
            <w:r>
              <w:rPr>
                <w:rFonts w:hint="eastAsia" w:hAnsi="宋体"/>
                <w:b/>
                <w:bCs/>
                <w:color w:val="auto"/>
                <w:sz w:val="21"/>
                <w:szCs w:val="21"/>
                <w:highlight w:val="none"/>
              </w:rPr>
              <w:t>.磋商响应文件中提出采购人不能接受的条款的，则视为实质性不响应。</w:t>
            </w:r>
          </w:p>
        </w:tc>
      </w:tr>
      <w:tr w14:paraId="7145F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8583C79">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（6）</w:t>
            </w:r>
          </w:p>
        </w:tc>
        <w:tc>
          <w:tcPr>
            <w:tcW w:w="9379" w:type="dxa"/>
            <w:gridSpan w:val="3"/>
            <w:vAlign w:val="center"/>
          </w:tcPr>
          <w:p w14:paraId="23AB595D">
            <w:pPr>
              <w:widowControl/>
              <w:spacing w:line="44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本项目对小微企业的评审：</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适用  □不适用，本项目不属于专门面向中小企业的政府采购项目。</w:t>
            </w:r>
          </w:p>
          <w:p w14:paraId="1D5DE1DA">
            <w:pPr>
              <w:widowControl/>
              <w:spacing w:line="44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中小微型企业有关政策</w:t>
            </w:r>
          </w:p>
          <w:p w14:paraId="2AC35D91">
            <w:pPr>
              <w:widowControl/>
              <w:spacing w:line="44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1.根据《中华人民共和国中小企业促进法》《政府采购促进中小企业发展管理办法》《</w:t>
            </w:r>
            <w:r>
              <w:rPr>
                <w:rFonts w:hint="eastAsia" w:ascii="宋体" w:hAnsi="宋体" w:eastAsia="宋体" w:cs="宋体"/>
                <w:color w:val="auto"/>
                <w:kern w:val="0"/>
                <w:sz w:val="21"/>
                <w:szCs w:val="21"/>
                <w:highlight w:val="none"/>
              </w:rPr>
              <w:t xml:space="preserve">关于进一步加大政府采购支持中小企业力度的通知》（财库〔2022〕19号）《云南省进一步帮扶中小微企业纾困发展工作方案》（云政办发〔2022〕42号） </w:t>
            </w:r>
            <w:r>
              <w:rPr>
                <w:rFonts w:hint="eastAsia" w:ascii="宋体" w:hAnsi="宋体" w:eastAsia="宋体" w:cs="宋体"/>
                <w:color w:val="auto"/>
                <w:sz w:val="21"/>
                <w:szCs w:val="21"/>
                <w:highlight w:val="none"/>
              </w:rPr>
              <w:t>规定执行；</w:t>
            </w:r>
          </w:p>
          <w:p w14:paraId="3593B643">
            <w:pPr>
              <w:widowControl/>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2.根据工信部等部委发布的《关于印发中小企业划型标准规定的通知》（工信部联企业〔2011〕300号）规定执行；</w:t>
            </w:r>
            <w:r>
              <w:rPr>
                <w:rFonts w:hint="eastAsia" w:ascii="宋体" w:hAnsi="宋体" w:eastAsia="宋体" w:cs="宋体"/>
                <w:b/>
                <w:bCs/>
                <w:color w:val="auto"/>
                <w:sz w:val="21"/>
                <w:szCs w:val="21"/>
                <w:highlight w:val="none"/>
              </w:rPr>
              <w:t>本项目属于服务类项目，行业为其他未列明行业中专业技术服务业</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保险业</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00AA8C37">
            <w:pPr>
              <w:widowControl/>
              <w:spacing w:line="44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5E203B48">
            <w:pPr>
              <w:widowControl/>
              <w:spacing w:line="44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78ADF458">
            <w:pPr>
              <w:widowControl/>
              <w:spacing w:line="44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价格扣除幅度：小型、微型企业产品（提供本企业制造的货物、承担的工程或者服务，或者提供其他小型、微型企业制造的货物）价格给予10%（工程类的3%）的扣除。在货物采购项目中，供应商提供的货物既有中小企业制造货物，也有大型企业制造货物的，不享受本办法规定的中小企业扶持政策。</w:t>
            </w:r>
          </w:p>
          <w:p w14:paraId="6339921A">
            <w:pPr>
              <w:pStyle w:val="18"/>
              <w:spacing w:line="420" w:lineRule="exact"/>
              <w:rPr>
                <w:rFonts w:hAnsi="宋体"/>
                <w:color w:val="auto"/>
                <w:kern w:val="0"/>
                <w:sz w:val="21"/>
                <w:szCs w:val="21"/>
                <w:highlight w:val="none"/>
              </w:rPr>
            </w:pPr>
            <w:r>
              <w:rPr>
                <w:rFonts w:hint="eastAsia" w:hAnsi="宋体"/>
                <w:color w:val="auto"/>
                <w:sz w:val="21"/>
                <w:szCs w:val="21"/>
                <w:highlight w:val="none"/>
              </w:rPr>
              <w:t>6.如果联合协议中约定，小型、微型企业和监狱企业的协议合同金额占到联合体协议合同总金额30%以上的，可给予联合体4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14:paraId="77E6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2641EE7">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（7）</w:t>
            </w:r>
          </w:p>
        </w:tc>
        <w:tc>
          <w:tcPr>
            <w:tcW w:w="9379" w:type="dxa"/>
            <w:gridSpan w:val="3"/>
            <w:vAlign w:val="center"/>
          </w:tcPr>
          <w:p w14:paraId="5CAC84FB">
            <w:pPr>
              <w:pStyle w:val="18"/>
              <w:spacing w:line="440" w:lineRule="exact"/>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rPr>
              <w:t>环境标志产品及节能产品有关政策</w:t>
            </w:r>
            <w:r>
              <w:rPr>
                <w:rFonts w:hint="eastAsia" w:ascii="宋体" w:hAnsi="宋体" w:cs="宋体"/>
                <w:color w:val="auto"/>
                <w:kern w:val="0"/>
                <w:sz w:val="21"/>
                <w:szCs w:val="21"/>
                <w:highlight w:val="none"/>
                <w:lang w:eastAsia="zh-CN"/>
              </w:rPr>
              <w:t>：</w:t>
            </w:r>
          </w:p>
          <w:p w14:paraId="007BE7C2">
            <w:pPr>
              <w:pStyle w:val="18"/>
              <w:spacing w:line="44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本项目对环境标志产品及节能产品的评审：</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适用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不适用。</w:t>
            </w:r>
          </w:p>
          <w:p w14:paraId="333AD2D3">
            <w:pPr>
              <w:pStyle w:val="18"/>
              <w:spacing w:line="44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1.落实强制采购节能产品</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鼓励节能政策：对国家公布的节能产品政府采购清单中属于强制采购的产品，予以强制采购。属于非强制采购的产品，在技术</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服务等指标同等条件下，予以优先采购。执行政策文件：《国务院办公厅关于建立政府强制采购节能产品制度的通知》（国办发〔2007〕5号）。</w:t>
            </w:r>
          </w:p>
          <w:p w14:paraId="781FEAA8">
            <w:pPr>
              <w:pStyle w:val="18"/>
              <w:spacing w:line="44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2.鼓励环保政策：在技术</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服务等指标同等条件下，优先采购国家公布的属于环境标志产品政府采购清单中产品。执行政策文件：《财政部 发展改革委 生态环境部 市场监管总局 关于调整优化节能产品</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环境标志产品政府采购执行机制的通知》（财库〔2019〕9号）。</w:t>
            </w:r>
          </w:p>
          <w:p w14:paraId="350E705D">
            <w:pPr>
              <w:pStyle w:val="18"/>
              <w:spacing w:line="44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3.根据</w:t>
            </w:r>
            <w:r>
              <w:rPr>
                <w:rFonts w:hint="eastAsia" w:ascii="宋体" w:hAnsi="宋体" w:eastAsia="宋体" w:cs="宋体"/>
                <w:color w:val="auto"/>
                <w:sz w:val="21"/>
                <w:szCs w:val="21"/>
                <w:highlight w:val="none"/>
                <w:lang w:val="en-US" w:eastAsia="zh-CN"/>
              </w:rPr>
              <w:t>《关于印发节能产品政府采购品目清单的通知》（财库〔2019〕19号）</w:t>
            </w:r>
            <w:r>
              <w:rPr>
                <w:rFonts w:hint="eastAsia" w:ascii="宋体" w:hAnsi="宋体" w:cs="宋体"/>
                <w:color w:val="auto"/>
                <w:kern w:val="0"/>
                <w:sz w:val="21"/>
                <w:szCs w:val="21"/>
                <w:highlight w:val="none"/>
              </w:rPr>
              <w:t>，如果</w:t>
            </w:r>
            <w:r>
              <w:rPr>
                <w:rFonts w:hint="eastAsia" w:ascii="宋体" w:hAnsi="宋体" w:cs="宋体"/>
                <w:color w:val="auto"/>
                <w:kern w:val="0"/>
                <w:sz w:val="21"/>
                <w:szCs w:val="21"/>
                <w:highlight w:val="none"/>
                <w:lang w:eastAsia="zh-CN"/>
              </w:rPr>
              <w:t>磋商申请人拟提</w:t>
            </w:r>
            <w:r>
              <w:rPr>
                <w:rFonts w:hint="eastAsia" w:ascii="宋体" w:hAnsi="宋体" w:cs="宋体"/>
                <w:color w:val="auto"/>
                <w:kern w:val="0"/>
                <w:sz w:val="21"/>
                <w:szCs w:val="21"/>
                <w:highlight w:val="none"/>
              </w:rPr>
              <w:t>供的产品属于“节能产品政府采购清单”中的，按照评标办法中要求给予加分。</w:t>
            </w:r>
            <w:r>
              <w:rPr>
                <w:rFonts w:hint="eastAsia" w:ascii="宋体" w:hAnsi="宋体" w:cs="宋体"/>
                <w:color w:val="auto"/>
                <w:kern w:val="0"/>
                <w:sz w:val="21"/>
                <w:szCs w:val="21"/>
                <w:highlight w:val="none"/>
                <w:lang w:eastAsia="zh-CN"/>
              </w:rPr>
              <w:t>磋商申请人</w:t>
            </w:r>
            <w:r>
              <w:rPr>
                <w:rFonts w:hint="eastAsia" w:ascii="宋体" w:hAnsi="宋体" w:cs="宋体"/>
                <w:color w:val="auto"/>
                <w:kern w:val="0"/>
                <w:sz w:val="21"/>
                <w:szCs w:val="21"/>
                <w:highlight w:val="none"/>
              </w:rPr>
              <w:t>须提供证明材料（请提供在中国政府采购网“节能产品清单”中产品查询结果截图），否则评标时不予认可。</w:t>
            </w:r>
          </w:p>
          <w:p w14:paraId="1FF4E227">
            <w:pPr>
              <w:pStyle w:val="18"/>
              <w:spacing w:line="420" w:lineRule="exact"/>
              <w:rPr>
                <w:rFonts w:hAnsi="宋体"/>
                <w:color w:val="auto"/>
                <w:kern w:val="0"/>
                <w:sz w:val="21"/>
                <w:szCs w:val="21"/>
                <w:highlight w:val="none"/>
              </w:rPr>
            </w:pPr>
            <w:r>
              <w:rPr>
                <w:rFonts w:hint="eastAsia" w:ascii="宋体" w:hAnsi="宋体" w:cs="宋体"/>
                <w:color w:val="auto"/>
                <w:kern w:val="0"/>
                <w:sz w:val="21"/>
                <w:szCs w:val="21"/>
                <w:highlight w:val="none"/>
              </w:rPr>
              <w:t>4.根据</w:t>
            </w:r>
            <w:r>
              <w:rPr>
                <w:rFonts w:hint="eastAsia" w:ascii="宋体" w:hAnsi="宋体" w:eastAsia="宋体" w:cs="宋体"/>
                <w:color w:val="auto"/>
                <w:sz w:val="21"/>
                <w:szCs w:val="21"/>
                <w:highlight w:val="none"/>
                <w:lang w:val="en-US" w:eastAsia="zh-CN"/>
              </w:rPr>
              <w:t>《关于印发环境标志产品政府采购品目清单的通知》（财库〔2019〕18号）</w:t>
            </w:r>
            <w:r>
              <w:rPr>
                <w:rFonts w:hint="eastAsia" w:ascii="宋体" w:hAnsi="宋体" w:cs="宋体"/>
                <w:color w:val="auto"/>
                <w:kern w:val="0"/>
                <w:sz w:val="21"/>
                <w:szCs w:val="21"/>
                <w:highlight w:val="none"/>
              </w:rPr>
              <w:t>，如果</w:t>
            </w:r>
            <w:r>
              <w:rPr>
                <w:rFonts w:hint="eastAsia" w:ascii="宋体" w:hAnsi="宋体" w:cs="宋体"/>
                <w:color w:val="auto"/>
                <w:kern w:val="0"/>
                <w:sz w:val="21"/>
                <w:szCs w:val="21"/>
                <w:highlight w:val="none"/>
                <w:lang w:eastAsia="zh-CN"/>
              </w:rPr>
              <w:t>磋商申请人拟提</w:t>
            </w:r>
            <w:r>
              <w:rPr>
                <w:rFonts w:hint="eastAsia" w:ascii="宋体" w:hAnsi="宋体" w:cs="宋体"/>
                <w:color w:val="auto"/>
                <w:kern w:val="0"/>
                <w:sz w:val="21"/>
                <w:szCs w:val="21"/>
                <w:highlight w:val="none"/>
              </w:rPr>
              <w:t>供的产品属于“环境标志产品政府采购清单”中的，按照评标办法中要求给予加分。</w:t>
            </w:r>
            <w:r>
              <w:rPr>
                <w:rFonts w:hint="eastAsia" w:ascii="宋体" w:hAnsi="宋体" w:cs="宋体"/>
                <w:color w:val="auto"/>
                <w:kern w:val="0"/>
                <w:sz w:val="21"/>
                <w:szCs w:val="21"/>
                <w:highlight w:val="none"/>
                <w:lang w:eastAsia="zh-CN"/>
              </w:rPr>
              <w:t>磋商申请人</w:t>
            </w:r>
            <w:r>
              <w:rPr>
                <w:rFonts w:hint="eastAsia" w:ascii="宋体" w:hAnsi="宋体" w:cs="宋体"/>
                <w:color w:val="auto"/>
                <w:kern w:val="0"/>
                <w:sz w:val="21"/>
                <w:szCs w:val="21"/>
                <w:highlight w:val="none"/>
              </w:rPr>
              <w:t>须提供证明材料（必须提供在中国政府采购网“环保标志产品清单” 中产品查询结果截图），否则评标时不予认可。</w:t>
            </w:r>
          </w:p>
        </w:tc>
      </w:tr>
      <w:tr w14:paraId="1EB9B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CC8FD35">
            <w:pPr>
              <w:pStyle w:val="18"/>
              <w:spacing w:line="420" w:lineRule="exact"/>
              <w:jc w:val="center"/>
              <w:rPr>
                <w:rFonts w:hint="eastAsia" w:hAnsi="宋体" w:eastAsia="宋体"/>
                <w:color w:val="auto"/>
                <w:kern w:val="0"/>
                <w:sz w:val="21"/>
                <w:szCs w:val="21"/>
                <w:highlight w:val="none"/>
                <w:lang w:eastAsia="zh-CN"/>
              </w:rPr>
            </w:pPr>
            <w:r>
              <w:rPr>
                <w:rFonts w:hint="eastAsia" w:hAnsi="宋体"/>
                <w:color w:val="auto"/>
                <w:kern w:val="0"/>
                <w:sz w:val="21"/>
                <w:szCs w:val="21"/>
                <w:highlight w:val="none"/>
                <w:lang w:eastAsia="zh-CN"/>
              </w:rPr>
              <w:t>（</w:t>
            </w:r>
            <w:r>
              <w:rPr>
                <w:rFonts w:hint="eastAsia" w:hAnsi="宋体"/>
                <w:color w:val="auto"/>
                <w:kern w:val="0"/>
                <w:sz w:val="21"/>
                <w:szCs w:val="21"/>
                <w:highlight w:val="none"/>
                <w:lang w:val="en-US" w:eastAsia="zh-CN"/>
              </w:rPr>
              <w:t>8</w:t>
            </w:r>
            <w:r>
              <w:rPr>
                <w:rFonts w:hint="eastAsia" w:hAnsi="宋体"/>
                <w:color w:val="auto"/>
                <w:kern w:val="0"/>
                <w:sz w:val="21"/>
                <w:szCs w:val="21"/>
                <w:highlight w:val="none"/>
                <w:lang w:eastAsia="zh-CN"/>
              </w:rPr>
              <w:t>）</w:t>
            </w:r>
          </w:p>
        </w:tc>
        <w:tc>
          <w:tcPr>
            <w:tcW w:w="9379" w:type="dxa"/>
            <w:gridSpan w:val="3"/>
            <w:vAlign w:val="center"/>
          </w:tcPr>
          <w:p w14:paraId="320E35FC">
            <w:pPr>
              <w:pStyle w:val="18"/>
              <w:spacing w:line="420" w:lineRule="exact"/>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联合体说明</w:t>
            </w:r>
          </w:p>
          <w:p w14:paraId="57D72EFE">
            <w:pPr>
              <w:pStyle w:val="18"/>
              <w:keepNext/>
              <w:spacing w:line="460" w:lineRule="exact"/>
              <w:rPr>
                <w:rFonts w:hint="eastAsia" w:hAnsi="宋体"/>
                <w:color w:val="auto"/>
                <w:sz w:val="21"/>
                <w:szCs w:val="21"/>
                <w:highlight w:val="none"/>
              </w:rPr>
            </w:pPr>
            <w:r>
              <w:rPr>
                <w:rFonts w:hint="eastAsia" w:hAnsi="宋体"/>
                <w:color w:val="auto"/>
                <w:sz w:val="21"/>
                <w:szCs w:val="21"/>
                <w:highlight w:val="none"/>
              </w:rPr>
              <w:sym w:font="Wingdings 2" w:char="0052"/>
            </w:r>
            <w:r>
              <w:rPr>
                <w:rFonts w:hint="eastAsia" w:hAnsi="宋体"/>
                <w:color w:val="auto"/>
                <w:sz w:val="21"/>
                <w:szCs w:val="21"/>
                <w:highlight w:val="none"/>
              </w:rPr>
              <w:t>接受，应满足下列要求：</w:t>
            </w:r>
          </w:p>
          <w:p w14:paraId="3586A43B">
            <w:pPr>
              <w:widowControl/>
              <w:snapToGrid w:val="0"/>
              <w:spacing w:line="4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联合体成员单位不得超过2家；若为联合体形式参与本项目，则联合体需满足上述资格要求。</w:t>
            </w:r>
          </w:p>
          <w:p w14:paraId="0654F06C">
            <w:pPr>
              <w:widowControl/>
              <w:snapToGrid w:val="0"/>
              <w:spacing w:line="4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联合体成员之间必须订立有效的联合体协议书，约定联合体各方承担的工作和相应的责任，且联合体各方应相互承担连带责任；</w:t>
            </w:r>
          </w:p>
          <w:p w14:paraId="204729EC">
            <w:pPr>
              <w:widowControl/>
              <w:snapToGrid w:val="0"/>
              <w:spacing w:line="4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其它说明：</w:t>
            </w:r>
          </w:p>
          <w:p w14:paraId="7F8C5CCA">
            <w:pPr>
              <w:widowControl/>
              <w:snapToGrid w:val="0"/>
              <w:spacing w:line="4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联合体各方应分别按照本竞争性磋商文件的要求，填写磋商响应文件中的相应表格和材料，并由联合体牵头人负责对联合体各成员的资料进行统一汇总后一并提交给采购人（磋商申请人资格审查申请文件必须按照竞争性磋商文件格式要求进行编制，其余部分由联合体牵头人统一汇总编制）；联合体牵头人所提交的磋商响应文件应认为已代表了联合体各成员的真实情况；</w:t>
            </w:r>
          </w:p>
          <w:p w14:paraId="61F129A0">
            <w:pPr>
              <w:widowControl/>
              <w:snapToGrid w:val="0"/>
              <w:spacing w:line="4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（2）除联合体协议外，响应文件只需联合体牵头人盖章签署即可。</w:t>
            </w:r>
          </w:p>
          <w:p w14:paraId="34D19C17">
            <w:pPr>
              <w:widowControl/>
              <w:snapToGrid w:val="0"/>
              <w:spacing w:line="4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（3）尽管委任了联合体牵头人，但联合体各成员在参与磋商、签订合同与履行合同过程中，仍负有连带的和各自的法律责任。</w:t>
            </w:r>
          </w:p>
          <w:p w14:paraId="293D8B61">
            <w:pPr>
              <w:widowControl/>
              <w:snapToGrid w:val="0"/>
              <w:spacing w:line="420" w:lineRule="exact"/>
              <w:jc w:val="left"/>
              <w:rPr>
                <w:rFonts w:hint="default"/>
                <w:color w:val="auto"/>
                <w:sz w:val="21"/>
                <w:szCs w:val="21"/>
                <w:highlight w:val="none"/>
                <w:lang w:val="en-US" w:eastAsia="zh-CN"/>
              </w:rPr>
            </w:pPr>
            <w:r>
              <w:rPr>
                <w:rFonts w:hint="eastAsia" w:ascii="宋体" w:hAnsi="宋体" w:eastAsia="宋体" w:cs="宋体"/>
                <w:color w:val="auto"/>
                <w:kern w:val="0"/>
                <w:sz w:val="21"/>
                <w:szCs w:val="21"/>
                <w:highlight w:val="none"/>
              </w:rPr>
              <w:t>（4）其他要求：承担相应任务的成员应符合其他相关要求。</w:t>
            </w:r>
          </w:p>
        </w:tc>
      </w:tr>
      <w:tr w14:paraId="6FB06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2C6E611">
            <w:pPr>
              <w:pStyle w:val="18"/>
              <w:spacing w:line="420" w:lineRule="exact"/>
              <w:jc w:val="center"/>
              <w:rPr>
                <w:rFonts w:hAnsi="宋体"/>
                <w:color w:val="auto"/>
                <w:kern w:val="0"/>
                <w:sz w:val="21"/>
                <w:szCs w:val="21"/>
                <w:highlight w:val="none"/>
              </w:rPr>
            </w:pPr>
            <w:r>
              <w:rPr>
                <w:rFonts w:hint="eastAsia" w:hAnsi="宋体"/>
                <w:color w:val="auto"/>
                <w:kern w:val="0"/>
                <w:sz w:val="21"/>
                <w:szCs w:val="21"/>
                <w:highlight w:val="none"/>
              </w:rPr>
              <w:t>（</w:t>
            </w:r>
            <w:r>
              <w:rPr>
                <w:rFonts w:hint="eastAsia" w:hAnsi="宋体"/>
                <w:color w:val="auto"/>
                <w:kern w:val="0"/>
                <w:sz w:val="21"/>
                <w:szCs w:val="21"/>
                <w:highlight w:val="none"/>
                <w:lang w:val="en-US" w:eastAsia="zh-CN"/>
              </w:rPr>
              <w:t>9</w:t>
            </w:r>
            <w:r>
              <w:rPr>
                <w:rFonts w:hint="eastAsia" w:hAnsi="宋体"/>
                <w:color w:val="auto"/>
                <w:kern w:val="0"/>
                <w:sz w:val="21"/>
                <w:szCs w:val="21"/>
                <w:highlight w:val="none"/>
              </w:rPr>
              <w:t>）</w:t>
            </w:r>
          </w:p>
        </w:tc>
        <w:tc>
          <w:tcPr>
            <w:tcW w:w="9379" w:type="dxa"/>
            <w:gridSpan w:val="3"/>
            <w:vAlign w:val="center"/>
          </w:tcPr>
          <w:p w14:paraId="7BE21EFA">
            <w:pPr>
              <w:widowControl/>
              <w:snapToGrid w:val="0"/>
              <w:spacing w:line="420" w:lineRule="exact"/>
              <w:jc w:val="lef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其它：</w:t>
            </w:r>
          </w:p>
          <w:p w14:paraId="7BF6ADC6">
            <w:pPr>
              <w:widowControl/>
              <w:snapToGrid w:val="0"/>
              <w:spacing w:line="420" w:lineRule="exact"/>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a本竞争性磋商文件中所提到的公章：指公安部门备案的行政公章或合法有效的电子公章；签字：指亲笔签字或合法的电子签名。</w:t>
            </w:r>
          </w:p>
          <w:p w14:paraId="0C593D0F">
            <w:pPr>
              <w:widowControl/>
              <w:snapToGrid w:val="0"/>
              <w:spacing w:line="420" w:lineRule="exact"/>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b串标围标判定依据：</w:t>
            </w:r>
          </w:p>
          <w:p w14:paraId="7EBED538">
            <w:pPr>
              <w:widowControl/>
              <w:snapToGrid w:val="0"/>
              <w:spacing w:line="420" w:lineRule="exact"/>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b1不同磋商申请人提交的磋商响应文件中内容错漏之处出现高度一致，或其他内容出现高度一致性（除竞争性磋商文件中规定的内容外）的；</w:t>
            </w:r>
          </w:p>
          <w:p w14:paraId="65BF4573">
            <w:pPr>
              <w:widowControl/>
              <w:snapToGrid w:val="0"/>
              <w:spacing w:line="420" w:lineRule="exact"/>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b2不同磋商申请人的磋商响应文件相互混装的；</w:t>
            </w:r>
          </w:p>
          <w:p w14:paraId="686D68C5">
            <w:pPr>
              <w:widowControl/>
              <w:snapToGrid w:val="0"/>
              <w:spacing w:line="420" w:lineRule="exact"/>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b3现行法律法规规定的其他判定依据。</w:t>
            </w:r>
          </w:p>
          <w:p w14:paraId="300159B6">
            <w:pPr>
              <w:widowControl/>
              <w:snapToGrid w:val="0"/>
              <w:spacing w:line="420" w:lineRule="exact"/>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c采购人有权对被推荐为第一成交候选人的磋商响应文件中不合理的条款在进行合同谈判时要求其进行修正的权力，否则，采购人有权拒绝与之签订合同并选择下一排序的候选人进行合同谈判，以此类推。</w:t>
            </w:r>
          </w:p>
          <w:p w14:paraId="08041401">
            <w:pPr>
              <w:widowControl/>
              <w:snapToGrid w:val="0"/>
              <w:spacing w:line="420" w:lineRule="exact"/>
              <w:jc w:val="lef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d </w:t>
            </w:r>
            <w:r>
              <w:rPr>
                <w:rFonts w:hint="eastAsia" w:ascii="宋体" w:hAnsi="宋体" w:eastAsia="宋体" w:cs="宋体"/>
                <w:color w:val="auto"/>
                <w:sz w:val="21"/>
                <w:szCs w:val="21"/>
                <w:highlight w:val="none"/>
              </w:rPr>
              <w:t>保证金将被没收的情况（出现下列情况之一者其提交的磋商保证金将被没收）：</w:t>
            </w:r>
          </w:p>
          <w:p w14:paraId="3927FE1C">
            <w:pPr>
              <w:widowControl/>
              <w:snapToGrid w:val="0"/>
              <w:spacing w:line="42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d1磋商申请人在提交磋商响应文件截止时间后撤回响应文件的；</w:t>
            </w:r>
          </w:p>
          <w:p w14:paraId="1747DDE2">
            <w:pPr>
              <w:widowControl/>
              <w:snapToGrid w:val="0"/>
              <w:spacing w:line="42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d2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磋商申请人在磋商响应文件中提供虚假材料的；</w:t>
            </w:r>
          </w:p>
          <w:p w14:paraId="3567BBE2">
            <w:pPr>
              <w:widowControl/>
              <w:snapToGrid w:val="0"/>
              <w:spacing w:line="42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d3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除因不可抗力或竞争性磋商文件、成交通知书认可的情形以外，成交人不与采购人签订合同的；</w:t>
            </w:r>
          </w:p>
          <w:p w14:paraId="3F5BB41D">
            <w:pPr>
              <w:widowControl/>
              <w:snapToGrid w:val="0"/>
              <w:spacing w:line="42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d4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磋商申请人与采购人、其他磋商申请人或者采购代理机构恶意串通的；</w:t>
            </w:r>
          </w:p>
          <w:p w14:paraId="67C17959">
            <w:pPr>
              <w:pStyle w:val="18"/>
              <w:spacing w:line="420" w:lineRule="exact"/>
              <w:rPr>
                <w:rFonts w:hAnsi="宋体"/>
                <w:color w:val="auto"/>
                <w:kern w:val="0"/>
                <w:sz w:val="21"/>
                <w:szCs w:val="21"/>
                <w:highlight w:val="none"/>
              </w:rPr>
            </w:pPr>
            <w:r>
              <w:rPr>
                <w:rFonts w:hint="eastAsia" w:hAnsi="宋体"/>
                <w:color w:val="auto"/>
                <w:sz w:val="21"/>
                <w:szCs w:val="21"/>
                <w:highlight w:val="none"/>
              </w:rPr>
              <w:t>d5</w:t>
            </w:r>
            <w:r>
              <w:rPr>
                <w:rFonts w:hint="eastAsia" w:hAnsi="宋体"/>
                <w:color w:val="auto"/>
                <w:sz w:val="21"/>
                <w:szCs w:val="21"/>
                <w:highlight w:val="none"/>
                <w:lang w:val="en-US" w:eastAsia="zh-CN"/>
              </w:rPr>
              <w:t xml:space="preserve"> </w:t>
            </w:r>
            <w:r>
              <w:rPr>
                <w:rFonts w:hint="eastAsia" w:hAnsi="宋体"/>
                <w:color w:val="auto"/>
                <w:sz w:val="21"/>
                <w:szCs w:val="21"/>
                <w:highlight w:val="none"/>
              </w:rPr>
              <w:t>采购文件、法律法规规定的其他情形。</w:t>
            </w:r>
          </w:p>
        </w:tc>
      </w:tr>
    </w:tbl>
    <w:p w14:paraId="57F7206C">
      <w:pPr>
        <w:widowControl/>
        <w:jc w:val="left"/>
        <w:rPr>
          <w:rFonts w:ascii="宋体" w:hAnsi="宋体" w:eastAsia="宋体" w:cs="宋体"/>
          <w:b/>
          <w:bCs/>
          <w:color w:val="auto"/>
          <w:sz w:val="32"/>
          <w:szCs w:val="32"/>
          <w:highlight w:val="none"/>
        </w:rPr>
      </w:pPr>
      <w:bookmarkStart w:id="46" w:name="_Toc7252732"/>
      <w:bookmarkStart w:id="47" w:name="_Toc86124040"/>
      <w:r>
        <w:rPr>
          <w:rFonts w:hint="eastAsia" w:ascii="宋体" w:hAnsi="宋体" w:eastAsia="宋体" w:cs="宋体"/>
          <w:color w:val="auto"/>
          <w:highlight w:val="none"/>
        </w:rPr>
        <w:br w:type="page"/>
      </w:r>
    </w:p>
    <w:p w14:paraId="3DCF2B4C">
      <w:pPr>
        <w:pStyle w:val="3"/>
        <w:spacing w:before="0" w:after="0" w:line="360" w:lineRule="auto"/>
        <w:jc w:val="center"/>
        <w:rPr>
          <w:rFonts w:ascii="宋体" w:hAnsi="宋体" w:eastAsia="宋体" w:cs="宋体"/>
          <w:color w:val="auto"/>
          <w:highlight w:val="none"/>
        </w:rPr>
      </w:pPr>
      <w:bookmarkStart w:id="48" w:name="_Toc39092131"/>
      <w:r>
        <w:rPr>
          <w:rFonts w:hint="eastAsia" w:ascii="宋体" w:hAnsi="宋体" w:eastAsia="宋体" w:cs="宋体"/>
          <w:color w:val="auto"/>
          <w:highlight w:val="none"/>
        </w:rPr>
        <w:t>一、总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则</w:t>
      </w:r>
      <w:bookmarkEnd w:id="46"/>
      <w:bookmarkEnd w:id="47"/>
      <w:bookmarkEnd w:id="48"/>
    </w:p>
    <w:p w14:paraId="534E77BD">
      <w:pPr>
        <w:pStyle w:val="50"/>
        <w:numPr>
          <w:ilvl w:val="1"/>
          <w:numId w:val="2"/>
        </w:numPr>
        <w:spacing w:line="360" w:lineRule="auto"/>
        <w:ind w:left="0" w:firstLine="643"/>
        <w:rPr>
          <w:rFonts w:ascii="宋体" w:hAnsi="宋体" w:eastAsia="宋体" w:cs="宋体"/>
          <w:b/>
          <w:color w:val="auto"/>
          <w:sz w:val="32"/>
          <w:szCs w:val="32"/>
          <w:highlight w:val="none"/>
        </w:rPr>
      </w:pPr>
      <w:bookmarkStart w:id="49" w:name="_Toc383175276"/>
      <w:bookmarkStart w:id="50" w:name="_Toc329810186"/>
      <w:bookmarkStart w:id="51" w:name="_Toc383175052"/>
      <w:bookmarkStart w:id="52" w:name="_Toc383175474"/>
      <w:bookmarkStart w:id="53" w:name="_Toc7252733"/>
      <w:r>
        <w:rPr>
          <w:rFonts w:hint="eastAsia" w:ascii="宋体" w:hAnsi="宋体" w:eastAsia="宋体" w:cs="宋体"/>
          <w:b/>
          <w:color w:val="auto"/>
          <w:sz w:val="32"/>
          <w:szCs w:val="32"/>
          <w:highlight w:val="none"/>
        </w:rPr>
        <w:t>项目概况</w:t>
      </w:r>
      <w:bookmarkEnd w:id="49"/>
      <w:bookmarkEnd w:id="50"/>
      <w:bookmarkEnd w:id="51"/>
      <w:bookmarkEnd w:id="52"/>
      <w:bookmarkEnd w:id="53"/>
    </w:p>
    <w:p w14:paraId="24CCA3C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highlight w:val="none"/>
        </w:rPr>
        <w:tab/>
      </w:r>
      <w:r>
        <w:rPr>
          <w:rFonts w:hint="eastAsia" w:ascii="宋体" w:hAnsi="宋体" w:eastAsia="宋体" w:cs="宋体"/>
          <w:color w:val="auto"/>
          <w:highlight w:val="none"/>
        </w:rPr>
        <w:t>根据《中华人民共和国政府采购法》《中华人民共和国政府采购法实施条例》《财政部令第87号、94号、101号、102号》《政府采购竞争性磋商采购方式管理暂行办法》等有关法律法规和规章的规定，本项目已获主管部门批准，现对本次货物采购进行竞争性磋商采购。</w:t>
      </w:r>
    </w:p>
    <w:p w14:paraId="442080F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rPr>
        <w:tab/>
      </w:r>
      <w:r>
        <w:rPr>
          <w:rFonts w:hint="eastAsia" w:ascii="宋体" w:hAnsi="宋体" w:eastAsia="宋体" w:cs="宋体"/>
          <w:color w:val="auto"/>
          <w:highlight w:val="none"/>
        </w:rPr>
        <w:t>本项目采购人、采购代理机构、项目名称、项目编号：见“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505FE532">
      <w:pPr>
        <w:pStyle w:val="50"/>
        <w:numPr>
          <w:ilvl w:val="1"/>
          <w:numId w:val="2"/>
        </w:numPr>
        <w:spacing w:line="360" w:lineRule="auto"/>
        <w:ind w:left="0" w:firstLine="643"/>
        <w:rPr>
          <w:rFonts w:ascii="宋体" w:hAnsi="宋体" w:eastAsia="宋体" w:cs="宋体"/>
          <w:b/>
          <w:color w:val="auto"/>
          <w:sz w:val="32"/>
          <w:szCs w:val="32"/>
          <w:highlight w:val="none"/>
        </w:rPr>
      </w:pPr>
      <w:bookmarkStart w:id="54" w:name="_Toc383175277"/>
      <w:bookmarkStart w:id="55" w:name="_Toc383175475"/>
      <w:bookmarkStart w:id="56" w:name="_Toc7252734"/>
      <w:bookmarkStart w:id="57" w:name="_Toc383175053"/>
      <w:bookmarkStart w:id="58" w:name="_Toc265142411"/>
      <w:bookmarkStart w:id="59" w:name="_Toc329810187"/>
      <w:r>
        <w:rPr>
          <w:rFonts w:hint="eastAsia" w:ascii="宋体" w:hAnsi="宋体" w:eastAsia="宋体" w:cs="宋体"/>
          <w:b/>
          <w:color w:val="auto"/>
          <w:sz w:val="32"/>
          <w:szCs w:val="32"/>
          <w:highlight w:val="none"/>
        </w:rPr>
        <w:t>资金来源</w:t>
      </w:r>
      <w:bookmarkEnd w:id="54"/>
      <w:bookmarkEnd w:id="55"/>
      <w:bookmarkEnd w:id="56"/>
      <w:bookmarkEnd w:id="57"/>
      <w:bookmarkEnd w:id="58"/>
      <w:bookmarkEnd w:id="59"/>
    </w:p>
    <w:p w14:paraId="50273F3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2.1资金来源已落实，用于采购“</w:t>
      </w:r>
      <w:r>
        <w:rPr>
          <w:rFonts w:hint="eastAsia" w:ascii="宋体" w:hAnsi="宋体" w:eastAsia="宋体" w:cs="宋体"/>
          <w:b/>
          <w:bCs/>
          <w:color w:val="auto"/>
          <w:highlight w:val="none"/>
        </w:rPr>
        <w:t>采购需求</w:t>
      </w:r>
      <w:r>
        <w:rPr>
          <w:rFonts w:hint="eastAsia" w:ascii="宋体" w:hAnsi="宋体" w:eastAsia="宋体" w:cs="宋体"/>
          <w:color w:val="auto"/>
          <w:highlight w:val="none"/>
        </w:rPr>
        <w:t>”所列货物（服务）。</w:t>
      </w:r>
      <w:bookmarkStart w:id="60" w:name="_Toc383175278"/>
      <w:bookmarkStart w:id="61" w:name="_Toc265142412"/>
      <w:bookmarkStart w:id="62" w:name="_Toc329810188"/>
      <w:bookmarkStart w:id="63" w:name="_Toc383175476"/>
      <w:bookmarkStart w:id="64" w:name="_Toc383175054"/>
    </w:p>
    <w:p w14:paraId="729D6AF0">
      <w:pPr>
        <w:pStyle w:val="50"/>
        <w:numPr>
          <w:ilvl w:val="1"/>
          <w:numId w:val="2"/>
        </w:numPr>
        <w:spacing w:line="360" w:lineRule="auto"/>
        <w:ind w:left="0" w:firstLine="643"/>
        <w:rPr>
          <w:rFonts w:ascii="宋体" w:hAnsi="宋体" w:eastAsia="宋体" w:cs="宋体"/>
          <w:b/>
          <w:color w:val="auto"/>
          <w:sz w:val="32"/>
          <w:szCs w:val="32"/>
          <w:highlight w:val="none"/>
        </w:rPr>
      </w:pPr>
      <w:bookmarkStart w:id="65" w:name="_Toc7252735"/>
      <w:r>
        <w:rPr>
          <w:rFonts w:hint="eastAsia" w:ascii="宋体" w:hAnsi="宋体" w:eastAsia="宋体" w:cs="宋体"/>
          <w:b/>
          <w:color w:val="auto"/>
          <w:sz w:val="32"/>
          <w:szCs w:val="32"/>
          <w:highlight w:val="none"/>
        </w:rPr>
        <w:t>采购范围</w:t>
      </w:r>
      <w:bookmarkEnd w:id="60"/>
      <w:bookmarkEnd w:id="61"/>
      <w:bookmarkEnd w:id="62"/>
      <w:bookmarkEnd w:id="63"/>
      <w:bookmarkEnd w:id="64"/>
      <w:bookmarkEnd w:id="65"/>
    </w:p>
    <w:p w14:paraId="33BF077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3.1 本项目采购内容：见“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7B16A5C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3.2标段划分：见“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7639CC22">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3.2项目服务地点及</w:t>
      </w:r>
      <w:r>
        <w:rPr>
          <w:rFonts w:hint="eastAsia" w:ascii="宋体" w:hAnsi="宋体" w:eastAsia="宋体" w:cs="宋体"/>
          <w:color w:val="auto"/>
          <w:kern w:val="0"/>
          <w:highlight w:val="none"/>
        </w:rPr>
        <w:t>合同履行期限</w:t>
      </w:r>
      <w:r>
        <w:rPr>
          <w:rFonts w:hint="eastAsia" w:ascii="宋体" w:hAnsi="宋体" w:eastAsia="宋体" w:cs="宋体"/>
          <w:color w:val="auto"/>
          <w:highlight w:val="none"/>
        </w:rPr>
        <w:t>：见“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1C689962">
      <w:pPr>
        <w:pStyle w:val="50"/>
        <w:numPr>
          <w:ilvl w:val="1"/>
          <w:numId w:val="2"/>
        </w:numPr>
        <w:spacing w:line="360" w:lineRule="auto"/>
        <w:ind w:left="0" w:firstLine="643"/>
        <w:rPr>
          <w:rFonts w:ascii="宋体" w:hAnsi="宋体" w:eastAsia="宋体" w:cs="宋体"/>
          <w:b/>
          <w:color w:val="auto"/>
          <w:sz w:val="32"/>
          <w:szCs w:val="32"/>
          <w:highlight w:val="none"/>
        </w:rPr>
      </w:pPr>
      <w:bookmarkStart w:id="66" w:name="_Toc383175279"/>
      <w:bookmarkStart w:id="67" w:name="_Toc383175055"/>
      <w:bookmarkStart w:id="68" w:name="_Toc7252736"/>
      <w:bookmarkStart w:id="69" w:name="_Toc383175477"/>
      <w:bookmarkStart w:id="70" w:name="_Toc329810189"/>
      <w:r>
        <w:rPr>
          <w:rFonts w:hint="eastAsia" w:ascii="宋体" w:hAnsi="宋体" w:eastAsia="宋体" w:cs="宋体"/>
          <w:b/>
          <w:color w:val="auto"/>
          <w:sz w:val="32"/>
          <w:szCs w:val="32"/>
          <w:highlight w:val="none"/>
        </w:rPr>
        <w:t>合格的磋商申请人（以下简称磋商申请人）</w:t>
      </w:r>
      <w:bookmarkEnd w:id="66"/>
      <w:bookmarkEnd w:id="67"/>
      <w:bookmarkEnd w:id="68"/>
      <w:bookmarkEnd w:id="69"/>
      <w:bookmarkEnd w:id="70"/>
    </w:p>
    <w:p w14:paraId="33F5F9D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4.1</w:t>
      </w:r>
      <w:r>
        <w:rPr>
          <w:rFonts w:hint="eastAsia" w:ascii="宋体" w:hAnsi="宋体" w:eastAsia="宋体" w:cs="宋体"/>
          <w:color w:val="auto"/>
          <w:highlight w:val="none"/>
        </w:rPr>
        <w:tab/>
      </w:r>
      <w:r>
        <w:rPr>
          <w:rFonts w:hint="eastAsia" w:ascii="宋体" w:hAnsi="宋体" w:eastAsia="宋体" w:cs="宋体"/>
          <w:color w:val="auto"/>
          <w:highlight w:val="none"/>
        </w:rPr>
        <w:t>详见：“竞争性磋商公告”</w:t>
      </w:r>
    </w:p>
    <w:p w14:paraId="4AEED756">
      <w:pPr>
        <w:pStyle w:val="50"/>
        <w:numPr>
          <w:ilvl w:val="1"/>
          <w:numId w:val="2"/>
        </w:numPr>
        <w:spacing w:line="360" w:lineRule="auto"/>
        <w:ind w:left="0" w:firstLine="643"/>
        <w:rPr>
          <w:rFonts w:ascii="宋体" w:hAnsi="宋体" w:eastAsia="宋体" w:cs="宋体"/>
          <w:b/>
          <w:color w:val="auto"/>
          <w:sz w:val="32"/>
          <w:szCs w:val="32"/>
          <w:highlight w:val="none"/>
        </w:rPr>
      </w:pPr>
      <w:bookmarkStart w:id="71" w:name="_Hlt200176664"/>
      <w:bookmarkEnd w:id="71"/>
      <w:bookmarkStart w:id="72" w:name="_Toc383175280"/>
      <w:bookmarkStart w:id="73" w:name="_Toc7252737"/>
      <w:bookmarkStart w:id="74" w:name="_Toc383175056"/>
      <w:bookmarkStart w:id="75" w:name="_Toc383175478"/>
      <w:bookmarkStart w:id="76" w:name="_Toc329810190"/>
      <w:r>
        <w:rPr>
          <w:rFonts w:hint="eastAsia" w:ascii="宋体" w:hAnsi="宋体" w:eastAsia="宋体" w:cs="宋体"/>
          <w:b/>
          <w:color w:val="auto"/>
          <w:sz w:val="32"/>
          <w:szCs w:val="32"/>
          <w:highlight w:val="none"/>
        </w:rPr>
        <w:t>磋商费用</w:t>
      </w:r>
      <w:bookmarkEnd w:id="72"/>
      <w:bookmarkEnd w:id="73"/>
      <w:bookmarkEnd w:id="74"/>
      <w:bookmarkEnd w:id="75"/>
      <w:bookmarkEnd w:id="76"/>
    </w:p>
    <w:p w14:paraId="2E43F41C">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无论是否成交，磋商申请人自行承担所有与参加磋商有关的全部费用。</w:t>
      </w:r>
    </w:p>
    <w:p w14:paraId="23A741C3">
      <w:pPr>
        <w:pStyle w:val="3"/>
        <w:spacing w:before="0" w:after="0" w:line="360" w:lineRule="auto"/>
        <w:jc w:val="center"/>
        <w:rPr>
          <w:rFonts w:ascii="宋体" w:hAnsi="宋体" w:eastAsia="宋体" w:cs="宋体"/>
          <w:color w:val="auto"/>
          <w:highlight w:val="none"/>
        </w:rPr>
      </w:pPr>
      <w:bookmarkStart w:id="77" w:name="_Toc86124047"/>
      <w:bookmarkStart w:id="78" w:name="_Toc39092132"/>
      <w:bookmarkStart w:id="79" w:name="_Toc7252738"/>
      <w:r>
        <w:rPr>
          <w:rFonts w:hint="eastAsia" w:ascii="宋体" w:hAnsi="宋体" w:eastAsia="宋体" w:cs="宋体"/>
          <w:color w:val="auto"/>
          <w:highlight w:val="none"/>
        </w:rPr>
        <w:t>二、磋商文件</w:t>
      </w:r>
      <w:bookmarkEnd w:id="77"/>
      <w:bookmarkEnd w:id="78"/>
      <w:bookmarkEnd w:id="79"/>
    </w:p>
    <w:p w14:paraId="7D631370">
      <w:pPr>
        <w:pStyle w:val="50"/>
        <w:numPr>
          <w:ilvl w:val="1"/>
          <w:numId w:val="2"/>
        </w:numPr>
        <w:spacing w:line="360" w:lineRule="auto"/>
        <w:ind w:left="0" w:firstLine="643"/>
        <w:rPr>
          <w:rFonts w:ascii="宋体" w:hAnsi="宋体" w:eastAsia="宋体" w:cs="宋体"/>
          <w:b/>
          <w:color w:val="auto"/>
          <w:sz w:val="32"/>
          <w:szCs w:val="32"/>
          <w:highlight w:val="none"/>
        </w:rPr>
      </w:pPr>
      <w:bookmarkStart w:id="80" w:name="_Toc383175282"/>
      <w:bookmarkStart w:id="81" w:name="_Toc329810192"/>
      <w:bookmarkStart w:id="82" w:name="_Toc383175058"/>
      <w:bookmarkStart w:id="83" w:name="_Toc383175480"/>
      <w:bookmarkStart w:id="84" w:name="_Toc7252739"/>
      <w:r>
        <w:rPr>
          <w:rFonts w:hint="eastAsia" w:ascii="宋体" w:hAnsi="宋体" w:eastAsia="宋体" w:cs="宋体"/>
          <w:b/>
          <w:color w:val="auto"/>
          <w:sz w:val="32"/>
          <w:szCs w:val="32"/>
          <w:highlight w:val="none"/>
        </w:rPr>
        <w:t>磋商文件的组成</w:t>
      </w:r>
      <w:bookmarkEnd w:id="80"/>
      <w:bookmarkEnd w:id="81"/>
      <w:bookmarkEnd w:id="82"/>
      <w:bookmarkEnd w:id="83"/>
      <w:bookmarkEnd w:id="84"/>
    </w:p>
    <w:p w14:paraId="45E8158A">
      <w:pPr>
        <w:spacing w:line="360" w:lineRule="auto"/>
        <w:ind w:left="502" w:firstLine="420" w:firstLineChars="200"/>
        <w:rPr>
          <w:rFonts w:ascii="宋体" w:hAnsi="宋体" w:eastAsia="宋体" w:cs="宋体"/>
          <w:color w:val="auto"/>
          <w:highlight w:val="none"/>
        </w:rPr>
      </w:pPr>
      <w:r>
        <w:rPr>
          <w:rFonts w:hint="eastAsia" w:ascii="宋体" w:hAnsi="宋体" w:eastAsia="宋体" w:cs="宋体"/>
          <w:color w:val="auto"/>
          <w:highlight w:val="none"/>
        </w:rPr>
        <w:t>要求提供的服务、采购过程及合同条款在磋商文件中均有说明，磋商文件共六章，各章的内容如下：</w:t>
      </w:r>
    </w:p>
    <w:p w14:paraId="3B43C47A">
      <w:pPr>
        <w:spacing w:line="360" w:lineRule="auto"/>
        <w:ind w:left="502" w:firstLine="420" w:firstLineChars="200"/>
        <w:rPr>
          <w:rFonts w:ascii="宋体" w:hAnsi="宋体" w:eastAsia="宋体" w:cs="宋体"/>
          <w:color w:val="auto"/>
          <w:highlight w:val="none"/>
        </w:rPr>
      </w:pPr>
      <w:r>
        <w:rPr>
          <w:rFonts w:hint="eastAsia" w:ascii="宋体" w:hAnsi="宋体" w:eastAsia="宋体" w:cs="宋体"/>
          <w:color w:val="auto"/>
          <w:highlight w:val="none"/>
        </w:rPr>
        <w:t>第一章  竞争性磋商公告</w:t>
      </w:r>
    </w:p>
    <w:p w14:paraId="6D3AE688">
      <w:pPr>
        <w:spacing w:line="360" w:lineRule="auto"/>
        <w:ind w:left="502" w:firstLine="420" w:firstLineChars="200"/>
        <w:rPr>
          <w:rFonts w:ascii="宋体" w:hAnsi="宋体" w:eastAsia="宋体" w:cs="宋体"/>
          <w:color w:val="auto"/>
          <w:highlight w:val="none"/>
        </w:rPr>
      </w:pPr>
      <w:r>
        <w:rPr>
          <w:rFonts w:hint="eastAsia" w:ascii="宋体" w:hAnsi="宋体" w:eastAsia="宋体" w:cs="宋体"/>
          <w:color w:val="auto"/>
          <w:highlight w:val="none"/>
        </w:rPr>
        <w:t>第二章  磋商申请人须知</w:t>
      </w:r>
    </w:p>
    <w:p w14:paraId="30D1E14B">
      <w:pPr>
        <w:spacing w:line="360" w:lineRule="auto"/>
        <w:ind w:left="502" w:firstLine="420" w:firstLineChars="200"/>
        <w:rPr>
          <w:rFonts w:ascii="宋体" w:hAnsi="宋体" w:eastAsia="宋体" w:cs="宋体"/>
          <w:color w:val="auto"/>
          <w:highlight w:val="none"/>
        </w:rPr>
      </w:pPr>
      <w:r>
        <w:rPr>
          <w:rFonts w:hint="eastAsia" w:ascii="宋体" w:hAnsi="宋体" w:eastAsia="宋体" w:cs="宋体"/>
          <w:color w:val="auto"/>
          <w:highlight w:val="none"/>
        </w:rPr>
        <w:t>第三章  合同书样式及主要条款</w:t>
      </w:r>
    </w:p>
    <w:p w14:paraId="7282592D">
      <w:pPr>
        <w:spacing w:line="360" w:lineRule="auto"/>
        <w:ind w:left="502" w:firstLine="420" w:firstLineChars="200"/>
        <w:rPr>
          <w:rFonts w:ascii="宋体" w:hAnsi="宋体" w:eastAsia="宋体" w:cs="宋体"/>
          <w:color w:val="auto"/>
          <w:highlight w:val="none"/>
        </w:rPr>
      </w:pPr>
      <w:r>
        <w:rPr>
          <w:rFonts w:hint="eastAsia" w:ascii="宋体" w:hAnsi="宋体" w:eastAsia="宋体" w:cs="宋体"/>
          <w:color w:val="auto"/>
          <w:highlight w:val="none"/>
        </w:rPr>
        <w:t>第四章  响应文件格式</w:t>
      </w:r>
    </w:p>
    <w:p w14:paraId="6AE89C6B">
      <w:pPr>
        <w:spacing w:line="360" w:lineRule="auto"/>
        <w:ind w:left="502" w:firstLine="420" w:firstLineChars="200"/>
        <w:rPr>
          <w:rFonts w:ascii="宋体" w:hAnsi="宋体" w:eastAsia="宋体" w:cs="宋体"/>
          <w:color w:val="auto"/>
          <w:highlight w:val="none"/>
        </w:rPr>
      </w:pPr>
      <w:r>
        <w:rPr>
          <w:rFonts w:hint="eastAsia" w:ascii="宋体" w:hAnsi="宋体" w:eastAsia="宋体" w:cs="宋体"/>
          <w:color w:val="auto"/>
          <w:highlight w:val="none"/>
        </w:rPr>
        <w:t>第五章  采购需求</w:t>
      </w:r>
    </w:p>
    <w:p w14:paraId="7551A8D5">
      <w:pPr>
        <w:spacing w:line="360" w:lineRule="auto"/>
        <w:ind w:left="502" w:firstLine="420" w:firstLineChars="200"/>
        <w:rPr>
          <w:rFonts w:ascii="宋体" w:hAnsi="宋体" w:eastAsia="宋体" w:cs="宋体"/>
          <w:color w:val="auto"/>
          <w:highlight w:val="none"/>
        </w:rPr>
      </w:pPr>
      <w:r>
        <w:rPr>
          <w:rFonts w:hint="eastAsia" w:ascii="宋体" w:hAnsi="宋体" w:eastAsia="宋体" w:cs="宋体"/>
          <w:color w:val="auto"/>
          <w:highlight w:val="none"/>
        </w:rPr>
        <w:t>第六章  磋商程序及方法</w:t>
      </w:r>
    </w:p>
    <w:p w14:paraId="2FA2DD87">
      <w:pPr>
        <w:pStyle w:val="50"/>
        <w:numPr>
          <w:ilvl w:val="1"/>
          <w:numId w:val="2"/>
        </w:numPr>
        <w:spacing w:line="360" w:lineRule="auto"/>
        <w:ind w:left="0" w:firstLine="643"/>
        <w:rPr>
          <w:rFonts w:ascii="宋体" w:hAnsi="宋体" w:eastAsia="宋体" w:cs="宋体"/>
          <w:b/>
          <w:color w:val="auto"/>
          <w:sz w:val="32"/>
          <w:szCs w:val="32"/>
          <w:highlight w:val="none"/>
        </w:rPr>
      </w:pPr>
      <w:bookmarkStart w:id="85" w:name="_Toc86124049"/>
      <w:bookmarkStart w:id="86" w:name="_Toc329810193"/>
      <w:bookmarkStart w:id="87" w:name="_Toc7252740"/>
      <w:bookmarkStart w:id="88" w:name="_Toc383175059"/>
      <w:bookmarkStart w:id="89" w:name="_Toc383175481"/>
      <w:bookmarkStart w:id="90" w:name="_Toc383175283"/>
      <w:r>
        <w:rPr>
          <w:rFonts w:hint="eastAsia" w:ascii="宋体" w:hAnsi="宋体" w:eastAsia="宋体" w:cs="宋体"/>
          <w:b/>
          <w:color w:val="auto"/>
          <w:sz w:val="32"/>
          <w:szCs w:val="32"/>
          <w:highlight w:val="none"/>
        </w:rPr>
        <w:t>磋商文件的澄清</w:t>
      </w:r>
      <w:bookmarkEnd w:id="85"/>
      <w:r>
        <w:rPr>
          <w:rFonts w:hint="eastAsia" w:ascii="宋体" w:hAnsi="宋体" w:eastAsia="宋体" w:cs="宋体"/>
          <w:b/>
          <w:color w:val="auto"/>
          <w:sz w:val="32"/>
          <w:szCs w:val="32"/>
          <w:highlight w:val="none"/>
        </w:rPr>
        <w:t>、修改</w:t>
      </w:r>
      <w:bookmarkEnd w:id="86"/>
      <w:bookmarkEnd w:id="87"/>
      <w:bookmarkEnd w:id="88"/>
      <w:bookmarkEnd w:id="89"/>
      <w:bookmarkEnd w:id="90"/>
    </w:p>
    <w:p w14:paraId="427F82F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7.1</w:t>
      </w:r>
      <w:r>
        <w:rPr>
          <w:rFonts w:hint="eastAsia" w:ascii="宋体" w:hAnsi="宋体" w:eastAsia="宋体" w:cs="宋体"/>
          <w:color w:val="auto"/>
          <w:highlight w:val="none"/>
        </w:rPr>
        <w:tab/>
      </w:r>
      <w:r>
        <w:rPr>
          <w:rFonts w:hint="eastAsia" w:ascii="宋体" w:hAnsi="宋体" w:eastAsia="宋体" w:cs="宋体"/>
          <w:color w:val="auto"/>
          <w:highlight w:val="none"/>
        </w:rPr>
        <w:t>参加磋商申请人应认真审核磋商文件，如有疑问的，磋商申请人可以在 “磋商申请人须知前附表”规定截止时间前以澄清函形式（加盖单位章）要求采购代理机构澄清，截止时间后送达的澄清要求概不接受。</w:t>
      </w:r>
    </w:p>
    <w:p w14:paraId="4C6D2EF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7.2</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采购代理机构将以书面形式答复所有购买磋商文件的磋商申请人（答复中不包含问题的来源）要求澄清的问题，其他澄清方式无效。</w:t>
      </w:r>
    </w:p>
    <w:p w14:paraId="785CC43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7.3</w:t>
      </w:r>
      <w:r>
        <w:rPr>
          <w:rFonts w:hint="eastAsia" w:ascii="宋体" w:hAnsi="宋体" w:eastAsia="宋体" w:cs="宋体"/>
          <w:color w:val="auto"/>
          <w:highlight w:val="none"/>
        </w:rPr>
        <w:tab/>
      </w:r>
      <w:r>
        <w:rPr>
          <w:rFonts w:hint="eastAsia" w:ascii="宋体" w:hAnsi="宋体" w:eastAsia="宋体" w:cs="宋体"/>
          <w:color w:val="auto"/>
          <w:highlight w:val="none"/>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书面形式通知所有接收磋商文件的磋商申请人，不足5日的，将顺延提交首次响应文件截止之日。</w:t>
      </w:r>
    </w:p>
    <w:p w14:paraId="162B67E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7.4</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采购代理机构和采购人可以视采购具体情况，推迟递交响应文件截止时间，并将变更时间书面通知所有购买磋商文件的磋商申请人。</w:t>
      </w:r>
    </w:p>
    <w:p w14:paraId="692567E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7.5</w:t>
      </w:r>
      <w:r>
        <w:rPr>
          <w:rFonts w:hint="eastAsia" w:ascii="宋体" w:hAnsi="宋体" w:eastAsia="宋体" w:cs="宋体"/>
          <w:color w:val="auto"/>
          <w:highlight w:val="none"/>
        </w:rPr>
        <w:tab/>
      </w:r>
      <w:r>
        <w:rPr>
          <w:rFonts w:hint="eastAsia" w:ascii="宋体" w:hAnsi="宋体" w:eastAsia="宋体" w:cs="宋体"/>
          <w:color w:val="auto"/>
          <w:highlight w: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磋商情况可能实质性变动的内容见磋商申请人须知前附表。</w:t>
      </w:r>
    </w:p>
    <w:p w14:paraId="1A3F10E7">
      <w:pPr>
        <w:pStyle w:val="3"/>
        <w:spacing w:before="0" w:after="0" w:line="360" w:lineRule="auto"/>
        <w:jc w:val="center"/>
        <w:rPr>
          <w:rFonts w:ascii="宋体" w:hAnsi="宋体" w:eastAsia="宋体" w:cs="宋体"/>
          <w:color w:val="auto"/>
          <w:highlight w:val="none"/>
        </w:rPr>
      </w:pPr>
      <w:bookmarkStart w:id="91" w:name="_Toc39092133"/>
      <w:bookmarkStart w:id="92" w:name="_Toc86124051"/>
      <w:bookmarkStart w:id="93" w:name="_Toc7252741"/>
      <w:r>
        <w:rPr>
          <w:rFonts w:hint="eastAsia" w:ascii="宋体" w:hAnsi="宋体" w:eastAsia="宋体" w:cs="宋体"/>
          <w:color w:val="auto"/>
          <w:highlight w:val="none"/>
        </w:rPr>
        <w:t>三、响应文件</w:t>
      </w:r>
      <w:bookmarkEnd w:id="91"/>
      <w:bookmarkEnd w:id="92"/>
      <w:bookmarkEnd w:id="93"/>
    </w:p>
    <w:p w14:paraId="05FB9CDB">
      <w:pPr>
        <w:pStyle w:val="50"/>
        <w:numPr>
          <w:ilvl w:val="1"/>
          <w:numId w:val="2"/>
        </w:numPr>
        <w:spacing w:line="360" w:lineRule="auto"/>
        <w:ind w:left="0" w:firstLine="643"/>
        <w:rPr>
          <w:rFonts w:ascii="宋体" w:hAnsi="宋体" w:eastAsia="宋体" w:cs="宋体"/>
          <w:b/>
          <w:color w:val="auto"/>
          <w:sz w:val="32"/>
          <w:szCs w:val="32"/>
          <w:highlight w:val="none"/>
        </w:rPr>
      </w:pPr>
      <w:bookmarkStart w:id="94" w:name="_Toc329810195"/>
      <w:bookmarkStart w:id="95" w:name="_Toc86124052"/>
      <w:bookmarkStart w:id="96" w:name="_Toc383175061"/>
      <w:bookmarkStart w:id="97" w:name="_Toc7252742"/>
      <w:bookmarkStart w:id="98" w:name="_Toc383175483"/>
      <w:bookmarkStart w:id="99" w:name="_Toc383175285"/>
      <w:r>
        <w:rPr>
          <w:rFonts w:hint="eastAsia" w:ascii="宋体" w:hAnsi="宋体" w:eastAsia="宋体" w:cs="宋体"/>
          <w:b/>
          <w:color w:val="auto"/>
          <w:sz w:val="32"/>
          <w:szCs w:val="32"/>
          <w:highlight w:val="none"/>
        </w:rPr>
        <w:t>响应文件编写注意事项</w:t>
      </w:r>
      <w:bookmarkEnd w:id="94"/>
      <w:bookmarkEnd w:id="95"/>
      <w:bookmarkEnd w:id="96"/>
      <w:bookmarkEnd w:id="97"/>
      <w:bookmarkEnd w:id="98"/>
      <w:bookmarkEnd w:id="99"/>
    </w:p>
    <w:p w14:paraId="6A992AD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8.1</w:t>
      </w:r>
      <w:r>
        <w:rPr>
          <w:rFonts w:hint="eastAsia" w:ascii="宋体" w:hAnsi="宋体" w:eastAsia="宋体" w:cs="宋体"/>
          <w:color w:val="auto"/>
          <w:highlight w:val="none"/>
        </w:rPr>
        <w:tab/>
      </w:r>
      <w:r>
        <w:rPr>
          <w:rFonts w:hint="eastAsia" w:ascii="宋体" w:hAnsi="宋体" w:eastAsia="宋体" w:cs="宋体"/>
          <w:color w:val="auto"/>
          <w:highlight w:val="none"/>
        </w:rPr>
        <w:t>磋商申请人应仔细阅读磋商文件，在完全了解采购的内容、技术性能要求（见第五章“采购需求”）和商务条件后，编写响应文件。</w:t>
      </w:r>
    </w:p>
    <w:p w14:paraId="155E30B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8.2</w:t>
      </w:r>
      <w:r>
        <w:rPr>
          <w:rFonts w:hint="eastAsia" w:ascii="宋体" w:hAnsi="宋体" w:eastAsia="宋体" w:cs="宋体"/>
          <w:color w:val="auto"/>
          <w:highlight w:val="none"/>
        </w:rPr>
        <w:tab/>
      </w:r>
      <w:r>
        <w:rPr>
          <w:rFonts w:hint="eastAsia" w:ascii="宋体" w:hAnsi="宋体" w:eastAsia="宋体" w:cs="宋体"/>
          <w:color w:val="auto"/>
          <w:highlight w:val="none"/>
        </w:rPr>
        <w:t>对磋商文件提出的实质性要求和条件做出响应是指磋商申请人必须对磋商文件中规定的成交实质性要求和条件做出满足或者优于原要求和条件的承诺，并提供相应的证明材料。</w:t>
      </w:r>
    </w:p>
    <w:p w14:paraId="27562EDF">
      <w:pPr>
        <w:pStyle w:val="50"/>
        <w:numPr>
          <w:ilvl w:val="1"/>
          <w:numId w:val="2"/>
        </w:numPr>
        <w:spacing w:line="360" w:lineRule="auto"/>
        <w:ind w:left="0" w:firstLine="643"/>
        <w:rPr>
          <w:rFonts w:ascii="宋体" w:hAnsi="宋体" w:eastAsia="宋体" w:cs="宋体"/>
          <w:b/>
          <w:color w:val="auto"/>
          <w:sz w:val="32"/>
          <w:szCs w:val="32"/>
          <w:highlight w:val="none"/>
        </w:rPr>
      </w:pPr>
      <w:bookmarkStart w:id="100" w:name="_Toc383175286"/>
      <w:bookmarkStart w:id="101" w:name="_Toc329810196"/>
      <w:bookmarkStart w:id="102" w:name="_Toc383175484"/>
      <w:bookmarkStart w:id="103" w:name="_Toc86124054"/>
      <w:bookmarkStart w:id="104" w:name="_Toc383175062"/>
      <w:bookmarkStart w:id="105" w:name="_Toc7252743"/>
      <w:r>
        <w:rPr>
          <w:rFonts w:hint="eastAsia" w:ascii="宋体" w:hAnsi="宋体" w:eastAsia="宋体" w:cs="宋体"/>
          <w:b/>
          <w:color w:val="auto"/>
          <w:sz w:val="32"/>
          <w:szCs w:val="32"/>
          <w:highlight w:val="none"/>
        </w:rPr>
        <w:t>响应文件构成</w:t>
      </w:r>
      <w:bookmarkEnd w:id="100"/>
      <w:bookmarkEnd w:id="101"/>
      <w:bookmarkEnd w:id="102"/>
      <w:bookmarkEnd w:id="103"/>
      <w:bookmarkEnd w:id="104"/>
      <w:bookmarkEnd w:id="105"/>
    </w:p>
    <w:p w14:paraId="5D6A667C">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9.1</w:t>
      </w:r>
      <w:r>
        <w:rPr>
          <w:rFonts w:hint="eastAsia" w:ascii="宋体" w:hAnsi="宋体" w:eastAsia="宋体" w:cs="宋体"/>
          <w:color w:val="auto"/>
          <w:highlight w:val="none"/>
        </w:rPr>
        <w:tab/>
      </w:r>
      <w:r>
        <w:rPr>
          <w:rFonts w:hint="eastAsia" w:ascii="宋体" w:hAnsi="宋体" w:eastAsia="宋体" w:cs="宋体"/>
          <w:color w:val="auto"/>
          <w:highlight w:val="none"/>
        </w:rPr>
        <w:t>磋商申请人编写的响应文件应按第四章“响应文件格式”要求及内容要求填写。有关文件的提交如未特别注明需提供原件的，可提供复印件。</w:t>
      </w:r>
    </w:p>
    <w:p w14:paraId="78830AB6">
      <w:pPr>
        <w:pStyle w:val="50"/>
        <w:numPr>
          <w:ilvl w:val="1"/>
          <w:numId w:val="2"/>
        </w:numPr>
        <w:spacing w:line="360" w:lineRule="auto"/>
        <w:ind w:left="0" w:firstLine="643"/>
        <w:rPr>
          <w:rFonts w:ascii="宋体" w:hAnsi="宋体" w:eastAsia="宋体" w:cs="宋体"/>
          <w:b/>
          <w:color w:val="auto"/>
          <w:sz w:val="32"/>
          <w:szCs w:val="32"/>
          <w:highlight w:val="none"/>
        </w:rPr>
      </w:pPr>
      <w:bookmarkStart w:id="106" w:name="_Toc86124056"/>
      <w:bookmarkStart w:id="107" w:name="_Toc383175063"/>
      <w:bookmarkStart w:id="108" w:name="_Toc383175287"/>
      <w:bookmarkStart w:id="109" w:name="_Toc383175485"/>
      <w:bookmarkStart w:id="110" w:name="_Toc7252744"/>
      <w:bookmarkStart w:id="111" w:name="_Toc329810197"/>
      <w:r>
        <w:rPr>
          <w:rFonts w:hint="eastAsia" w:ascii="宋体" w:hAnsi="宋体" w:eastAsia="宋体" w:cs="宋体"/>
          <w:b/>
          <w:color w:val="auto"/>
          <w:sz w:val="32"/>
          <w:szCs w:val="32"/>
          <w:highlight w:val="none"/>
        </w:rPr>
        <w:t>报价</w:t>
      </w:r>
      <w:bookmarkEnd w:id="106"/>
      <w:r>
        <w:rPr>
          <w:rFonts w:hint="eastAsia" w:ascii="宋体" w:hAnsi="宋体" w:eastAsia="宋体" w:cs="宋体"/>
          <w:b/>
          <w:color w:val="auto"/>
          <w:sz w:val="32"/>
          <w:szCs w:val="32"/>
          <w:highlight w:val="none"/>
        </w:rPr>
        <w:t>和报价货币</w:t>
      </w:r>
      <w:bookmarkEnd w:id="107"/>
      <w:bookmarkEnd w:id="108"/>
      <w:bookmarkEnd w:id="109"/>
      <w:bookmarkEnd w:id="110"/>
      <w:bookmarkEnd w:id="111"/>
    </w:p>
    <w:p w14:paraId="22BEA95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10.1</w:t>
      </w:r>
      <w:r>
        <w:rPr>
          <w:rFonts w:hint="eastAsia" w:ascii="宋体" w:hAnsi="宋体" w:eastAsia="宋体" w:cs="宋体"/>
          <w:color w:val="auto"/>
          <w:highlight w:val="none"/>
        </w:rPr>
        <w:tab/>
      </w:r>
      <w:r>
        <w:rPr>
          <w:rFonts w:hint="eastAsia" w:ascii="宋体" w:hAnsi="宋体" w:eastAsia="宋体" w:cs="宋体"/>
          <w:color w:val="auto"/>
          <w:highlight w:val="none"/>
        </w:rPr>
        <w:t>本项目采购预算详见“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”，最后报价超过采购预算的磋商申请人将按无效处理。</w:t>
      </w:r>
    </w:p>
    <w:p w14:paraId="2AB8073E">
      <w:pPr>
        <w:spacing w:line="360" w:lineRule="auto"/>
        <w:ind w:firstLine="422" w:firstLineChars="200"/>
        <w:rPr>
          <w:rFonts w:ascii="宋体" w:hAnsi="宋体" w:eastAsia="宋体" w:cs="宋体"/>
          <w:color w:val="auto"/>
          <w:highlight w:val="none"/>
        </w:rPr>
      </w:pPr>
      <w:r>
        <w:rPr>
          <w:rFonts w:hint="eastAsia" w:ascii="宋体" w:hAnsi="宋体" w:eastAsia="宋体" w:cs="宋体"/>
          <w:b/>
          <w:bCs/>
          <w:color w:val="auto"/>
          <w:highlight w:val="none"/>
        </w:rPr>
        <w:t>10.2</w:t>
      </w:r>
      <w:r>
        <w:rPr>
          <w:rFonts w:hint="eastAsia" w:ascii="宋体" w:hAnsi="宋体" w:eastAsia="宋体" w:cs="宋体"/>
          <w:b/>
          <w:bCs/>
          <w:color w:val="auto"/>
          <w:highlight w:val="none"/>
        </w:rPr>
        <w:tab/>
      </w:r>
      <w:r>
        <w:rPr>
          <w:rFonts w:hint="eastAsia" w:ascii="宋体" w:hAnsi="宋体" w:eastAsia="宋体" w:cs="宋体"/>
          <w:b/>
          <w:bCs/>
          <w:color w:val="auto"/>
          <w:highlight w:val="none"/>
        </w:rPr>
        <w:t>磋商申请人须就“采购需求”中所有采购内容作完整唯一报价。</w:t>
      </w:r>
    </w:p>
    <w:p w14:paraId="3FFCD6EE">
      <w:pPr>
        <w:pStyle w:val="18"/>
        <w:spacing w:line="360" w:lineRule="auto"/>
        <w:ind w:firstLine="420" w:firstLineChars="200"/>
        <w:jc w:val="both"/>
        <w:rPr>
          <w:rFonts w:hAnsi="宋体"/>
          <w:color w:val="auto"/>
          <w:highlight w:val="none"/>
        </w:rPr>
      </w:pPr>
      <w:r>
        <w:rPr>
          <w:rFonts w:hint="eastAsia" w:hAnsi="宋体"/>
          <w:color w:val="auto"/>
          <w:highlight w:val="none"/>
        </w:rPr>
        <w:t>10.3</w:t>
      </w:r>
      <w:r>
        <w:rPr>
          <w:rFonts w:hint="eastAsia" w:hAnsi="宋体"/>
          <w:color w:val="auto"/>
          <w:highlight w:val="none"/>
        </w:rPr>
        <w:tab/>
      </w:r>
      <w:r>
        <w:rPr>
          <w:rFonts w:hint="eastAsia" w:hAnsi="宋体"/>
          <w:color w:val="auto"/>
          <w:highlight w:val="none"/>
        </w:rPr>
        <w:t>磋商申请人应依据磋商文件的要求及有关资料自行报价，执行国家或行业现行技术经济标准、定额及规范，自行测算出满足采购要求的服务的竞争性报价。报价均为人民币元或服务费率，磋商报价应包括完成本项目所需的一切费用，该报价应符合国内行情并不能保证磋商申请人完成履行合同所需的一切工作，为包干总价。合同一旦签订，此价格在合同实施期间将不因市场价格等的变化而调整。</w:t>
      </w:r>
    </w:p>
    <w:p w14:paraId="35BDEF7F">
      <w:pPr>
        <w:pStyle w:val="18"/>
        <w:spacing w:line="360" w:lineRule="auto"/>
        <w:ind w:firstLine="420" w:firstLineChars="200"/>
        <w:jc w:val="both"/>
        <w:rPr>
          <w:rFonts w:hAnsi="宋体"/>
          <w:color w:val="auto"/>
          <w:highlight w:val="none"/>
        </w:rPr>
      </w:pPr>
      <w:r>
        <w:rPr>
          <w:rFonts w:hint="eastAsia" w:hAnsi="宋体"/>
          <w:color w:val="auto"/>
          <w:highlight w:val="none"/>
        </w:rPr>
        <w:t>10.4</w:t>
      </w:r>
      <w:r>
        <w:rPr>
          <w:rFonts w:hint="eastAsia" w:hAnsi="宋体"/>
          <w:color w:val="auto"/>
          <w:highlight w:val="none"/>
        </w:rPr>
        <w:tab/>
      </w:r>
      <w:r>
        <w:rPr>
          <w:rFonts w:hint="eastAsia" w:hAnsi="宋体"/>
          <w:color w:val="auto"/>
          <w:highlight w:val="none"/>
        </w:rPr>
        <w:t>须完整报价，少报、漏报、错报视为已包含在磋商总报价中，结算时不作调整。</w:t>
      </w:r>
    </w:p>
    <w:p w14:paraId="118B9815">
      <w:pPr>
        <w:pStyle w:val="18"/>
        <w:spacing w:line="360" w:lineRule="auto"/>
        <w:ind w:firstLine="420" w:firstLineChars="200"/>
        <w:jc w:val="both"/>
        <w:rPr>
          <w:rFonts w:hAnsi="宋体"/>
          <w:color w:val="auto"/>
          <w:highlight w:val="none"/>
        </w:rPr>
      </w:pPr>
      <w:r>
        <w:rPr>
          <w:rFonts w:hint="eastAsia" w:hAnsi="宋体"/>
          <w:color w:val="auto"/>
          <w:highlight w:val="none"/>
        </w:rPr>
        <w:t>10.5</w:t>
      </w:r>
      <w:r>
        <w:rPr>
          <w:rFonts w:hint="eastAsia" w:hAnsi="宋体"/>
          <w:color w:val="auto"/>
          <w:highlight w:val="none"/>
        </w:rPr>
        <w:tab/>
      </w:r>
      <w:r>
        <w:rPr>
          <w:rFonts w:hint="eastAsia" w:hAnsi="宋体"/>
          <w:color w:val="auto"/>
          <w:highlight w:val="none"/>
        </w:rPr>
        <w:t>磋商申请人应根据“报价表”要求填写磋商报价组成情况。</w:t>
      </w:r>
    </w:p>
    <w:p w14:paraId="3B7E39B9">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highlight w:val="none"/>
        </w:rPr>
        <w:t>10.6</w:t>
      </w:r>
      <w:r>
        <w:rPr>
          <w:rFonts w:hint="eastAsia" w:ascii="宋体" w:hAnsi="宋体" w:eastAsia="宋体" w:cs="宋体"/>
          <w:color w:val="auto"/>
          <w:highlight w:val="none"/>
        </w:rPr>
        <w:tab/>
      </w:r>
      <w:r>
        <w:rPr>
          <w:rFonts w:hint="eastAsia" w:ascii="宋体" w:hAnsi="宋体" w:eastAsia="宋体" w:cs="宋体"/>
          <w:b/>
          <w:bCs/>
          <w:color w:val="auto"/>
          <w:highlight w:val="none"/>
        </w:rPr>
        <w:t>通过实质性审查的磋商申请人才能进入磋商程序并进行第二轮报价，第二轮报价为最终报价。</w:t>
      </w:r>
    </w:p>
    <w:p w14:paraId="55D6433C">
      <w:pPr>
        <w:spacing w:line="360" w:lineRule="auto"/>
        <w:ind w:firstLine="422" w:firstLineChars="200"/>
        <w:rPr>
          <w:rFonts w:ascii="宋体" w:hAnsi="宋体" w:eastAsia="宋体" w:cs="宋体"/>
          <w:b/>
          <w:bCs/>
          <w:color w:val="auto"/>
          <w:highlight w:val="none"/>
        </w:rPr>
      </w:pPr>
      <w:r>
        <w:rPr>
          <w:rFonts w:hint="eastAsia" w:ascii="宋体" w:hAnsi="宋体" w:eastAsia="宋体" w:cs="宋体"/>
          <w:b/>
          <w:bCs/>
          <w:color w:val="auto"/>
          <w:highlight w:val="none"/>
        </w:rPr>
        <w:t>10.7</w:t>
      </w:r>
      <w:r>
        <w:rPr>
          <w:rFonts w:hint="eastAsia" w:ascii="宋体" w:hAnsi="宋体" w:eastAsia="宋体" w:cs="宋体"/>
          <w:b/>
          <w:bCs/>
          <w:color w:val="auto"/>
          <w:highlight w:val="none"/>
        </w:rPr>
        <w:tab/>
      </w:r>
      <w:r>
        <w:rPr>
          <w:rFonts w:hint="eastAsia" w:ascii="宋体" w:hAnsi="宋体" w:eastAsia="宋体" w:cs="宋体"/>
          <w:b/>
          <w:bCs/>
          <w:color w:val="auto"/>
          <w:highlight w:val="none"/>
        </w:rPr>
        <w:t>最终报价文件应由法定代表人（负责人）或委托代理人签字，在规定的时间统一密封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2DA68BE4">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kern w:val="0"/>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4220D5AB">
      <w:pPr>
        <w:adjustRightIn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10.8</w:t>
      </w:r>
      <w:r>
        <w:rPr>
          <w:rFonts w:hint="eastAsia" w:ascii="宋体" w:hAnsi="宋体" w:eastAsia="宋体" w:cs="宋体"/>
          <w:color w:val="auto"/>
          <w:highlight w:val="none"/>
        </w:rPr>
        <w:tab/>
      </w:r>
      <w:r>
        <w:rPr>
          <w:rFonts w:hint="eastAsia" w:ascii="宋体" w:hAnsi="宋体" w:eastAsia="宋体" w:cs="宋体"/>
          <w:color w:val="auto"/>
          <w:highlight w:val="none"/>
        </w:rPr>
        <w:t>磋商申请人不得哄抬报价，也不应低于成本价（或进价）报价。磋商小组认为磋商申请人的最低报价或者某些分项报价明显不合理或者低于成本，有可能影响项目质量和不能诚信履约的，将要求其在规定的期限内提供书面文件予以解释说明，并提交相关证明材料。否则，磋商小组可以取消该磋商申请人的成交候选资格。</w:t>
      </w:r>
    </w:p>
    <w:p w14:paraId="61E57AB7">
      <w:pPr>
        <w:adjustRightIn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10.9</w:t>
      </w:r>
      <w:r>
        <w:rPr>
          <w:rFonts w:hint="eastAsia" w:ascii="宋体" w:hAnsi="宋体" w:eastAsia="宋体" w:cs="宋体"/>
          <w:color w:val="auto"/>
          <w:highlight w:val="none"/>
        </w:rPr>
        <w:tab/>
      </w:r>
      <w:r>
        <w:rPr>
          <w:rFonts w:hint="eastAsia" w:ascii="宋体" w:hAnsi="宋体" w:eastAsia="宋体" w:cs="宋体"/>
          <w:color w:val="auto"/>
          <w:kern w:val="0"/>
          <w:highlight w:val="none"/>
        </w:rPr>
        <w:t>本次采购的合同结算货币为</w:t>
      </w:r>
      <w:r>
        <w:rPr>
          <w:rFonts w:hint="eastAsia" w:ascii="宋体" w:hAnsi="宋体" w:eastAsia="宋体" w:cs="宋体"/>
          <w:color w:val="auto"/>
          <w:highlight w:val="none"/>
        </w:rPr>
        <w:t>人民币。</w:t>
      </w:r>
    </w:p>
    <w:p w14:paraId="3D97EF46">
      <w:pPr>
        <w:pStyle w:val="50"/>
        <w:numPr>
          <w:ilvl w:val="1"/>
          <w:numId w:val="2"/>
        </w:numPr>
        <w:spacing w:line="360" w:lineRule="auto"/>
        <w:ind w:left="0" w:firstLine="643"/>
        <w:rPr>
          <w:rFonts w:ascii="宋体" w:hAnsi="宋体" w:eastAsia="宋体" w:cs="宋体"/>
          <w:b/>
          <w:color w:val="auto"/>
          <w:sz w:val="32"/>
          <w:szCs w:val="32"/>
          <w:highlight w:val="none"/>
        </w:rPr>
      </w:pPr>
      <w:bookmarkStart w:id="112" w:name="_Toc383175064"/>
      <w:bookmarkStart w:id="113" w:name="_Toc329810198"/>
      <w:bookmarkStart w:id="114" w:name="_Toc7252745"/>
      <w:bookmarkStart w:id="115" w:name="_Toc86124058"/>
      <w:bookmarkStart w:id="116" w:name="_Toc383175486"/>
      <w:bookmarkStart w:id="117" w:name="_Toc383175288"/>
      <w:r>
        <w:rPr>
          <w:rFonts w:hint="eastAsia" w:ascii="宋体" w:hAnsi="宋体" w:eastAsia="宋体" w:cs="宋体"/>
          <w:b/>
          <w:color w:val="auto"/>
          <w:sz w:val="32"/>
          <w:szCs w:val="32"/>
          <w:highlight w:val="none"/>
        </w:rPr>
        <w:t>有效期</w:t>
      </w:r>
      <w:bookmarkEnd w:id="112"/>
      <w:bookmarkEnd w:id="113"/>
      <w:bookmarkEnd w:id="114"/>
      <w:bookmarkEnd w:id="115"/>
      <w:bookmarkEnd w:id="116"/>
      <w:bookmarkEnd w:id="117"/>
    </w:p>
    <w:p w14:paraId="2C9BA42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11.1</w:t>
      </w:r>
      <w:r>
        <w:rPr>
          <w:rFonts w:hint="eastAsia" w:ascii="宋体" w:hAnsi="宋体" w:eastAsia="宋体" w:cs="宋体"/>
          <w:color w:val="auto"/>
          <w:highlight w:val="none"/>
        </w:rPr>
        <w:tab/>
      </w:r>
      <w:r>
        <w:rPr>
          <w:rFonts w:hint="eastAsia" w:ascii="宋体" w:hAnsi="宋体" w:eastAsia="宋体" w:cs="宋体"/>
          <w:color w:val="auto"/>
          <w:highlight w:val="none"/>
        </w:rPr>
        <w:t>在“</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”规定的有效期内，磋商申请人不得要求撤销或修改其响应文件。</w:t>
      </w:r>
    </w:p>
    <w:p w14:paraId="2332703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11.2</w:t>
      </w:r>
      <w:r>
        <w:rPr>
          <w:rFonts w:hint="eastAsia" w:ascii="宋体" w:hAnsi="宋体" w:eastAsia="宋体" w:cs="宋体"/>
          <w:color w:val="auto"/>
          <w:highlight w:val="none"/>
        </w:rPr>
        <w:tab/>
      </w:r>
      <w:r>
        <w:rPr>
          <w:rFonts w:hint="eastAsia" w:ascii="宋体" w:hAnsi="宋体" w:eastAsia="宋体" w:cs="宋体"/>
          <w:color w:val="auto"/>
          <w:highlight w:val="none"/>
        </w:rPr>
        <w:t>因特殊情况需要延长有效期的，采购代理机构以书面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458C0333">
      <w:pPr>
        <w:pStyle w:val="50"/>
        <w:numPr>
          <w:ilvl w:val="1"/>
          <w:numId w:val="2"/>
        </w:numPr>
        <w:spacing w:line="360" w:lineRule="auto"/>
        <w:ind w:left="0" w:firstLine="643"/>
        <w:rPr>
          <w:rFonts w:ascii="宋体" w:hAnsi="宋体" w:eastAsia="宋体" w:cs="宋体"/>
          <w:b/>
          <w:color w:val="auto"/>
          <w:sz w:val="32"/>
          <w:szCs w:val="32"/>
          <w:highlight w:val="none"/>
        </w:rPr>
      </w:pPr>
      <w:bookmarkStart w:id="118" w:name="_Toc86124059"/>
      <w:bookmarkStart w:id="119" w:name="_Toc329810199"/>
      <w:bookmarkStart w:id="120" w:name="_Toc383175065"/>
      <w:bookmarkStart w:id="121" w:name="_Toc383175487"/>
      <w:bookmarkStart w:id="122" w:name="_Toc383175289"/>
      <w:bookmarkStart w:id="123" w:name="_Toc7252746"/>
      <w:r>
        <w:rPr>
          <w:rFonts w:hint="eastAsia" w:ascii="宋体" w:hAnsi="宋体" w:eastAsia="宋体" w:cs="宋体"/>
          <w:b/>
          <w:color w:val="auto"/>
          <w:sz w:val="32"/>
          <w:szCs w:val="32"/>
          <w:highlight w:val="none"/>
        </w:rPr>
        <w:t>磋商响应文件的</w:t>
      </w:r>
      <w:bookmarkEnd w:id="118"/>
      <w:bookmarkEnd w:id="119"/>
      <w:r>
        <w:rPr>
          <w:rFonts w:hint="eastAsia" w:ascii="宋体" w:hAnsi="宋体" w:eastAsia="宋体" w:cs="宋体"/>
          <w:b/>
          <w:color w:val="auto"/>
          <w:sz w:val="32"/>
          <w:szCs w:val="32"/>
          <w:highlight w:val="none"/>
        </w:rPr>
        <w:t>编制</w:t>
      </w:r>
      <w:bookmarkEnd w:id="120"/>
      <w:bookmarkEnd w:id="121"/>
      <w:bookmarkEnd w:id="122"/>
      <w:bookmarkEnd w:id="123"/>
    </w:p>
    <w:p w14:paraId="2CF84038">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12.1</w:t>
      </w:r>
      <w:r>
        <w:rPr>
          <w:rFonts w:hint="eastAsia" w:ascii="宋体" w:hAnsi="宋体" w:eastAsia="宋体" w:cs="宋体"/>
          <w:color w:val="auto"/>
          <w:highlight w:val="none"/>
        </w:rPr>
        <w:tab/>
      </w:r>
      <w:r>
        <w:rPr>
          <w:rFonts w:hint="eastAsia" w:ascii="宋体" w:hAnsi="宋体" w:eastAsia="宋体" w:cs="宋体"/>
          <w:b/>
          <w:bCs/>
          <w:color w:val="auto"/>
          <w:highlight w:val="none"/>
        </w:rPr>
        <w:t>磋商申请人在制作响应文件前，需先下载政采云电子投标客户端并进行安装，下 载安装完成之后，可通过账号密码或CA登录客户端制作响应文件。（政采云电子投标客户端下载网址： https://customer.zcygov.cn/CA-driver-download ）。</w:t>
      </w:r>
    </w:p>
    <w:p w14:paraId="211C479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12.2响应文件须按磋商文件要求由磋商申请人的法定代表人（负责人）或其委托代理人签字或盖单位章。</w:t>
      </w:r>
      <w:r>
        <w:rPr>
          <w:rFonts w:hint="eastAsia" w:ascii="宋体" w:hAnsi="宋体" w:eastAsia="宋体" w:cs="宋体"/>
          <w:b/>
          <w:bCs/>
          <w:color w:val="auto"/>
          <w:highlight w:val="none"/>
        </w:rPr>
        <w:t>委托代理人签字的，响应文件应附法定代表人（负责人）签署的授权委托书。</w:t>
      </w:r>
    </w:p>
    <w:p w14:paraId="128EFFF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12.3</w:t>
      </w:r>
      <w:r>
        <w:rPr>
          <w:rFonts w:hint="eastAsia" w:ascii="宋体" w:hAnsi="宋体" w:eastAsia="宋体" w:cs="宋体"/>
          <w:color w:val="auto"/>
          <w:highlight w:val="none"/>
        </w:rPr>
        <w:tab/>
      </w:r>
      <w:r>
        <w:rPr>
          <w:rFonts w:hint="eastAsia" w:ascii="宋体" w:hAnsi="宋体" w:eastAsia="宋体" w:cs="宋体"/>
          <w:color w:val="auto"/>
          <w:highlight w:val="none"/>
        </w:rPr>
        <w:t>响应文件应尽量避免涂改、行间插字或删除。如果出现上述情况，改动之处应加盖单位章或磋商申请人法定代表人（负责人）或其授权的代理人签字确认。</w:t>
      </w:r>
    </w:p>
    <w:p w14:paraId="533AF3E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12.4响应文件应由法定代表人（负责人）或其委托代理人在竞争性磋商文件第四章磋商响应文件格式部分规定签字处逐一签字，要求盖章处应盖单位章，若以投标专用章或合同专用章代替的，须出具磋商申请人单位公章对投标专用章或合同专用章的授权函原件。</w:t>
      </w:r>
    </w:p>
    <w:p w14:paraId="1C299C6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12.5电子响应文件在封面上应按照竞争性磋商文件要求进行编制。</w:t>
      </w:r>
    </w:p>
    <w:p w14:paraId="1840B5E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12.6</w:t>
      </w:r>
      <w:r>
        <w:rPr>
          <w:rFonts w:hint="eastAsia" w:ascii="宋体" w:hAnsi="宋体" w:eastAsia="宋体" w:cs="宋体"/>
          <w:color w:val="auto"/>
          <w:highlight w:val="none"/>
        </w:rPr>
        <w:tab/>
      </w:r>
      <w:r>
        <w:rPr>
          <w:rFonts w:hint="eastAsia" w:ascii="宋体" w:hAnsi="宋体" w:eastAsia="宋体" w:cs="宋体"/>
          <w:color w:val="auto"/>
          <w:highlight w:val="none"/>
        </w:rPr>
        <w:t>电子响应文件应按照竞争性磋商文件的要求进行编制目录并加密。</w:t>
      </w:r>
    </w:p>
    <w:p w14:paraId="5DC65C27">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12.7建议在政府采购云平台上传电子磋商响应文件时，将完整地电子磋商响应文件上传到商务技术部分，以避免出现遗漏情况。</w:t>
      </w:r>
    </w:p>
    <w:p w14:paraId="655304E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lang w:val="en-US" w:eastAsia="zh-CN"/>
        </w:rPr>
        <w:t>12.8</w:t>
      </w:r>
      <w:r>
        <w:rPr>
          <w:rFonts w:hint="eastAsia" w:ascii="宋体" w:hAnsi="宋体" w:eastAsia="宋体" w:cs="宋体"/>
          <w:color w:val="auto"/>
          <w:highlight w:val="none"/>
        </w:rPr>
        <w:t>响应文件上传及相关要求：见“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05089348">
      <w:pPr>
        <w:pStyle w:val="50"/>
        <w:numPr>
          <w:ilvl w:val="1"/>
          <w:numId w:val="2"/>
        </w:numPr>
        <w:spacing w:line="360" w:lineRule="auto"/>
        <w:ind w:left="0" w:firstLine="643"/>
        <w:rPr>
          <w:rFonts w:ascii="宋体" w:hAnsi="宋体" w:eastAsia="宋体" w:cs="宋体"/>
          <w:b/>
          <w:color w:val="auto"/>
          <w:sz w:val="32"/>
          <w:szCs w:val="32"/>
          <w:highlight w:val="none"/>
        </w:rPr>
      </w:pPr>
      <w:bookmarkStart w:id="124" w:name="_Toc7252747"/>
      <w:r>
        <w:rPr>
          <w:rFonts w:hint="eastAsia" w:ascii="宋体" w:hAnsi="宋体" w:eastAsia="宋体" w:cs="宋体"/>
          <w:b/>
          <w:color w:val="auto"/>
          <w:sz w:val="32"/>
          <w:szCs w:val="32"/>
          <w:highlight w:val="none"/>
        </w:rPr>
        <w:t>磋商保证金</w:t>
      </w:r>
      <w:bookmarkEnd w:id="124"/>
    </w:p>
    <w:p w14:paraId="69469AAE">
      <w:pPr>
        <w:pStyle w:val="50"/>
        <w:numPr>
          <w:ilvl w:val="1"/>
          <w:numId w:val="3"/>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磋商保证金为人民币。磋商申请人应在递交响应文件截止时间以前按“</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”规定的方式及金额交至保山市天瑞建设工程招标咨询有限公司，并在磋商有效期内保持有效。</w:t>
      </w:r>
    </w:p>
    <w:p w14:paraId="01D88F01">
      <w:pPr>
        <w:pStyle w:val="50"/>
        <w:numPr>
          <w:ilvl w:val="1"/>
          <w:numId w:val="3"/>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磋商保证金形式：磋商保证金应按“</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”规定的形式提交。</w:t>
      </w:r>
    </w:p>
    <w:p w14:paraId="7FC27B2B">
      <w:pPr>
        <w:pStyle w:val="50"/>
        <w:numPr>
          <w:ilvl w:val="1"/>
          <w:numId w:val="3"/>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办理保证金手续时，请务必在银行进账单或电汇单的用途栏或空白栏上注明项目名称及项目编号。</w:t>
      </w:r>
    </w:p>
    <w:p w14:paraId="5DF075A2">
      <w:pPr>
        <w:pStyle w:val="50"/>
        <w:numPr>
          <w:ilvl w:val="1"/>
          <w:numId w:val="3"/>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磋商申请人应在递交响应文件时向采购代理机构提交采购代理机构出具的保证金到账收据凭证，如果以电汇或网银转账等方式提交的则仅需出示电汇或网银转账凭证。</w:t>
      </w:r>
    </w:p>
    <w:p w14:paraId="242134D9">
      <w:pPr>
        <w:pStyle w:val="50"/>
        <w:numPr>
          <w:ilvl w:val="1"/>
          <w:numId w:val="3"/>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未成交的磋商申请人可在成交公告发出后5个工作日到采购代理机构办理退还保证金手续；成交人在签订合同后5个工作日内到采购代理机构办理退还磋商保证金手续。</w:t>
      </w:r>
    </w:p>
    <w:p w14:paraId="6ECF2219">
      <w:pPr>
        <w:pStyle w:val="50"/>
        <w:numPr>
          <w:ilvl w:val="1"/>
          <w:numId w:val="3"/>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 xml:space="preserve"> 下列情况发生时，磋商保证金将不予退还：</w:t>
      </w:r>
    </w:p>
    <w:p w14:paraId="024A3E82">
      <w:pPr>
        <w:pStyle w:val="50"/>
        <w:numPr>
          <w:ilvl w:val="0"/>
          <w:numId w:val="4"/>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磋商申请人在提交响应文件截止时间后撤回响应文件的；</w:t>
      </w:r>
    </w:p>
    <w:p w14:paraId="2040B7BC">
      <w:pPr>
        <w:pStyle w:val="50"/>
        <w:numPr>
          <w:ilvl w:val="0"/>
          <w:numId w:val="4"/>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磋商申请人在响应文件中提供虚假材料的；</w:t>
      </w:r>
    </w:p>
    <w:p w14:paraId="768202BB">
      <w:pPr>
        <w:pStyle w:val="50"/>
        <w:numPr>
          <w:ilvl w:val="0"/>
          <w:numId w:val="4"/>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除因不可抗力或磋商文件、成交通知书认可的情形以外，成交人不与采购人签订合同的；</w:t>
      </w:r>
    </w:p>
    <w:p w14:paraId="0933FB41">
      <w:pPr>
        <w:pStyle w:val="50"/>
        <w:numPr>
          <w:ilvl w:val="0"/>
          <w:numId w:val="4"/>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磋商申请人与采购人、其他磋商申请人或者采购代理机构恶意串通的；</w:t>
      </w:r>
    </w:p>
    <w:p w14:paraId="3B4D42B8">
      <w:pPr>
        <w:pStyle w:val="50"/>
        <w:numPr>
          <w:ilvl w:val="0"/>
          <w:numId w:val="4"/>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竞争性磋商文件规定的其他情形。</w:t>
      </w:r>
    </w:p>
    <w:p w14:paraId="30490680">
      <w:pPr>
        <w:pStyle w:val="3"/>
        <w:spacing w:before="0" w:after="0" w:line="360" w:lineRule="auto"/>
        <w:jc w:val="center"/>
        <w:rPr>
          <w:rFonts w:ascii="宋体" w:hAnsi="宋体" w:eastAsia="宋体" w:cs="宋体"/>
          <w:color w:val="auto"/>
          <w:highlight w:val="none"/>
        </w:rPr>
      </w:pPr>
      <w:bookmarkStart w:id="125" w:name="_Toc86124061"/>
      <w:bookmarkStart w:id="126" w:name="_Toc39092134"/>
      <w:bookmarkStart w:id="127" w:name="_Toc7252748"/>
      <w:r>
        <w:rPr>
          <w:rFonts w:hint="eastAsia" w:ascii="宋体" w:hAnsi="宋体" w:eastAsia="宋体" w:cs="宋体"/>
          <w:color w:val="auto"/>
          <w:highlight w:val="none"/>
        </w:rPr>
        <w:t>四、响应文件的提交</w:t>
      </w:r>
      <w:bookmarkEnd w:id="125"/>
      <w:bookmarkEnd w:id="126"/>
      <w:bookmarkEnd w:id="127"/>
    </w:p>
    <w:p w14:paraId="32480B4D">
      <w:pPr>
        <w:pStyle w:val="50"/>
        <w:numPr>
          <w:ilvl w:val="1"/>
          <w:numId w:val="2"/>
        </w:numPr>
        <w:spacing w:line="360" w:lineRule="auto"/>
        <w:ind w:left="0" w:firstLine="643"/>
        <w:rPr>
          <w:rFonts w:ascii="宋体" w:hAnsi="宋体" w:eastAsia="宋体" w:cs="宋体"/>
          <w:b/>
          <w:color w:val="auto"/>
          <w:sz w:val="32"/>
          <w:szCs w:val="32"/>
          <w:highlight w:val="none"/>
        </w:rPr>
      </w:pPr>
      <w:bookmarkStart w:id="128" w:name="_Toc329810202"/>
      <w:bookmarkStart w:id="129" w:name="_Toc383175068"/>
      <w:bookmarkStart w:id="130" w:name="_Toc383175292"/>
      <w:bookmarkStart w:id="131" w:name="_Toc7252749"/>
      <w:bookmarkStart w:id="132" w:name="_Toc86124062"/>
      <w:bookmarkStart w:id="133" w:name="_Toc383175490"/>
      <w:r>
        <w:rPr>
          <w:rFonts w:hint="eastAsia" w:ascii="宋体" w:hAnsi="宋体" w:eastAsia="宋体" w:cs="宋体"/>
          <w:b/>
          <w:color w:val="auto"/>
          <w:sz w:val="32"/>
          <w:szCs w:val="32"/>
          <w:highlight w:val="none"/>
        </w:rPr>
        <w:t>响应文件的</w:t>
      </w:r>
      <w:bookmarkEnd w:id="128"/>
      <w:bookmarkEnd w:id="129"/>
      <w:bookmarkEnd w:id="130"/>
      <w:bookmarkEnd w:id="131"/>
      <w:bookmarkEnd w:id="132"/>
      <w:bookmarkEnd w:id="133"/>
      <w:r>
        <w:rPr>
          <w:rFonts w:hint="eastAsia" w:ascii="宋体" w:hAnsi="宋体" w:eastAsia="宋体" w:cs="宋体"/>
          <w:b/>
          <w:color w:val="auto"/>
          <w:sz w:val="32"/>
          <w:szCs w:val="32"/>
          <w:highlight w:val="none"/>
        </w:rPr>
        <w:t>上传和递交</w:t>
      </w:r>
    </w:p>
    <w:p w14:paraId="143E5E3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14.1</w:t>
      </w:r>
      <w:r>
        <w:rPr>
          <w:rFonts w:hint="eastAsia" w:ascii="宋体" w:hAnsi="宋体" w:eastAsia="宋体" w:cs="宋体"/>
          <w:color w:val="auto"/>
          <w:highlight w:val="none"/>
        </w:rPr>
        <w:tab/>
      </w:r>
      <w:r>
        <w:rPr>
          <w:rFonts w:hint="eastAsia" w:ascii="宋体" w:hAnsi="宋体" w:eastAsia="宋体" w:cs="宋体"/>
          <w:color w:val="auto"/>
          <w:highlight w:val="none"/>
        </w:rPr>
        <w:t>磋商申请人应按“</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”中规定的提交响应文件。</w:t>
      </w:r>
    </w:p>
    <w:p w14:paraId="24E015E2">
      <w:pPr>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highlight w:val="none"/>
        </w:rPr>
        <w:t>14.2</w:t>
      </w:r>
      <w:r>
        <w:rPr>
          <w:rFonts w:hint="eastAsia" w:ascii="宋体" w:hAnsi="宋体" w:eastAsia="宋体" w:cs="宋体"/>
          <w:color w:val="auto"/>
          <w:highlight w:val="none"/>
        </w:rPr>
        <w:tab/>
      </w:r>
      <w:r>
        <w:rPr>
          <w:rFonts w:hint="eastAsia" w:ascii="宋体" w:hAnsi="宋体" w:eastAsia="宋体" w:cs="宋体"/>
          <w:color w:val="auto"/>
          <w:kern w:val="0"/>
          <w:szCs w:val="21"/>
          <w:highlight w:val="none"/>
        </w:rPr>
        <w:t>本项目采用在政府采购云平台（www.zcygov.cn）上进行采购与递交响应文件，无需现场递交纸质文件，但应在文件递交截止时间前登录系统，并根据开标系统的提示操作解密文件（采用现场参会解密磋商响应文件的，请在磋商会议现场指定电脑进行解密磋商响应文件）。</w:t>
      </w:r>
    </w:p>
    <w:p w14:paraId="2E73D0A2">
      <w:pPr>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14.3本次采购采用在政府采购云平台（www.zcygov.cn）上进行采购与递交响应文件，采购过程具体操作流程请各磋商申请人在政府采购云平台（https://www. zcygov.cn/）的网站操作指南中下载《供应商操作指南》查看操作或在该网站中采购学院中观看《政府采购电子交易供应商线上培训》相关视频。</w:t>
      </w:r>
    </w:p>
    <w:p w14:paraId="0E8D29DB">
      <w:pPr>
        <w:pStyle w:val="50"/>
        <w:numPr>
          <w:ilvl w:val="1"/>
          <w:numId w:val="2"/>
        </w:numPr>
        <w:spacing w:line="360" w:lineRule="auto"/>
        <w:ind w:left="0" w:firstLine="643"/>
        <w:rPr>
          <w:rFonts w:ascii="宋体" w:hAnsi="宋体" w:eastAsia="宋体" w:cs="宋体"/>
          <w:b/>
          <w:color w:val="auto"/>
          <w:sz w:val="32"/>
          <w:szCs w:val="32"/>
          <w:highlight w:val="none"/>
        </w:rPr>
      </w:pPr>
      <w:bookmarkStart w:id="134" w:name="_Toc86124063"/>
      <w:bookmarkStart w:id="135" w:name="_Toc383175293"/>
      <w:bookmarkStart w:id="136" w:name="_Toc383175069"/>
      <w:bookmarkStart w:id="137" w:name="_Toc383175491"/>
      <w:bookmarkStart w:id="138" w:name="_Toc7252750"/>
      <w:bookmarkStart w:id="139" w:name="_Toc329810203"/>
      <w:r>
        <w:rPr>
          <w:rFonts w:hint="eastAsia" w:ascii="宋体" w:hAnsi="宋体" w:eastAsia="宋体" w:cs="宋体"/>
          <w:b/>
          <w:color w:val="auto"/>
          <w:sz w:val="32"/>
          <w:szCs w:val="32"/>
          <w:highlight w:val="none"/>
        </w:rPr>
        <w:t>递交响应文件的截止时间和地点</w:t>
      </w:r>
      <w:bookmarkEnd w:id="134"/>
      <w:bookmarkEnd w:id="135"/>
      <w:bookmarkEnd w:id="136"/>
      <w:bookmarkEnd w:id="137"/>
      <w:bookmarkEnd w:id="138"/>
      <w:bookmarkEnd w:id="139"/>
    </w:p>
    <w:p w14:paraId="4FBFBACC">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15.1</w:t>
      </w:r>
      <w:r>
        <w:rPr>
          <w:rFonts w:hint="eastAsia" w:ascii="宋体" w:hAnsi="宋体" w:eastAsia="宋体" w:cs="宋体"/>
          <w:color w:val="auto"/>
          <w:highlight w:val="none"/>
        </w:rPr>
        <w:tab/>
      </w:r>
      <w:r>
        <w:rPr>
          <w:rFonts w:hint="eastAsia" w:ascii="宋体" w:hAnsi="宋体" w:eastAsia="宋体" w:cs="宋体"/>
          <w:color w:val="auto"/>
          <w:highlight w:val="none"/>
        </w:rPr>
        <w:t>响应文件的递交不得迟于“</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”规定的递交响应文件截止时间。</w:t>
      </w:r>
      <w:r>
        <w:rPr>
          <w:rFonts w:hint="eastAsia" w:ascii="宋体" w:hAnsi="宋体" w:eastAsia="宋体" w:cs="宋体"/>
          <w:b/>
          <w:bCs/>
          <w:color w:val="auto"/>
          <w:highlight w:val="none"/>
        </w:rPr>
        <w:t>电子响应文件须在竞争性磋商响应文件提交截止时间以前上传至政府采购云平台（www.zcygov.cn），逾期上传电子响应文件或磋商申请人在截止时间以前未能送达指定地点不能解密电子响应文件的，其磋商响应文件将被拒绝。</w:t>
      </w:r>
    </w:p>
    <w:p w14:paraId="0C535BE4">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highlight w:val="none"/>
        </w:rPr>
        <w:t>15.2</w:t>
      </w:r>
      <w:r>
        <w:rPr>
          <w:rFonts w:hint="eastAsia" w:ascii="宋体" w:hAnsi="宋体" w:eastAsia="宋体" w:cs="宋体"/>
          <w:color w:val="auto"/>
          <w:highlight w:val="none"/>
        </w:rPr>
        <w:tab/>
      </w:r>
      <w:r>
        <w:rPr>
          <w:rFonts w:hint="eastAsia" w:ascii="宋体" w:hAnsi="宋体" w:eastAsia="宋体" w:cs="宋体"/>
          <w:color w:val="auto"/>
          <w:highlight w:val="none"/>
        </w:rPr>
        <w:t>磋商申请人必须在规定时间内将响应文件上传到</w:t>
      </w:r>
      <w:r>
        <w:rPr>
          <w:rFonts w:hint="eastAsia" w:ascii="宋体" w:hAnsi="宋体" w:eastAsia="宋体" w:cs="宋体"/>
          <w:color w:val="auto"/>
          <w:kern w:val="0"/>
          <w:szCs w:val="21"/>
          <w:highlight w:val="none"/>
        </w:rPr>
        <w:t>政府采购云平台（www.zcygov.cn），采购人及采购代理机构将在</w:t>
      </w:r>
      <w:r>
        <w:rPr>
          <w:rFonts w:hint="eastAsia" w:ascii="宋体" w:hAnsi="宋体" w:eastAsia="宋体" w:cs="宋体"/>
          <w:color w:val="auto"/>
          <w:highlight w:val="none"/>
        </w:rPr>
        <w:t>“</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”规定的地点举行磋商会议。</w:t>
      </w:r>
    </w:p>
    <w:p w14:paraId="2660A10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15.3</w:t>
      </w:r>
      <w:r>
        <w:rPr>
          <w:rFonts w:hint="eastAsia" w:ascii="宋体" w:hAnsi="宋体" w:eastAsia="宋体" w:cs="宋体"/>
          <w:color w:val="auto"/>
          <w:highlight w:val="none"/>
        </w:rPr>
        <w:tab/>
      </w:r>
      <w:r>
        <w:rPr>
          <w:rFonts w:hint="eastAsia" w:ascii="宋体" w:hAnsi="宋体" w:eastAsia="宋体" w:cs="宋体"/>
          <w:color w:val="auto"/>
          <w:highlight w:val="none"/>
        </w:rPr>
        <w:t>除“</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”另有规定外，磋商申请人所递交的响应文件不予退还。</w:t>
      </w:r>
    </w:p>
    <w:p w14:paraId="129E66B1">
      <w:pPr>
        <w:pStyle w:val="3"/>
        <w:spacing w:before="0" w:after="0" w:line="360" w:lineRule="auto"/>
        <w:jc w:val="center"/>
        <w:rPr>
          <w:rFonts w:ascii="宋体" w:hAnsi="宋体" w:eastAsia="宋体" w:cs="宋体"/>
          <w:color w:val="auto"/>
          <w:highlight w:val="none"/>
        </w:rPr>
      </w:pPr>
      <w:bookmarkStart w:id="140" w:name="_Toc86124064"/>
      <w:bookmarkStart w:id="141" w:name="_Toc39092135"/>
      <w:bookmarkStart w:id="142" w:name="_Toc7252751"/>
      <w:r>
        <w:rPr>
          <w:rFonts w:hint="eastAsia" w:ascii="宋体" w:hAnsi="宋体" w:eastAsia="宋体" w:cs="宋体"/>
          <w:color w:val="auto"/>
          <w:highlight w:val="none"/>
        </w:rPr>
        <w:t>五、磋商</w:t>
      </w:r>
      <w:bookmarkEnd w:id="140"/>
      <w:bookmarkEnd w:id="141"/>
      <w:bookmarkEnd w:id="142"/>
    </w:p>
    <w:p w14:paraId="46BCD5D3">
      <w:pPr>
        <w:pStyle w:val="50"/>
        <w:numPr>
          <w:ilvl w:val="1"/>
          <w:numId w:val="2"/>
        </w:numPr>
        <w:spacing w:line="360" w:lineRule="auto"/>
        <w:ind w:left="0" w:firstLine="643"/>
        <w:rPr>
          <w:rFonts w:ascii="宋体" w:hAnsi="宋体" w:eastAsia="宋体" w:cs="宋体"/>
          <w:b/>
          <w:color w:val="auto"/>
          <w:sz w:val="32"/>
          <w:szCs w:val="32"/>
          <w:highlight w:val="none"/>
        </w:rPr>
      </w:pPr>
      <w:bookmarkStart w:id="143" w:name="_Toc7252752"/>
      <w:r>
        <w:rPr>
          <w:rFonts w:hint="eastAsia" w:ascii="宋体" w:hAnsi="宋体" w:eastAsia="宋体" w:cs="宋体"/>
          <w:b/>
          <w:color w:val="auto"/>
          <w:sz w:val="32"/>
          <w:szCs w:val="32"/>
          <w:highlight w:val="none"/>
        </w:rPr>
        <w:t>磋商</w:t>
      </w:r>
      <w:bookmarkEnd w:id="143"/>
    </w:p>
    <w:p w14:paraId="717BB5B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16.1</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采购代理机构将在“</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”规定的时间和地点进行磋商，磋商申请人的法定代表人（负责人）或其委托代理人应按时参加。</w:t>
      </w:r>
    </w:p>
    <w:p w14:paraId="49E37F3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16.2</w:t>
      </w:r>
      <w:r>
        <w:rPr>
          <w:rFonts w:hint="eastAsia" w:ascii="宋体" w:hAnsi="宋体" w:eastAsia="宋体" w:cs="宋体"/>
          <w:color w:val="auto"/>
          <w:highlight w:val="none"/>
        </w:rPr>
        <w:tab/>
      </w:r>
      <w:r>
        <w:rPr>
          <w:rFonts w:hint="eastAsia" w:ascii="宋体" w:hAnsi="宋体" w:eastAsia="宋体" w:cs="宋体"/>
          <w:color w:val="auto"/>
          <w:highlight w:val="none"/>
        </w:rPr>
        <w:t>磋商由磋商小组负责。磋商小组由采购人代表和有关技术、经济等方面的专家组成，成员人数应当为3人及以上单数。其中，技术、经济等方面的专家不得少于成员总数的三分之二。磋商应当推选组长，但采购人代表不得担任组长。</w:t>
      </w:r>
    </w:p>
    <w:p w14:paraId="5E2466E3">
      <w:pPr>
        <w:spacing w:line="360" w:lineRule="auto"/>
        <w:ind w:firstLine="422" w:firstLineChars="200"/>
        <w:rPr>
          <w:rFonts w:ascii="宋体" w:hAnsi="宋体" w:eastAsia="宋体" w:cs="宋体"/>
          <w:b/>
          <w:bCs/>
          <w:color w:val="auto"/>
          <w:highlight w:val="none"/>
        </w:rPr>
      </w:pPr>
      <w:r>
        <w:rPr>
          <w:rFonts w:hint="eastAsia" w:ascii="宋体" w:hAnsi="宋体" w:eastAsia="宋体" w:cs="宋体"/>
          <w:b/>
          <w:bCs/>
          <w:color w:val="auto"/>
          <w:highlight w:val="none"/>
        </w:rPr>
        <w:t>采购人委派代表参加磋商会议的，要向采购代理机构出具授权函。除授权代表外，采购人可以委派纪检监察等相关人员进入磋商现场，对磋商工作实施监督，但不得超过2人。</w:t>
      </w:r>
    </w:p>
    <w:p w14:paraId="36CB077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16.3</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磋商原则</w:t>
      </w:r>
    </w:p>
    <w:p w14:paraId="3A80C3D4">
      <w:pPr>
        <w:tabs>
          <w:tab w:val="left" w:pos="7980"/>
        </w:tabs>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磋商小组对各磋商申请人的响应文件进行详细评审。磋商小组按照得分的高低推荐成交候选人，推荐成交候选人1—3人，并标明排列顺序。</w:t>
      </w:r>
    </w:p>
    <w:p w14:paraId="75DAC94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16.4</w:t>
      </w:r>
      <w:r>
        <w:rPr>
          <w:rFonts w:hint="eastAsia" w:ascii="宋体" w:hAnsi="宋体" w:eastAsia="宋体" w:cs="宋体"/>
          <w:color w:val="auto"/>
          <w:highlight w:val="none"/>
        </w:rPr>
        <w:tab/>
      </w:r>
      <w:r>
        <w:rPr>
          <w:rFonts w:hint="eastAsia" w:ascii="宋体" w:hAnsi="宋体" w:eastAsia="宋体" w:cs="宋体"/>
          <w:color w:val="auto"/>
          <w:highlight w:val="none"/>
        </w:rPr>
        <w:t>磋商程序和方法</w:t>
      </w:r>
    </w:p>
    <w:p w14:paraId="166E38C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磋商小组按照第六章“磋商程序和方法”规定的方法、因素、标准和程序进行磋商。</w:t>
      </w:r>
    </w:p>
    <w:p w14:paraId="7008FF9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16.5</w:t>
      </w:r>
      <w:r>
        <w:rPr>
          <w:rFonts w:hint="eastAsia" w:ascii="宋体" w:hAnsi="宋体" w:eastAsia="宋体" w:cs="宋体"/>
          <w:color w:val="auto"/>
          <w:highlight w:val="none"/>
        </w:rPr>
        <w:tab/>
      </w:r>
      <w:r>
        <w:rPr>
          <w:rFonts w:hint="eastAsia" w:ascii="宋体" w:hAnsi="宋体" w:eastAsia="宋体" w:cs="宋体"/>
          <w:color w:val="auto"/>
          <w:highlight w:val="none"/>
        </w:rPr>
        <w:t>磋商文件</w:t>
      </w:r>
      <w:r>
        <w:rPr>
          <w:rFonts w:hint="eastAsia" w:ascii="宋体" w:hAnsi="宋体" w:eastAsia="宋体" w:cs="宋体"/>
          <w:b/>
          <w:bCs/>
          <w:color w:val="auto"/>
          <w:highlight w:val="none"/>
          <w:u w:val="single"/>
        </w:rPr>
        <w:t>第六章“磋商程序和方法”前附表第2.1款实质性要求为磋商文件的实质性内容，未实质性响应磋商文件的磋商申请人的响应文件将按无效处理，该磋商申请人不得再继续参加磋商</w:t>
      </w:r>
      <w:r>
        <w:rPr>
          <w:rFonts w:hint="eastAsia" w:ascii="宋体" w:hAnsi="宋体" w:eastAsia="宋体" w:cs="宋体"/>
          <w:color w:val="auto"/>
          <w:highlight w:val="none"/>
        </w:rPr>
        <w:t>。</w:t>
      </w:r>
    </w:p>
    <w:p w14:paraId="664908C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16.6</w:t>
      </w:r>
      <w:r>
        <w:rPr>
          <w:rFonts w:hint="eastAsia" w:ascii="宋体" w:hAnsi="宋体" w:eastAsia="宋体" w:cs="宋体"/>
          <w:color w:val="auto"/>
          <w:highlight w:val="none"/>
        </w:rPr>
        <w:tab/>
      </w:r>
      <w:r>
        <w:rPr>
          <w:rFonts w:hint="eastAsia" w:ascii="宋体" w:hAnsi="宋体" w:eastAsia="宋体" w:cs="宋体"/>
          <w:color w:val="auto"/>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08243B5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71669DA3">
      <w:pPr>
        <w:pStyle w:val="50"/>
        <w:numPr>
          <w:ilvl w:val="1"/>
          <w:numId w:val="2"/>
        </w:numPr>
        <w:spacing w:line="360" w:lineRule="auto"/>
        <w:ind w:left="0" w:firstLine="643"/>
        <w:rPr>
          <w:rFonts w:ascii="宋体" w:hAnsi="宋体" w:eastAsia="宋体" w:cs="宋体"/>
          <w:b/>
          <w:color w:val="auto"/>
          <w:sz w:val="32"/>
          <w:szCs w:val="32"/>
          <w:highlight w:val="none"/>
        </w:rPr>
      </w:pPr>
      <w:bookmarkStart w:id="144" w:name="_Toc383175494"/>
      <w:bookmarkStart w:id="145" w:name="_Toc383175296"/>
      <w:bookmarkStart w:id="146" w:name="_Toc7252753"/>
      <w:bookmarkStart w:id="147" w:name="_Toc86124067"/>
      <w:bookmarkStart w:id="148" w:name="_Toc329810207"/>
      <w:bookmarkStart w:id="149" w:name="_Toc383175072"/>
      <w:r>
        <w:rPr>
          <w:rFonts w:hint="eastAsia" w:ascii="宋体" w:hAnsi="宋体" w:eastAsia="宋体" w:cs="宋体"/>
          <w:b/>
          <w:color w:val="auto"/>
          <w:sz w:val="32"/>
          <w:szCs w:val="32"/>
          <w:highlight w:val="none"/>
        </w:rPr>
        <w:t>磋商过程的保密</w:t>
      </w:r>
      <w:bookmarkEnd w:id="144"/>
      <w:bookmarkEnd w:id="145"/>
      <w:bookmarkEnd w:id="146"/>
      <w:bookmarkEnd w:id="147"/>
      <w:bookmarkEnd w:id="148"/>
      <w:bookmarkEnd w:id="149"/>
    </w:p>
    <w:p w14:paraId="3C1E31F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58259E45">
      <w:pPr>
        <w:pStyle w:val="50"/>
        <w:numPr>
          <w:ilvl w:val="1"/>
          <w:numId w:val="2"/>
        </w:numPr>
        <w:spacing w:line="360" w:lineRule="auto"/>
        <w:ind w:left="0" w:firstLine="643"/>
        <w:rPr>
          <w:rFonts w:ascii="宋体" w:hAnsi="宋体" w:eastAsia="宋体" w:cs="宋体"/>
          <w:b/>
          <w:color w:val="auto"/>
          <w:sz w:val="32"/>
          <w:szCs w:val="32"/>
          <w:highlight w:val="none"/>
        </w:rPr>
      </w:pPr>
      <w:bookmarkStart w:id="150" w:name="_Toc86124068"/>
      <w:bookmarkStart w:id="151" w:name="_Toc383175297"/>
      <w:bookmarkStart w:id="152" w:name="_Toc329810208"/>
      <w:bookmarkStart w:id="153" w:name="_Toc378499713"/>
      <w:bookmarkStart w:id="154" w:name="_Toc383175073"/>
      <w:bookmarkStart w:id="155" w:name="_Toc7252754"/>
      <w:bookmarkStart w:id="156" w:name="_Toc383175495"/>
      <w:r>
        <w:rPr>
          <w:rFonts w:hint="eastAsia" w:ascii="宋体" w:hAnsi="宋体" w:eastAsia="宋体" w:cs="宋体"/>
          <w:b/>
          <w:color w:val="auto"/>
          <w:sz w:val="32"/>
          <w:szCs w:val="32"/>
          <w:highlight w:val="none"/>
        </w:rPr>
        <w:t>出现下列情形之一的，将终止竞争性磋商采购活动，并发布项目终止公告并说明原因，重新开展采购活动：</w:t>
      </w:r>
      <w:bookmarkEnd w:id="150"/>
      <w:bookmarkEnd w:id="151"/>
      <w:bookmarkEnd w:id="152"/>
      <w:bookmarkEnd w:id="153"/>
      <w:bookmarkEnd w:id="154"/>
      <w:bookmarkEnd w:id="155"/>
      <w:bookmarkEnd w:id="156"/>
    </w:p>
    <w:p w14:paraId="0F32CD0A">
      <w:pPr>
        <w:pStyle w:val="50"/>
        <w:numPr>
          <w:ilvl w:val="2"/>
          <w:numId w:val="5"/>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因情况变化，不再符合规定的竞争性磋商采购方式适用情形的；</w:t>
      </w:r>
    </w:p>
    <w:p w14:paraId="312E9DED">
      <w:pPr>
        <w:pStyle w:val="50"/>
        <w:numPr>
          <w:ilvl w:val="2"/>
          <w:numId w:val="5"/>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出现影响采购公正的违法、违规行为的；</w:t>
      </w:r>
    </w:p>
    <w:p w14:paraId="320F0974">
      <w:pPr>
        <w:pStyle w:val="50"/>
        <w:numPr>
          <w:ilvl w:val="2"/>
          <w:numId w:val="5"/>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在采购过程中符合竞争要求的供应商或者因实质性变更造成报价未超过采购预算或相应最高限价的供应商不符合规定的。</w:t>
      </w:r>
    </w:p>
    <w:p w14:paraId="5E91DF5E">
      <w:pPr>
        <w:pStyle w:val="3"/>
        <w:spacing w:before="0" w:after="0" w:line="360" w:lineRule="auto"/>
        <w:jc w:val="center"/>
        <w:rPr>
          <w:rFonts w:ascii="宋体" w:hAnsi="宋体" w:eastAsia="宋体" w:cs="宋体"/>
          <w:color w:val="auto"/>
          <w:highlight w:val="none"/>
        </w:rPr>
      </w:pPr>
      <w:bookmarkStart w:id="157" w:name="_Toc39092136"/>
      <w:bookmarkStart w:id="158" w:name="_Toc86124069"/>
      <w:bookmarkStart w:id="159" w:name="_Toc7252755"/>
      <w:r>
        <w:rPr>
          <w:rFonts w:hint="eastAsia" w:ascii="宋体" w:hAnsi="宋体" w:eastAsia="宋体" w:cs="宋体"/>
          <w:color w:val="auto"/>
          <w:highlight w:val="none"/>
        </w:rPr>
        <w:t>六、成交结果</w:t>
      </w:r>
      <w:bookmarkEnd w:id="157"/>
      <w:bookmarkEnd w:id="158"/>
      <w:bookmarkEnd w:id="159"/>
    </w:p>
    <w:p w14:paraId="4E5F5DDB">
      <w:pPr>
        <w:pStyle w:val="50"/>
        <w:numPr>
          <w:ilvl w:val="1"/>
          <w:numId w:val="2"/>
        </w:numPr>
        <w:spacing w:line="360" w:lineRule="auto"/>
        <w:ind w:left="0" w:firstLine="643"/>
        <w:rPr>
          <w:rFonts w:ascii="宋体" w:hAnsi="宋体" w:eastAsia="宋体" w:cs="宋体"/>
          <w:b/>
          <w:color w:val="auto"/>
          <w:sz w:val="32"/>
          <w:szCs w:val="32"/>
          <w:highlight w:val="none"/>
        </w:rPr>
      </w:pPr>
      <w:bookmarkStart w:id="160" w:name="_Toc383175299"/>
      <w:bookmarkStart w:id="161" w:name="_Toc383175075"/>
      <w:bookmarkStart w:id="162" w:name="_Toc329810210"/>
      <w:bookmarkStart w:id="163" w:name="_Toc7252756"/>
      <w:bookmarkStart w:id="164" w:name="_Toc383175497"/>
      <w:bookmarkStart w:id="165" w:name="_Toc86124070"/>
      <w:r>
        <w:rPr>
          <w:rFonts w:hint="eastAsia" w:ascii="宋体" w:hAnsi="宋体" w:eastAsia="宋体" w:cs="宋体"/>
          <w:b/>
          <w:color w:val="auto"/>
          <w:sz w:val="32"/>
          <w:szCs w:val="32"/>
          <w:highlight w:val="none"/>
        </w:rPr>
        <w:t>成交人的确定</w:t>
      </w:r>
      <w:bookmarkEnd w:id="160"/>
      <w:bookmarkEnd w:id="161"/>
      <w:bookmarkEnd w:id="162"/>
      <w:bookmarkEnd w:id="163"/>
      <w:bookmarkEnd w:id="164"/>
      <w:bookmarkEnd w:id="165"/>
    </w:p>
    <w:p w14:paraId="6A9E00FB">
      <w:pPr>
        <w:spacing w:line="360" w:lineRule="auto"/>
        <w:ind w:firstLine="420" w:firstLineChars="200"/>
        <w:rPr>
          <w:rFonts w:ascii="宋体" w:hAnsi="宋体" w:eastAsia="宋体" w:cs="宋体"/>
          <w:color w:val="auto"/>
          <w:highlight w:val="none"/>
        </w:rPr>
      </w:pPr>
      <w:bookmarkStart w:id="166" w:name="_Toc329810211"/>
      <w:r>
        <w:rPr>
          <w:rFonts w:hint="eastAsia" w:ascii="宋体" w:hAnsi="宋体" w:eastAsia="宋体" w:cs="宋体"/>
          <w:color w:val="auto"/>
          <w:highlight w:val="none"/>
        </w:rPr>
        <w:t>19.1</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采购代理机构在评审结束后2个工作日内将评审报告送采购人确认。</w:t>
      </w:r>
    </w:p>
    <w:p w14:paraId="5099010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19.2</w:t>
      </w:r>
      <w:r>
        <w:rPr>
          <w:rFonts w:hint="eastAsia" w:ascii="宋体" w:hAnsi="宋体" w:eastAsia="宋体" w:cs="宋体"/>
          <w:color w:val="auto"/>
          <w:highlight w:val="none"/>
        </w:rPr>
        <w:tab/>
      </w:r>
      <w:r>
        <w:rPr>
          <w:rFonts w:hint="eastAsia" w:ascii="宋体" w:hAnsi="宋体" w:eastAsia="宋体" w:cs="宋体"/>
          <w:color w:val="auto"/>
          <w:highlight w:val="none"/>
        </w:rPr>
        <w:t>采购人应当在收到评审报告后5个工作日内，从评审报告提出的成交候选人中，按照综合得分由高到低的原则确定成交人。</w:t>
      </w:r>
    </w:p>
    <w:p w14:paraId="2EF0003F">
      <w:pPr>
        <w:pStyle w:val="50"/>
        <w:numPr>
          <w:ilvl w:val="1"/>
          <w:numId w:val="2"/>
        </w:numPr>
        <w:spacing w:line="360" w:lineRule="auto"/>
        <w:ind w:left="0" w:firstLine="643"/>
        <w:rPr>
          <w:rFonts w:ascii="宋体" w:hAnsi="宋体" w:eastAsia="宋体" w:cs="宋体"/>
          <w:b/>
          <w:color w:val="auto"/>
          <w:sz w:val="32"/>
          <w:szCs w:val="32"/>
          <w:highlight w:val="none"/>
        </w:rPr>
      </w:pPr>
      <w:bookmarkStart w:id="167" w:name="_Toc383175498"/>
      <w:bookmarkStart w:id="168" w:name="_Toc383175300"/>
      <w:bookmarkStart w:id="169" w:name="_Toc383175076"/>
      <w:bookmarkStart w:id="170" w:name="_Toc7252757"/>
      <w:r>
        <w:rPr>
          <w:rFonts w:hint="eastAsia" w:ascii="宋体" w:hAnsi="宋体" w:eastAsia="宋体" w:cs="宋体"/>
          <w:b/>
          <w:color w:val="auto"/>
          <w:sz w:val="32"/>
          <w:szCs w:val="32"/>
          <w:highlight w:val="none"/>
        </w:rPr>
        <w:t>成交通知书</w:t>
      </w:r>
      <w:bookmarkEnd w:id="166"/>
      <w:bookmarkEnd w:id="167"/>
      <w:bookmarkEnd w:id="168"/>
      <w:bookmarkEnd w:id="169"/>
      <w:bookmarkEnd w:id="170"/>
    </w:p>
    <w:p w14:paraId="3AB6ADAA">
      <w:pPr>
        <w:spacing w:line="360" w:lineRule="auto"/>
        <w:ind w:firstLine="420" w:firstLineChars="200"/>
        <w:jc w:val="left"/>
        <w:rPr>
          <w:rFonts w:ascii="宋体" w:hAnsi="宋体" w:eastAsia="宋体" w:cs="宋体"/>
          <w:color w:val="auto"/>
          <w:highlight w:val="none"/>
        </w:rPr>
      </w:pPr>
      <w:bookmarkStart w:id="171" w:name="_Toc329810212"/>
      <w:bookmarkStart w:id="172" w:name="_Toc86124072"/>
      <w:r>
        <w:rPr>
          <w:rFonts w:hint="eastAsia" w:ascii="宋体" w:hAnsi="宋体" w:eastAsia="宋体" w:cs="宋体"/>
          <w:color w:val="auto"/>
          <w:highlight w:val="none"/>
        </w:rPr>
        <w:t>20.1</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采购代理机构将在成交人确定后2个工作日内，</w:t>
      </w:r>
      <w:r>
        <w:rPr>
          <w:rFonts w:hint="eastAsia" w:ascii="宋体" w:hAnsi="宋体" w:eastAsia="宋体" w:cs="宋体"/>
          <w:color w:val="auto"/>
          <w:kern w:val="0"/>
          <w:highlight w:val="none"/>
        </w:rPr>
        <w:t>在</w:t>
      </w:r>
      <w:r>
        <w:rPr>
          <w:rFonts w:hint="eastAsia" w:ascii="宋体" w:hAnsi="宋体" w:eastAsia="宋体" w:cs="宋体"/>
          <w:color w:val="auto"/>
          <w:kern w:val="0"/>
          <w:szCs w:val="21"/>
          <w:highlight w:val="none"/>
        </w:rPr>
        <w:t>云南省政府采购网（www.yngp.com）</w:t>
      </w:r>
      <w:r>
        <w:rPr>
          <w:rFonts w:hint="eastAsia" w:ascii="宋体" w:hAnsi="宋体" w:eastAsia="宋体" w:cs="宋体"/>
          <w:color w:val="auto"/>
          <w:kern w:val="0"/>
          <w:highlight w:val="none"/>
        </w:rPr>
        <w:t>上公告，</w:t>
      </w:r>
      <w:r>
        <w:rPr>
          <w:rFonts w:hint="eastAsia" w:ascii="宋体" w:hAnsi="宋体" w:eastAsia="宋体" w:cs="宋体"/>
          <w:color w:val="auto"/>
          <w:highlight w:val="none"/>
        </w:rPr>
        <w:t>同时向成交人发出成交通知书。</w:t>
      </w:r>
    </w:p>
    <w:p w14:paraId="3A8D182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20.2</w:t>
      </w:r>
      <w:r>
        <w:rPr>
          <w:rFonts w:hint="eastAsia" w:ascii="宋体" w:hAnsi="宋体" w:eastAsia="宋体" w:cs="宋体"/>
          <w:color w:val="auto"/>
          <w:highlight w:val="none"/>
        </w:rPr>
        <w:tab/>
      </w:r>
      <w:r>
        <w:rPr>
          <w:rFonts w:hint="eastAsia" w:ascii="宋体" w:hAnsi="宋体" w:eastAsia="宋体" w:cs="宋体"/>
          <w:color w:val="auto"/>
          <w:highlight w:val="none"/>
        </w:rPr>
        <w:t>成交通知书是合同的一个组成部分。</w:t>
      </w:r>
    </w:p>
    <w:p w14:paraId="3E813F4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20.3</w:t>
      </w:r>
      <w:r>
        <w:rPr>
          <w:rFonts w:hint="eastAsia" w:ascii="宋体" w:hAnsi="宋体" w:eastAsia="宋体" w:cs="宋体"/>
          <w:color w:val="auto"/>
          <w:highlight w:val="none"/>
        </w:rPr>
        <w:tab/>
      </w:r>
      <w:r>
        <w:rPr>
          <w:rFonts w:hint="eastAsia" w:ascii="宋体" w:hAnsi="宋体" w:eastAsia="宋体" w:cs="宋体"/>
          <w:color w:val="auto"/>
          <w:highlight w:val="none"/>
        </w:rPr>
        <w:t>除不可抗力等因素外，成交通知书发出后，采购人改变成交结果，或者成交人拒绝签订政府采购合同的，应当承担相应的法律责任。</w:t>
      </w:r>
    </w:p>
    <w:p w14:paraId="291F683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20.4</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采购代理机构无义务向未成交的磋商申请人解释未成交原因和退回响应文件。</w:t>
      </w:r>
    </w:p>
    <w:p w14:paraId="547A29CF">
      <w:pPr>
        <w:pStyle w:val="50"/>
        <w:numPr>
          <w:ilvl w:val="1"/>
          <w:numId w:val="2"/>
        </w:numPr>
        <w:spacing w:line="360" w:lineRule="auto"/>
        <w:ind w:left="0" w:firstLine="643"/>
        <w:rPr>
          <w:rFonts w:ascii="宋体" w:hAnsi="宋体" w:eastAsia="宋体" w:cs="宋体"/>
          <w:b/>
          <w:color w:val="auto"/>
          <w:sz w:val="32"/>
          <w:szCs w:val="32"/>
          <w:highlight w:val="none"/>
        </w:rPr>
      </w:pPr>
      <w:bookmarkStart w:id="173" w:name="_Toc383175499"/>
      <w:bookmarkStart w:id="174" w:name="_Toc383175301"/>
      <w:bookmarkStart w:id="175" w:name="_Toc383175077"/>
      <w:bookmarkStart w:id="176" w:name="_Toc7252758"/>
      <w:r>
        <w:rPr>
          <w:rFonts w:hint="eastAsia" w:ascii="宋体" w:hAnsi="宋体" w:eastAsia="宋体" w:cs="宋体"/>
          <w:b/>
          <w:color w:val="auto"/>
          <w:sz w:val="32"/>
          <w:szCs w:val="32"/>
          <w:highlight w:val="none"/>
        </w:rPr>
        <w:t>签订合同</w:t>
      </w:r>
      <w:bookmarkEnd w:id="171"/>
      <w:bookmarkEnd w:id="172"/>
      <w:bookmarkEnd w:id="173"/>
      <w:bookmarkEnd w:id="174"/>
      <w:bookmarkEnd w:id="175"/>
      <w:bookmarkEnd w:id="176"/>
    </w:p>
    <w:p w14:paraId="1299197C">
      <w:pPr>
        <w:pStyle w:val="50"/>
        <w:numPr>
          <w:ilvl w:val="1"/>
          <w:numId w:val="6"/>
        </w:numPr>
        <w:spacing w:line="360" w:lineRule="auto"/>
        <w:ind w:left="0" w:firstLine="420"/>
        <w:rPr>
          <w:rFonts w:ascii="宋体" w:hAnsi="宋体" w:eastAsia="宋体" w:cs="宋体"/>
          <w:color w:val="auto"/>
          <w:highlight w:val="none"/>
        </w:rPr>
      </w:pPr>
      <w:bookmarkStart w:id="177" w:name="_Toc86124073"/>
      <w:bookmarkStart w:id="178" w:name="_Toc329810213"/>
      <w:r>
        <w:rPr>
          <w:rFonts w:hint="eastAsia" w:ascii="宋体" w:hAnsi="宋体" w:eastAsia="宋体" w:cs="宋体"/>
          <w:color w:val="auto"/>
          <w:highlight w:val="none"/>
        </w:rPr>
        <w:t>采购人与成交人应当在成交通知书发出之日起30日内，按照竞争性磋商文件确定的合同文本以及采购标的、规格型号、采购金额、采购数量、技术和服务要求等事项签订政府采购合同。</w:t>
      </w:r>
    </w:p>
    <w:p w14:paraId="32BE1388">
      <w:pPr>
        <w:pStyle w:val="50"/>
        <w:numPr>
          <w:ilvl w:val="1"/>
          <w:numId w:val="6"/>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成交人拒绝签订政府采购合同的，采购人可以按照《政府采购竞争性磋商采购方式管理暂行办法》规定的原则确定其他磋商申请人作为成交人并签订政府采购合同，也可以重新开展采购活动。拒绝签订政府采购合同的成交人不得参加对该项目重新开展的采购活动。</w:t>
      </w:r>
      <w:bookmarkEnd w:id="177"/>
      <w:bookmarkEnd w:id="178"/>
    </w:p>
    <w:p w14:paraId="605F5200">
      <w:pPr>
        <w:pStyle w:val="3"/>
        <w:spacing w:before="0" w:after="0" w:line="360" w:lineRule="auto"/>
        <w:jc w:val="center"/>
        <w:rPr>
          <w:rFonts w:ascii="宋体" w:hAnsi="宋体" w:eastAsia="宋体" w:cs="宋体"/>
          <w:color w:val="auto"/>
          <w:highlight w:val="none"/>
        </w:rPr>
      </w:pPr>
      <w:bookmarkStart w:id="179" w:name="_Toc7252759"/>
      <w:bookmarkStart w:id="180" w:name="_Toc86124074"/>
      <w:bookmarkStart w:id="181" w:name="_Toc39092137"/>
      <w:r>
        <w:rPr>
          <w:rFonts w:hint="eastAsia" w:ascii="宋体" w:hAnsi="宋体" w:eastAsia="宋体" w:cs="宋体"/>
          <w:color w:val="auto"/>
          <w:highlight w:val="none"/>
        </w:rPr>
        <w:t>七、其他事项</w:t>
      </w:r>
      <w:bookmarkEnd w:id="179"/>
      <w:bookmarkEnd w:id="180"/>
      <w:bookmarkEnd w:id="181"/>
    </w:p>
    <w:p w14:paraId="0623FD51">
      <w:pPr>
        <w:pStyle w:val="50"/>
        <w:numPr>
          <w:ilvl w:val="1"/>
          <w:numId w:val="2"/>
        </w:numPr>
        <w:spacing w:line="360" w:lineRule="auto"/>
        <w:ind w:left="0" w:firstLine="643"/>
        <w:rPr>
          <w:rFonts w:ascii="宋体" w:hAnsi="宋体" w:eastAsia="宋体" w:cs="宋体"/>
          <w:b/>
          <w:color w:val="auto"/>
          <w:sz w:val="32"/>
          <w:szCs w:val="32"/>
          <w:highlight w:val="none"/>
        </w:rPr>
      </w:pPr>
      <w:bookmarkStart w:id="182" w:name="_Toc383175502"/>
      <w:bookmarkStart w:id="183" w:name="_Toc383175304"/>
      <w:bookmarkStart w:id="184" w:name="_Toc383175080"/>
      <w:bookmarkStart w:id="185" w:name="_Toc329810215"/>
      <w:bookmarkStart w:id="186" w:name="_Toc7252760"/>
      <w:r>
        <w:rPr>
          <w:rFonts w:hint="eastAsia" w:ascii="宋体" w:hAnsi="宋体" w:eastAsia="宋体" w:cs="宋体"/>
          <w:b/>
          <w:color w:val="auto"/>
          <w:sz w:val="32"/>
          <w:szCs w:val="32"/>
          <w:highlight w:val="none"/>
        </w:rPr>
        <w:t>质疑和投诉</w:t>
      </w:r>
      <w:bookmarkEnd w:id="182"/>
      <w:bookmarkEnd w:id="183"/>
      <w:bookmarkEnd w:id="184"/>
      <w:bookmarkEnd w:id="185"/>
      <w:bookmarkEnd w:id="186"/>
    </w:p>
    <w:p w14:paraId="2DB1AB6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22.1</w:t>
      </w:r>
      <w:r>
        <w:rPr>
          <w:rFonts w:hint="eastAsia" w:ascii="宋体" w:hAnsi="宋体" w:eastAsia="宋体" w:cs="宋体"/>
          <w:color w:val="auto"/>
          <w:highlight w:val="none"/>
        </w:rPr>
        <w:tab/>
      </w:r>
      <w:r>
        <w:rPr>
          <w:rFonts w:hint="eastAsia" w:ascii="宋体" w:hAnsi="宋体" w:eastAsia="宋体" w:cs="宋体"/>
          <w:color w:val="auto"/>
          <w:highlight w:val="none"/>
        </w:rPr>
        <w:t>磋商申请人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2269EA2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受理质疑部门：保山市天瑞建设工程招标咨询有限公司</w:t>
      </w:r>
    </w:p>
    <w:p w14:paraId="401E724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联系人：杨女士、王先生</w:t>
      </w:r>
    </w:p>
    <w:p w14:paraId="6874E0F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电话：0875-2147689</w:t>
      </w:r>
    </w:p>
    <w:p w14:paraId="3A2AE5C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传真：0875-2147689</w:t>
      </w:r>
    </w:p>
    <w:p w14:paraId="7565DA1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22.2</w:t>
      </w:r>
      <w:r>
        <w:rPr>
          <w:rFonts w:hint="eastAsia" w:ascii="宋体" w:hAnsi="宋体" w:eastAsia="宋体" w:cs="宋体"/>
          <w:color w:val="auto"/>
          <w:highlight w:val="none"/>
        </w:rPr>
        <w:tab/>
      </w:r>
      <w:r>
        <w:rPr>
          <w:rFonts w:hint="eastAsia" w:ascii="宋体" w:hAnsi="宋体" w:eastAsia="宋体" w:cs="宋体"/>
          <w:color w:val="auto"/>
          <w:highlight w:val="none"/>
        </w:rPr>
        <w:t>磋商申请人提供的质疑书应符合中华人民共和国财政部第94号令的规定。磋商申请人提供的质疑书（如材料中有外文资料应同时附上中文译本）应当包括以下主要内容：</w:t>
      </w:r>
    </w:p>
    <w:p w14:paraId="7E985547">
      <w:pPr>
        <w:pStyle w:val="50"/>
        <w:numPr>
          <w:ilvl w:val="0"/>
          <w:numId w:val="7"/>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磋商申请人的姓名或者名称、地址、邮编、联系人及联系电话；</w:t>
      </w:r>
    </w:p>
    <w:p w14:paraId="1EB716FF">
      <w:pPr>
        <w:pStyle w:val="50"/>
        <w:numPr>
          <w:ilvl w:val="0"/>
          <w:numId w:val="7"/>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质疑项目的名称、编号；</w:t>
      </w:r>
    </w:p>
    <w:p w14:paraId="09EAF014">
      <w:pPr>
        <w:pStyle w:val="50"/>
        <w:numPr>
          <w:ilvl w:val="0"/>
          <w:numId w:val="7"/>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具体、明确的质疑事项和与质疑事项相关的请求；</w:t>
      </w:r>
    </w:p>
    <w:p w14:paraId="6286BBB3">
      <w:pPr>
        <w:pStyle w:val="50"/>
        <w:numPr>
          <w:ilvl w:val="0"/>
          <w:numId w:val="7"/>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事实依据；</w:t>
      </w:r>
    </w:p>
    <w:p w14:paraId="291F3A80">
      <w:pPr>
        <w:pStyle w:val="50"/>
        <w:numPr>
          <w:ilvl w:val="0"/>
          <w:numId w:val="7"/>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必要的法律依据；</w:t>
      </w:r>
    </w:p>
    <w:p w14:paraId="4186D6AF">
      <w:pPr>
        <w:pStyle w:val="50"/>
        <w:numPr>
          <w:ilvl w:val="0"/>
          <w:numId w:val="7"/>
        </w:numPr>
        <w:spacing w:line="360" w:lineRule="auto"/>
        <w:ind w:left="0" w:firstLine="420"/>
        <w:rPr>
          <w:rFonts w:ascii="宋体" w:hAnsi="宋体" w:eastAsia="宋体" w:cs="宋体"/>
          <w:color w:val="auto"/>
          <w:highlight w:val="none"/>
        </w:rPr>
      </w:pPr>
      <w:r>
        <w:rPr>
          <w:rFonts w:hint="eastAsia" w:ascii="宋体" w:hAnsi="宋体" w:eastAsia="宋体" w:cs="宋体"/>
          <w:color w:val="auto"/>
          <w:highlight w:val="none"/>
        </w:rPr>
        <w:t>提出质疑的日期。</w:t>
      </w:r>
    </w:p>
    <w:p w14:paraId="37D4AB23">
      <w:pPr>
        <w:spacing w:line="360" w:lineRule="auto"/>
        <w:ind w:firstLine="422" w:firstLineChars="200"/>
        <w:rPr>
          <w:rFonts w:ascii="宋体" w:hAnsi="宋体" w:eastAsia="宋体" w:cs="宋体"/>
          <w:b/>
          <w:bCs/>
          <w:color w:val="auto"/>
          <w:highlight w:val="none"/>
          <w:u w:val="single"/>
        </w:rPr>
      </w:pPr>
      <w:r>
        <w:rPr>
          <w:rFonts w:hint="eastAsia" w:ascii="宋体" w:hAnsi="宋体" w:eastAsia="宋体" w:cs="宋体"/>
          <w:b/>
          <w:bCs/>
          <w:color w:val="auto"/>
          <w:highlight w:val="none"/>
          <w:u w:val="single"/>
        </w:rPr>
        <w:t>质疑书实行实名制，并提交由法定代表人（负责人）或其授权代理人签字并加盖单位章的原件。</w:t>
      </w:r>
    </w:p>
    <w:p w14:paraId="5C5FF50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22.3</w:t>
      </w:r>
      <w:r>
        <w:rPr>
          <w:rFonts w:hint="eastAsia" w:ascii="宋体" w:hAnsi="宋体" w:eastAsia="宋体" w:cs="宋体"/>
          <w:color w:val="auto"/>
          <w:highlight w:val="none"/>
        </w:rPr>
        <w:tab/>
      </w:r>
      <w:r>
        <w:rPr>
          <w:rFonts w:hint="eastAsia" w:ascii="宋体" w:hAnsi="宋体" w:eastAsia="宋体" w:cs="宋体"/>
          <w:color w:val="auto"/>
          <w:highlight w:val="none"/>
        </w:rPr>
        <w:t>采购人、采购代理机构将在收到磋商申请人的书面质疑后七个工作日内作出书面答复，但答复的内容不涉及商业秘密。</w:t>
      </w:r>
    </w:p>
    <w:p w14:paraId="45CCA24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22.4</w:t>
      </w:r>
      <w:r>
        <w:rPr>
          <w:rFonts w:hint="eastAsia" w:ascii="宋体" w:hAnsi="宋体" w:eastAsia="宋体" w:cs="宋体"/>
          <w:color w:val="auto"/>
          <w:highlight w:val="none"/>
        </w:rPr>
        <w:tab/>
      </w:r>
      <w:r>
        <w:rPr>
          <w:rFonts w:hint="eastAsia" w:ascii="宋体" w:hAnsi="宋体" w:eastAsia="宋体" w:cs="宋体"/>
          <w:color w:val="auto"/>
          <w:highlight w:val="none"/>
        </w:rPr>
        <w:t>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1151F6FC">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22.5</w:t>
      </w:r>
      <w:r>
        <w:rPr>
          <w:rFonts w:hint="eastAsia" w:ascii="宋体" w:hAnsi="宋体" w:eastAsia="宋体" w:cs="宋体"/>
          <w:color w:val="auto"/>
          <w:highlight w:val="none"/>
        </w:rPr>
        <w:tab/>
      </w:r>
      <w:r>
        <w:rPr>
          <w:rFonts w:hint="eastAsia" w:ascii="宋体" w:hAnsi="宋体" w:eastAsia="宋体" w:cs="宋体"/>
          <w:color w:val="auto"/>
          <w:highlight w:val="none"/>
        </w:rPr>
        <w:t>投诉人必须首先经过质疑程序，在对采购人、采购代理机构的答复不满意，或者采购人、采购代理机构未在规定的时间内作出答复的，可以在答复期满后十五个工作日内书面向</w:t>
      </w:r>
      <w:r>
        <w:rPr>
          <w:rFonts w:hint="eastAsia" w:ascii="宋体" w:hAnsi="宋体" w:eastAsia="宋体" w:cs="宋体"/>
          <w:color w:val="auto"/>
          <w:highlight w:val="none"/>
          <w:lang w:val="en-US" w:eastAsia="zh-CN"/>
        </w:rPr>
        <w:t>同级财政监督部门</w:t>
      </w:r>
      <w:r>
        <w:rPr>
          <w:rFonts w:hint="eastAsia" w:ascii="宋体" w:hAnsi="宋体" w:eastAsia="宋体" w:cs="宋体"/>
          <w:color w:val="auto"/>
          <w:highlight w:val="none"/>
        </w:rPr>
        <w:t>投诉。</w:t>
      </w:r>
    </w:p>
    <w:p w14:paraId="75F729C6">
      <w:pPr>
        <w:pStyle w:val="50"/>
        <w:numPr>
          <w:ilvl w:val="1"/>
          <w:numId w:val="2"/>
        </w:numPr>
        <w:spacing w:line="360" w:lineRule="auto"/>
        <w:ind w:left="0" w:firstLine="643"/>
        <w:rPr>
          <w:rFonts w:ascii="宋体" w:hAnsi="宋体" w:eastAsia="宋体" w:cs="宋体"/>
          <w:b/>
          <w:color w:val="auto"/>
          <w:sz w:val="32"/>
          <w:szCs w:val="32"/>
          <w:highlight w:val="none"/>
        </w:rPr>
      </w:pPr>
      <w:bookmarkStart w:id="187" w:name="_Toc383175305"/>
      <w:bookmarkStart w:id="188" w:name="_Toc86124075"/>
      <w:bookmarkStart w:id="189" w:name="_Toc383175503"/>
      <w:bookmarkStart w:id="190" w:name="_Toc7252761"/>
      <w:bookmarkStart w:id="191" w:name="_Toc383175081"/>
      <w:bookmarkStart w:id="192" w:name="_Toc329810216"/>
      <w:r>
        <w:rPr>
          <w:rFonts w:hint="eastAsia" w:ascii="宋体" w:hAnsi="宋体" w:eastAsia="宋体" w:cs="宋体"/>
          <w:b/>
          <w:color w:val="auto"/>
          <w:sz w:val="32"/>
          <w:szCs w:val="32"/>
          <w:highlight w:val="none"/>
        </w:rPr>
        <w:t>采购代理服务费</w:t>
      </w:r>
      <w:bookmarkEnd w:id="187"/>
      <w:bookmarkEnd w:id="188"/>
      <w:bookmarkEnd w:id="189"/>
      <w:bookmarkEnd w:id="190"/>
      <w:bookmarkEnd w:id="191"/>
      <w:bookmarkEnd w:id="192"/>
    </w:p>
    <w:p w14:paraId="620D708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23.1</w:t>
      </w:r>
      <w:r>
        <w:rPr>
          <w:rFonts w:hint="eastAsia" w:ascii="宋体" w:hAnsi="宋体" w:eastAsia="宋体" w:cs="宋体"/>
          <w:color w:val="auto"/>
          <w:highlight w:val="none"/>
        </w:rPr>
        <w:tab/>
      </w:r>
      <w:r>
        <w:rPr>
          <w:rFonts w:hint="eastAsia" w:ascii="宋体" w:hAnsi="宋体" w:eastAsia="宋体" w:cs="宋体"/>
          <w:color w:val="auto"/>
          <w:highlight w:val="none"/>
        </w:rPr>
        <w:t>采购代理服务费由采购代理机构向成交人收取，收取标准详见“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10B9821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23.2</w:t>
      </w:r>
      <w:r>
        <w:rPr>
          <w:rFonts w:hint="eastAsia" w:ascii="宋体" w:hAnsi="宋体" w:eastAsia="宋体" w:cs="宋体"/>
          <w:color w:val="auto"/>
          <w:highlight w:val="none"/>
        </w:rPr>
        <w:tab/>
      </w:r>
      <w:r>
        <w:rPr>
          <w:rFonts w:hint="eastAsia" w:ascii="宋体" w:hAnsi="宋体" w:eastAsia="宋体" w:cs="宋体"/>
          <w:color w:val="auto"/>
          <w:highlight w:val="none"/>
        </w:rPr>
        <w:t>成交人应在接受“</w:t>
      </w:r>
      <w:r>
        <w:rPr>
          <w:rFonts w:hint="eastAsia" w:ascii="宋体" w:hAnsi="宋体" w:eastAsia="宋体" w:cs="宋体"/>
          <w:b/>
          <w:bCs/>
          <w:color w:val="auto"/>
          <w:highlight w:val="none"/>
        </w:rPr>
        <w:t>成交通知书</w:t>
      </w:r>
      <w:r>
        <w:rPr>
          <w:rFonts w:hint="eastAsia" w:ascii="宋体" w:hAnsi="宋体" w:eastAsia="宋体" w:cs="宋体"/>
          <w:color w:val="auto"/>
          <w:highlight w:val="none"/>
        </w:rPr>
        <w:t>”时向采购代理机构一次付清代理服务费。</w:t>
      </w:r>
    </w:p>
    <w:p w14:paraId="5B260543">
      <w:pPr>
        <w:pStyle w:val="50"/>
        <w:numPr>
          <w:ilvl w:val="1"/>
          <w:numId w:val="2"/>
        </w:numPr>
        <w:spacing w:line="360" w:lineRule="auto"/>
        <w:ind w:left="0" w:firstLine="643"/>
        <w:rPr>
          <w:rFonts w:ascii="宋体" w:hAnsi="宋体" w:eastAsia="宋体" w:cs="宋体"/>
          <w:b/>
          <w:color w:val="auto"/>
          <w:sz w:val="32"/>
          <w:szCs w:val="32"/>
          <w:highlight w:val="none"/>
        </w:rPr>
      </w:pPr>
      <w:bookmarkStart w:id="193" w:name="_Toc383175306"/>
      <w:bookmarkStart w:id="194" w:name="_Toc383175082"/>
      <w:bookmarkStart w:id="195" w:name="_Toc329810217"/>
      <w:bookmarkStart w:id="196" w:name="_Toc383175504"/>
      <w:bookmarkStart w:id="197" w:name="_Toc7252762"/>
      <w:r>
        <w:rPr>
          <w:rFonts w:hint="eastAsia" w:ascii="宋体" w:hAnsi="宋体" w:eastAsia="宋体" w:cs="宋体"/>
          <w:b/>
          <w:color w:val="auto"/>
          <w:sz w:val="32"/>
          <w:szCs w:val="32"/>
          <w:highlight w:val="none"/>
        </w:rPr>
        <w:t>磋商文件编制依据</w:t>
      </w:r>
      <w:bookmarkEnd w:id="193"/>
      <w:bookmarkEnd w:id="194"/>
      <w:bookmarkEnd w:id="195"/>
      <w:bookmarkEnd w:id="196"/>
      <w:bookmarkEnd w:id="197"/>
    </w:p>
    <w:p w14:paraId="54A9054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本磋商文件是根据《中华人民共和国政府采购法》及相关法律法规编制。</w:t>
      </w:r>
    </w:p>
    <w:p w14:paraId="49451170">
      <w:pPr>
        <w:pStyle w:val="50"/>
        <w:numPr>
          <w:ilvl w:val="1"/>
          <w:numId w:val="2"/>
        </w:numPr>
        <w:spacing w:line="360" w:lineRule="auto"/>
        <w:ind w:left="0" w:firstLine="643"/>
        <w:rPr>
          <w:rFonts w:ascii="宋体" w:hAnsi="宋体" w:eastAsia="宋体" w:cs="宋体"/>
          <w:b/>
          <w:color w:val="auto"/>
          <w:sz w:val="32"/>
          <w:szCs w:val="32"/>
          <w:highlight w:val="none"/>
        </w:rPr>
      </w:pPr>
      <w:bookmarkStart w:id="198" w:name="_Toc329810218"/>
      <w:bookmarkStart w:id="199" w:name="_Toc86124077"/>
      <w:bookmarkStart w:id="200" w:name="_Toc383175307"/>
      <w:bookmarkStart w:id="201" w:name="_Toc383175083"/>
      <w:bookmarkStart w:id="202" w:name="_Toc383175505"/>
      <w:bookmarkStart w:id="203" w:name="_Toc7252763"/>
      <w:r>
        <w:rPr>
          <w:rFonts w:hint="eastAsia" w:ascii="宋体" w:hAnsi="宋体" w:eastAsia="宋体" w:cs="宋体"/>
          <w:b/>
          <w:color w:val="auto"/>
          <w:sz w:val="32"/>
          <w:szCs w:val="32"/>
          <w:highlight w:val="none"/>
        </w:rPr>
        <w:t>需要补充的其他内容</w:t>
      </w:r>
      <w:bookmarkEnd w:id="198"/>
      <w:bookmarkEnd w:id="199"/>
      <w:bookmarkEnd w:id="200"/>
      <w:bookmarkEnd w:id="201"/>
      <w:bookmarkEnd w:id="202"/>
      <w:bookmarkEnd w:id="203"/>
    </w:p>
    <w:p w14:paraId="02ABF70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25.1需要补充的其他内容：见“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60187306">
      <w:pPr>
        <w:pStyle w:val="50"/>
        <w:numPr>
          <w:ilvl w:val="1"/>
          <w:numId w:val="2"/>
        </w:numPr>
        <w:spacing w:line="360" w:lineRule="auto"/>
        <w:ind w:left="0" w:firstLine="643"/>
        <w:rPr>
          <w:rFonts w:ascii="宋体" w:hAnsi="宋体" w:eastAsia="宋体" w:cs="宋体"/>
          <w:b/>
          <w:color w:val="auto"/>
          <w:sz w:val="32"/>
          <w:szCs w:val="32"/>
          <w:highlight w:val="none"/>
        </w:rPr>
      </w:pPr>
      <w:bookmarkStart w:id="204" w:name="_Toc7252765"/>
      <w:r>
        <w:rPr>
          <w:rFonts w:hint="eastAsia" w:ascii="宋体" w:hAnsi="宋体" w:eastAsia="宋体" w:cs="宋体"/>
          <w:b/>
          <w:color w:val="auto"/>
          <w:sz w:val="32"/>
          <w:szCs w:val="32"/>
          <w:highlight w:val="none"/>
        </w:rPr>
        <w:t>特殊事项处理法律依据：</w:t>
      </w:r>
      <w:bookmarkEnd w:id="204"/>
    </w:p>
    <w:p w14:paraId="2FA0944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《中华人民共和国政府采购法》《中华人民共和国政府采购法实施条例》《财政部令第87号、94号、101号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第102号</w:t>
      </w:r>
      <w:r>
        <w:rPr>
          <w:rFonts w:hint="eastAsia" w:ascii="宋体" w:hAnsi="宋体" w:eastAsia="宋体" w:cs="宋体"/>
          <w:color w:val="auto"/>
          <w:highlight w:val="none"/>
        </w:rPr>
        <w:t>》《政府采购竞争性磋商采购方式管理暂行办法》《云南省政府集中采购目录及标准（2024年版）》的相关规定及相关法规性文件。</w:t>
      </w:r>
    </w:p>
    <w:p w14:paraId="1928A23A">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0BB23DA3">
      <w:pPr>
        <w:pStyle w:val="2"/>
        <w:spacing w:line="360" w:lineRule="auto"/>
        <w:jc w:val="center"/>
        <w:rPr>
          <w:rFonts w:ascii="宋体" w:hAnsi="宋体" w:eastAsia="宋体" w:cs="宋体"/>
          <w:color w:val="auto"/>
          <w:sz w:val="32"/>
          <w:szCs w:val="32"/>
          <w:highlight w:val="none"/>
        </w:rPr>
      </w:pPr>
      <w:bookmarkStart w:id="205" w:name="_Toc7252767"/>
      <w:bookmarkStart w:id="206" w:name="_Toc39092138"/>
      <w:r>
        <w:rPr>
          <w:rFonts w:hint="eastAsia" w:ascii="宋体" w:hAnsi="宋体" w:eastAsia="宋体" w:cs="宋体"/>
          <w:color w:val="auto"/>
          <w:sz w:val="32"/>
          <w:szCs w:val="32"/>
          <w:highlight w:val="none"/>
        </w:rPr>
        <w:t>第三章  合同书样式</w:t>
      </w:r>
      <w:bookmarkEnd w:id="205"/>
      <w:r>
        <w:rPr>
          <w:rFonts w:hint="eastAsia" w:ascii="宋体" w:hAnsi="宋体" w:eastAsia="宋体" w:cs="宋体"/>
          <w:color w:val="auto"/>
          <w:sz w:val="32"/>
          <w:szCs w:val="32"/>
          <w:highlight w:val="none"/>
        </w:rPr>
        <w:t>（参考文本）</w:t>
      </w:r>
      <w:bookmarkEnd w:id="206"/>
    </w:p>
    <w:p w14:paraId="0BDAF94E">
      <w:pPr>
        <w:rPr>
          <w:color w:val="auto"/>
          <w:highlight w:val="none"/>
        </w:rPr>
      </w:pPr>
    </w:p>
    <w:tbl>
      <w:tblPr>
        <w:tblStyle w:val="31"/>
        <w:tblW w:w="9750" w:type="dxa"/>
        <w:jc w:val="center"/>
        <w:tblCellSpacing w:w="0" w:type="dxa"/>
        <w:tblLayout w:type="fixed"/>
        <w:tblCellMar>
          <w:top w:w="0" w:type="dxa"/>
          <w:left w:w="0" w:type="dxa"/>
          <w:bottom w:w="0" w:type="dxa"/>
          <w:right w:w="0" w:type="dxa"/>
        </w:tblCellMar>
      </w:tblPr>
      <w:tblGrid>
        <w:gridCol w:w="9750"/>
      </w:tblGrid>
      <w:tr w14:paraId="5B6FD6EE">
        <w:tblPrEx>
          <w:tblCellMar>
            <w:top w:w="0" w:type="dxa"/>
            <w:left w:w="0" w:type="dxa"/>
            <w:bottom w:w="0" w:type="dxa"/>
            <w:right w:w="0" w:type="dxa"/>
          </w:tblCellMar>
        </w:tblPrEx>
        <w:trPr>
          <w:tblCellSpacing w:w="0" w:type="dxa"/>
          <w:jc w:val="center"/>
        </w:trPr>
        <w:tc>
          <w:tcPr>
            <w:tcW w:w="9750" w:type="dxa"/>
            <w:vAlign w:val="center"/>
          </w:tcPr>
          <w:tbl>
            <w:tblPr>
              <w:tblStyle w:val="31"/>
              <w:tblW w:w="9750" w:type="dxa"/>
              <w:tblCellSpacing w:w="0" w:type="dxa"/>
              <w:tblInd w:w="0" w:type="dxa"/>
              <w:tblLayout w:type="fixed"/>
              <w:tblCellMar>
                <w:top w:w="0" w:type="dxa"/>
                <w:left w:w="0" w:type="dxa"/>
                <w:bottom w:w="0" w:type="dxa"/>
                <w:right w:w="0" w:type="dxa"/>
              </w:tblCellMar>
            </w:tblPr>
            <w:tblGrid>
              <w:gridCol w:w="1306"/>
              <w:gridCol w:w="1281"/>
              <w:gridCol w:w="1590"/>
              <w:gridCol w:w="996"/>
              <w:gridCol w:w="1138"/>
              <w:gridCol w:w="1305"/>
              <w:gridCol w:w="2134"/>
            </w:tblGrid>
            <w:tr w14:paraId="15961731">
              <w:tblPrEx>
                <w:tblCellMar>
                  <w:top w:w="0" w:type="dxa"/>
                  <w:left w:w="0" w:type="dxa"/>
                  <w:bottom w:w="0" w:type="dxa"/>
                  <w:right w:w="0" w:type="dxa"/>
                </w:tblCellMar>
              </w:tblPrEx>
              <w:trPr>
                <w:trHeight w:val="567" w:hRule="atLeast"/>
                <w:tblCellSpacing w:w="0" w:type="dxa"/>
              </w:trPr>
              <w:tc>
                <w:tcPr>
                  <w:tcW w:w="1306" w:type="dxa"/>
                  <w:vAlign w:val="center"/>
                </w:tcPr>
                <w:p w14:paraId="290DCDB4">
                  <w:pPr>
                    <w:widowControl/>
                    <w:jc w:val="righ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合同编号：</w:t>
                  </w:r>
                </w:p>
              </w:tc>
              <w:tc>
                <w:tcPr>
                  <w:tcW w:w="1281" w:type="dxa"/>
                  <w:vAlign w:val="center"/>
                </w:tcPr>
                <w:p w14:paraId="6F2013B7">
                  <w:pPr>
                    <w:widowControl/>
                    <w:jc w:val="left"/>
                    <w:rPr>
                      <w:rFonts w:ascii="宋体" w:hAnsi="宋体" w:eastAsia="宋体" w:cs="宋体"/>
                      <w:color w:val="auto"/>
                      <w:kern w:val="0"/>
                      <w:sz w:val="24"/>
                      <w:szCs w:val="24"/>
                      <w:highlight w:val="none"/>
                    </w:rPr>
                  </w:pPr>
                </w:p>
              </w:tc>
              <w:tc>
                <w:tcPr>
                  <w:tcW w:w="1590" w:type="dxa"/>
                  <w:vAlign w:val="center"/>
                </w:tcPr>
                <w:p w14:paraId="0EE30CB0">
                  <w:pPr>
                    <w:widowControl/>
                    <w:jc w:val="righ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合同自编号：</w:t>
                  </w:r>
                </w:p>
              </w:tc>
              <w:tc>
                <w:tcPr>
                  <w:tcW w:w="996" w:type="dxa"/>
                  <w:vAlign w:val="center"/>
                </w:tcPr>
                <w:p w14:paraId="3BAEC28E">
                  <w:pPr>
                    <w:widowControl/>
                    <w:jc w:val="left"/>
                    <w:rPr>
                      <w:rFonts w:ascii="宋体" w:hAnsi="宋体" w:eastAsia="宋体" w:cs="宋体"/>
                      <w:color w:val="auto"/>
                      <w:kern w:val="0"/>
                      <w:sz w:val="24"/>
                      <w:szCs w:val="24"/>
                      <w:highlight w:val="none"/>
                    </w:rPr>
                  </w:pPr>
                </w:p>
              </w:tc>
              <w:tc>
                <w:tcPr>
                  <w:tcW w:w="1138" w:type="dxa"/>
                  <w:vAlign w:val="center"/>
                </w:tcPr>
                <w:p w14:paraId="7A45E0E3">
                  <w:pPr>
                    <w:widowControl/>
                    <w:jc w:val="left"/>
                    <w:rPr>
                      <w:rFonts w:ascii="宋体" w:hAnsi="宋体" w:eastAsia="宋体" w:cs="宋体"/>
                      <w:color w:val="auto"/>
                      <w:kern w:val="0"/>
                      <w:sz w:val="24"/>
                      <w:szCs w:val="24"/>
                      <w:highlight w:val="none"/>
                    </w:rPr>
                  </w:pPr>
                </w:p>
              </w:tc>
              <w:tc>
                <w:tcPr>
                  <w:tcW w:w="1305" w:type="dxa"/>
                  <w:vAlign w:val="center"/>
                </w:tcPr>
                <w:p w14:paraId="3FD3E5C0">
                  <w:pPr>
                    <w:widowControl/>
                    <w:spacing w:before="100" w:beforeAutospacing="1" w:after="100" w:afterAutospacing="1"/>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招标编号： </w:t>
                  </w:r>
                </w:p>
              </w:tc>
              <w:tc>
                <w:tcPr>
                  <w:tcW w:w="2134" w:type="dxa"/>
                  <w:vAlign w:val="center"/>
                </w:tcPr>
                <w:p w14:paraId="3E89AC2D">
                  <w:pPr>
                    <w:widowControl/>
                    <w:jc w:val="left"/>
                    <w:rPr>
                      <w:rFonts w:ascii="宋体" w:hAnsi="宋体" w:eastAsia="宋体" w:cs="宋体"/>
                      <w:color w:val="auto"/>
                      <w:kern w:val="0"/>
                      <w:sz w:val="24"/>
                      <w:szCs w:val="24"/>
                      <w:highlight w:val="none"/>
                    </w:rPr>
                  </w:pPr>
                </w:p>
              </w:tc>
            </w:tr>
          </w:tbl>
          <w:p w14:paraId="103EBE17">
            <w:pPr>
              <w:widowControl/>
              <w:spacing w:after="240"/>
              <w:jc w:val="left"/>
              <w:rPr>
                <w:rFonts w:ascii="宋体" w:hAnsi="宋体" w:eastAsia="宋体" w:cs="宋体"/>
                <w:color w:val="auto"/>
                <w:kern w:val="0"/>
                <w:sz w:val="24"/>
                <w:szCs w:val="24"/>
                <w:highlight w:val="none"/>
              </w:rPr>
            </w:pPr>
          </w:p>
          <w:p w14:paraId="7D31EC89">
            <w:pPr>
              <w:pStyle w:val="41"/>
              <w:ind w:left="840" w:hanging="420"/>
              <w:rPr>
                <w:color w:val="auto"/>
                <w:highlight w:val="none"/>
              </w:rPr>
            </w:pPr>
          </w:p>
        </w:tc>
      </w:tr>
      <w:tr w14:paraId="2D89B09F">
        <w:tblPrEx>
          <w:tblCellMar>
            <w:top w:w="0" w:type="dxa"/>
            <w:left w:w="0" w:type="dxa"/>
            <w:bottom w:w="0" w:type="dxa"/>
            <w:right w:w="0" w:type="dxa"/>
          </w:tblCellMar>
        </w:tblPrEx>
        <w:trPr>
          <w:tblCellSpacing w:w="0" w:type="dxa"/>
          <w:jc w:val="center"/>
        </w:trPr>
        <w:tc>
          <w:tcPr>
            <w:tcW w:w="9750" w:type="dxa"/>
            <w:vAlign w:val="center"/>
          </w:tcPr>
          <w:p w14:paraId="1BB90DE5">
            <w:pPr>
              <w:widowControl/>
              <w:spacing w:after="24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●本合同须加盖甲乙双方骑缝章有效</w:t>
            </w:r>
          </w:p>
          <w:p w14:paraId="603E972C">
            <w:pPr>
              <w:pStyle w:val="41"/>
              <w:ind w:left="840" w:hanging="420"/>
              <w:rPr>
                <w:color w:val="auto"/>
                <w:highlight w:val="none"/>
              </w:rPr>
            </w:pPr>
          </w:p>
          <w:p w14:paraId="407FE716">
            <w:pPr>
              <w:pStyle w:val="41"/>
              <w:ind w:left="840" w:hanging="420"/>
              <w:rPr>
                <w:color w:val="auto"/>
                <w:highlight w:val="none"/>
              </w:rPr>
            </w:pPr>
          </w:p>
        </w:tc>
      </w:tr>
      <w:tr w14:paraId="5CD63169">
        <w:tblPrEx>
          <w:tblCellMar>
            <w:top w:w="0" w:type="dxa"/>
            <w:left w:w="0" w:type="dxa"/>
            <w:bottom w:w="0" w:type="dxa"/>
            <w:right w:w="0" w:type="dxa"/>
          </w:tblCellMar>
        </w:tblPrEx>
        <w:trPr>
          <w:trHeight w:val="1014" w:hRule="atLeast"/>
          <w:tblCellSpacing w:w="0" w:type="dxa"/>
          <w:jc w:val="center"/>
        </w:trPr>
        <w:tc>
          <w:tcPr>
            <w:tcW w:w="9750" w:type="dxa"/>
            <w:vAlign w:val="center"/>
          </w:tcPr>
          <w:p w14:paraId="4A048206">
            <w:pPr>
              <w:widowControl/>
              <w:spacing w:after="240"/>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39"/>
                <w:szCs w:val="39"/>
                <w:highlight w:val="none"/>
              </w:rPr>
              <w:t>云南省政府采购</w:t>
            </w:r>
          </w:p>
        </w:tc>
      </w:tr>
      <w:tr w14:paraId="35764B7F">
        <w:tblPrEx>
          <w:tblCellMar>
            <w:top w:w="0" w:type="dxa"/>
            <w:left w:w="0" w:type="dxa"/>
            <w:bottom w:w="0" w:type="dxa"/>
            <w:right w:w="0" w:type="dxa"/>
          </w:tblCellMar>
        </w:tblPrEx>
        <w:trPr>
          <w:tblCellSpacing w:w="0" w:type="dxa"/>
          <w:jc w:val="center"/>
        </w:trPr>
        <w:tc>
          <w:tcPr>
            <w:tcW w:w="9750" w:type="dxa"/>
            <w:vAlign w:val="center"/>
          </w:tcPr>
          <w:p w14:paraId="6A206571">
            <w:pPr>
              <w:widowControl/>
              <w:spacing w:after="240"/>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（委托采购） </w:t>
            </w:r>
          </w:p>
          <w:p w14:paraId="744E0D15">
            <w:pPr>
              <w:pStyle w:val="41"/>
              <w:ind w:left="840" w:hanging="420"/>
              <w:rPr>
                <w:color w:val="auto"/>
                <w:highlight w:val="none"/>
              </w:rPr>
            </w:pPr>
          </w:p>
          <w:p w14:paraId="6754F31C">
            <w:pPr>
              <w:pStyle w:val="41"/>
              <w:ind w:left="840" w:hanging="420"/>
              <w:rPr>
                <w:color w:val="auto"/>
                <w:highlight w:val="none"/>
              </w:rPr>
            </w:pPr>
          </w:p>
        </w:tc>
      </w:tr>
      <w:tr w14:paraId="121C0A7F">
        <w:tblPrEx>
          <w:tblCellMar>
            <w:top w:w="0" w:type="dxa"/>
            <w:left w:w="0" w:type="dxa"/>
            <w:bottom w:w="0" w:type="dxa"/>
            <w:right w:w="0" w:type="dxa"/>
          </w:tblCellMar>
        </w:tblPrEx>
        <w:trPr>
          <w:tblCellSpacing w:w="0" w:type="dxa"/>
          <w:jc w:val="center"/>
        </w:trPr>
        <w:tc>
          <w:tcPr>
            <w:tcW w:w="9750" w:type="dxa"/>
            <w:vAlign w:val="center"/>
          </w:tcPr>
          <w:p w14:paraId="7630E6DD">
            <w:pPr>
              <w:widowControl/>
              <w:spacing w:after="240"/>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63"/>
                <w:szCs w:val="63"/>
                <w:highlight w:val="none"/>
              </w:rPr>
              <w:t>合</w:t>
            </w:r>
          </w:p>
        </w:tc>
      </w:tr>
      <w:tr w14:paraId="6AE254C9">
        <w:tblPrEx>
          <w:tblCellMar>
            <w:top w:w="0" w:type="dxa"/>
            <w:left w:w="0" w:type="dxa"/>
            <w:bottom w:w="0" w:type="dxa"/>
            <w:right w:w="0" w:type="dxa"/>
          </w:tblCellMar>
        </w:tblPrEx>
        <w:trPr>
          <w:tblCellSpacing w:w="0" w:type="dxa"/>
          <w:jc w:val="center"/>
        </w:trPr>
        <w:tc>
          <w:tcPr>
            <w:tcW w:w="9750" w:type="dxa"/>
            <w:vAlign w:val="center"/>
          </w:tcPr>
          <w:p w14:paraId="72E88969">
            <w:pPr>
              <w:widowControl/>
              <w:spacing w:after="240"/>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63"/>
                <w:szCs w:val="63"/>
                <w:highlight w:val="none"/>
              </w:rPr>
              <w:t>同</w:t>
            </w:r>
          </w:p>
        </w:tc>
      </w:tr>
      <w:tr w14:paraId="498A422B">
        <w:tblPrEx>
          <w:tblCellMar>
            <w:top w:w="0" w:type="dxa"/>
            <w:left w:w="0" w:type="dxa"/>
            <w:bottom w:w="0" w:type="dxa"/>
            <w:right w:w="0" w:type="dxa"/>
          </w:tblCellMar>
        </w:tblPrEx>
        <w:trPr>
          <w:tblCellSpacing w:w="0" w:type="dxa"/>
          <w:jc w:val="center"/>
        </w:trPr>
        <w:tc>
          <w:tcPr>
            <w:tcW w:w="9750" w:type="dxa"/>
            <w:vAlign w:val="center"/>
          </w:tcPr>
          <w:p w14:paraId="09847151">
            <w:pPr>
              <w:widowControl/>
              <w:spacing w:after="240"/>
              <w:jc w:val="center"/>
              <w:rPr>
                <w:rFonts w:ascii="宋体" w:hAnsi="宋体" w:eastAsia="宋体" w:cs="宋体"/>
                <w:color w:val="auto"/>
                <w:kern w:val="0"/>
                <w:sz w:val="63"/>
                <w:szCs w:val="63"/>
                <w:highlight w:val="none"/>
              </w:rPr>
            </w:pPr>
            <w:r>
              <w:rPr>
                <w:rFonts w:hint="eastAsia" w:ascii="宋体" w:hAnsi="宋体" w:eastAsia="宋体" w:cs="宋体"/>
                <w:color w:val="auto"/>
                <w:kern w:val="0"/>
                <w:sz w:val="63"/>
                <w:szCs w:val="63"/>
                <w:highlight w:val="none"/>
              </w:rPr>
              <w:t>书</w:t>
            </w:r>
          </w:p>
          <w:p w14:paraId="193A8AA9">
            <w:pPr>
              <w:pStyle w:val="41"/>
              <w:ind w:left="840" w:hanging="420"/>
              <w:rPr>
                <w:color w:val="auto"/>
                <w:highlight w:val="none"/>
              </w:rPr>
            </w:pPr>
          </w:p>
        </w:tc>
      </w:tr>
      <w:tr w14:paraId="516E3923">
        <w:tblPrEx>
          <w:tblCellMar>
            <w:top w:w="0" w:type="dxa"/>
            <w:left w:w="0" w:type="dxa"/>
            <w:bottom w:w="0" w:type="dxa"/>
            <w:right w:w="0" w:type="dxa"/>
          </w:tblCellMar>
        </w:tblPrEx>
        <w:trPr>
          <w:trHeight w:val="1299" w:hRule="atLeast"/>
          <w:tblCellSpacing w:w="0" w:type="dxa"/>
          <w:jc w:val="center"/>
        </w:trPr>
        <w:tc>
          <w:tcPr>
            <w:tcW w:w="9750" w:type="dxa"/>
            <w:vAlign w:val="center"/>
          </w:tcPr>
          <w:p w14:paraId="320460A3">
            <w:pPr>
              <w:widowControl/>
              <w:spacing w:after="240"/>
              <w:jc w:val="center"/>
              <w:rPr>
                <w:rFonts w:ascii="宋体" w:hAnsi="宋体" w:eastAsia="宋体" w:cs="宋体"/>
                <w:color w:val="auto"/>
                <w:kern w:val="0"/>
                <w:sz w:val="24"/>
                <w:szCs w:val="24"/>
                <w:highlight w:val="none"/>
              </w:rPr>
            </w:pPr>
            <w:r>
              <w:rPr>
                <w:rFonts w:hint="eastAsia" w:ascii="宋体" w:hAnsi="宋体" w:eastAsia="宋体" w:cs="宋体"/>
                <w:b/>
                <w:bCs/>
                <w:color w:val="auto"/>
                <w:kern w:val="0"/>
                <w:sz w:val="27"/>
                <w:highlight w:val="none"/>
              </w:rPr>
              <w:t>签订地点：    </w:t>
            </w:r>
          </w:p>
        </w:tc>
      </w:tr>
      <w:tr w14:paraId="4BC5ADBF">
        <w:tblPrEx>
          <w:tblCellMar>
            <w:top w:w="0" w:type="dxa"/>
            <w:left w:w="0" w:type="dxa"/>
            <w:bottom w:w="0" w:type="dxa"/>
            <w:right w:w="0" w:type="dxa"/>
          </w:tblCellMar>
        </w:tblPrEx>
        <w:trPr>
          <w:trHeight w:val="1059" w:hRule="atLeast"/>
          <w:tblCellSpacing w:w="0" w:type="dxa"/>
          <w:jc w:val="center"/>
        </w:trPr>
        <w:tc>
          <w:tcPr>
            <w:tcW w:w="9750" w:type="dxa"/>
            <w:vAlign w:val="center"/>
          </w:tcPr>
          <w:p w14:paraId="6CD08AA2">
            <w:pPr>
              <w:widowControl/>
              <w:spacing w:before="100" w:beforeAutospacing="1" w:after="100" w:afterAutospacing="1"/>
              <w:jc w:val="center"/>
              <w:rPr>
                <w:rFonts w:ascii="宋体" w:hAnsi="宋体" w:eastAsia="宋体" w:cs="宋体"/>
                <w:color w:val="auto"/>
                <w:kern w:val="0"/>
                <w:sz w:val="24"/>
                <w:szCs w:val="24"/>
                <w:highlight w:val="none"/>
              </w:rPr>
            </w:pPr>
            <w:r>
              <w:rPr>
                <w:rFonts w:hint="eastAsia" w:ascii="宋体" w:hAnsi="宋体" w:eastAsia="宋体" w:cs="宋体"/>
                <w:b/>
                <w:bCs/>
                <w:color w:val="auto"/>
                <w:kern w:val="0"/>
                <w:sz w:val="27"/>
                <w:highlight w:val="none"/>
              </w:rPr>
              <w:t>云南省财政厅　制</w:t>
            </w:r>
          </w:p>
        </w:tc>
      </w:tr>
    </w:tbl>
    <w:p w14:paraId="6F6EB82E">
      <w:pPr>
        <w:spacing w:line="480" w:lineRule="exact"/>
        <w:jc w:val="center"/>
        <w:rPr>
          <w:rFonts w:ascii="宋体" w:hAnsi="宋体" w:eastAsia="宋体" w:cs="宋体"/>
          <w:b/>
          <w:bCs/>
          <w:color w:val="auto"/>
          <w:sz w:val="24"/>
          <w:highlight w:val="none"/>
        </w:rPr>
      </w:pPr>
    </w:p>
    <w:p w14:paraId="2CFC5EC5">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38D779D7">
      <w:pPr>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（通用合同，仅供参考，具体内容和格式由使用单位及中标单位共同协商拟定）</w:t>
      </w:r>
    </w:p>
    <w:p w14:paraId="1D7F6B8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宋体" w:hAnsi="宋体" w:eastAsia="宋体" w:cs="宋体"/>
          <w:color w:val="auto"/>
          <w:sz w:val="24"/>
          <w:highlight w:val="none"/>
        </w:rPr>
      </w:pPr>
    </w:p>
    <w:p w14:paraId="055CEDC8">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甲、乙双方根据丙方组织的“昌宁县教育体育局2024至2025学年校方综合防范保险采购”（项目编号：</w:t>
      </w:r>
      <w:r>
        <w:rPr>
          <w:rFonts w:hint="eastAsia" w:ascii="宋体" w:hAnsi="宋体" w:eastAsia="宋体" w:cs="宋体"/>
          <w:color w:val="000000"/>
          <w:sz w:val="24"/>
          <w:szCs w:val="24"/>
          <w:highlight w:val="none"/>
          <w:lang w:eastAsia="zh-CN"/>
        </w:rPr>
        <w:t>TRZBC2024-</w:t>
      </w:r>
      <w:r>
        <w:rPr>
          <w:rFonts w:hint="eastAsia" w:ascii="宋体" w:hAnsi="宋体" w:eastAsia="宋体" w:cs="宋体"/>
          <w:color w:val="000000"/>
          <w:sz w:val="24"/>
          <w:szCs w:val="24"/>
          <w:highlight w:val="none"/>
          <w:lang w:val="en-US" w:eastAsia="zh-CN"/>
        </w:rPr>
        <w:t>83</w:t>
      </w:r>
      <w:r>
        <w:rPr>
          <w:rFonts w:hint="eastAsia" w:ascii="宋体" w:hAnsi="宋体" w:eastAsia="宋体" w:cs="宋体"/>
          <w:color w:val="000000"/>
          <w:sz w:val="24"/>
          <w:szCs w:val="24"/>
          <w:highlight w:val="none"/>
        </w:rPr>
        <w:t>）竞争性磋商结果，依据《中华人民共和国政府采购法</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中华人民共和国民法典》和其他</w:t>
      </w:r>
      <w:r>
        <w:rPr>
          <w:rFonts w:hint="eastAsia" w:ascii="宋体"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的规定，按照平等、自愿、诚实、信用的原则，同意按以下条款和条件签署本合同。</w:t>
      </w:r>
    </w:p>
    <w:p w14:paraId="732B735C">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一、项目内容</w:t>
      </w:r>
    </w:p>
    <w:p w14:paraId="0550AA4F">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1.项目名称：昌宁县教育体育局2024至2025学年校方综合防范保险采购</w:t>
      </w:r>
    </w:p>
    <w:p w14:paraId="68C30550">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2.服务内容：</w:t>
      </w:r>
    </w:p>
    <w:p w14:paraId="1A96749D">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3.服务期限：</w:t>
      </w:r>
    </w:p>
    <w:p w14:paraId="21C938BF">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二、合同价款</w:t>
      </w:r>
    </w:p>
    <w:p w14:paraId="775AA015">
      <w:pPr>
        <w:pStyle w:val="13"/>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u w:val="single"/>
        </w:rPr>
        <w:t xml:space="preserve">                                                                              </w:t>
      </w:r>
    </w:p>
    <w:p w14:paraId="018C5F03">
      <w:pPr>
        <w:keepNext w:val="0"/>
        <w:keepLines w:val="0"/>
        <w:pageBreakBefore w:val="0"/>
        <w:widowControl w:val="0"/>
        <w:numPr>
          <w:ilvl w:val="0"/>
          <w:numId w:val="8"/>
        </w:numPr>
        <w:kinsoku/>
        <w:wordWrap/>
        <w:overflowPunct/>
        <w:topLinePunct w:val="0"/>
        <w:autoSpaceDE/>
        <w:autoSpaceDN/>
        <w:bidi w:val="0"/>
        <w:spacing w:line="520" w:lineRule="exact"/>
        <w:ind w:firstLine="482" w:firstLineChars="200"/>
        <w:textAlignment w:val="auto"/>
        <w:rPr>
          <w:rFonts w:hint="eastAsia" w:ascii="宋体" w:hAnsi="宋体" w:eastAsia="宋体" w:cs="宋体"/>
          <w:b/>
          <w:color w:val="000000"/>
          <w:sz w:val="24"/>
          <w:szCs w:val="24"/>
          <w:highlight w:val="none"/>
        </w:rPr>
      </w:pPr>
      <w:bookmarkStart w:id="207" w:name="_Toc290904841"/>
      <w:bookmarkStart w:id="208" w:name="_Toc528591182"/>
      <w:bookmarkStart w:id="209" w:name="_Toc531338889"/>
      <w:r>
        <w:rPr>
          <w:rFonts w:hint="eastAsia" w:ascii="宋体" w:hAnsi="宋体" w:eastAsia="宋体" w:cs="宋体"/>
          <w:b/>
          <w:color w:val="000000"/>
          <w:sz w:val="24"/>
          <w:szCs w:val="24"/>
          <w:highlight w:val="none"/>
        </w:rPr>
        <w:t>甲乙双方的权利和义务</w:t>
      </w:r>
      <w:bookmarkEnd w:id="207"/>
      <w:bookmarkEnd w:id="208"/>
      <w:bookmarkEnd w:id="209"/>
    </w:p>
    <w:p w14:paraId="56FC5D12">
      <w:pPr>
        <w:pStyle w:val="13"/>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000000"/>
          <w:sz w:val="24"/>
          <w:szCs w:val="24"/>
          <w:highlight w:val="none"/>
          <w:u w:val="single"/>
        </w:rPr>
      </w:pPr>
      <w:bookmarkStart w:id="210" w:name="_Toc27649"/>
      <w:bookmarkStart w:id="211" w:name="_Toc15048"/>
      <w:bookmarkStart w:id="212" w:name="_Toc531338890"/>
      <w:bookmarkStart w:id="213" w:name="_Toc528591183"/>
      <w:r>
        <w:rPr>
          <w:rFonts w:hint="eastAsia" w:ascii="宋体" w:hAnsi="宋体" w:eastAsia="宋体" w:cs="宋体"/>
          <w:b/>
          <w:color w:val="000000"/>
          <w:sz w:val="24"/>
          <w:szCs w:val="24"/>
          <w:highlight w:val="none"/>
          <w:u w:val="single"/>
        </w:rPr>
        <w:t xml:space="preserve">                                                                              </w:t>
      </w:r>
    </w:p>
    <w:p w14:paraId="0D235195">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四、</w:t>
      </w:r>
      <w:r>
        <w:rPr>
          <w:rFonts w:hint="eastAsia" w:ascii="宋体" w:hAnsi="宋体" w:eastAsia="宋体" w:cs="宋体"/>
          <w:b/>
          <w:color w:val="000000"/>
          <w:sz w:val="24"/>
          <w:szCs w:val="24"/>
          <w:highlight w:val="none"/>
        </w:rPr>
        <w:t>以上</w:t>
      </w:r>
      <w:r>
        <w:rPr>
          <w:rFonts w:hint="eastAsia" w:ascii="宋体" w:hAnsi="宋体" w:eastAsia="宋体" w:cs="宋体"/>
          <w:b/>
          <w:bCs/>
          <w:color w:val="000000"/>
          <w:sz w:val="24"/>
          <w:szCs w:val="24"/>
          <w:highlight w:val="none"/>
        </w:rPr>
        <w:t>内容与政府采购监管部门审核以及甲方确认采购和乙方成交承诺情况一致并不得改变和放弃。</w:t>
      </w:r>
      <w:bookmarkEnd w:id="210"/>
      <w:bookmarkEnd w:id="211"/>
      <w:bookmarkEnd w:id="212"/>
      <w:bookmarkEnd w:id="213"/>
    </w:p>
    <w:p w14:paraId="01418076">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bookmarkStart w:id="214" w:name="_Toc18523"/>
      <w:bookmarkStart w:id="215" w:name="_Toc528591184"/>
      <w:bookmarkStart w:id="216" w:name="_Toc19854"/>
      <w:bookmarkStart w:id="217" w:name="_Toc531338891"/>
      <w:r>
        <w:rPr>
          <w:rFonts w:hint="eastAsia" w:ascii="宋体" w:hAnsi="宋体" w:eastAsia="宋体" w:cs="宋体"/>
          <w:b/>
          <w:bCs/>
          <w:color w:val="000000"/>
          <w:sz w:val="24"/>
          <w:szCs w:val="24"/>
          <w:highlight w:val="none"/>
        </w:rPr>
        <w:t>五、验收及验收标准</w:t>
      </w:r>
      <w:bookmarkEnd w:id="214"/>
      <w:bookmarkEnd w:id="215"/>
      <w:bookmarkEnd w:id="216"/>
      <w:bookmarkEnd w:id="217"/>
    </w:p>
    <w:p w14:paraId="6818D850">
      <w:pPr>
        <w:pStyle w:val="13"/>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000000"/>
          <w:sz w:val="24"/>
          <w:szCs w:val="24"/>
          <w:highlight w:val="none"/>
          <w:u w:val="single"/>
        </w:rPr>
      </w:pPr>
      <w:bookmarkStart w:id="218" w:name="_Toc528591185"/>
      <w:bookmarkStart w:id="219" w:name="_Toc531338892"/>
      <w:r>
        <w:rPr>
          <w:rFonts w:hint="eastAsia" w:ascii="宋体" w:hAnsi="宋体" w:eastAsia="宋体" w:cs="宋体"/>
          <w:b/>
          <w:color w:val="000000"/>
          <w:sz w:val="24"/>
          <w:szCs w:val="24"/>
          <w:highlight w:val="none"/>
          <w:u w:val="single"/>
        </w:rPr>
        <w:t xml:space="preserve">                                                                              </w:t>
      </w:r>
    </w:p>
    <w:p w14:paraId="7C4505C8">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000000"/>
          <w:sz w:val="24"/>
          <w:szCs w:val="24"/>
          <w:highlight w:val="none"/>
        </w:rPr>
      </w:pPr>
    </w:p>
    <w:p w14:paraId="546A8B85">
      <w:pPr>
        <w:keepNext w:val="0"/>
        <w:keepLines w:val="0"/>
        <w:pageBreakBefore w:val="0"/>
        <w:widowControl w:val="0"/>
        <w:numPr>
          <w:ilvl w:val="0"/>
          <w:numId w:val="8"/>
        </w:numPr>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bookmarkStart w:id="220" w:name="_Toc20923"/>
      <w:bookmarkStart w:id="221" w:name="_Toc13640"/>
      <w:r>
        <w:rPr>
          <w:rFonts w:hint="eastAsia" w:ascii="宋体" w:hAnsi="宋体" w:eastAsia="宋体" w:cs="宋体"/>
          <w:b/>
          <w:bCs/>
          <w:color w:val="000000"/>
          <w:sz w:val="24"/>
          <w:szCs w:val="24"/>
          <w:highlight w:val="none"/>
        </w:rPr>
        <w:t>合同</w:t>
      </w:r>
      <w:r>
        <w:rPr>
          <w:rFonts w:hint="eastAsia" w:ascii="宋体" w:hAnsi="宋体" w:eastAsia="宋体" w:cs="宋体"/>
          <w:b/>
          <w:color w:val="000000"/>
          <w:sz w:val="24"/>
          <w:szCs w:val="24"/>
          <w:highlight w:val="none"/>
        </w:rPr>
        <w:t>价款</w:t>
      </w:r>
      <w:r>
        <w:rPr>
          <w:rFonts w:hint="eastAsia" w:ascii="宋体" w:hAnsi="宋体" w:eastAsia="宋体" w:cs="宋体"/>
          <w:b/>
          <w:bCs/>
          <w:color w:val="000000"/>
          <w:sz w:val="24"/>
          <w:szCs w:val="24"/>
          <w:highlight w:val="none"/>
        </w:rPr>
        <w:t>结算</w:t>
      </w:r>
      <w:bookmarkEnd w:id="218"/>
      <w:bookmarkEnd w:id="219"/>
      <w:bookmarkEnd w:id="220"/>
      <w:bookmarkEnd w:id="221"/>
    </w:p>
    <w:p w14:paraId="333B031D">
      <w:pPr>
        <w:pStyle w:val="13"/>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u w:val="single"/>
        </w:rPr>
        <w:t xml:space="preserve">                                                                              </w:t>
      </w:r>
    </w:p>
    <w:p w14:paraId="04E55173">
      <w:pPr>
        <w:pStyle w:val="13"/>
        <w:keepNext w:val="0"/>
        <w:keepLines w:val="0"/>
        <w:pageBreakBefore w:val="0"/>
        <w:widowControl w:val="0"/>
        <w:kinsoku/>
        <w:wordWrap/>
        <w:overflowPunct/>
        <w:topLinePunct w:val="0"/>
        <w:autoSpaceDE/>
        <w:autoSpaceDN/>
        <w:bidi w:val="0"/>
        <w:spacing w:line="520" w:lineRule="exact"/>
        <w:ind w:left="420" w:leftChars="200"/>
        <w:textAlignment w:val="auto"/>
        <w:rPr>
          <w:rFonts w:hint="eastAsia" w:ascii="宋体" w:hAnsi="宋体" w:eastAsia="宋体" w:cs="宋体"/>
          <w:color w:val="000000"/>
          <w:sz w:val="24"/>
          <w:szCs w:val="24"/>
          <w:highlight w:val="none"/>
        </w:rPr>
      </w:pPr>
    </w:p>
    <w:p w14:paraId="507506C7">
      <w:pPr>
        <w:keepNext w:val="0"/>
        <w:keepLines w:val="0"/>
        <w:pageBreakBefore w:val="0"/>
        <w:widowControl w:val="0"/>
        <w:numPr>
          <w:ilvl w:val="0"/>
          <w:numId w:val="8"/>
        </w:numPr>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bookmarkStart w:id="222" w:name="_Toc20498"/>
      <w:bookmarkStart w:id="223" w:name="_Toc6683"/>
      <w:bookmarkStart w:id="224" w:name="_Toc528591188"/>
      <w:bookmarkStart w:id="225" w:name="_Toc531338894"/>
      <w:r>
        <w:rPr>
          <w:rFonts w:hint="eastAsia" w:ascii="宋体" w:hAnsi="宋体" w:eastAsia="宋体" w:cs="宋体"/>
          <w:b/>
          <w:bCs/>
          <w:color w:val="000000"/>
          <w:sz w:val="24"/>
          <w:szCs w:val="24"/>
          <w:highlight w:val="none"/>
        </w:rPr>
        <w:t>违约责任</w:t>
      </w:r>
      <w:bookmarkEnd w:id="222"/>
      <w:bookmarkEnd w:id="223"/>
      <w:bookmarkEnd w:id="224"/>
      <w:bookmarkEnd w:id="225"/>
      <w:bookmarkStart w:id="226" w:name="_Toc528591190"/>
      <w:bookmarkStart w:id="227" w:name="_Toc531338896"/>
      <w:bookmarkStart w:id="228" w:name="_Toc26147"/>
    </w:p>
    <w:p w14:paraId="59AD2F3B">
      <w:pPr>
        <w:pStyle w:val="13"/>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u w:val="single"/>
        </w:rPr>
        <w:t xml:space="preserve">                                                                              </w:t>
      </w:r>
    </w:p>
    <w:p w14:paraId="678632C2">
      <w:pPr>
        <w:keepNext w:val="0"/>
        <w:keepLines w:val="0"/>
        <w:pageBreakBefore w:val="0"/>
        <w:widowControl w:val="0"/>
        <w:numPr>
          <w:ilvl w:val="0"/>
          <w:numId w:val="8"/>
        </w:numPr>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甲方有权拒付合同价以外的任何费用；乙方有权拒绝合同范围以外的其它条件。</w:t>
      </w:r>
      <w:bookmarkEnd w:id="226"/>
      <w:bookmarkEnd w:id="227"/>
      <w:bookmarkEnd w:id="228"/>
    </w:p>
    <w:p w14:paraId="3E05A405">
      <w:pPr>
        <w:pStyle w:val="13"/>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u w:val="single"/>
        </w:rPr>
        <w:t xml:space="preserve">                                                                              </w:t>
      </w:r>
    </w:p>
    <w:p w14:paraId="3C940526">
      <w:pPr>
        <w:pStyle w:val="13"/>
        <w:keepNext w:val="0"/>
        <w:keepLines w:val="0"/>
        <w:pageBreakBefore w:val="0"/>
        <w:widowControl w:val="0"/>
        <w:kinsoku/>
        <w:wordWrap/>
        <w:overflowPunct/>
        <w:topLinePunct w:val="0"/>
        <w:autoSpaceDE/>
        <w:autoSpaceDN/>
        <w:bidi w:val="0"/>
        <w:spacing w:line="520" w:lineRule="exact"/>
        <w:ind w:left="420" w:leftChars="200"/>
        <w:textAlignment w:val="auto"/>
        <w:rPr>
          <w:rFonts w:hint="eastAsia" w:ascii="宋体" w:hAnsi="宋体" w:eastAsia="宋体" w:cs="宋体"/>
          <w:color w:val="000000"/>
          <w:sz w:val="24"/>
          <w:szCs w:val="24"/>
          <w:highlight w:val="none"/>
        </w:rPr>
      </w:pPr>
    </w:p>
    <w:p w14:paraId="30817E6B">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bookmarkStart w:id="229" w:name="_Toc12931"/>
      <w:bookmarkStart w:id="230" w:name="_Toc528591191"/>
      <w:bookmarkStart w:id="231" w:name="_Toc531338897"/>
      <w:r>
        <w:rPr>
          <w:rFonts w:hint="eastAsia" w:ascii="宋体" w:hAnsi="宋体" w:eastAsia="宋体" w:cs="宋体"/>
          <w:b/>
          <w:bCs/>
          <w:color w:val="000000"/>
          <w:sz w:val="24"/>
          <w:szCs w:val="24"/>
          <w:highlight w:val="none"/>
        </w:rPr>
        <w:t>九、甲乙双方在履行合同过程中发生纠纷，应及时向丙方反映或有关监督管理部门投诉，以便相关部门进行协调和处理；或向合同签订地仲裁部门申请仲裁。</w:t>
      </w:r>
      <w:bookmarkEnd w:id="229"/>
      <w:bookmarkEnd w:id="230"/>
      <w:bookmarkEnd w:id="231"/>
    </w:p>
    <w:p w14:paraId="697D2169">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bookmarkStart w:id="232" w:name="_Toc531338898"/>
      <w:bookmarkStart w:id="233" w:name="_Toc528591192"/>
      <w:bookmarkStart w:id="234" w:name="_Toc28191"/>
      <w:r>
        <w:rPr>
          <w:rFonts w:hint="eastAsia" w:ascii="宋体" w:hAnsi="宋体" w:eastAsia="宋体" w:cs="宋体"/>
          <w:b/>
          <w:bCs/>
          <w:color w:val="000000"/>
          <w:sz w:val="24"/>
          <w:szCs w:val="24"/>
          <w:highlight w:val="none"/>
        </w:rPr>
        <w:t>十、本合同自签订之日起生效。</w:t>
      </w:r>
      <w:bookmarkEnd w:id="232"/>
      <w:bookmarkEnd w:id="233"/>
      <w:bookmarkEnd w:id="234"/>
    </w:p>
    <w:p w14:paraId="514AC204">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bookmarkStart w:id="235" w:name="_Toc528591193"/>
      <w:bookmarkStart w:id="236" w:name="_Toc531338899"/>
      <w:bookmarkStart w:id="237" w:name="_Toc28098"/>
      <w:r>
        <w:rPr>
          <w:rFonts w:hint="eastAsia" w:ascii="宋体" w:hAnsi="宋体" w:eastAsia="宋体" w:cs="宋体"/>
          <w:b/>
          <w:bCs/>
          <w:color w:val="000000"/>
          <w:sz w:val="24"/>
          <w:szCs w:val="24"/>
          <w:highlight w:val="none"/>
        </w:rPr>
        <w:t>十一、本合同其他未尽事宜，按《中华人民共和国民法典》有关规定处理。</w:t>
      </w:r>
      <w:bookmarkEnd w:id="235"/>
      <w:bookmarkEnd w:id="236"/>
      <w:bookmarkEnd w:id="237"/>
    </w:p>
    <w:p w14:paraId="30CEF272">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bookmarkStart w:id="238" w:name="_Toc528591194"/>
      <w:bookmarkStart w:id="239" w:name="_Toc531338900"/>
      <w:bookmarkStart w:id="240" w:name="_Toc22883"/>
      <w:r>
        <w:rPr>
          <w:rFonts w:hint="eastAsia" w:ascii="宋体" w:hAnsi="宋体" w:eastAsia="宋体" w:cs="宋体"/>
          <w:b/>
          <w:bCs/>
          <w:color w:val="000000"/>
          <w:sz w:val="24"/>
          <w:szCs w:val="24"/>
          <w:highlight w:val="none"/>
        </w:rPr>
        <w:t>十二、本合同一式八份，甲方五份，乙方两份，丙方一份。</w:t>
      </w:r>
      <w:bookmarkEnd w:id="238"/>
      <w:bookmarkEnd w:id="239"/>
      <w:bookmarkEnd w:id="240"/>
    </w:p>
    <w:p w14:paraId="27F3417C">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bCs/>
          <w:color w:val="000000"/>
          <w:sz w:val="24"/>
          <w:szCs w:val="24"/>
          <w:highlight w:val="none"/>
        </w:rPr>
      </w:pPr>
      <w:bookmarkStart w:id="241" w:name="_Toc531338901"/>
      <w:bookmarkStart w:id="242" w:name="_Toc528591195"/>
      <w:bookmarkStart w:id="243" w:name="_Toc4373"/>
      <w:r>
        <w:rPr>
          <w:rFonts w:hint="eastAsia" w:ascii="宋体" w:hAnsi="宋体" w:eastAsia="宋体" w:cs="宋体"/>
          <w:b/>
          <w:bCs/>
          <w:color w:val="000000"/>
          <w:sz w:val="24"/>
          <w:szCs w:val="24"/>
          <w:highlight w:val="none"/>
        </w:rPr>
        <w:t>十三、本合同不可分割之部分及解释顺序</w:t>
      </w:r>
      <w:bookmarkEnd w:id="241"/>
      <w:bookmarkEnd w:id="242"/>
      <w:bookmarkEnd w:id="243"/>
    </w:p>
    <w:p w14:paraId="5622549E">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Cs/>
          <w:color w:val="000000"/>
          <w:sz w:val="24"/>
          <w:szCs w:val="24"/>
          <w:highlight w:val="none"/>
        </w:rPr>
      </w:pPr>
      <w:bookmarkStart w:id="244" w:name="_Toc2989"/>
      <w:bookmarkStart w:id="245" w:name="_Toc531338902"/>
      <w:bookmarkStart w:id="246" w:name="_Toc528591196"/>
      <w:r>
        <w:rPr>
          <w:rFonts w:hint="eastAsia" w:ascii="宋体" w:hAnsi="宋体" w:eastAsia="宋体" w:cs="宋体"/>
          <w:bCs/>
          <w:color w:val="000000"/>
          <w:sz w:val="24"/>
          <w:szCs w:val="24"/>
          <w:highlight w:val="none"/>
        </w:rPr>
        <w:t>1.</w:t>
      </w:r>
      <w:r>
        <w:rPr>
          <w:rFonts w:hint="eastAsia" w:ascii="宋体" w:hAnsi="宋体" w:eastAsia="宋体" w:cs="宋体"/>
          <w:color w:val="000000"/>
          <w:sz w:val="24"/>
          <w:szCs w:val="24"/>
          <w:highlight w:val="none"/>
        </w:rPr>
        <w:t>合同书及附件</w:t>
      </w:r>
      <w:r>
        <w:rPr>
          <w:rFonts w:hint="eastAsia" w:ascii="宋体" w:hAnsi="宋体" w:eastAsia="宋体" w:cs="宋体"/>
          <w:bCs/>
          <w:color w:val="000000"/>
          <w:sz w:val="24"/>
          <w:szCs w:val="24"/>
          <w:highlight w:val="none"/>
        </w:rPr>
        <w:t>；</w:t>
      </w:r>
      <w:bookmarkEnd w:id="244"/>
      <w:bookmarkEnd w:id="245"/>
      <w:bookmarkEnd w:id="246"/>
    </w:p>
    <w:p w14:paraId="7CE527B2">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Cs/>
          <w:color w:val="000000"/>
          <w:sz w:val="24"/>
          <w:szCs w:val="24"/>
          <w:highlight w:val="none"/>
        </w:rPr>
      </w:pPr>
      <w:bookmarkStart w:id="247" w:name="_Toc528591197"/>
      <w:bookmarkStart w:id="248" w:name="_Toc531338903"/>
      <w:bookmarkStart w:id="249" w:name="_Toc17032"/>
      <w:r>
        <w:rPr>
          <w:rFonts w:hint="eastAsia" w:ascii="宋体" w:hAnsi="宋体" w:eastAsia="宋体" w:cs="宋体"/>
          <w:bCs/>
          <w:color w:val="000000"/>
          <w:sz w:val="24"/>
          <w:szCs w:val="24"/>
          <w:highlight w:val="none"/>
        </w:rPr>
        <w:t>2.</w:t>
      </w:r>
      <w:r>
        <w:rPr>
          <w:rFonts w:hint="eastAsia" w:ascii="宋体" w:hAnsi="宋体" w:eastAsia="宋体" w:cs="宋体"/>
          <w:color w:val="000000"/>
          <w:sz w:val="24"/>
          <w:szCs w:val="24"/>
          <w:highlight w:val="none"/>
        </w:rPr>
        <w:t>成交</w:t>
      </w:r>
      <w:r>
        <w:rPr>
          <w:rFonts w:hint="eastAsia" w:ascii="宋体" w:hAnsi="宋体" w:eastAsia="宋体" w:cs="宋体"/>
          <w:bCs/>
          <w:color w:val="000000"/>
          <w:sz w:val="24"/>
          <w:szCs w:val="24"/>
          <w:highlight w:val="none"/>
        </w:rPr>
        <w:t>通知书；</w:t>
      </w:r>
      <w:bookmarkEnd w:id="247"/>
      <w:bookmarkEnd w:id="248"/>
      <w:bookmarkEnd w:id="249"/>
    </w:p>
    <w:p w14:paraId="1974722D">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Cs/>
          <w:color w:val="000000"/>
          <w:sz w:val="24"/>
          <w:szCs w:val="24"/>
          <w:highlight w:val="none"/>
        </w:rPr>
      </w:pPr>
      <w:bookmarkStart w:id="250" w:name="_Toc528591198"/>
      <w:bookmarkStart w:id="251" w:name="_Toc531338904"/>
      <w:bookmarkStart w:id="252" w:name="_Toc18176"/>
      <w:r>
        <w:rPr>
          <w:rFonts w:hint="eastAsia" w:ascii="宋体" w:hAnsi="宋体" w:eastAsia="宋体" w:cs="宋体"/>
          <w:bCs/>
          <w:color w:val="000000"/>
          <w:sz w:val="24"/>
          <w:szCs w:val="24"/>
          <w:highlight w:val="none"/>
        </w:rPr>
        <w:t>3.响应文件及澄清、承诺；</w:t>
      </w:r>
      <w:bookmarkEnd w:id="250"/>
      <w:bookmarkEnd w:id="251"/>
      <w:bookmarkEnd w:id="252"/>
    </w:p>
    <w:p w14:paraId="2C4E1FFB">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Cs/>
          <w:color w:val="000000"/>
          <w:sz w:val="24"/>
          <w:szCs w:val="24"/>
          <w:highlight w:val="none"/>
        </w:rPr>
      </w:pPr>
      <w:bookmarkStart w:id="253" w:name="_Toc10157"/>
      <w:bookmarkStart w:id="254" w:name="_Toc528591199"/>
      <w:bookmarkStart w:id="255" w:name="_Toc531338905"/>
      <w:r>
        <w:rPr>
          <w:rFonts w:hint="eastAsia" w:ascii="宋体" w:hAnsi="宋体" w:eastAsia="宋体" w:cs="宋体"/>
          <w:bCs/>
          <w:color w:val="000000"/>
          <w:sz w:val="24"/>
          <w:szCs w:val="24"/>
          <w:highlight w:val="none"/>
        </w:rPr>
        <w:t>4.竞争性</w:t>
      </w:r>
      <w:r>
        <w:rPr>
          <w:rFonts w:hint="eastAsia" w:ascii="宋体" w:hAnsi="宋体" w:eastAsia="宋体" w:cs="宋体"/>
          <w:color w:val="000000"/>
          <w:sz w:val="24"/>
          <w:szCs w:val="24"/>
          <w:highlight w:val="none"/>
        </w:rPr>
        <w:t>磋商</w:t>
      </w:r>
      <w:r>
        <w:rPr>
          <w:rFonts w:hint="eastAsia" w:ascii="宋体" w:hAnsi="宋体" w:eastAsia="宋体" w:cs="宋体"/>
          <w:bCs/>
          <w:color w:val="000000"/>
          <w:sz w:val="24"/>
          <w:szCs w:val="24"/>
          <w:highlight w:val="none"/>
        </w:rPr>
        <w:t>文件。</w:t>
      </w:r>
      <w:bookmarkEnd w:id="253"/>
      <w:bookmarkEnd w:id="254"/>
      <w:bookmarkEnd w:id="255"/>
    </w:p>
    <w:p w14:paraId="5348ADA7">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Cs/>
          <w:color w:val="000000"/>
          <w:sz w:val="24"/>
          <w:szCs w:val="24"/>
          <w:highlight w:val="none"/>
        </w:rPr>
      </w:pPr>
      <w:bookmarkStart w:id="256" w:name="_Toc528591200"/>
      <w:bookmarkStart w:id="257" w:name="_Toc531338906"/>
      <w:bookmarkStart w:id="258" w:name="_Toc16339"/>
      <w:r>
        <w:rPr>
          <w:rFonts w:hint="eastAsia" w:ascii="宋体" w:hAnsi="宋体" w:eastAsia="宋体" w:cs="宋体"/>
          <w:b/>
          <w:bCs/>
          <w:color w:val="000000"/>
          <w:sz w:val="24"/>
          <w:szCs w:val="24"/>
          <w:highlight w:val="none"/>
        </w:rPr>
        <w:t>十四、附件：</w:t>
      </w:r>
      <w:bookmarkEnd w:id="256"/>
      <w:bookmarkEnd w:id="257"/>
      <w:bookmarkEnd w:id="258"/>
    </w:p>
    <w:p w14:paraId="0D803AA6">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ascii="仿宋_GB2312" w:hAnsi="仿宋_GB2312" w:eastAsia="仿宋_GB2312" w:cs="仿宋_GB2312"/>
          <w:color w:val="auto"/>
          <w:szCs w:val="21"/>
          <w:highlight w:val="none"/>
        </w:rPr>
      </w:pPr>
    </w:p>
    <w:p w14:paraId="78DF0A61">
      <w:pPr>
        <w:spacing w:line="560" w:lineRule="exact"/>
        <w:ind w:firstLine="480" w:firstLineChars="200"/>
        <w:jc w:val="left"/>
        <w:rPr>
          <w:rFonts w:ascii="宋体" w:hAnsi="宋体" w:eastAsia="宋体" w:cs="宋体"/>
          <w:color w:val="auto"/>
          <w:sz w:val="24"/>
          <w:szCs w:val="24"/>
          <w:highlight w:val="none"/>
        </w:rPr>
      </w:pPr>
    </w:p>
    <w:p w14:paraId="4525962D">
      <w:pPr>
        <w:spacing w:line="560" w:lineRule="exact"/>
        <w:ind w:firstLine="480" w:firstLineChars="200"/>
        <w:rPr>
          <w:rFonts w:ascii="宋体" w:hAnsi="宋体" w:eastAsia="宋体" w:cs="宋体"/>
          <w:color w:val="auto"/>
          <w:sz w:val="24"/>
          <w:szCs w:val="24"/>
          <w:highlight w:val="none"/>
        </w:rPr>
      </w:pPr>
    </w:p>
    <w:p w14:paraId="499BAA57">
      <w:pPr>
        <w:widowControl/>
        <w:jc w:val="left"/>
        <w:rPr>
          <w:rFonts w:ascii="宋体" w:hAnsi="宋体" w:eastAsia="宋体" w:cs="宋体"/>
          <w:color w:val="auto"/>
          <w:sz w:val="24"/>
          <w:szCs w:val="24"/>
          <w:highlight w:val="none"/>
        </w:rPr>
      </w:pPr>
      <w:r>
        <w:rPr>
          <w:rFonts w:hint="eastAsia" w:ascii="宋体" w:hAnsi="宋体" w:eastAsia="宋体" w:cs="宋体"/>
          <w:color w:val="auto"/>
          <w:highlight w:val="none"/>
        </w:rPr>
        <w:br w:type="page"/>
      </w:r>
    </w:p>
    <w:p w14:paraId="113872B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lang w:eastAsia="zh-CN"/>
        </w:rPr>
      </w:pPr>
      <w:r>
        <w:rPr>
          <w:rFonts w:hint="eastAsia" w:ascii="仿宋_GB2312" w:hAnsi="仿宋" w:eastAsia="仿宋_GB2312" w:cs="仿宋"/>
          <w:color w:val="auto"/>
          <w:sz w:val="24"/>
          <w:highlight w:val="none"/>
        </w:rPr>
        <w:t xml:space="preserve">甲方（采购人公章）名称： </w:t>
      </w:r>
      <w:r>
        <w:rPr>
          <w:rFonts w:hint="eastAsia" w:ascii="仿宋_GB2312" w:hAnsi="仿宋" w:eastAsia="仿宋_GB2312" w:cs="仿宋"/>
          <w:color w:val="auto"/>
          <w:sz w:val="24"/>
          <w:highlight w:val="none"/>
          <w:lang w:eastAsia="zh-CN"/>
        </w:rPr>
        <w:t>昌宁县教育体育局</w:t>
      </w:r>
    </w:p>
    <w:p w14:paraId="44242B4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地址：</w:t>
      </w:r>
    </w:p>
    <w:p w14:paraId="50BEAFC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邮编：</w:t>
      </w:r>
    </w:p>
    <w:p w14:paraId="79993DF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法定代表人：委托代理人：</w:t>
      </w:r>
    </w:p>
    <w:p w14:paraId="6B8BA93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项目（技术）负责人：</w:t>
      </w:r>
    </w:p>
    <w:p w14:paraId="18D886D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电话：</w:t>
      </w:r>
    </w:p>
    <w:p w14:paraId="5AE8444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开 户 银行：</w:t>
      </w:r>
    </w:p>
    <w:p w14:paraId="0558F48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账号：</w:t>
      </w:r>
    </w:p>
    <w:p w14:paraId="1B173CD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乙方（</w:t>
      </w:r>
      <w:r>
        <w:rPr>
          <w:rFonts w:hint="eastAsia" w:ascii="仿宋_GB2312" w:hAnsi="仿宋" w:eastAsia="仿宋_GB2312" w:cs="仿宋"/>
          <w:color w:val="auto"/>
          <w:sz w:val="24"/>
          <w:highlight w:val="none"/>
          <w:lang w:val="en-US" w:eastAsia="zh-CN"/>
        </w:rPr>
        <w:t>成交人</w:t>
      </w:r>
      <w:r>
        <w:rPr>
          <w:rFonts w:hint="eastAsia" w:ascii="仿宋_GB2312" w:hAnsi="仿宋" w:eastAsia="仿宋_GB2312" w:cs="仿宋"/>
          <w:color w:val="auto"/>
          <w:sz w:val="24"/>
          <w:highlight w:val="none"/>
        </w:rPr>
        <w:t>单位章）名称：</w:t>
      </w:r>
    </w:p>
    <w:p w14:paraId="0206B0E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地址：</w:t>
      </w:r>
    </w:p>
    <w:p w14:paraId="79E18DB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邮编：</w:t>
      </w:r>
    </w:p>
    <w:p w14:paraId="3161DE2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法定代表人：</w:t>
      </w:r>
    </w:p>
    <w:p w14:paraId="2D1586D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委托代理人：</w:t>
      </w:r>
    </w:p>
    <w:p w14:paraId="2D845C7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电话：</w:t>
      </w:r>
    </w:p>
    <w:p w14:paraId="0A1421E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开 户 银行：</w:t>
      </w:r>
    </w:p>
    <w:p w14:paraId="788E5A4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账号：</w:t>
      </w:r>
    </w:p>
    <w:p w14:paraId="0BA44FB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丙方（鉴证单位章）名称：保山市天瑞建设工程招标咨询有限公司</w:t>
      </w:r>
    </w:p>
    <w:p w14:paraId="642F9B4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地址：云南省保山市隆阳区象山路5号</w:t>
      </w:r>
    </w:p>
    <w:p w14:paraId="4991062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邮编：6578000</w:t>
      </w:r>
    </w:p>
    <w:p w14:paraId="5B608D8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法定代表人：</w:t>
      </w:r>
    </w:p>
    <w:p w14:paraId="22FA5FF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或委托代理人：</w:t>
      </w:r>
    </w:p>
    <w:p w14:paraId="37D6E7F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经办人：</w:t>
      </w:r>
    </w:p>
    <w:p w14:paraId="3C69A9F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电话：0875-2147689</w:t>
      </w:r>
    </w:p>
    <w:p w14:paraId="10F939EE">
      <w:pPr>
        <w:pStyle w:val="27"/>
        <w:shd w:val="clear" w:color="auto" w:fill="FFFFFF"/>
        <w:spacing w:before="156" w:beforeAutospacing="0" w:after="217" w:afterAutospacing="0"/>
        <w:ind w:firstLine="468"/>
        <w:rPr>
          <w:color w:val="auto"/>
          <w:spacing w:val="7"/>
          <w:sz w:val="22"/>
          <w:szCs w:val="22"/>
          <w:highlight w:val="none"/>
        </w:rPr>
      </w:pPr>
      <w:r>
        <w:rPr>
          <w:rFonts w:hint="eastAsia"/>
          <w:color w:val="auto"/>
          <w:highlight w:val="none"/>
        </w:rPr>
        <w:br w:type="page"/>
      </w:r>
    </w:p>
    <w:p w14:paraId="1AF99841">
      <w:pPr>
        <w:spacing w:line="360" w:lineRule="auto"/>
        <w:ind w:firstLine="420" w:firstLineChars="200"/>
        <w:rPr>
          <w:rFonts w:ascii="宋体" w:hAnsi="宋体" w:eastAsia="宋体" w:cs="宋体"/>
          <w:color w:val="auto"/>
          <w:highlight w:val="none"/>
        </w:rPr>
      </w:pPr>
    </w:p>
    <w:p w14:paraId="37B89C80">
      <w:pPr>
        <w:spacing w:line="360" w:lineRule="auto"/>
        <w:ind w:firstLine="420" w:firstLineChars="200"/>
        <w:rPr>
          <w:rFonts w:ascii="宋体" w:hAnsi="宋体" w:eastAsia="宋体" w:cs="宋体"/>
          <w:color w:val="auto"/>
          <w:highlight w:val="none"/>
        </w:rPr>
      </w:pPr>
    </w:p>
    <w:p w14:paraId="7E4BBF52">
      <w:pPr>
        <w:spacing w:line="360" w:lineRule="auto"/>
        <w:ind w:firstLine="420" w:firstLineChars="200"/>
        <w:rPr>
          <w:rFonts w:ascii="宋体" w:hAnsi="宋体" w:eastAsia="宋体" w:cs="宋体"/>
          <w:color w:val="auto"/>
          <w:highlight w:val="none"/>
        </w:rPr>
      </w:pPr>
    </w:p>
    <w:p w14:paraId="4846E807">
      <w:pPr>
        <w:spacing w:line="360" w:lineRule="auto"/>
        <w:ind w:firstLine="420" w:firstLineChars="200"/>
        <w:rPr>
          <w:rFonts w:ascii="宋体" w:hAnsi="宋体" w:eastAsia="宋体" w:cs="宋体"/>
          <w:color w:val="auto"/>
          <w:highlight w:val="none"/>
        </w:rPr>
      </w:pPr>
    </w:p>
    <w:p w14:paraId="306905E3">
      <w:pPr>
        <w:spacing w:line="360" w:lineRule="auto"/>
        <w:ind w:firstLine="420" w:firstLineChars="200"/>
        <w:rPr>
          <w:rFonts w:ascii="宋体" w:hAnsi="宋体" w:eastAsia="宋体" w:cs="宋体"/>
          <w:color w:val="auto"/>
          <w:highlight w:val="none"/>
        </w:rPr>
      </w:pPr>
    </w:p>
    <w:p w14:paraId="7EEFC570">
      <w:pPr>
        <w:spacing w:line="360" w:lineRule="auto"/>
        <w:ind w:firstLine="420" w:firstLineChars="200"/>
        <w:rPr>
          <w:rFonts w:ascii="宋体" w:hAnsi="宋体" w:eastAsia="宋体" w:cs="宋体"/>
          <w:color w:val="auto"/>
          <w:highlight w:val="none"/>
        </w:rPr>
      </w:pPr>
    </w:p>
    <w:p w14:paraId="3118D988">
      <w:pPr>
        <w:spacing w:line="360" w:lineRule="auto"/>
        <w:ind w:firstLine="420" w:firstLineChars="200"/>
        <w:rPr>
          <w:rFonts w:ascii="宋体" w:hAnsi="宋体" w:eastAsia="宋体" w:cs="宋体"/>
          <w:color w:val="auto"/>
          <w:highlight w:val="none"/>
        </w:rPr>
      </w:pPr>
    </w:p>
    <w:p w14:paraId="106D7440">
      <w:pPr>
        <w:spacing w:line="360" w:lineRule="auto"/>
        <w:ind w:firstLine="420" w:firstLineChars="200"/>
        <w:rPr>
          <w:rFonts w:ascii="宋体" w:hAnsi="宋体" w:eastAsia="宋体" w:cs="宋体"/>
          <w:color w:val="auto"/>
          <w:highlight w:val="none"/>
        </w:rPr>
      </w:pPr>
    </w:p>
    <w:p w14:paraId="16E1483D">
      <w:pPr>
        <w:spacing w:line="360" w:lineRule="auto"/>
        <w:ind w:firstLine="420" w:firstLineChars="200"/>
        <w:rPr>
          <w:rFonts w:ascii="宋体" w:hAnsi="宋体" w:eastAsia="宋体" w:cs="宋体"/>
          <w:color w:val="auto"/>
          <w:highlight w:val="none"/>
        </w:rPr>
      </w:pPr>
    </w:p>
    <w:p w14:paraId="5C938C8D">
      <w:pPr>
        <w:spacing w:line="360" w:lineRule="auto"/>
        <w:ind w:firstLine="420" w:firstLineChars="200"/>
        <w:rPr>
          <w:rFonts w:ascii="宋体" w:hAnsi="宋体" w:eastAsia="宋体" w:cs="宋体"/>
          <w:color w:val="auto"/>
          <w:highlight w:val="none"/>
        </w:rPr>
      </w:pPr>
    </w:p>
    <w:p w14:paraId="23FFB79A">
      <w:pPr>
        <w:pStyle w:val="2"/>
        <w:spacing w:line="360" w:lineRule="auto"/>
        <w:jc w:val="center"/>
        <w:rPr>
          <w:rFonts w:ascii="宋体" w:hAnsi="宋体" w:eastAsia="宋体" w:cs="宋体"/>
          <w:color w:val="auto"/>
          <w:sz w:val="32"/>
          <w:szCs w:val="32"/>
          <w:highlight w:val="none"/>
        </w:rPr>
      </w:pPr>
      <w:bookmarkStart w:id="259" w:name="_Toc39092139"/>
      <w:r>
        <w:rPr>
          <w:rFonts w:hint="eastAsia" w:ascii="宋体" w:hAnsi="宋体" w:eastAsia="宋体" w:cs="宋体"/>
          <w:color w:val="auto"/>
          <w:sz w:val="32"/>
          <w:szCs w:val="32"/>
          <w:highlight w:val="none"/>
        </w:rPr>
        <w:t>第四章  响应文件格式</w:t>
      </w:r>
      <w:bookmarkEnd w:id="259"/>
    </w:p>
    <w:p w14:paraId="3DD3F6C5">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4B543754">
      <w:pP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磋商响应文件封面格式</w:t>
      </w:r>
    </w:p>
    <w:p w14:paraId="2916C500">
      <w:pPr>
        <w:spacing w:line="360" w:lineRule="auto"/>
        <w:jc w:val="center"/>
        <w:rPr>
          <w:rFonts w:ascii="宋体" w:hAnsi="宋体" w:eastAsia="宋体" w:cs="宋体"/>
          <w:b/>
          <w:bCs/>
          <w:color w:val="auto"/>
          <w:sz w:val="72"/>
          <w:szCs w:val="72"/>
          <w:highlight w:val="none"/>
        </w:rPr>
      </w:pPr>
    </w:p>
    <w:p w14:paraId="5E0D28F4">
      <w:pPr>
        <w:spacing w:line="360" w:lineRule="auto"/>
        <w:jc w:val="center"/>
        <w:rPr>
          <w:rFonts w:ascii="宋体" w:hAnsi="宋体" w:eastAsia="宋体" w:cs="宋体"/>
          <w:color w:val="auto"/>
          <w:sz w:val="24"/>
          <w:szCs w:val="24"/>
          <w:highlight w:val="none"/>
        </w:rPr>
      </w:pPr>
      <w:r>
        <w:rPr>
          <w:rFonts w:hint="eastAsia" w:ascii="宋体" w:hAnsi="宋体" w:eastAsia="宋体" w:cs="宋体"/>
          <w:b/>
          <w:bCs/>
          <w:color w:val="auto"/>
          <w:sz w:val="60"/>
          <w:szCs w:val="60"/>
          <w:highlight w:val="none"/>
          <w:lang w:eastAsia="zh-CN"/>
        </w:rPr>
        <w:t>昌宁县教育体育局2024至2025学年校方综合防范保险采购</w:t>
      </w:r>
    </w:p>
    <w:p w14:paraId="056A910C">
      <w:pPr>
        <w:pStyle w:val="13"/>
        <w:rPr>
          <w:color w:val="auto"/>
          <w:highlight w:val="none"/>
        </w:rPr>
      </w:pPr>
    </w:p>
    <w:p w14:paraId="24F7DAE9">
      <w:pPr>
        <w:pStyle w:val="43"/>
        <w:rPr>
          <w:rFonts w:ascii="宋体" w:hAnsi="宋体" w:cs="宋体"/>
          <w:color w:val="auto"/>
          <w:sz w:val="24"/>
          <w:szCs w:val="24"/>
          <w:highlight w:val="none"/>
        </w:rPr>
      </w:pPr>
    </w:p>
    <w:p w14:paraId="5C7D35D0">
      <w:pPr>
        <w:pStyle w:val="18"/>
        <w:spacing w:line="360" w:lineRule="auto"/>
        <w:jc w:val="center"/>
        <w:rPr>
          <w:rFonts w:hAnsi="宋体"/>
          <w:b/>
          <w:bCs/>
          <w:color w:val="auto"/>
          <w:sz w:val="84"/>
          <w:szCs w:val="84"/>
          <w:highlight w:val="none"/>
        </w:rPr>
      </w:pPr>
    </w:p>
    <w:p w14:paraId="337AC419">
      <w:pPr>
        <w:pStyle w:val="18"/>
        <w:spacing w:line="360" w:lineRule="auto"/>
        <w:jc w:val="center"/>
        <w:rPr>
          <w:rFonts w:hAnsi="宋体"/>
          <w:b/>
          <w:bCs/>
          <w:color w:val="auto"/>
          <w:sz w:val="84"/>
          <w:szCs w:val="84"/>
          <w:highlight w:val="none"/>
        </w:rPr>
      </w:pPr>
      <w:r>
        <w:rPr>
          <w:rFonts w:hint="eastAsia" w:hAnsi="宋体"/>
          <w:b/>
          <w:bCs/>
          <w:color w:val="auto"/>
          <w:sz w:val="84"/>
          <w:szCs w:val="84"/>
          <w:highlight w:val="none"/>
        </w:rPr>
        <w:t>竞争性磋商响应文件</w:t>
      </w:r>
    </w:p>
    <w:p w14:paraId="32774BD4">
      <w:pPr>
        <w:spacing w:line="360" w:lineRule="auto"/>
        <w:jc w:val="center"/>
        <w:rPr>
          <w:rFonts w:ascii="宋体" w:hAnsi="宋体" w:eastAsia="宋体" w:cs="宋体"/>
          <w:b/>
          <w:bCs/>
          <w:color w:val="auto"/>
          <w:sz w:val="24"/>
          <w:szCs w:val="24"/>
          <w:highlight w:val="none"/>
        </w:rPr>
      </w:pPr>
    </w:p>
    <w:p w14:paraId="4E48295A">
      <w:pPr>
        <w:pStyle w:val="18"/>
        <w:spacing w:line="360" w:lineRule="auto"/>
        <w:ind w:firstLine="3058" w:firstLineChars="1088"/>
        <w:rPr>
          <w:rFonts w:hAnsi="宋体"/>
          <w:b/>
          <w:bCs/>
          <w:color w:val="auto"/>
          <w:sz w:val="28"/>
          <w:szCs w:val="28"/>
          <w:highlight w:val="none"/>
        </w:rPr>
      </w:pPr>
    </w:p>
    <w:p w14:paraId="2D6E497F">
      <w:pPr>
        <w:pStyle w:val="18"/>
        <w:spacing w:line="360" w:lineRule="auto"/>
        <w:ind w:firstLine="3058" w:firstLineChars="1088"/>
        <w:rPr>
          <w:rFonts w:hAnsi="宋体" w:cs="Times New Roman"/>
          <w:b/>
          <w:bCs/>
          <w:color w:val="auto"/>
          <w:sz w:val="28"/>
          <w:szCs w:val="28"/>
          <w:highlight w:val="none"/>
          <w:u w:val="single"/>
        </w:rPr>
      </w:pPr>
      <w:r>
        <w:rPr>
          <w:rFonts w:hint="eastAsia" w:hAnsi="宋体"/>
          <w:b/>
          <w:bCs/>
          <w:color w:val="auto"/>
          <w:sz w:val="28"/>
          <w:szCs w:val="28"/>
          <w:highlight w:val="none"/>
          <w:lang w:eastAsia="zh-CN"/>
        </w:rPr>
        <w:t>项目编号</w:t>
      </w:r>
      <w:r>
        <w:rPr>
          <w:rFonts w:hint="eastAsia" w:hAnsi="宋体"/>
          <w:b/>
          <w:bCs/>
          <w:color w:val="auto"/>
          <w:sz w:val="28"/>
          <w:szCs w:val="28"/>
          <w:highlight w:val="none"/>
        </w:rPr>
        <w:t>：</w:t>
      </w:r>
      <w:r>
        <w:rPr>
          <w:rFonts w:hAnsi="宋体" w:cs="Times New Roman"/>
          <w:b/>
          <w:bCs/>
          <w:color w:val="auto"/>
          <w:sz w:val="28"/>
          <w:szCs w:val="28"/>
          <w:highlight w:val="none"/>
          <w:u w:val="single"/>
        </w:rPr>
        <w:t xml:space="preserve">              </w:t>
      </w:r>
    </w:p>
    <w:p w14:paraId="45C6D841">
      <w:pPr>
        <w:spacing w:line="360" w:lineRule="auto"/>
        <w:jc w:val="center"/>
        <w:rPr>
          <w:rFonts w:ascii="宋体" w:hAnsi="宋体" w:eastAsia="宋体"/>
          <w:color w:val="auto"/>
          <w:sz w:val="24"/>
          <w:szCs w:val="24"/>
          <w:highlight w:val="none"/>
        </w:rPr>
      </w:pPr>
    </w:p>
    <w:p w14:paraId="771C6DA5">
      <w:pPr>
        <w:spacing w:line="360" w:lineRule="auto"/>
        <w:jc w:val="center"/>
        <w:rPr>
          <w:rFonts w:ascii="宋体" w:hAnsi="宋体" w:eastAsia="宋体"/>
          <w:color w:val="auto"/>
          <w:sz w:val="24"/>
          <w:szCs w:val="24"/>
          <w:highlight w:val="none"/>
        </w:rPr>
      </w:pPr>
    </w:p>
    <w:p w14:paraId="3BDAFF66">
      <w:pPr>
        <w:spacing w:line="360" w:lineRule="auto"/>
        <w:jc w:val="center"/>
        <w:rPr>
          <w:rFonts w:ascii="宋体" w:hAnsi="宋体" w:eastAsia="宋体"/>
          <w:color w:val="auto"/>
          <w:sz w:val="24"/>
          <w:szCs w:val="24"/>
          <w:highlight w:val="none"/>
        </w:rPr>
      </w:pPr>
    </w:p>
    <w:p w14:paraId="72C33AA9">
      <w:pPr>
        <w:pStyle w:val="43"/>
        <w:rPr>
          <w:color w:val="auto"/>
          <w:highlight w:val="none"/>
        </w:rPr>
      </w:pPr>
    </w:p>
    <w:p w14:paraId="2E22BCDB">
      <w:pPr>
        <w:spacing w:line="360" w:lineRule="auto"/>
        <w:jc w:val="center"/>
        <w:rPr>
          <w:rFonts w:ascii="宋体" w:hAnsi="宋体" w:eastAsia="宋体"/>
          <w:color w:val="auto"/>
          <w:sz w:val="24"/>
          <w:szCs w:val="24"/>
          <w:highlight w:val="none"/>
        </w:rPr>
      </w:pPr>
    </w:p>
    <w:p w14:paraId="702B03DC">
      <w:pPr>
        <w:spacing w:line="360" w:lineRule="auto"/>
        <w:jc w:val="center"/>
        <w:rPr>
          <w:rFonts w:ascii="宋体" w:hAnsi="宋体" w:eastAsia="宋体"/>
          <w:color w:val="auto"/>
          <w:sz w:val="24"/>
          <w:szCs w:val="24"/>
          <w:highlight w:val="none"/>
        </w:rPr>
      </w:pPr>
    </w:p>
    <w:p w14:paraId="3EF17458">
      <w:pPr>
        <w:spacing w:line="360" w:lineRule="auto"/>
        <w:ind w:firstLine="1980" w:firstLineChars="825"/>
        <w:rPr>
          <w:rFonts w:ascii="宋体" w:hAnsi="宋体" w:eastAsia="宋体"/>
          <w:color w:val="auto"/>
          <w:sz w:val="24"/>
          <w:szCs w:val="24"/>
          <w:highlight w:val="none"/>
        </w:rPr>
      </w:pPr>
      <w:r>
        <w:rPr>
          <w:rFonts w:hint="eastAsia" w:ascii="宋体" w:hAnsi="宋体" w:eastAsia="宋体" w:cs="宋体"/>
          <w:color w:val="auto"/>
          <w:sz w:val="24"/>
          <w:szCs w:val="24"/>
          <w:highlight w:val="none"/>
        </w:rPr>
        <w:t>磋商申请人：</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BCA0D9E">
      <w:pPr>
        <w:spacing w:line="360" w:lineRule="auto"/>
        <w:ind w:firstLine="1980" w:firstLineChars="825"/>
        <w:rPr>
          <w:rFonts w:ascii="宋体" w:hAnsi="宋体" w:eastAsia="宋体"/>
          <w:color w:val="auto"/>
          <w:sz w:val="24"/>
          <w:szCs w:val="24"/>
          <w:highlight w:val="none"/>
        </w:rPr>
      </w:pPr>
      <w:r>
        <w:rPr>
          <w:rFonts w:hint="eastAsia" w:ascii="宋体" w:hAnsi="宋体" w:eastAsia="宋体" w:cs="宋体"/>
          <w:color w:val="auto"/>
          <w:sz w:val="24"/>
          <w:szCs w:val="24"/>
          <w:highlight w:val="none"/>
        </w:rPr>
        <w:t>法定代表人（负责人）或其委托代理人：</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BDE5F82">
      <w:pPr>
        <w:spacing w:line="360" w:lineRule="auto"/>
        <w:ind w:firstLine="1980" w:firstLineChars="825"/>
        <w:jc w:val="center"/>
        <w:rPr>
          <w:rFonts w:ascii="宋体" w:hAnsi="宋体" w:eastAsia="宋体"/>
          <w:color w:val="auto"/>
          <w:sz w:val="24"/>
          <w:szCs w:val="24"/>
          <w:highlight w:val="none"/>
        </w:rPr>
      </w:pPr>
    </w:p>
    <w:p w14:paraId="27BF6215">
      <w:pPr>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4719B8C">
      <w:pPr>
        <w:spacing w:line="360" w:lineRule="auto"/>
        <w:jc w:val="center"/>
        <w:rPr>
          <w:rFonts w:ascii="宋体" w:hAnsi="宋体" w:eastAsia="宋体" w:cs="宋体"/>
          <w:color w:val="auto"/>
          <w:sz w:val="24"/>
          <w:szCs w:val="24"/>
          <w:highlight w:val="none"/>
        </w:rPr>
      </w:pPr>
    </w:p>
    <w:p w14:paraId="46327CEF">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6C878368">
      <w:pPr>
        <w:spacing w:line="360" w:lineRule="auto"/>
        <w:ind w:left="0" w:leftChars="0" w:firstLine="0" w:firstLineChars="0"/>
        <w:jc w:val="center"/>
        <w:rPr>
          <w:rFonts w:ascii="宋体" w:hAnsi="宋体" w:eastAsia="宋体" w:cs="宋体"/>
          <w:b/>
          <w:bCs/>
          <w:color w:val="auto"/>
          <w:sz w:val="32"/>
          <w:szCs w:val="36"/>
          <w:highlight w:val="none"/>
        </w:rPr>
      </w:pPr>
      <w:r>
        <w:rPr>
          <w:rFonts w:hint="eastAsia" w:ascii="宋体" w:hAnsi="宋体" w:eastAsia="宋体" w:cs="宋体"/>
          <w:b/>
          <w:bCs/>
          <w:color w:val="auto"/>
          <w:sz w:val="32"/>
          <w:szCs w:val="36"/>
          <w:highlight w:val="none"/>
        </w:rPr>
        <w:t>目 录</w:t>
      </w:r>
    </w:p>
    <w:p w14:paraId="26B01E3E">
      <w:pPr>
        <w:spacing w:line="360" w:lineRule="auto"/>
        <w:ind w:firstLine="420" w:firstLineChars="200"/>
        <w:rPr>
          <w:rFonts w:ascii="宋体" w:hAnsi="宋体" w:eastAsia="宋体" w:cs="宋体"/>
          <w:color w:val="auto"/>
          <w:highlight w:val="none"/>
        </w:rPr>
      </w:pPr>
    </w:p>
    <w:p w14:paraId="4A1B4ED1">
      <w:pPr>
        <w:spacing w:line="360" w:lineRule="auto"/>
        <w:ind w:firstLine="422" w:firstLineChars="200"/>
        <w:rPr>
          <w:rFonts w:ascii="宋体" w:hAnsi="宋体" w:eastAsia="宋体" w:cs="宋体"/>
          <w:b/>
          <w:bCs/>
          <w:color w:val="auto"/>
          <w:highlight w:val="none"/>
        </w:rPr>
      </w:pPr>
    </w:p>
    <w:p w14:paraId="770D02EA">
      <w:pPr>
        <w:spacing w:line="360" w:lineRule="auto"/>
        <w:ind w:firstLine="422" w:firstLineChars="200"/>
        <w:rPr>
          <w:rFonts w:ascii="宋体" w:hAnsi="宋体" w:eastAsia="宋体" w:cs="宋体"/>
          <w:color w:val="auto"/>
          <w:highlight w:val="none"/>
        </w:rPr>
      </w:pPr>
      <w:r>
        <w:rPr>
          <w:rFonts w:hint="eastAsia" w:ascii="宋体" w:hAnsi="宋体" w:eastAsia="宋体" w:cs="宋体"/>
          <w:b/>
          <w:bCs/>
          <w:color w:val="auto"/>
          <w:highlight w:val="none"/>
        </w:rPr>
        <w:t>注：1.请自行编制磋商响应文件目录，并按要求进行装订，并标注页码。</w:t>
      </w:r>
    </w:p>
    <w:p w14:paraId="2B829603">
      <w:pPr>
        <w:spacing w:line="360" w:lineRule="auto"/>
        <w:ind w:firstLine="843" w:firstLineChars="400"/>
        <w:jc w:val="left"/>
        <w:rPr>
          <w:rFonts w:ascii="宋体" w:hAnsi="宋体" w:eastAsia="宋体" w:cs="宋体"/>
          <w:b/>
          <w:bCs/>
          <w:color w:val="auto"/>
          <w:highlight w:val="none"/>
        </w:rPr>
      </w:pPr>
      <w:r>
        <w:rPr>
          <w:rFonts w:hint="eastAsia" w:ascii="宋体" w:hAnsi="宋体" w:eastAsia="宋体" w:cs="宋体"/>
          <w:b/>
          <w:bCs/>
          <w:color w:val="auto"/>
          <w:highlight w:val="none"/>
        </w:rPr>
        <w:t>2.磋商申请人应在磋商响应文件提交截止时间前将电子竞争性磋商响应文件通过政府采购云平台（www.zcygov.cn）上传指定的采购项目的磋商响应文件，以保证正常进行磋商程序。</w:t>
      </w:r>
    </w:p>
    <w:p w14:paraId="4F267AAD">
      <w:pPr>
        <w:spacing w:line="360" w:lineRule="auto"/>
        <w:ind w:firstLine="843" w:firstLineChars="400"/>
        <w:jc w:val="left"/>
        <w:rPr>
          <w:rFonts w:ascii="宋体" w:hAnsi="宋体" w:eastAsia="宋体" w:cs="宋体"/>
          <w:b/>
          <w:bCs/>
          <w:color w:val="auto"/>
          <w:highlight w:val="none"/>
        </w:rPr>
      </w:pPr>
      <w:r>
        <w:rPr>
          <w:rFonts w:hint="eastAsia" w:ascii="宋体" w:hAnsi="宋体" w:eastAsia="宋体" w:cs="宋体"/>
          <w:b/>
          <w:bCs/>
          <w:color w:val="auto"/>
          <w:highlight w:val="none"/>
        </w:rPr>
        <w:t>3.建议在政府采购云平台上传电子磋商响应文件时，将完整地电子磋商响应文件上传到商务技术部分，以避免出现遗漏情况。</w:t>
      </w:r>
    </w:p>
    <w:p w14:paraId="3D5226B8">
      <w:pPr>
        <w:widowControl/>
        <w:jc w:val="left"/>
        <w:rPr>
          <w:rFonts w:ascii="宋体" w:hAnsi="宋体" w:eastAsia="宋体" w:cs="宋体"/>
          <w:b/>
          <w:bCs/>
          <w:color w:val="auto"/>
          <w:highlight w:val="none"/>
        </w:rPr>
      </w:pPr>
      <w:r>
        <w:rPr>
          <w:rFonts w:hint="eastAsia" w:ascii="宋体" w:hAnsi="宋体" w:eastAsia="宋体" w:cs="宋体"/>
          <w:b/>
          <w:bCs/>
          <w:color w:val="auto"/>
          <w:highlight w:val="none"/>
        </w:rPr>
        <w:br w:type="page"/>
      </w:r>
    </w:p>
    <w:p w14:paraId="0C196230">
      <w:pPr>
        <w:spacing w:line="360" w:lineRule="auto"/>
        <w:jc w:val="center"/>
        <w:rPr>
          <w:rFonts w:ascii="宋体" w:hAnsi="宋体" w:eastAsia="宋体" w:cs="宋体"/>
          <w:b/>
          <w:color w:val="auto"/>
          <w:sz w:val="28"/>
          <w:szCs w:val="28"/>
          <w:highlight w:val="none"/>
        </w:rPr>
      </w:pPr>
      <w:r>
        <w:rPr>
          <w:rFonts w:hint="eastAsia" w:ascii="宋体" w:hAnsi="宋体" w:cs="宋体"/>
          <w:b/>
          <w:bCs/>
          <w:color w:val="auto"/>
          <w:sz w:val="28"/>
          <w:szCs w:val="28"/>
          <w:highlight w:val="none"/>
        </w:rPr>
        <w:t>第一部分 资格审查部分</w:t>
      </w:r>
    </w:p>
    <w:p w14:paraId="3B7A0511">
      <w:pPr>
        <w:spacing w:line="360" w:lineRule="auto"/>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格式1：资格审查申请函</w:t>
      </w:r>
    </w:p>
    <w:p w14:paraId="1237F991">
      <w:pPr>
        <w:spacing w:line="360" w:lineRule="auto"/>
        <w:ind w:firstLine="420" w:firstLineChars="200"/>
        <w:jc w:val="left"/>
        <w:rPr>
          <w:rFonts w:ascii="宋体" w:hAnsi="宋体" w:eastAsia="宋体" w:cs="宋体"/>
          <w:color w:val="auto"/>
          <w:highlight w:val="none"/>
        </w:rPr>
      </w:pPr>
    </w:p>
    <w:p w14:paraId="5FD627A0">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xml:space="preserve">               （采购人名称）</w:t>
      </w:r>
    </w:p>
    <w:p w14:paraId="394949FF">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我方仔细研究了</w:t>
      </w:r>
      <w:r>
        <w:rPr>
          <w:rFonts w:hint="eastAsia" w:ascii="宋体" w:hAnsi="宋体" w:eastAsia="宋体" w:cs="宋体"/>
          <w:color w:val="auto"/>
          <w:highlight w:val="none"/>
          <w:u w:val="single"/>
        </w:rPr>
        <w:t xml:space="preserve">（项目名称）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）项目竞争性磋商文件的全部内容，我方正式授权下述签字人</w:t>
      </w:r>
      <w:r>
        <w:rPr>
          <w:rFonts w:hint="eastAsia" w:ascii="宋体" w:hAnsi="宋体" w:eastAsia="宋体" w:cs="宋体"/>
          <w:color w:val="auto"/>
          <w:highlight w:val="none"/>
          <w:u w:val="single"/>
        </w:rPr>
        <w:t xml:space="preserve">   （姓名和职务）     </w:t>
      </w:r>
      <w:r>
        <w:rPr>
          <w:rFonts w:hint="eastAsia" w:ascii="宋体" w:hAnsi="宋体" w:eastAsia="宋体" w:cs="宋体"/>
          <w:color w:val="auto"/>
          <w:highlight w:val="none"/>
        </w:rPr>
        <w:t>全权代表</w:t>
      </w:r>
      <w:r>
        <w:rPr>
          <w:rFonts w:hint="eastAsia" w:ascii="宋体" w:hAnsi="宋体" w:eastAsia="宋体" w:cs="宋体"/>
          <w:color w:val="auto"/>
          <w:highlight w:val="none"/>
          <w:u w:val="single"/>
        </w:rPr>
        <w:t xml:space="preserve">  （磋商申请人全称）   </w:t>
      </w:r>
      <w:r>
        <w:rPr>
          <w:rFonts w:hint="eastAsia" w:ascii="宋体" w:hAnsi="宋体" w:eastAsia="宋体" w:cs="宋体"/>
          <w:color w:val="auto"/>
          <w:highlight w:val="none"/>
        </w:rPr>
        <w:t>参加磋商，并提交磋商响应文件电子文件1份，若有幸成交，向贵单位提供纸质磋商响应文件。</w:t>
      </w:r>
    </w:p>
    <w:p w14:paraId="1D9F3A50">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据此申请书，签字人兹宣布同意如下：</w:t>
      </w:r>
    </w:p>
    <w:p w14:paraId="2AAD87D4">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1.我方同意将按竞争性磋商文件的规定履行合同责任和义务。</w:t>
      </w:r>
    </w:p>
    <w:p w14:paraId="56501165">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2.我方已详细审查全部竞争性磋商文件，包括修改文件以及全部参考资料和所有附件。我们完全理解并认为该磋商文件公平公正，不存在倾向性，且同意放弃对这方面有不明及误解的权利。</w:t>
      </w:r>
    </w:p>
    <w:p w14:paraId="707A717A">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3.本磋商自响应文件开启之日起有效期为90天。</w:t>
      </w:r>
    </w:p>
    <w:p w14:paraId="7FF5C822">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4.我方同意磋商申请人须知中关于没收保证金的规定。</w:t>
      </w:r>
    </w:p>
    <w:p w14:paraId="423120D0">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5.同意应贵方要求提供与本次磋商有关的任何数据和资料，并保证数据和资料的完整性和真实性。</w:t>
      </w:r>
    </w:p>
    <w:p w14:paraId="1831FEBB">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6.同意因资格条件不符合资格要求不得再参与磋商的规定。</w:t>
      </w:r>
    </w:p>
    <w:p w14:paraId="43887954">
      <w:pPr>
        <w:keepNext/>
        <w:spacing w:line="360" w:lineRule="auto"/>
        <w:ind w:firstLine="420" w:firstLineChars="200"/>
        <w:jc w:val="left"/>
        <w:rPr>
          <w:rFonts w:ascii="宋体" w:hAnsi="宋体" w:eastAsia="宋体" w:cs="宋体"/>
          <w:color w:val="auto"/>
          <w:highlight w:val="none"/>
        </w:rPr>
      </w:pPr>
    </w:p>
    <w:p w14:paraId="1ABAFAD7">
      <w:pPr>
        <w:keepNext/>
        <w:spacing w:line="360" w:lineRule="auto"/>
        <w:ind w:firstLine="420" w:firstLineChars="200"/>
        <w:jc w:val="left"/>
        <w:rPr>
          <w:rFonts w:ascii="宋体" w:hAnsi="宋体" w:eastAsia="宋体" w:cs="宋体"/>
          <w:color w:val="auto"/>
          <w:highlight w:val="none"/>
        </w:rPr>
      </w:pPr>
    </w:p>
    <w:p w14:paraId="1043649F">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与本次磋商有关的正式通讯地址为：</w:t>
      </w:r>
    </w:p>
    <w:p w14:paraId="4FE4BC94">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邮政编码：</w:t>
      </w:r>
      <w:r>
        <w:rPr>
          <w:rFonts w:hint="eastAsia" w:ascii="宋体" w:hAnsi="宋体" w:eastAsia="宋体" w:cs="宋体"/>
          <w:color w:val="auto"/>
          <w:highlight w:val="none"/>
          <w:u w:val="single"/>
        </w:rPr>
        <w:t xml:space="preserve">                </w:t>
      </w:r>
    </w:p>
    <w:p w14:paraId="7A05C348">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传    真：</w:t>
      </w:r>
      <w:r>
        <w:rPr>
          <w:rFonts w:hint="eastAsia" w:ascii="宋体" w:hAnsi="宋体" w:eastAsia="宋体" w:cs="宋体"/>
          <w:color w:val="auto"/>
          <w:highlight w:val="none"/>
          <w:u w:val="single"/>
        </w:rPr>
        <w:t>　　　　　　　　</w:t>
      </w:r>
    </w:p>
    <w:p w14:paraId="22B4D511">
      <w:pPr>
        <w:spacing w:line="360" w:lineRule="auto"/>
        <w:ind w:firstLine="420" w:firstLineChars="200"/>
        <w:jc w:val="left"/>
        <w:rPr>
          <w:rFonts w:ascii="宋体" w:hAnsi="宋体" w:eastAsia="宋体" w:cs="宋体"/>
          <w:color w:val="auto"/>
          <w:highlight w:val="none"/>
          <w:u w:val="single"/>
        </w:rPr>
      </w:pPr>
      <w:r>
        <w:rPr>
          <w:rFonts w:hint="eastAsia" w:ascii="宋体" w:hAnsi="宋体" w:eastAsia="宋体" w:cs="宋体"/>
          <w:color w:val="auto"/>
          <w:highlight w:val="none"/>
        </w:rPr>
        <w:t>开户名称：</w:t>
      </w:r>
      <w:r>
        <w:rPr>
          <w:rFonts w:hint="eastAsia" w:ascii="宋体" w:hAnsi="宋体" w:eastAsia="宋体" w:cs="宋体"/>
          <w:color w:val="auto"/>
          <w:highlight w:val="none"/>
          <w:u w:val="single"/>
        </w:rPr>
        <w:t xml:space="preserve">                                                    </w:t>
      </w:r>
    </w:p>
    <w:p w14:paraId="4D6F3FC8">
      <w:pPr>
        <w:spacing w:line="360" w:lineRule="auto"/>
        <w:ind w:firstLine="420" w:firstLineChars="200"/>
        <w:jc w:val="left"/>
        <w:rPr>
          <w:rFonts w:ascii="宋体" w:hAnsi="宋体" w:eastAsia="宋体" w:cs="宋体"/>
          <w:color w:val="auto"/>
          <w:highlight w:val="none"/>
          <w:u w:val="single"/>
        </w:rPr>
      </w:pPr>
      <w:r>
        <w:rPr>
          <w:rFonts w:hint="eastAsia" w:ascii="宋体" w:hAnsi="宋体" w:eastAsia="宋体" w:cs="宋体"/>
          <w:color w:val="auto"/>
          <w:highlight w:val="none"/>
        </w:rPr>
        <w:t>开户银行：</w:t>
      </w:r>
      <w:r>
        <w:rPr>
          <w:rFonts w:hint="eastAsia" w:ascii="宋体" w:hAnsi="宋体" w:eastAsia="宋体" w:cs="宋体"/>
          <w:color w:val="auto"/>
          <w:highlight w:val="none"/>
          <w:u w:val="single"/>
        </w:rPr>
        <w:t xml:space="preserve">                                                    </w:t>
      </w:r>
    </w:p>
    <w:p w14:paraId="284FE449">
      <w:pPr>
        <w:spacing w:line="360" w:lineRule="auto"/>
        <w:ind w:firstLine="420" w:firstLineChars="200"/>
        <w:jc w:val="left"/>
        <w:rPr>
          <w:rFonts w:ascii="宋体" w:hAnsi="宋体" w:eastAsia="宋体" w:cs="宋体"/>
          <w:color w:val="auto"/>
          <w:highlight w:val="none"/>
          <w:u w:val="single"/>
        </w:rPr>
      </w:pPr>
      <w:r>
        <w:rPr>
          <w:rFonts w:hint="eastAsia" w:ascii="宋体" w:hAnsi="宋体" w:eastAsia="宋体" w:cs="宋体"/>
          <w:color w:val="auto"/>
          <w:highlight w:val="none"/>
        </w:rPr>
        <w:t>帐    号：</w:t>
      </w:r>
      <w:r>
        <w:rPr>
          <w:rFonts w:hint="eastAsia" w:ascii="宋体" w:hAnsi="宋体" w:eastAsia="宋体" w:cs="宋体"/>
          <w:color w:val="auto"/>
          <w:highlight w:val="none"/>
          <w:u w:val="single"/>
        </w:rPr>
        <w:t xml:space="preserve">                                                    </w:t>
      </w:r>
    </w:p>
    <w:p w14:paraId="732E941B">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磋商申请人：</w:t>
      </w:r>
      <w:r>
        <w:rPr>
          <w:rFonts w:hint="eastAsia" w:ascii="宋体" w:hAnsi="宋体" w:eastAsia="宋体" w:cs="宋体"/>
          <w:color w:val="auto"/>
          <w:highlight w:val="none"/>
          <w:u w:val="single"/>
        </w:rPr>
        <w:t xml:space="preserve">              （全称）                     </w:t>
      </w:r>
      <w:r>
        <w:rPr>
          <w:rFonts w:hint="eastAsia" w:ascii="宋体" w:hAnsi="宋体" w:eastAsia="宋体" w:cs="宋体"/>
          <w:color w:val="auto"/>
          <w:highlight w:val="none"/>
        </w:rPr>
        <w:t>（盖单位章）</w:t>
      </w:r>
    </w:p>
    <w:p w14:paraId="26270151">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法定代表人（负责人）或其委托代理人：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（签字或盖章）</w:t>
      </w:r>
    </w:p>
    <w:p w14:paraId="4C7B2824">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B29516C">
      <w:pPr>
        <w:keepNext/>
        <w:jc w:val="left"/>
        <w:rPr>
          <w:rFonts w:hint="eastAsia" w:ascii="宋体" w:hAnsi="宋体" w:eastAsia="宋体" w:cs="宋体"/>
          <w:b/>
          <w:bCs/>
          <w:color w:val="auto"/>
          <w:szCs w:val="21"/>
          <w:highlight w:val="none"/>
        </w:rPr>
      </w:pPr>
    </w:p>
    <w:p w14:paraId="1C2D5CE2">
      <w:pPr>
        <w:keepNext/>
        <w:jc w:val="left"/>
        <w:rPr>
          <w:rFonts w:ascii="宋体" w:hAnsi="宋体" w:eastAsia="宋体" w:cs="宋体"/>
          <w:color w:val="auto"/>
          <w:highlight w:val="none"/>
        </w:rPr>
      </w:pPr>
      <w:r>
        <w:rPr>
          <w:rFonts w:hint="eastAsia" w:ascii="宋体" w:hAnsi="宋体" w:eastAsia="宋体" w:cs="宋体"/>
          <w:b/>
          <w:bCs/>
          <w:color w:val="auto"/>
          <w:szCs w:val="21"/>
          <w:highlight w:val="none"/>
        </w:rPr>
        <w:t>注：</w:t>
      </w:r>
      <w:r>
        <w:rPr>
          <w:rFonts w:hint="eastAsia" w:ascii="宋体" w:hAnsi="宋体" w:eastAsia="宋体" w:cs="宋体"/>
          <w:b/>
          <w:bCs/>
          <w:color w:val="auto"/>
          <w:szCs w:val="21"/>
          <w:highlight w:val="none"/>
          <w:lang w:eastAsia="zh-CN"/>
        </w:rPr>
        <w:t>以联合体形式参与磋商的，此材料由联合体牵头人汇总编制后提供</w:t>
      </w:r>
      <w:r>
        <w:rPr>
          <w:rFonts w:hint="eastAsia" w:ascii="宋体" w:hAnsi="宋体" w:eastAsia="宋体" w:cs="宋体"/>
          <w:b/>
          <w:bCs/>
          <w:color w:val="auto"/>
          <w:szCs w:val="21"/>
          <w:highlight w:val="none"/>
        </w:rPr>
        <w:t>。</w:t>
      </w:r>
    </w:p>
    <w:p w14:paraId="3FE034D2">
      <w:pPr>
        <w:keepNext/>
        <w:jc w:val="center"/>
        <w:rPr>
          <w:rFonts w:ascii="宋体" w:hAnsi="宋体" w:eastAsia="宋体" w:cs="宋体"/>
          <w:b/>
          <w:bCs/>
          <w:color w:val="auto"/>
          <w:sz w:val="28"/>
          <w:szCs w:val="28"/>
          <w:highlight w:val="none"/>
        </w:rPr>
      </w:pPr>
      <w:r>
        <w:rPr>
          <w:rFonts w:hint="eastAsia" w:ascii="宋体" w:hAnsi="宋体" w:eastAsia="宋体" w:cs="宋体"/>
          <w:b/>
          <w:color w:val="auto"/>
          <w:highlight w:val="none"/>
        </w:rPr>
        <w:br w:type="page"/>
      </w:r>
      <w:bookmarkStart w:id="260" w:name="_Toc7252771"/>
      <w:r>
        <w:rPr>
          <w:rFonts w:hint="eastAsia" w:ascii="宋体" w:hAnsi="宋体" w:eastAsia="宋体" w:cs="宋体"/>
          <w:b/>
          <w:bCs/>
          <w:color w:val="auto"/>
          <w:sz w:val="28"/>
          <w:szCs w:val="28"/>
          <w:highlight w:val="none"/>
        </w:rPr>
        <w:t>格式2</w:t>
      </w:r>
      <w:bookmarkEnd w:id="260"/>
      <w:r>
        <w:rPr>
          <w:rFonts w:hint="eastAsia" w:ascii="宋体" w:hAnsi="宋体" w:eastAsia="宋体" w:cs="宋体"/>
          <w:b/>
          <w:bCs/>
          <w:color w:val="auto"/>
          <w:sz w:val="28"/>
          <w:szCs w:val="28"/>
          <w:highlight w:val="none"/>
        </w:rPr>
        <w:t xml:space="preserve">： </w:t>
      </w:r>
      <w:bookmarkStart w:id="261" w:name="_Toc21569"/>
      <w:r>
        <w:rPr>
          <w:rFonts w:hint="eastAsia" w:ascii="宋体" w:hAnsi="宋体" w:eastAsia="宋体" w:cs="宋体"/>
          <w:b/>
          <w:bCs/>
          <w:color w:val="auto"/>
          <w:sz w:val="28"/>
          <w:szCs w:val="28"/>
          <w:highlight w:val="none"/>
        </w:rPr>
        <w:t>磋商申请人应具有独立承担民事责任的能力</w:t>
      </w:r>
      <w:bookmarkEnd w:id="261"/>
    </w:p>
    <w:p w14:paraId="7A9DA481">
      <w:pPr>
        <w:keepNext/>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格式－2.1提供有效营业执照等能证明具有独立承担民事责任能力材料：</w:t>
      </w:r>
    </w:p>
    <w:p w14:paraId="1095978D">
      <w:pPr>
        <w:spacing w:line="460" w:lineRule="exact"/>
        <w:ind w:firstLine="630" w:firstLineChars="300"/>
        <w:jc w:val="left"/>
        <w:rPr>
          <w:rFonts w:hint="eastAsia" w:ascii="宋体" w:hAnsi="宋体" w:eastAsia="宋体" w:cs="宋体"/>
          <w:color w:val="auto"/>
          <w:kern w:val="0"/>
          <w:highlight w:val="none"/>
        </w:rPr>
      </w:pPr>
    </w:p>
    <w:p w14:paraId="36AD9C8E">
      <w:pPr>
        <w:spacing w:line="460" w:lineRule="exact"/>
        <w:ind w:firstLine="630" w:firstLineChars="300"/>
        <w:jc w:val="left"/>
        <w:rPr>
          <w:rFonts w:ascii="宋体" w:hAnsi="宋体" w:eastAsia="宋体" w:cs="宋体"/>
          <w:color w:val="auto"/>
          <w:sz w:val="24"/>
          <w:szCs w:val="24"/>
          <w:highlight w:val="none"/>
        </w:rPr>
      </w:pPr>
      <w:r>
        <w:rPr>
          <w:rFonts w:hint="eastAsia" w:ascii="宋体" w:hAnsi="宋体" w:eastAsia="宋体" w:cs="宋体"/>
          <w:color w:val="auto"/>
          <w:kern w:val="0"/>
          <w:highlight w:val="none"/>
        </w:rPr>
        <w:t>磋商申请人具有独立承担民事责任的能力。提供法人或者其他组织的营业执照等证明文件。磋商申请人应具备经国家金融监督管理总局（原中国银行保险监督管理委员会）批准设立并提供有效《保险许可证》的保险机构。鉴于保险行业的特殊性，保险机构不能直接参与磋商的，可由其分支机构参与磋商。若为</w:t>
      </w:r>
      <w:r>
        <w:rPr>
          <w:rFonts w:hint="eastAsia" w:ascii="宋体" w:hAnsi="宋体" w:eastAsia="宋体" w:cs="宋体"/>
          <w:color w:val="auto"/>
          <w:kern w:val="0"/>
          <w:highlight w:val="none"/>
          <w:lang w:val="en-US" w:eastAsia="zh-CN"/>
        </w:rPr>
        <w:t>项目所在地的</w:t>
      </w:r>
      <w:r>
        <w:rPr>
          <w:rFonts w:hint="eastAsia" w:ascii="宋体" w:hAnsi="宋体" w:eastAsia="宋体" w:cs="宋体"/>
          <w:color w:val="auto"/>
          <w:kern w:val="0"/>
          <w:highlight w:val="none"/>
        </w:rPr>
        <w:t>保险机构分支机构参与磋商，应分别提供保险机构</w:t>
      </w:r>
      <w:r>
        <w:rPr>
          <w:rFonts w:hint="eastAsia" w:ascii="宋体" w:hAnsi="宋体" w:eastAsia="宋体" w:cs="宋体"/>
          <w:color w:val="auto"/>
          <w:szCs w:val="21"/>
          <w:highlight w:val="none"/>
          <w:lang w:val="en-US" w:eastAsia="zh-CN"/>
        </w:rPr>
        <w:t>总部（总公司）</w:t>
      </w:r>
      <w:r>
        <w:rPr>
          <w:rFonts w:hint="eastAsia" w:ascii="宋体" w:hAnsi="宋体" w:eastAsia="宋体" w:cs="宋体"/>
          <w:color w:val="auto"/>
          <w:kern w:val="0"/>
          <w:highlight w:val="none"/>
        </w:rPr>
        <w:t>及其分支机构的《营业执照》</w:t>
      </w:r>
      <w:r>
        <w:rPr>
          <w:rFonts w:hint="eastAsia" w:ascii="宋体" w:hAnsi="宋体" w:eastAsia="宋体" w:cs="宋体"/>
          <w:color w:val="auto"/>
          <w:kern w:val="0"/>
          <w:highlight w:val="none"/>
          <w:lang w:val="en-US" w:eastAsia="zh-CN"/>
        </w:rPr>
        <w:t>等证件</w:t>
      </w:r>
      <w:r>
        <w:rPr>
          <w:rFonts w:hint="eastAsia" w:ascii="宋体" w:hAnsi="宋体" w:eastAsia="宋体" w:cs="宋体"/>
          <w:color w:val="auto"/>
          <w:kern w:val="0"/>
          <w:highlight w:val="none"/>
        </w:rPr>
        <w:t>，</w:t>
      </w:r>
      <w:r>
        <w:rPr>
          <w:rFonts w:hint="eastAsia" w:ascii="宋体" w:hAnsi="宋体" w:eastAsia="宋体" w:cs="宋体"/>
          <w:color w:val="auto"/>
          <w:szCs w:val="21"/>
          <w:highlight w:val="none"/>
        </w:rPr>
        <w:t>并取得保险机构</w:t>
      </w:r>
      <w:r>
        <w:rPr>
          <w:rFonts w:hint="eastAsia" w:ascii="宋体" w:hAnsi="宋体" w:eastAsia="宋体" w:cs="宋体"/>
          <w:color w:val="auto"/>
          <w:szCs w:val="21"/>
          <w:highlight w:val="none"/>
          <w:lang w:val="en-US" w:eastAsia="zh-CN"/>
        </w:rPr>
        <w:t>总部（总公司）</w:t>
      </w:r>
      <w:r>
        <w:rPr>
          <w:rFonts w:hint="eastAsia" w:ascii="宋体" w:hAnsi="宋体" w:eastAsia="宋体" w:cs="宋体"/>
          <w:color w:val="auto"/>
          <w:szCs w:val="21"/>
          <w:highlight w:val="none"/>
        </w:rPr>
        <w:t>的有效</w:t>
      </w:r>
      <w:r>
        <w:rPr>
          <w:rFonts w:hint="eastAsia" w:ascii="宋体" w:hAnsi="宋体" w:eastAsia="宋体" w:cs="宋体"/>
          <w:color w:val="auto"/>
          <w:szCs w:val="21"/>
          <w:highlight w:val="none"/>
          <w:lang w:val="en-US" w:eastAsia="zh-CN"/>
        </w:rPr>
        <w:t>逐级</w:t>
      </w:r>
      <w:r>
        <w:rPr>
          <w:rFonts w:hint="eastAsia" w:ascii="宋体" w:hAnsi="宋体" w:eastAsia="宋体" w:cs="宋体"/>
          <w:color w:val="auto"/>
          <w:szCs w:val="21"/>
          <w:highlight w:val="none"/>
        </w:rPr>
        <w:t>授权</w:t>
      </w:r>
      <w:r>
        <w:rPr>
          <w:rFonts w:hint="eastAsia" w:ascii="宋体" w:hAnsi="宋体" w:eastAsia="宋体" w:cs="宋体"/>
          <w:color w:val="auto"/>
          <w:kern w:val="0"/>
          <w:highlight w:val="none"/>
        </w:rPr>
        <w:t>。不接受保险中介机构的分支机构直接参与。</w:t>
      </w:r>
    </w:p>
    <w:p w14:paraId="1FCECCFC">
      <w:pPr>
        <w:spacing w:line="460" w:lineRule="exact"/>
        <w:ind w:firstLine="420" w:firstLineChars="200"/>
        <w:jc w:val="left"/>
        <w:rPr>
          <w:rFonts w:hint="eastAsia" w:ascii="宋体" w:hAnsi="宋体" w:eastAsia="宋体" w:cs="宋体"/>
          <w:color w:val="auto"/>
          <w:szCs w:val="21"/>
          <w:highlight w:val="none"/>
        </w:rPr>
      </w:pPr>
    </w:p>
    <w:p w14:paraId="2974DC75">
      <w:pPr>
        <w:spacing w:line="46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2.1提供有效营业执照：</w:t>
      </w:r>
    </w:p>
    <w:p w14:paraId="669030EB">
      <w:pPr>
        <w:spacing w:line="460" w:lineRule="exact"/>
        <w:ind w:firstLine="420" w:firstLineChars="20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磋商申请人须具有合法有效的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营业执照》或统一社会信用代码证或其他组织证件或自然人身份证件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保险机构分支机构参与本项目的还需</w:t>
      </w:r>
      <w:r>
        <w:rPr>
          <w:rFonts w:hint="eastAsia" w:ascii="宋体" w:hAnsi="宋体" w:eastAsia="宋体" w:cs="宋体"/>
          <w:color w:val="auto"/>
          <w:szCs w:val="21"/>
          <w:highlight w:val="none"/>
        </w:rPr>
        <w:t>须提供</w:t>
      </w:r>
      <w:r>
        <w:rPr>
          <w:rFonts w:hint="eastAsia" w:ascii="宋体" w:hAnsi="宋体" w:eastAsia="宋体" w:cs="宋体"/>
          <w:color w:val="auto"/>
          <w:szCs w:val="21"/>
          <w:highlight w:val="none"/>
          <w:lang w:val="en-US" w:eastAsia="zh-CN"/>
        </w:rPr>
        <w:t>自</w:t>
      </w:r>
      <w:r>
        <w:rPr>
          <w:rFonts w:hint="eastAsia" w:ascii="宋体" w:hAnsi="宋体" w:eastAsia="宋体" w:cs="宋体"/>
          <w:color w:val="auto"/>
          <w:szCs w:val="21"/>
          <w:highlight w:val="none"/>
        </w:rPr>
        <w:t>保险机构</w:t>
      </w:r>
      <w:r>
        <w:rPr>
          <w:rFonts w:hint="eastAsia" w:ascii="宋体" w:hAnsi="宋体" w:eastAsia="宋体" w:cs="宋体"/>
          <w:color w:val="auto"/>
          <w:szCs w:val="21"/>
          <w:highlight w:val="none"/>
          <w:lang w:val="en-US" w:eastAsia="zh-CN"/>
        </w:rPr>
        <w:t>总部（总公司）至磋商申请人的</w:t>
      </w:r>
      <w:r>
        <w:rPr>
          <w:rFonts w:hint="eastAsia" w:ascii="宋体" w:hAnsi="宋体" w:eastAsia="宋体" w:cs="宋体"/>
          <w:color w:val="auto"/>
          <w:szCs w:val="21"/>
          <w:highlight w:val="none"/>
        </w:rPr>
        <w:t>各级营业执照</w:t>
      </w:r>
      <w:r>
        <w:rPr>
          <w:rFonts w:hint="eastAsia" w:ascii="宋体" w:hAnsi="宋体" w:eastAsia="宋体" w:cs="宋体"/>
          <w:color w:val="auto"/>
          <w:szCs w:val="21"/>
          <w:highlight w:val="none"/>
          <w:lang w:val="en-US" w:eastAsia="zh-CN"/>
        </w:rPr>
        <w:t>等有效证件材料。</w:t>
      </w:r>
    </w:p>
    <w:p w14:paraId="57FDAA3C">
      <w:pPr>
        <w:spacing w:line="460" w:lineRule="exact"/>
        <w:ind w:firstLine="420" w:firstLineChars="200"/>
        <w:jc w:val="left"/>
        <w:rPr>
          <w:rFonts w:hint="eastAsia" w:ascii="宋体" w:hAnsi="宋体" w:eastAsia="宋体" w:cs="宋体"/>
          <w:color w:val="auto"/>
          <w:szCs w:val="21"/>
          <w:highlight w:val="none"/>
        </w:rPr>
      </w:pPr>
    </w:p>
    <w:p w14:paraId="063A89C5">
      <w:pPr>
        <w:spacing w:line="460" w:lineRule="exact"/>
        <w:ind w:firstLine="422"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注：以联合体形式参与磋商的，此材料联合体各方均需提供</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且本项目</w:t>
      </w:r>
      <w:r>
        <w:rPr>
          <w:rFonts w:hint="eastAsia" w:ascii="宋体" w:hAnsi="宋体" w:eastAsia="宋体" w:cs="宋体"/>
          <w:b/>
          <w:bCs/>
          <w:color w:val="auto"/>
          <w:szCs w:val="21"/>
          <w:highlight w:val="none"/>
        </w:rPr>
        <w:t>不接受保险中介机构的分支机构直接参与。</w:t>
      </w:r>
    </w:p>
    <w:p w14:paraId="5268117F">
      <w:pPr>
        <w:spacing w:line="460" w:lineRule="exact"/>
        <w:ind w:firstLine="420" w:firstLineChars="200"/>
        <w:jc w:val="left"/>
        <w:rPr>
          <w:rFonts w:hint="eastAsia" w:ascii="宋体" w:hAnsi="宋体" w:eastAsia="宋体" w:cs="宋体"/>
          <w:color w:val="auto"/>
          <w:szCs w:val="21"/>
          <w:highlight w:val="none"/>
        </w:rPr>
      </w:pPr>
    </w:p>
    <w:p w14:paraId="7F21F825">
      <w:pPr>
        <w:keepNext/>
        <w:spacing w:line="360" w:lineRule="auto"/>
        <w:jc w:val="center"/>
        <w:rPr>
          <w:rFonts w:ascii="宋体" w:hAnsi="宋体" w:eastAsia="宋体" w:cs="宋体"/>
          <w:b/>
          <w:bCs/>
          <w:color w:val="auto"/>
          <w:sz w:val="28"/>
          <w:szCs w:val="28"/>
          <w:highlight w:val="none"/>
        </w:rPr>
      </w:pPr>
      <w:r>
        <w:rPr>
          <w:rFonts w:hint="eastAsia" w:ascii="宋体" w:hAnsi="宋体" w:eastAsia="宋体" w:cs="宋体"/>
          <w:b/>
          <w:color w:val="auto"/>
          <w:szCs w:val="21"/>
          <w:highlight w:val="none"/>
        </w:rPr>
        <w:br w:type="page"/>
      </w:r>
      <w:r>
        <w:rPr>
          <w:rFonts w:hint="eastAsia" w:ascii="宋体" w:hAnsi="宋体" w:eastAsia="宋体" w:cs="宋体"/>
          <w:b/>
          <w:bCs/>
          <w:color w:val="auto"/>
          <w:sz w:val="28"/>
          <w:szCs w:val="28"/>
          <w:highlight w:val="none"/>
        </w:rPr>
        <w:t>格式2-2：法定代表人（负责人）身份证明书</w:t>
      </w:r>
    </w:p>
    <w:p w14:paraId="06759DF3">
      <w:pPr>
        <w:spacing w:line="360" w:lineRule="auto"/>
        <w:ind w:firstLine="602" w:firstLineChars="200"/>
        <w:rPr>
          <w:rFonts w:ascii="宋体" w:hAnsi="宋体" w:eastAsia="宋体" w:cs="宋体"/>
          <w:b/>
          <w:bCs/>
          <w:color w:val="auto"/>
          <w:sz w:val="30"/>
          <w:szCs w:val="30"/>
          <w:highlight w:val="none"/>
        </w:rPr>
      </w:pPr>
    </w:p>
    <w:p w14:paraId="166B1A85">
      <w:pPr>
        <w:spacing w:line="360" w:lineRule="auto"/>
        <w:ind w:firstLine="420" w:firstLineChars="200"/>
        <w:rPr>
          <w:rFonts w:ascii="宋体" w:hAnsi="宋体" w:eastAsia="宋体"/>
          <w:color w:val="auto"/>
          <w:highlight w:val="none"/>
        </w:rPr>
      </w:pPr>
      <w:r>
        <w:rPr>
          <w:rFonts w:hint="eastAsia" w:ascii="宋体" w:hAnsi="宋体" w:eastAsia="宋体" w:cs="宋体"/>
          <w:color w:val="auto"/>
          <w:highlight w:val="none"/>
        </w:rPr>
        <w:t>磋商申请人名称：</w:t>
      </w:r>
      <w:r>
        <w:rPr>
          <w:rFonts w:ascii="宋体" w:hAnsi="宋体" w:eastAsia="宋体"/>
          <w:color w:val="auto"/>
          <w:highlight w:val="none"/>
          <w:u w:val="single"/>
        </w:rPr>
        <w:t xml:space="preserve">                        </w:t>
      </w:r>
    </w:p>
    <w:p w14:paraId="564B08F6">
      <w:pPr>
        <w:spacing w:line="360" w:lineRule="auto"/>
        <w:ind w:firstLine="420" w:firstLineChars="200"/>
        <w:rPr>
          <w:rFonts w:ascii="宋体" w:hAnsi="宋体" w:eastAsia="宋体"/>
          <w:color w:val="auto"/>
          <w:highlight w:val="none"/>
        </w:rPr>
      </w:pPr>
      <w:r>
        <w:rPr>
          <w:rFonts w:hint="eastAsia" w:ascii="宋体" w:hAnsi="宋体" w:eastAsia="宋体" w:cs="宋体"/>
          <w:color w:val="auto"/>
          <w:highlight w:val="none"/>
        </w:rPr>
        <w:t>单位性质：</w:t>
      </w:r>
      <w:r>
        <w:rPr>
          <w:rFonts w:ascii="宋体" w:hAnsi="宋体" w:eastAsia="宋体"/>
          <w:color w:val="auto"/>
          <w:highlight w:val="none"/>
          <w:u w:val="single"/>
        </w:rPr>
        <w:t xml:space="preserve">                          </w:t>
      </w:r>
    </w:p>
    <w:p w14:paraId="5CF23029">
      <w:pPr>
        <w:spacing w:line="360" w:lineRule="auto"/>
        <w:ind w:firstLine="420" w:firstLineChars="200"/>
        <w:rPr>
          <w:rFonts w:ascii="宋体" w:hAnsi="宋体" w:eastAsia="宋体"/>
          <w:color w:val="auto"/>
          <w:highlight w:val="none"/>
        </w:rPr>
      </w:pPr>
      <w:r>
        <w:rPr>
          <w:rFonts w:hint="eastAsia" w:ascii="宋体" w:hAnsi="宋体" w:eastAsia="宋体" w:cs="宋体"/>
          <w:color w:val="auto"/>
          <w:highlight w:val="none"/>
        </w:rPr>
        <w:t>成立时间：</w:t>
      </w:r>
      <w:r>
        <w:rPr>
          <w:rFonts w:ascii="宋体" w:hAnsi="宋体" w:eastAsia="宋体"/>
          <w:color w:val="auto"/>
          <w:highlight w:val="none"/>
          <w:u w:val="single"/>
        </w:rPr>
        <w:t xml:space="preserve">        </w:t>
      </w:r>
      <w:r>
        <w:rPr>
          <w:rFonts w:hint="eastAsia" w:ascii="宋体" w:hAnsi="宋体" w:eastAsia="宋体" w:cs="宋体"/>
          <w:color w:val="auto"/>
          <w:highlight w:val="none"/>
        </w:rPr>
        <w:t>年</w:t>
      </w:r>
      <w:r>
        <w:rPr>
          <w:rFonts w:ascii="宋体" w:hAnsi="宋体" w:eastAsia="宋体"/>
          <w:color w:val="auto"/>
          <w:highlight w:val="none"/>
          <w:u w:val="single"/>
        </w:rPr>
        <w:t xml:space="preserve">       </w:t>
      </w:r>
      <w:r>
        <w:rPr>
          <w:rFonts w:hint="eastAsia" w:ascii="宋体" w:hAnsi="宋体" w:eastAsia="宋体" w:cs="宋体"/>
          <w:color w:val="auto"/>
          <w:highlight w:val="none"/>
        </w:rPr>
        <w:t>月</w:t>
      </w:r>
      <w:r>
        <w:rPr>
          <w:rFonts w:ascii="宋体" w:hAnsi="宋体" w:eastAsia="宋体"/>
          <w:color w:val="auto"/>
          <w:highlight w:val="none"/>
          <w:u w:val="single"/>
        </w:rPr>
        <w:t xml:space="preserve">       </w:t>
      </w:r>
      <w:r>
        <w:rPr>
          <w:rFonts w:hint="eastAsia" w:ascii="宋体" w:hAnsi="宋体" w:eastAsia="宋体" w:cs="宋体"/>
          <w:color w:val="auto"/>
          <w:highlight w:val="none"/>
        </w:rPr>
        <w:t>日</w:t>
      </w:r>
    </w:p>
    <w:p w14:paraId="41777F6B">
      <w:pPr>
        <w:spacing w:line="360" w:lineRule="auto"/>
        <w:ind w:firstLine="420" w:firstLineChars="200"/>
        <w:rPr>
          <w:rFonts w:ascii="宋体" w:hAnsi="宋体" w:eastAsia="宋体"/>
          <w:color w:val="auto"/>
          <w:highlight w:val="none"/>
        </w:rPr>
      </w:pPr>
      <w:r>
        <w:rPr>
          <w:rFonts w:hint="eastAsia" w:ascii="宋体" w:hAnsi="宋体" w:eastAsia="宋体" w:cs="宋体"/>
          <w:color w:val="auto"/>
          <w:highlight w:val="none"/>
        </w:rPr>
        <w:t>经营期限：</w:t>
      </w:r>
      <w:r>
        <w:rPr>
          <w:rFonts w:ascii="宋体" w:hAnsi="宋体" w:eastAsia="宋体"/>
          <w:color w:val="auto"/>
          <w:highlight w:val="none"/>
          <w:u w:val="single"/>
        </w:rPr>
        <w:t xml:space="preserve">                          </w:t>
      </w:r>
    </w:p>
    <w:p w14:paraId="0E2B19DF">
      <w:pPr>
        <w:spacing w:line="360" w:lineRule="auto"/>
        <w:ind w:firstLine="420" w:firstLineChars="200"/>
        <w:rPr>
          <w:rFonts w:ascii="宋体" w:hAnsi="宋体" w:eastAsia="宋体"/>
          <w:color w:val="auto"/>
          <w:highlight w:val="none"/>
        </w:rPr>
      </w:pPr>
      <w:r>
        <w:rPr>
          <w:rFonts w:hint="eastAsia" w:ascii="宋体" w:hAnsi="宋体" w:eastAsia="宋体" w:cs="宋体"/>
          <w:color w:val="auto"/>
          <w:highlight w:val="none"/>
        </w:rPr>
        <w:t>姓名：</w:t>
      </w:r>
      <w:r>
        <w:rPr>
          <w:rFonts w:ascii="宋体" w:hAnsi="宋体" w:eastAsia="宋体"/>
          <w:color w:val="auto"/>
          <w:highlight w:val="none"/>
          <w:u w:val="single"/>
        </w:rPr>
        <w:t xml:space="preserve">            </w:t>
      </w:r>
      <w:r>
        <w:rPr>
          <w:rFonts w:hint="eastAsia" w:ascii="宋体" w:hAnsi="宋体" w:eastAsia="宋体" w:cs="宋体"/>
          <w:color w:val="auto"/>
          <w:highlight w:val="none"/>
        </w:rPr>
        <w:t>性别：</w:t>
      </w:r>
      <w:r>
        <w:rPr>
          <w:rFonts w:ascii="宋体" w:hAnsi="宋体" w:eastAsia="宋体"/>
          <w:color w:val="auto"/>
          <w:highlight w:val="none"/>
          <w:u w:val="single"/>
        </w:rPr>
        <w:t xml:space="preserve">            </w:t>
      </w:r>
      <w:r>
        <w:rPr>
          <w:rFonts w:hint="eastAsia" w:ascii="宋体" w:hAnsi="宋体" w:eastAsia="宋体" w:cs="宋体"/>
          <w:color w:val="auto"/>
          <w:highlight w:val="none"/>
        </w:rPr>
        <w:t>年龄：</w:t>
      </w:r>
      <w:r>
        <w:rPr>
          <w:rFonts w:ascii="宋体" w:hAnsi="宋体" w:eastAsia="宋体"/>
          <w:color w:val="auto"/>
          <w:highlight w:val="none"/>
          <w:u w:val="single"/>
        </w:rPr>
        <w:t xml:space="preserve">            </w:t>
      </w:r>
      <w:r>
        <w:rPr>
          <w:rFonts w:hint="eastAsia" w:ascii="宋体" w:hAnsi="宋体" w:eastAsia="宋体" w:cs="宋体"/>
          <w:color w:val="auto"/>
          <w:highlight w:val="none"/>
        </w:rPr>
        <w:t>职务：</w:t>
      </w:r>
      <w:r>
        <w:rPr>
          <w:rFonts w:ascii="宋体" w:hAnsi="宋体" w:eastAsia="宋体"/>
          <w:color w:val="auto"/>
          <w:highlight w:val="none"/>
          <w:u w:val="single"/>
        </w:rPr>
        <w:t xml:space="preserve">            </w:t>
      </w:r>
    </w:p>
    <w:p w14:paraId="729CD63B">
      <w:pPr>
        <w:spacing w:line="360" w:lineRule="auto"/>
        <w:ind w:firstLine="420" w:firstLineChars="200"/>
        <w:rPr>
          <w:rFonts w:ascii="宋体" w:hAnsi="宋体" w:eastAsia="宋体"/>
          <w:color w:val="auto"/>
          <w:highlight w:val="none"/>
        </w:rPr>
      </w:pPr>
      <w:r>
        <w:rPr>
          <w:rFonts w:hint="eastAsia" w:ascii="宋体" w:hAnsi="宋体" w:eastAsia="宋体" w:cs="宋体"/>
          <w:color w:val="auto"/>
          <w:highlight w:val="none"/>
        </w:rPr>
        <w:t>系</w:t>
      </w:r>
      <w:r>
        <w:rPr>
          <w:rFonts w:ascii="宋体" w:hAnsi="宋体" w:eastAsia="宋体"/>
          <w:color w:val="auto"/>
          <w:highlight w:val="none"/>
          <w:u w:val="single"/>
        </w:rPr>
        <w:t xml:space="preserve">                        </w:t>
      </w:r>
      <w:r>
        <w:rPr>
          <w:rFonts w:hint="eastAsia" w:ascii="宋体" w:hAnsi="宋体" w:eastAsia="宋体" w:cs="宋体"/>
          <w:color w:val="auto"/>
          <w:highlight w:val="none"/>
        </w:rPr>
        <w:t>（磋商申请人名称）的法定代表人（负责人）。</w:t>
      </w:r>
    </w:p>
    <w:p w14:paraId="3D803E15">
      <w:pPr>
        <w:spacing w:line="360" w:lineRule="auto"/>
        <w:ind w:firstLine="420" w:firstLineChars="200"/>
        <w:rPr>
          <w:rFonts w:ascii="宋体" w:hAnsi="宋体" w:eastAsia="宋体"/>
          <w:color w:val="auto"/>
          <w:highlight w:val="none"/>
        </w:rPr>
      </w:pPr>
    </w:p>
    <w:p w14:paraId="57BB9427">
      <w:pPr>
        <w:spacing w:line="360" w:lineRule="auto"/>
        <w:ind w:firstLine="840" w:firstLineChars="400"/>
        <w:rPr>
          <w:rFonts w:ascii="宋体" w:hAnsi="宋体" w:eastAsia="宋体"/>
          <w:color w:val="auto"/>
          <w:highlight w:val="none"/>
        </w:rPr>
      </w:pPr>
      <w:r>
        <w:rPr>
          <w:rFonts w:hint="eastAsia" w:ascii="宋体" w:hAnsi="宋体" w:eastAsia="宋体" w:cs="宋体"/>
          <w:color w:val="auto"/>
          <w:highlight w:val="none"/>
        </w:rPr>
        <w:t>特此证明。</w:t>
      </w:r>
    </w:p>
    <w:p w14:paraId="3B44332B">
      <w:pPr>
        <w:spacing w:line="360" w:lineRule="auto"/>
        <w:ind w:firstLine="482" w:firstLineChars="200"/>
        <w:rPr>
          <w:rFonts w:ascii="宋体" w:hAnsi="宋体" w:eastAsia="宋体"/>
          <w:b/>
          <w:bCs/>
          <w:color w:val="auto"/>
          <w:sz w:val="24"/>
          <w:szCs w:val="24"/>
          <w:highlight w:val="none"/>
        </w:rPr>
      </w:pPr>
    </w:p>
    <w:p w14:paraId="5C94BF89">
      <w:pPr>
        <w:spacing w:line="360" w:lineRule="auto"/>
        <w:ind w:firstLine="422" w:firstLineChars="200"/>
        <w:rPr>
          <w:rFonts w:ascii="宋体" w:hAnsi="宋体" w:eastAsia="宋体"/>
          <w:color w:val="auto"/>
          <w:highlight w:val="none"/>
        </w:rPr>
      </w:pPr>
      <w:r>
        <w:rPr>
          <w:rFonts w:hint="eastAsia" w:ascii="宋体" w:hAnsi="宋体" w:eastAsia="宋体" w:cs="宋体"/>
          <w:b/>
          <w:bCs/>
          <w:color w:val="auto"/>
          <w:highlight w:val="none"/>
        </w:rPr>
        <w:t>注：后附法定代表人（负责人）身份证复印件。</w:t>
      </w:r>
    </w:p>
    <w:p w14:paraId="09276247">
      <w:pPr>
        <w:spacing w:line="360" w:lineRule="auto"/>
        <w:ind w:firstLine="420" w:firstLineChars="200"/>
        <w:rPr>
          <w:rFonts w:ascii="宋体" w:hAnsi="宋体" w:eastAsia="宋体"/>
          <w:color w:val="auto"/>
          <w:highlight w:val="none"/>
        </w:rPr>
      </w:pPr>
    </w:p>
    <w:p w14:paraId="4D824B24">
      <w:pPr>
        <w:spacing w:line="360" w:lineRule="auto"/>
        <w:ind w:left="3780" w:leftChars="1800" w:firstLine="420" w:firstLineChars="200"/>
        <w:rPr>
          <w:rFonts w:ascii="宋体" w:hAnsi="宋体" w:eastAsia="宋体"/>
          <w:color w:val="auto"/>
          <w:highlight w:val="none"/>
        </w:rPr>
      </w:pPr>
      <w:r>
        <w:rPr>
          <w:rFonts w:hint="eastAsia" w:ascii="宋体" w:hAnsi="宋体" w:eastAsia="宋体" w:cs="宋体"/>
          <w:color w:val="auto"/>
          <w:highlight w:val="none"/>
        </w:rPr>
        <w:t>磋商申请人：</w:t>
      </w:r>
      <w:r>
        <w:rPr>
          <w:rFonts w:ascii="宋体" w:hAnsi="宋体" w:eastAsia="宋体"/>
          <w:color w:val="auto"/>
          <w:highlight w:val="none"/>
          <w:u w:val="single"/>
        </w:rPr>
        <w:t xml:space="preserve">                    </w:t>
      </w:r>
      <w:r>
        <w:rPr>
          <w:rFonts w:hint="eastAsia" w:ascii="宋体" w:hAnsi="宋体" w:eastAsia="宋体" w:cs="宋体"/>
          <w:color w:val="auto"/>
          <w:highlight w:val="none"/>
        </w:rPr>
        <w:t>（盖单位章）</w:t>
      </w:r>
    </w:p>
    <w:p w14:paraId="3F3D1155">
      <w:pPr>
        <w:spacing w:line="360" w:lineRule="auto"/>
        <w:ind w:left="3780" w:leftChars="1800" w:firstLine="1050" w:firstLineChars="500"/>
        <w:rPr>
          <w:rFonts w:ascii="宋体" w:hAnsi="宋体" w:eastAsia="宋体" w:cs="宋体"/>
          <w:color w:val="auto"/>
          <w:highlight w:val="none"/>
        </w:rPr>
      </w:pPr>
      <w:r>
        <w:rPr>
          <w:rFonts w:ascii="宋体" w:hAnsi="宋体" w:eastAsia="宋体"/>
          <w:color w:val="auto"/>
          <w:highlight w:val="none"/>
          <w:u w:val="single"/>
        </w:rPr>
        <w:t xml:space="preserve">         </w:t>
      </w:r>
      <w:r>
        <w:rPr>
          <w:rFonts w:hint="eastAsia" w:ascii="宋体" w:hAnsi="宋体" w:eastAsia="宋体" w:cs="宋体"/>
          <w:color w:val="auto"/>
          <w:highlight w:val="none"/>
        </w:rPr>
        <w:t>年</w:t>
      </w:r>
      <w:r>
        <w:rPr>
          <w:rFonts w:ascii="宋体" w:hAnsi="宋体" w:eastAsia="宋体"/>
          <w:color w:val="auto"/>
          <w:highlight w:val="none"/>
          <w:u w:val="single"/>
        </w:rPr>
        <w:t xml:space="preserve">       </w:t>
      </w:r>
      <w:r>
        <w:rPr>
          <w:rFonts w:hint="eastAsia" w:ascii="宋体" w:hAnsi="宋体" w:eastAsia="宋体" w:cs="宋体"/>
          <w:color w:val="auto"/>
          <w:highlight w:val="none"/>
        </w:rPr>
        <w:t>月</w:t>
      </w:r>
      <w:r>
        <w:rPr>
          <w:rFonts w:ascii="宋体" w:hAnsi="宋体" w:eastAsia="宋体"/>
          <w:color w:val="auto"/>
          <w:highlight w:val="none"/>
          <w:u w:val="single"/>
        </w:rPr>
        <w:t xml:space="preserve">        </w:t>
      </w:r>
      <w:r>
        <w:rPr>
          <w:rFonts w:hint="eastAsia" w:ascii="宋体" w:hAnsi="宋体" w:eastAsia="宋体" w:cs="宋体"/>
          <w:color w:val="auto"/>
          <w:highlight w:val="none"/>
        </w:rPr>
        <w:t>日</w:t>
      </w:r>
    </w:p>
    <w:p w14:paraId="6D67A184">
      <w:pPr>
        <w:pStyle w:val="44"/>
        <w:ind w:left="840" w:hanging="420"/>
        <w:rPr>
          <w:rFonts w:ascii="宋体" w:hAnsi="宋体" w:cs="宋体"/>
          <w:color w:val="auto"/>
          <w:highlight w:val="none"/>
        </w:rPr>
      </w:pPr>
      <w:r>
        <w:rPr>
          <w:rFonts w:hint="eastAsia" w:ascii="宋体" w:hAnsi="宋体" w:eastAsia="宋体" w:cs="宋体"/>
          <w:b/>
          <w:color w:val="auto"/>
          <w:highlight w:val="none"/>
        </w:rPr>
        <w:t>注：以联合体形式参与磋商的，此材料联合体各方均需提供。</w:t>
      </w:r>
    </w:p>
    <w:p w14:paraId="4A287B53">
      <w:pPr>
        <w:pStyle w:val="45"/>
        <w:rPr>
          <w:color w:val="auto"/>
          <w:highlight w:val="none"/>
        </w:rPr>
      </w:pPr>
    </w:p>
    <w:p w14:paraId="2E0CC2A2">
      <w:pPr>
        <w:spacing w:line="360" w:lineRule="auto"/>
        <w:ind w:firstLine="420" w:firstLineChars="200"/>
        <w:rPr>
          <w:rFonts w:ascii="宋体" w:hAnsi="宋体" w:eastAsia="宋体" w:cs="宋体"/>
          <w:color w:val="auto"/>
          <w:highlight w:val="none"/>
        </w:rPr>
      </w:pPr>
    </w:p>
    <w:p w14:paraId="271F48F5">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030D7D52">
      <w:pPr>
        <w:spacing w:line="420" w:lineRule="exact"/>
        <w:ind w:firstLine="69" w:firstLineChars="30"/>
        <w:rPr>
          <w:rFonts w:hint="eastAsia" w:ascii="宋体" w:hAnsi="宋体" w:eastAsia="宋体" w:cs="宋体"/>
          <w:color w:val="000000"/>
          <w:sz w:val="23"/>
          <w:szCs w:val="23"/>
          <w:highlight w:val="none"/>
          <w:lang w:eastAsia="zh-CN"/>
        </w:rPr>
      </w:pPr>
      <w:r>
        <w:rPr>
          <w:rFonts w:hint="eastAsia" w:ascii="宋体" w:hAnsi="宋体" w:eastAsia="宋体" w:cs="宋体"/>
          <w:b/>
          <w:color w:val="000000"/>
          <w:sz w:val="23"/>
          <w:szCs w:val="23"/>
          <w:highlight w:val="none"/>
        </w:rPr>
        <w:t>2.3 逐级授权：</w:t>
      </w:r>
      <w:r>
        <w:rPr>
          <w:rFonts w:hint="eastAsia" w:ascii="宋体" w:hAnsi="宋体" w:eastAsia="宋体" w:cs="宋体"/>
          <w:color w:val="000000"/>
          <w:sz w:val="23"/>
          <w:szCs w:val="23"/>
          <w:highlight w:val="none"/>
        </w:rPr>
        <w:t>磋商申请人必须是经</w:t>
      </w:r>
      <w:r>
        <w:rPr>
          <w:rFonts w:hint="eastAsia" w:ascii="宋体" w:hAnsi="宋体" w:eastAsia="宋体" w:cs="宋体"/>
          <w:color w:val="000000"/>
          <w:sz w:val="23"/>
          <w:szCs w:val="23"/>
          <w:highlight w:val="none"/>
          <w:lang w:eastAsia="zh-CN"/>
        </w:rPr>
        <w:t>国家金融监督管理总局（原中国银行保险监督管理委员会）核发的《保险许可证》批准成立的保险分支机构或其授权的分公司（分支机构须提供逐级授权书）。保险经纪公司不接受逐级授权。</w:t>
      </w:r>
    </w:p>
    <w:p w14:paraId="08A531CC">
      <w:pPr>
        <w:jc w:val="center"/>
        <w:rPr>
          <w:rFonts w:hint="eastAsia" w:ascii="宋体" w:hAnsi="宋体" w:eastAsia="宋体" w:cs="宋体"/>
          <w:b/>
          <w:bCs/>
          <w:color w:val="000000"/>
          <w:sz w:val="30"/>
          <w:highlight w:val="none"/>
        </w:rPr>
      </w:pPr>
    </w:p>
    <w:p w14:paraId="2A586CE8">
      <w:pPr>
        <w:jc w:val="center"/>
        <w:rPr>
          <w:rFonts w:hint="eastAsia" w:ascii="宋体" w:hAnsi="宋体" w:eastAsia="宋体" w:cs="宋体"/>
          <w:b/>
          <w:color w:val="000000"/>
          <w:sz w:val="32"/>
          <w:szCs w:val="32"/>
          <w:highlight w:val="none"/>
        </w:rPr>
      </w:pPr>
      <w:r>
        <w:rPr>
          <w:rFonts w:hint="eastAsia" w:ascii="宋体" w:hAnsi="宋体" w:eastAsia="宋体" w:cs="宋体"/>
          <w:b/>
          <w:bCs/>
          <w:color w:val="000000"/>
          <w:sz w:val="30"/>
          <w:highlight w:val="none"/>
        </w:rPr>
        <w:t xml:space="preserve">  法定代表人</w:t>
      </w:r>
      <w:r>
        <w:rPr>
          <w:rFonts w:hint="eastAsia" w:ascii="宋体" w:hAnsi="宋体" w:eastAsia="宋体" w:cs="宋体"/>
          <w:b/>
          <w:color w:val="000000"/>
          <w:sz w:val="32"/>
          <w:szCs w:val="32"/>
          <w:highlight w:val="none"/>
        </w:rPr>
        <w:t>授权委托书（若为保险机构则提供逐级授权书）</w:t>
      </w:r>
    </w:p>
    <w:p w14:paraId="061D1AFB">
      <w:pPr>
        <w:rPr>
          <w:rFonts w:hint="eastAsia" w:ascii="宋体" w:hAnsi="宋体" w:eastAsia="宋体" w:cs="宋体"/>
          <w:b/>
          <w:color w:val="000000"/>
          <w:sz w:val="30"/>
          <w:szCs w:val="30"/>
          <w:highlight w:val="none"/>
        </w:rPr>
      </w:pPr>
    </w:p>
    <w:p w14:paraId="3A792AE9">
      <w:pPr>
        <w:rPr>
          <w:rFonts w:hint="eastAsia" w:ascii="宋体" w:hAnsi="宋体" w:eastAsia="宋体" w:cs="宋体"/>
          <w:color w:val="000000"/>
          <w:sz w:val="23"/>
          <w:szCs w:val="23"/>
          <w:highlight w:val="none"/>
        </w:rPr>
      </w:pPr>
      <w:r>
        <w:rPr>
          <w:rFonts w:hint="eastAsia" w:ascii="宋体" w:hAnsi="宋体" w:eastAsia="宋体" w:cs="宋体"/>
          <w:b/>
          <w:bCs/>
          <w:color w:val="000000"/>
          <w:sz w:val="23"/>
          <w:szCs w:val="23"/>
          <w:highlight w:val="none"/>
          <w:u w:val="single"/>
        </w:rPr>
        <w:t>　　　　　　　　　</w:t>
      </w:r>
      <w:r>
        <w:rPr>
          <w:rFonts w:hint="eastAsia" w:ascii="宋体" w:hAnsi="宋体" w:eastAsia="宋体" w:cs="宋体"/>
          <w:b/>
          <w:bCs/>
          <w:color w:val="000000"/>
          <w:sz w:val="23"/>
          <w:szCs w:val="23"/>
          <w:highlight w:val="none"/>
        </w:rPr>
        <w:t>：</w:t>
      </w:r>
    </w:p>
    <w:p w14:paraId="22FD6B40">
      <w:pPr>
        <w:spacing w:line="360" w:lineRule="auto"/>
        <w:ind w:firstLine="460" w:firstLineChars="2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 </w:t>
      </w:r>
      <w:r>
        <w:rPr>
          <w:rFonts w:hint="eastAsia" w:ascii="宋体" w:hAnsi="宋体" w:eastAsia="宋体" w:cs="宋体"/>
          <w:color w:val="000000"/>
          <w:sz w:val="23"/>
          <w:szCs w:val="23"/>
          <w:highlight w:val="none"/>
          <w:u w:val="single"/>
        </w:rPr>
        <w:t xml:space="preserve">        （公司全称）    </w:t>
      </w:r>
      <w:r>
        <w:rPr>
          <w:rFonts w:hint="eastAsia" w:ascii="宋体" w:hAnsi="宋体" w:eastAsia="宋体" w:cs="宋体"/>
          <w:color w:val="000000"/>
          <w:sz w:val="23"/>
          <w:szCs w:val="23"/>
          <w:highlight w:val="none"/>
        </w:rPr>
        <w:t>经</w:t>
      </w:r>
      <w:r>
        <w:rPr>
          <w:rFonts w:hint="eastAsia" w:ascii="宋体" w:hAnsi="宋体" w:eastAsia="宋体" w:cs="宋体"/>
          <w:color w:val="000000"/>
          <w:sz w:val="23"/>
          <w:szCs w:val="23"/>
          <w:highlight w:val="none"/>
          <w:u w:val="single"/>
        </w:rPr>
        <w:t xml:space="preserve">    （上一级公司全称）   </w:t>
      </w:r>
      <w:r>
        <w:rPr>
          <w:rFonts w:hint="eastAsia" w:ascii="宋体" w:hAnsi="宋体" w:eastAsia="宋体" w:cs="宋体"/>
          <w:color w:val="000000"/>
          <w:sz w:val="23"/>
          <w:szCs w:val="23"/>
          <w:highlight w:val="none"/>
        </w:rPr>
        <w:t>授权参加</w:t>
      </w:r>
      <w:r>
        <w:rPr>
          <w:rFonts w:hint="eastAsia" w:ascii="宋体" w:hAnsi="宋体" w:eastAsia="宋体" w:cs="宋体"/>
          <w:b/>
          <w:color w:val="000000"/>
          <w:sz w:val="23"/>
          <w:szCs w:val="23"/>
          <w:highlight w:val="none"/>
        </w:rPr>
        <w:t>保山市天瑞建设工程招标咨询有限公司</w:t>
      </w:r>
      <w:r>
        <w:rPr>
          <w:rFonts w:hint="eastAsia" w:ascii="宋体" w:hAnsi="宋体" w:eastAsia="宋体" w:cs="宋体"/>
          <w:color w:val="000000"/>
          <w:sz w:val="23"/>
          <w:szCs w:val="23"/>
          <w:highlight w:val="none"/>
        </w:rPr>
        <w:t>组织的</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项目</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项目</w:t>
      </w:r>
      <w:r>
        <w:rPr>
          <w:rFonts w:hint="eastAsia" w:ascii="宋体" w:hAnsi="宋体" w:eastAsia="宋体" w:cs="宋体"/>
          <w:color w:val="000000"/>
          <w:sz w:val="23"/>
          <w:szCs w:val="23"/>
          <w:highlight w:val="none"/>
          <w:u w:val="single"/>
        </w:rPr>
        <w:t xml:space="preserve">编号）  </w:t>
      </w:r>
      <w:r>
        <w:rPr>
          <w:rFonts w:hint="eastAsia" w:ascii="宋体" w:hAnsi="宋体" w:eastAsia="宋体" w:cs="宋体"/>
          <w:color w:val="000000"/>
          <w:sz w:val="23"/>
          <w:szCs w:val="23"/>
          <w:highlight w:val="none"/>
        </w:rPr>
        <w:t>招标采购活动，法定代表人</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授权</w:t>
      </w:r>
      <w:r>
        <w:rPr>
          <w:rFonts w:hint="eastAsia" w:ascii="宋体" w:hAnsi="宋体" w:eastAsia="宋体" w:cs="宋体"/>
          <w:color w:val="000000"/>
          <w:sz w:val="23"/>
          <w:szCs w:val="23"/>
          <w:highlight w:val="none"/>
          <w:u w:val="single"/>
        </w:rPr>
        <w:t xml:space="preserve">  （下级被授权人姓名）</w:t>
      </w:r>
      <w:r>
        <w:rPr>
          <w:rFonts w:hint="eastAsia" w:ascii="宋体" w:hAnsi="宋体" w:eastAsia="宋体" w:cs="宋体"/>
          <w:color w:val="000000"/>
          <w:sz w:val="23"/>
          <w:szCs w:val="23"/>
          <w:highlight w:val="none"/>
        </w:rPr>
        <w:t>为再</w:t>
      </w:r>
      <w:r>
        <w:rPr>
          <w:rFonts w:hint="eastAsia" w:ascii="宋体" w:hAnsi="宋体" w:eastAsia="宋体" w:cs="宋体"/>
          <w:color w:val="000000"/>
          <w:sz w:val="23"/>
          <w:szCs w:val="23"/>
          <w:highlight w:val="none"/>
          <w:u w:val="single"/>
        </w:rPr>
        <w:t xml:space="preserve">  授权给（下一级别公司的XX被授权人） 为</w:t>
      </w:r>
      <w:r>
        <w:rPr>
          <w:rFonts w:hint="eastAsia" w:ascii="宋体" w:hAnsi="宋体" w:eastAsia="宋体" w:cs="宋体"/>
          <w:color w:val="000000"/>
          <w:sz w:val="23"/>
          <w:szCs w:val="23"/>
          <w:highlight w:val="none"/>
        </w:rPr>
        <w:t>委托代理人，参加</w:t>
      </w:r>
      <w:r>
        <w:rPr>
          <w:rFonts w:hint="eastAsia" w:ascii="宋体" w:hAnsi="宋体" w:eastAsia="宋体" w:cs="宋体"/>
          <w:b/>
          <w:color w:val="000000"/>
          <w:sz w:val="23"/>
          <w:szCs w:val="23"/>
          <w:highlight w:val="none"/>
        </w:rPr>
        <w:t>保山市天瑞建设工程招标咨询有限公司</w:t>
      </w:r>
      <w:r>
        <w:rPr>
          <w:rFonts w:hint="eastAsia" w:ascii="宋体" w:hAnsi="宋体" w:eastAsia="宋体" w:cs="宋体"/>
          <w:color w:val="000000"/>
          <w:sz w:val="23"/>
          <w:szCs w:val="23"/>
          <w:highlight w:val="none"/>
        </w:rPr>
        <w:t>组织的</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项目</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项目</w:t>
      </w:r>
      <w:r>
        <w:rPr>
          <w:rFonts w:hint="eastAsia" w:ascii="宋体" w:hAnsi="宋体" w:eastAsia="宋体" w:cs="宋体"/>
          <w:color w:val="000000"/>
          <w:sz w:val="23"/>
          <w:szCs w:val="23"/>
          <w:highlight w:val="none"/>
          <w:u w:val="single"/>
        </w:rPr>
        <w:t xml:space="preserve">编号）  </w:t>
      </w:r>
      <w:r>
        <w:rPr>
          <w:rFonts w:hint="eastAsia" w:ascii="宋体" w:hAnsi="宋体" w:eastAsia="宋体" w:cs="宋体"/>
          <w:color w:val="000000"/>
          <w:sz w:val="23"/>
          <w:szCs w:val="23"/>
          <w:highlight w:val="none"/>
        </w:rPr>
        <w:t>招标采购活动，代表本单位负责本次采购活动中的一切事宜，并由我单位承担由其行为所造成的一切磋商结果和法律后果。</w:t>
      </w:r>
    </w:p>
    <w:p w14:paraId="1BE40B39">
      <w:pPr>
        <w:spacing w:line="300" w:lineRule="auto"/>
        <w:rPr>
          <w:rFonts w:hint="eastAsia" w:ascii="宋体" w:hAnsi="宋体" w:eastAsia="宋体" w:cs="宋体"/>
          <w:color w:val="000000"/>
          <w:sz w:val="23"/>
          <w:szCs w:val="23"/>
          <w:highlight w:val="none"/>
        </w:rPr>
      </w:pPr>
    </w:p>
    <w:p w14:paraId="748A07AD">
      <w:pPr>
        <w:spacing w:line="360" w:lineRule="auto"/>
        <w:ind w:firstLine="5283" w:firstLineChars="2297"/>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磋商申请人单位负责人（电子签字或盖章）：</w:t>
      </w:r>
    </w:p>
    <w:p w14:paraId="49530DCB">
      <w:pPr>
        <w:spacing w:line="360" w:lineRule="auto"/>
        <w:ind w:firstLine="5283" w:firstLineChars="2297"/>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磋商申请人全称（电子签章）：</w:t>
      </w:r>
    </w:p>
    <w:p w14:paraId="30F1B39A">
      <w:pPr>
        <w:spacing w:line="360" w:lineRule="auto"/>
        <w:ind w:firstLine="5283" w:firstLineChars="2297"/>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日  期：</w:t>
      </w:r>
    </w:p>
    <w:p w14:paraId="727169A7">
      <w:pPr>
        <w:spacing w:line="360" w:lineRule="auto"/>
        <w:ind w:firstLine="5283" w:firstLineChars="2297"/>
        <w:rPr>
          <w:rFonts w:hint="eastAsia" w:ascii="宋体" w:hAnsi="宋体" w:eastAsia="宋体" w:cs="宋体"/>
          <w:color w:val="000000"/>
          <w:sz w:val="23"/>
          <w:szCs w:val="23"/>
          <w:highlight w:val="none"/>
        </w:rPr>
      </w:pPr>
    </w:p>
    <w:p w14:paraId="4CFF23A0">
      <w:pPr>
        <w:spacing w:line="360" w:lineRule="auto"/>
        <w:ind w:firstLine="5283" w:firstLineChars="2297"/>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磋商申请人授权代表姓名（签字或盖章）：</w:t>
      </w:r>
    </w:p>
    <w:p w14:paraId="44949EB1">
      <w:pPr>
        <w:spacing w:line="360" w:lineRule="auto"/>
        <w:ind w:firstLine="5283" w:firstLineChars="2297"/>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职务：</w:t>
      </w:r>
    </w:p>
    <w:p w14:paraId="6D8DF4A2">
      <w:pPr>
        <w:spacing w:line="360" w:lineRule="auto"/>
        <w:ind w:firstLine="5283" w:firstLineChars="2297"/>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身份证号码：</w:t>
      </w:r>
    </w:p>
    <w:p w14:paraId="77CC3F85">
      <w:pPr>
        <w:ind w:firstLine="420"/>
        <w:rPr>
          <w:rFonts w:hint="eastAsia" w:ascii="宋体" w:hAnsi="宋体" w:eastAsia="宋体" w:cs="宋体"/>
          <w:color w:val="000000"/>
          <w:sz w:val="23"/>
          <w:szCs w:val="23"/>
          <w:highlight w:val="none"/>
        </w:rPr>
      </w:pPr>
    </w:p>
    <w:p w14:paraId="7DF90563">
      <w:pPr>
        <w:ind w:firstLine="42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附：磋商申请人单位负责人身份证复印件</w:t>
      </w:r>
    </w:p>
    <w:p w14:paraId="1166ECAE">
      <w:pPr>
        <w:ind w:firstLine="420"/>
        <w:rPr>
          <w:rFonts w:hint="eastAsia" w:ascii="宋体" w:hAnsi="宋体" w:eastAsia="宋体" w:cs="宋体"/>
          <w:color w:val="000000"/>
          <w:sz w:val="23"/>
          <w:szCs w:val="23"/>
          <w:highlight w:val="none"/>
        </w:rPr>
      </w:pPr>
    </w:p>
    <w:p w14:paraId="6039C10A">
      <w:pPr>
        <w:ind w:firstLine="42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附：磋商申请人授权代表身份证复印件</w:t>
      </w:r>
    </w:p>
    <w:p w14:paraId="11B5B282">
      <w:pPr>
        <w:rPr>
          <w:rFonts w:hint="eastAsia" w:ascii="宋体" w:hAnsi="宋体" w:eastAsia="宋体" w:cs="宋体"/>
          <w:color w:val="000000"/>
          <w:sz w:val="23"/>
          <w:szCs w:val="23"/>
          <w:highlight w:val="none"/>
        </w:rPr>
      </w:pPr>
    </w:p>
    <w:p w14:paraId="4C79D021">
      <w:pPr>
        <w:rPr>
          <w:rFonts w:hint="eastAsia" w:ascii="宋体" w:hAnsi="宋体" w:eastAsia="宋体" w:cs="宋体"/>
          <w:b/>
          <w:color w:val="auto"/>
          <w:sz w:val="24"/>
          <w:szCs w:val="24"/>
          <w:highlight w:val="none"/>
        </w:rPr>
      </w:pPr>
      <w:r>
        <w:rPr>
          <w:rFonts w:hint="eastAsia" w:ascii="宋体" w:hAnsi="宋体" w:eastAsia="宋体" w:cs="宋体"/>
          <w:b/>
          <w:color w:val="000000"/>
          <w:sz w:val="23"/>
          <w:szCs w:val="23"/>
          <w:highlight w:val="none"/>
        </w:rPr>
        <w:t>注：本授权书若为保险机构须附法定代表人的逐级授权书方有效，否则，视为无效投标文件。</w:t>
      </w:r>
      <w:r>
        <w:rPr>
          <w:rFonts w:hint="eastAsia" w:ascii="宋体" w:hAnsi="宋体" w:eastAsia="宋体" w:cs="宋体"/>
          <w:b/>
          <w:color w:val="auto"/>
          <w:sz w:val="24"/>
          <w:szCs w:val="24"/>
          <w:highlight w:val="none"/>
        </w:rPr>
        <w:br w:type="page"/>
      </w:r>
    </w:p>
    <w:p w14:paraId="3C1A65B8">
      <w:pPr>
        <w:spacing w:line="460" w:lineRule="exact"/>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格式2-4：磋商申请人提供联合体情况声明</w:t>
      </w:r>
    </w:p>
    <w:p w14:paraId="7BBBD6EA">
      <w:pPr>
        <w:spacing w:line="480" w:lineRule="exact"/>
        <w:jc w:val="center"/>
        <w:rPr>
          <w:rFonts w:ascii="宋体" w:hAnsi="宋体" w:eastAsia="宋体" w:cs="宋体"/>
          <w:b/>
          <w:bCs/>
          <w:color w:val="auto"/>
          <w:sz w:val="30"/>
          <w:highlight w:val="none"/>
        </w:rPr>
      </w:pPr>
    </w:p>
    <w:p w14:paraId="25B8C3E5">
      <w:pPr>
        <w:spacing w:line="480" w:lineRule="exact"/>
        <w:jc w:val="center"/>
        <w:rPr>
          <w:rFonts w:ascii="宋体" w:hAnsi="宋体" w:eastAsia="宋体" w:cs="宋体"/>
          <w:b/>
          <w:bCs/>
          <w:color w:val="auto"/>
          <w:sz w:val="30"/>
          <w:highlight w:val="none"/>
        </w:rPr>
      </w:pP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lang w:val="en-US" w:eastAsia="zh-CN"/>
        </w:rPr>
        <w:t>1</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rPr>
        <w:t>磋商申请人若不属于联合体的请按以下格式填写</w:t>
      </w:r>
    </w:p>
    <w:p w14:paraId="5E198D7D">
      <w:pPr>
        <w:spacing w:line="480" w:lineRule="exact"/>
        <w:jc w:val="center"/>
        <w:rPr>
          <w:rFonts w:ascii="宋体" w:hAnsi="宋体" w:eastAsia="宋体" w:cs="宋体"/>
          <w:b/>
          <w:bCs/>
          <w:color w:val="auto"/>
          <w:sz w:val="30"/>
          <w:highlight w:val="none"/>
        </w:rPr>
      </w:pPr>
      <w:r>
        <w:rPr>
          <w:rFonts w:hint="eastAsia" w:ascii="宋体" w:hAnsi="宋体" w:eastAsia="宋体" w:cs="宋体"/>
          <w:b/>
          <w:bCs/>
          <w:color w:val="auto"/>
          <w:sz w:val="30"/>
          <w:highlight w:val="none"/>
        </w:rPr>
        <w:t xml:space="preserve">声明书 </w:t>
      </w:r>
    </w:p>
    <w:p w14:paraId="7D6B73BA">
      <w:pPr>
        <w:spacing w:line="480" w:lineRule="exact"/>
        <w:rPr>
          <w:rFonts w:ascii="宋体" w:hAnsi="宋体" w:eastAsia="宋体" w:cs="宋体"/>
          <w:b/>
          <w:bCs/>
          <w:color w:val="auto"/>
          <w:sz w:val="24"/>
          <w:szCs w:val="24"/>
          <w:highlight w:val="none"/>
        </w:rPr>
      </w:pPr>
    </w:p>
    <w:p w14:paraId="0919BD01">
      <w:pPr>
        <w:spacing w:line="480" w:lineRule="exact"/>
        <w:rPr>
          <w:rFonts w:hint="eastAsia" w:ascii="宋体" w:hAnsi="宋体" w:eastAsia="宋体" w:cs="宋体"/>
          <w:b/>
          <w:color w:val="auto"/>
          <w:szCs w:val="21"/>
          <w:highlight w:val="none"/>
          <w:u w:val="single"/>
        </w:rPr>
      </w:pP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Cs w:val="21"/>
          <w:highlight w:val="none"/>
        </w:rPr>
        <w:t>致：</w:t>
      </w:r>
      <w:r>
        <w:rPr>
          <w:rFonts w:hint="eastAsia" w:ascii="宋体" w:hAnsi="宋体" w:eastAsia="宋体" w:cs="宋体"/>
          <w:b/>
          <w:color w:val="auto"/>
          <w:szCs w:val="21"/>
          <w:highlight w:val="none"/>
          <w:u w:val="single"/>
        </w:rPr>
        <w:t xml:space="preserve">    （采购人名称）       </w:t>
      </w:r>
    </w:p>
    <w:p w14:paraId="12BBC472">
      <w:pPr>
        <w:spacing w:line="500" w:lineRule="exact"/>
        <w:rPr>
          <w:rFonts w:hint="eastAsia" w:ascii="宋体" w:hAnsi="宋体" w:eastAsia="宋体" w:cs="宋体"/>
          <w:b/>
          <w:color w:val="auto"/>
          <w:szCs w:val="21"/>
          <w:highlight w:val="none"/>
        </w:rPr>
      </w:pPr>
    </w:p>
    <w:p w14:paraId="23CB335D">
      <w:pPr>
        <w:spacing w:line="500" w:lineRule="exac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在审阅了贵方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lang w:val="en-US" w:eastAsia="zh-CN"/>
        </w:rPr>
        <w:t>项目名称、项目编号</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竞争性磋商文件包括确已收到第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号补充文件（若有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若无补充文件，请填写“/”</w:t>
      </w:r>
      <w:r>
        <w:rPr>
          <w:rFonts w:hint="eastAsia" w:ascii="宋体" w:hAnsi="宋体" w:eastAsia="宋体" w:cs="宋体"/>
          <w:color w:val="auto"/>
          <w:szCs w:val="21"/>
          <w:highlight w:val="none"/>
        </w:rPr>
        <w:t>），我方被授权签字人在此申明我方就本项目采购为独立参与磋商，我方不属于</w:t>
      </w:r>
      <w:r>
        <w:rPr>
          <w:rFonts w:hint="eastAsia" w:ascii="宋体" w:hAnsi="宋体" w:eastAsia="宋体" w:cs="宋体"/>
          <w:b/>
          <w:color w:val="auto"/>
          <w:szCs w:val="21"/>
          <w:highlight w:val="none"/>
        </w:rPr>
        <w:t>联合体</w:t>
      </w:r>
      <w:r>
        <w:rPr>
          <w:rFonts w:hint="eastAsia" w:ascii="宋体" w:hAnsi="宋体" w:eastAsia="宋体" w:cs="宋体"/>
          <w:b/>
          <w:color w:val="auto"/>
          <w:szCs w:val="21"/>
          <w:highlight w:val="none"/>
          <w:lang w:eastAsia="zh-CN"/>
        </w:rPr>
        <w:t>，</w:t>
      </w:r>
      <w:r>
        <w:rPr>
          <w:rFonts w:hint="eastAsia" w:ascii="宋体" w:hAnsi="宋体" w:eastAsia="宋体" w:cs="宋体"/>
          <w:color w:val="auto"/>
          <w:szCs w:val="21"/>
          <w:highlight w:val="none"/>
        </w:rPr>
        <w:t>我方不属于</w:t>
      </w:r>
      <w:r>
        <w:rPr>
          <w:rFonts w:hint="eastAsia" w:ascii="宋体" w:hAnsi="宋体" w:eastAsia="宋体" w:cs="宋体"/>
          <w:b/>
          <w:color w:val="auto"/>
          <w:szCs w:val="21"/>
          <w:highlight w:val="none"/>
        </w:rPr>
        <w:t>联合体，与其他磋商申请人不存在单位负责人为同一人或者存在直接控股、管理关系的情况。</w:t>
      </w:r>
    </w:p>
    <w:p w14:paraId="1D648EF0">
      <w:pPr>
        <w:spacing w:line="500" w:lineRule="exact"/>
        <w:ind w:firstLine="420" w:firstLineChars="200"/>
        <w:jc w:val="left"/>
        <w:rPr>
          <w:rFonts w:hint="eastAsia" w:ascii="宋体" w:hAnsi="宋体" w:eastAsia="宋体" w:cs="宋体"/>
          <w:color w:val="auto"/>
          <w:szCs w:val="21"/>
          <w:highlight w:val="none"/>
        </w:rPr>
      </w:pPr>
    </w:p>
    <w:p w14:paraId="011178E4">
      <w:pPr>
        <w:spacing w:line="5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法定代表人（负责人）或被授权人（签字或盖章）： </w:t>
      </w:r>
    </w:p>
    <w:p w14:paraId="3384DBB3">
      <w:pPr>
        <w:spacing w:line="500" w:lineRule="exact"/>
        <w:ind w:firstLine="4620" w:firstLineChars="2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单位公章：</w:t>
      </w:r>
    </w:p>
    <w:p w14:paraId="73CF8313">
      <w:pPr>
        <w:spacing w:line="5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　　　　　　　　　　　　　　　　　　　　　　　年　　月    日</w:t>
      </w:r>
    </w:p>
    <w:p w14:paraId="7D885ECD">
      <w:pPr>
        <w:spacing w:line="500" w:lineRule="exact"/>
        <w:jc w:val="left"/>
        <w:rPr>
          <w:rFonts w:ascii="宋体" w:hAnsi="宋体" w:eastAsia="宋体" w:cs="宋体"/>
          <w:color w:val="auto"/>
          <w:szCs w:val="21"/>
          <w:highlight w:val="none"/>
        </w:rPr>
      </w:pPr>
    </w:p>
    <w:p w14:paraId="6F5CD227">
      <w:pPr>
        <w:jc w:val="center"/>
        <w:rPr>
          <w:rFonts w:ascii="宋体" w:hAnsi="宋体" w:eastAsia="宋体" w:cs="宋体"/>
          <w:color w:val="auto"/>
          <w:szCs w:val="21"/>
          <w:highlight w:val="none"/>
        </w:rPr>
      </w:pPr>
      <w:r>
        <w:rPr>
          <w:rFonts w:ascii="宋体" w:hAnsi="宋体" w:eastAsia="宋体" w:cs="宋体"/>
          <w:color w:val="auto"/>
          <w:szCs w:val="21"/>
          <w:highlight w:val="none"/>
        </w:rPr>
        <w:br w:type="page"/>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lang w:val="en-US" w:eastAsia="zh-CN"/>
        </w:rPr>
        <w:t>2</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rPr>
        <w:t>磋商申请人若属于联合体的请按以下格式填写</w:t>
      </w:r>
      <w:r>
        <w:rPr>
          <w:rFonts w:hint="eastAsia" w:ascii="宋体" w:hAnsi="宋体" w:eastAsia="宋体" w:cs="宋体"/>
          <w:b/>
          <w:bCs/>
          <w:color w:val="auto"/>
          <w:sz w:val="30"/>
          <w:highlight w:val="none"/>
          <w:lang w:val="en-US" w:eastAsia="zh-CN"/>
        </w:rPr>
        <w:t>联合体协议书</w:t>
      </w:r>
    </w:p>
    <w:p w14:paraId="0AE51C64">
      <w:pPr>
        <w:pStyle w:val="4"/>
        <w:spacing w:before="0" w:after="0" w:line="720" w:lineRule="auto"/>
        <w:jc w:val="center"/>
        <w:rPr>
          <w:rFonts w:hint="eastAsia" w:ascii="宋体" w:hAnsi="宋体" w:eastAsia="宋体" w:cs="宋体"/>
          <w:color w:val="auto"/>
          <w:szCs w:val="28"/>
          <w:highlight w:val="none"/>
        </w:rPr>
      </w:pPr>
      <w:r>
        <w:rPr>
          <w:rStyle w:val="53"/>
          <w:rFonts w:hint="eastAsia" w:ascii="宋体" w:hAnsi="宋体" w:eastAsia="宋体" w:cs="宋体"/>
          <w:b/>
          <w:bCs/>
          <w:color w:val="auto"/>
          <w:highlight w:val="none"/>
        </w:rPr>
        <w:t>联合体协议书</w:t>
      </w:r>
    </w:p>
    <w:p w14:paraId="6E503AB6">
      <w:pPr>
        <w:spacing w:line="440" w:lineRule="exact"/>
        <w:rPr>
          <w:rFonts w:hint="eastAsia" w:ascii="宋体" w:hAnsi="宋体" w:eastAsia="宋体" w:cs="宋体"/>
          <w:color w:val="auto"/>
          <w:sz w:val="21"/>
          <w:szCs w:val="21"/>
          <w:highlight w:val="none"/>
        </w:rPr>
      </w:pPr>
    </w:p>
    <w:p w14:paraId="327E3E47">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（所有单位成员名称）自愿组成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（联合体名称）联合体，共同参加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（项目名称）磋商。现就联合体磋商事宜订立如下协议。</w:t>
      </w:r>
    </w:p>
    <w:p w14:paraId="1AC715BB">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（某成员单位名称）为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（联合体名称）牵头人。</w:t>
      </w:r>
    </w:p>
    <w:p w14:paraId="047FF223">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2.联合体各成员授权牵头人代表联合体参加磋商活动，签署文件，提交和接收相关的资料、信息及指示，进行合同谈判活动，负责合同实施阶段的组织和协调工作，以及处理与本项目有关的一切事宜。</w:t>
      </w:r>
    </w:p>
    <w:p w14:paraId="5B4789C0">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3.联合体牵头人在本项目中签署的一切文件和处理的一切事宜，联合体各成员均予以承认。联合体各成员将严格按照竞争性磋商文件、响应文件和合同的要求全面履行义务，并向采购人承担连带责任。</w:t>
      </w:r>
    </w:p>
    <w:p w14:paraId="35FFF125">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4.联合体各成员单位内部的职责划分如下：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4C1FB9">
      <w:pPr>
        <w:spacing w:line="440" w:lineRule="exact"/>
        <w:ind w:firstLine="420" w:firstLineChars="200"/>
        <w:rPr>
          <w:rFonts w:hint="eastAsia" w:ascii="宋体" w:hAnsi="宋体" w:eastAsia="宋体" w:cs="宋体"/>
          <w:b/>
          <w:bCs/>
          <w:color w:val="auto"/>
          <w:sz w:val="21"/>
          <w:szCs w:val="21"/>
          <w:highlight w:val="none"/>
          <w:u w:val="single" w:color="000000"/>
        </w:rPr>
      </w:pPr>
      <w:r>
        <w:rPr>
          <w:rFonts w:hint="eastAsia" w:ascii="宋体" w:hAnsi="宋体" w:eastAsia="宋体" w:cs="宋体"/>
          <w:color w:val="auto"/>
          <w:sz w:val="21"/>
          <w:szCs w:val="21"/>
          <w:highlight w:val="none"/>
        </w:rPr>
        <w:t>5.</w:t>
      </w:r>
      <w:r>
        <w:rPr>
          <w:rFonts w:hint="eastAsia" w:ascii="宋体" w:hAnsi="宋体" w:eastAsia="宋体" w:cs="宋体"/>
          <w:color w:val="auto"/>
          <w:spacing w:val="19"/>
          <w:sz w:val="21"/>
          <w:szCs w:val="21"/>
          <w:highlight w:val="none"/>
        </w:rPr>
        <w:t>联合体中中小企业合同金额比例达到</w:t>
      </w:r>
      <w:r>
        <w:rPr>
          <w:rFonts w:hint="eastAsia" w:ascii="宋体" w:hAnsi="宋体" w:eastAsia="宋体" w:cs="宋体"/>
          <w:color w:val="auto"/>
          <w:spacing w:val="-39"/>
          <w:sz w:val="21"/>
          <w:szCs w:val="21"/>
          <w:highlight w:val="none"/>
          <w:u w:val="single"/>
        </w:rPr>
        <w:t xml:space="preserve">           </w:t>
      </w:r>
      <w:r>
        <w:rPr>
          <w:rFonts w:hint="eastAsia" w:ascii="宋体" w:hAnsi="宋体" w:eastAsia="宋体" w:cs="宋体"/>
          <w:color w:val="auto"/>
          <w:spacing w:val="7"/>
          <w:sz w:val="21"/>
          <w:szCs w:val="21"/>
          <w:highlight w:val="none"/>
        </w:rPr>
        <w:t>%，</w:t>
      </w:r>
      <w:r>
        <w:rPr>
          <w:rFonts w:hint="eastAsia" w:ascii="宋体" w:hAnsi="宋体" w:eastAsia="宋体" w:cs="宋体"/>
          <w:color w:val="auto"/>
          <w:spacing w:val="-88"/>
          <w:sz w:val="21"/>
          <w:szCs w:val="21"/>
          <w:highlight w:val="none"/>
        </w:rPr>
        <w:t xml:space="preserve"> </w:t>
      </w:r>
      <w:r>
        <w:rPr>
          <w:rFonts w:hint="eastAsia" w:ascii="宋体" w:hAnsi="宋体" w:eastAsia="宋体" w:cs="宋体"/>
          <w:color w:val="auto"/>
          <w:spacing w:val="19"/>
          <w:sz w:val="21"/>
          <w:szCs w:val="21"/>
          <w:highlight w:val="none"/>
        </w:rPr>
        <w:t>如联合体成员均为中小企业的，</w:t>
      </w:r>
      <w:r>
        <w:rPr>
          <w:rFonts w:hint="eastAsia" w:ascii="宋体" w:hAnsi="宋体" w:eastAsia="宋体" w:cs="宋体"/>
          <w:color w:val="auto"/>
          <w:spacing w:val="-89"/>
          <w:sz w:val="21"/>
          <w:szCs w:val="21"/>
          <w:highlight w:val="none"/>
        </w:rPr>
        <w:t xml:space="preserve"> </w:t>
      </w:r>
      <w:r>
        <w:rPr>
          <w:rFonts w:hint="eastAsia" w:ascii="宋体" w:hAnsi="宋体" w:eastAsia="宋体" w:cs="宋体"/>
          <w:color w:val="auto"/>
          <w:spacing w:val="17"/>
          <w:sz w:val="21"/>
          <w:szCs w:val="21"/>
          <w:highlight w:val="none"/>
        </w:rPr>
        <w:t>则自行确定合同金额比例</w:t>
      </w:r>
      <w:r>
        <w:rPr>
          <w:rFonts w:hint="eastAsia" w:ascii="宋体" w:hAnsi="宋体" w:eastAsia="宋体" w:cs="宋体"/>
          <w:color w:val="auto"/>
          <w:spacing w:val="16"/>
          <w:sz w:val="21"/>
          <w:szCs w:val="21"/>
          <w:highlight w:val="none"/>
        </w:rPr>
        <w:t>。</w:t>
      </w:r>
      <w:r>
        <w:rPr>
          <w:rFonts w:hint="eastAsia" w:ascii="宋体" w:hAnsi="宋体" w:eastAsia="宋体" w:cs="宋体"/>
          <w:b/>
          <w:bCs/>
          <w:color w:val="auto"/>
          <w:spacing w:val="19"/>
          <w:sz w:val="21"/>
          <w:szCs w:val="21"/>
          <w:highlight w:val="none"/>
        </w:rPr>
        <w:t>联合体各成员分配比例如下：</w:t>
      </w:r>
      <w:r>
        <w:rPr>
          <w:rFonts w:hint="eastAsia" w:ascii="宋体" w:hAnsi="宋体" w:eastAsia="宋体" w:cs="宋体"/>
          <w:b/>
          <w:bCs/>
          <w:color w:val="auto"/>
          <w:spacing w:val="-85"/>
          <w:sz w:val="21"/>
          <w:szCs w:val="21"/>
          <w:highlight w:val="none"/>
        </w:rPr>
        <w:t xml:space="preserve"> </w:t>
      </w:r>
      <w:r>
        <w:rPr>
          <w:rFonts w:hint="eastAsia" w:ascii="宋体" w:hAnsi="宋体" w:eastAsia="宋体" w:cs="宋体"/>
          <w:b/>
          <w:bCs/>
          <w:color w:val="auto"/>
          <w:sz w:val="21"/>
          <w:szCs w:val="21"/>
          <w:highlight w:val="none"/>
          <w:u w:val="single" w:color="000000"/>
        </w:rPr>
        <w:t xml:space="preserve"> </w:t>
      </w:r>
      <w:r>
        <w:rPr>
          <w:rFonts w:hint="eastAsia" w:ascii="宋体" w:hAnsi="宋体" w:eastAsia="宋体" w:cs="宋体"/>
          <w:b/>
          <w:bCs/>
          <w:color w:val="auto"/>
          <w:sz w:val="21"/>
          <w:szCs w:val="21"/>
          <w:highlight w:val="none"/>
          <w:u w:val="single" w:color="000000"/>
        </w:rPr>
        <w:tab/>
      </w:r>
      <w:r>
        <w:rPr>
          <w:rFonts w:hint="eastAsia" w:ascii="宋体" w:hAnsi="宋体" w:eastAsia="宋体" w:cs="宋体"/>
          <w:b/>
          <w:bCs/>
          <w:color w:val="auto"/>
          <w:sz w:val="21"/>
          <w:szCs w:val="21"/>
          <w:highlight w:val="none"/>
          <w:u w:val="single" w:color="000000"/>
        </w:rPr>
        <w:t xml:space="preserve">   。</w:t>
      </w:r>
    </w:p>
    <w:p w14:paraId="15574959">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6.本协议书自所有成员单位法定代表人（单位负责人）或其委托代理人签字或盖章之日起生效，合同履行完毕后自动失效。</w:t>
      </w:r>
    </w:p>
    <w:p w14:paraId="5A7F7CEF">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7.本协议书一式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份，联合体成员和采购人各执一份。</w:t>
      </w:r>
    </w:p>
    <w:p w14:paraId="11462DC9">
      <w:pPr>
        <w:spacing w:line="44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注：本协议书由法定代表人（单位负责人）签字的，应附法定代表人（单位负责人）身份证明书；由委托代理人签字的，应附授权委托书。</w:t>
      </w:r>
    </w:p>
    <w:p w14:paraId="1E2D1CF9">
      <w:pPr>
        <w:spacing w:before="312" w:line="440" w:lineRule="exact"/>
        <w:ind w:firstLine="1890" w:firstLineChars="9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联合体牵头人名称：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（加盖单位公章）</w:t>
      </w:r>
    </w:p>
    <w:p w14:paraId="4A523B23">
      <w:pPr>
        <w:spacing w:line="440" w:lineRule="exact"/>
        <w:ind w:firstLine="1890" w:firstLineChars="9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p>
    <w:p w14:paraId="1270CAE4">
      <w:pPr>
        <w:spacing w:before="312" w:line="440" w:lineRule="exact"/>
        <w:ind w:firstLine="1890" w:firstLineChars="9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联合体成员名称：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（加盖单位公章）</w:t>
      </w:r>
    </w:p>
    <w:p w14:paraId="1ED55C77">
      <w:pPr>
        <w:spacing w:line="440" w:lineRule="exact"/>
        <w:ind w:firstLine="1890" w:firstLineChars="9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p>
    <w:p w14:paraId="39BAC090">
      <w:pPr>
        <w:spacing w:line="440" w:lineRule="exact"/>
        <w:ind w:firstLine="1890" w:firstLineChars="900"/>
        <w:rPr>
          <w:rFonts w:hint="eastAsia" w:ascii="宋体" w:hAnsi="宋体" w:eastAsia="宋体" w:cs="宋体"/>
          <w:color w:val="auto"/>
          <w:sz w:val="21"/>
          <w:szCs w:val="21"/>
          <w:highlight w:val="none"/>
        </w:rPr>
      </w:pPr>
    </w:p>
    <w:p w14:paraId="2298447D">
      <w:pPr>
        <w:spacing w:line="440" w:lineRule="exact"/>
        <w:ind w:firstLine="1890" w:firstLineChars="9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7FF0B30">
      <w:pPr>
        <w:spacing w:line="440" w:lineRule="exact"/>
        <w:ind w:firstLine="1890" w:firstLineChars="900"/>
        <w:rPr>
          <w:rStyle w:val="5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bookmarkStart w:id="262" w:name="_Toc29133"/>
      <w:bookmarkEnd w:id="262"/>
    </w:p>
    <w:p w14:paraId="07134677">
      <w:pPr>
        <w:rPr>
          <w:rFonts w:ascii="宋体" w:hAnsi="宋体" w:eastAsia="宋体" w:cs="宋体"/>
          <w:color w:val="auto"/>
          <w:szCs w:val="21"/>
          <w:highlight w:val="none"/>
        </w:rPr>
      </w:pPr>
      <w:r>
        <w:rPr>
          <w:rFonts w:hint="eastAsia" w:ascii="宋体" w:hAnsi="宋体" w:eastAsia="宋体" w:cs="宋体"/>
          <w:b/>
          <w:bCs/>
          <w:color w:val="auto"/>
          <w:sz w:val="21"/>
          <w:szCs w:val="21"/>
          <w:highlight w:val="none"/>
        </w:rPr>
        <w:t>注：该联合体协议书模板不得随意更改，联合体磋商适用，非联合体磋商无需提供。</w:t>
      </w:r>
    </w:p>
    <w:p w14:paraId="5BD32CB6">
      <w:pPr>
        <w:rPr>
          <w:rFonts w:hint="eastAsia" w:ascii="宋体" w:hAnsi="宋体" w:eastAsia="宋体" w:cs="宋体"/>
          <w:b/>
          <w:bCs/>
          <w:color w:val="auto"/>
          <w:sz w:val="28"/>
          <w:szCs w:val="28"/>
          <w:highlight w:val="none"/>
        </w:rPr>
      </w:pPr>
      <w:bookmarkStart w:id="263" w:name="_Toc25357"/>
      <w:r>
        <w:rPr>
          <w:rFonts w:hint="eastAsia" w:ascii="宋体" w:hAnsi="宋体" w:eastAsia="宋体" w:cs="宋体"/>
          <w:b/>
          <w:bCs/>
          <w:color w:val="auto"/>
          <w:sz w:val="28"/>
          <w:szCs w:val="28"/>
          <w:highlight w:val="none"/>
        </w:rPr>
        <w:br w:type="page"/>
      </w:r>
    </w:p>
    <w:p w14:paraId="7DA3D648">
      <w:pPr>
        <w:keepNext/>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格式3：具有良好的商业信誉和健全的财务会计制度</w:t>
      </w:r>
      <w:bookmarkEnd w:id="263"/>
    </w:p>
    <w:p w14:paraId="535418C5">
      <w:pPr>
        <w:spacing w:line="460" w:lineRule="exact"/>
        <w:jc w:val="lef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格式3-1：具有良好的商业信誉。</w:t>
      </w:r>
    </w:p>
    <w:p w14:paraId="4C18B34F">
      <w:pPr>
        <w:spacing w:line="460" w:lineRule="exact"/>
        <w:jc w:val="left"/>
        <w:rPr>
          <w:rFonts w:ascii="宋体" w:hAnsi="宋体" w:eastAsia="宋体" w:cs="宋体"/>
          <w:color w:val="auto"/>
          <w:sz w:val="24"/>
          <w:szCs w:val="24"/>
          <w:highlight w:val="none"/>
        </w:rPr>
      </w:pPr>
    </w:p>
    <w:p w14:paraId="5B0EE0C2">
      <w:pPr>
        <w:spacing w:line="460" w:lineRule="exact"/>
        <w:jc w:val="left"/>
        <w:rPr>
          <w:rFonts w:ascii="宋体" w:hAnsi="宋体" w:eastAsia="宋体" w:cs="宋体"/>
          <w:color w:val="auto"/>
          <w:sz w:val="24"/>
          <w:szCs w:val="24"/>
          <w:highlight w:val="none"/>
        </w:rPr>
      </w:pPr>
    </w:p>
    <w:p w14:paraId="2D5707B7">
      <w:pPr>
        <w:spacing w:line="46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请提供具有良好的商业信誉的声明函。</w:t>
      </w:r>
    </w:p>
    <w:p w14:paraId="0217A9A1">
      <w:pPr>
        <w:spacing w:line="460" w:lineRule="exact"/>
        <w:jc w:val="left"/>
        <w:rPr>
          <w:rFonts w:ascii="宋体" w:hAnsi="宋体" w:eastAsia="宋体" w:cs="宋体"/>
          <w:color w:val="auto"/>
          <w:szCs w:val="21"/>
          <w:highlight w:val="none"/>
        </w:rPr>
      </w:pPr>
    </w:p>
    <w:p w14:paraId="14931676">
      <w:pPr>
        <w:spacing w:line="460" w:lineRule="exact"/>
        <w:jc w:val="left"/>
        <w:rPr>
          <w:rFonts w:ascii="宋体" w:hAnsi="宋体" w:eastAsia="宋体" w:cs="宋体"/>
          <w:color w:val="auto"/>
          <w:szCs w:val="21"/>
          <w:highlight w:val="none"/>
        </w:rPr>
      </w:pPr>
    </w:p>
    <w:p w14:paraId="50E52E01">
      <w:pPr>
        <w:spacing w:line="460" w:lineRule="exact"/>
        <w:ind w:firstLine="1200" w:firstLineChars="5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格式自拟</w:t>
      </w:r>
    </w:p>
    <w:p w14:paraId="22AAE314">
      <w:pPr>
        <w:pStyle w:val="15"/>
        <w:ind w:firstLine="480"/>
        <w:rPr>
          <w:rFonts w:ascii="宋体" w:hAnsi="宋体" w:eastAsia="宋体" w:cs="宋体"/>
          <w:color w:val="auto"/>
          <w:szCs w:val="24"/>
          <w:highlight w:val="none"/>
        </w:rPr>
      </w:pPr>
    </w:p>
    <w:p w14:paraId="5EEF85B6">
      <w:pPr>
        <w:pStyle w:val="16"/>
        <w:ind w:firstLine="464"/>
        <w:rPr>
          <w:rFonts w:hAnsi="宋体" w:eastAsia="宋体" w:cs="宋体"/>
          <w:color w:val="auto"/>
          <w:sz w:val="24"/>
          <w:szCs w:val="24"/>
          <w:highlight w:val="none"/>
        </w:rPr>
      </w:pPr>
    </w:p>
    <w:p w14:paraId="721EF83B">
      <w:pPr>
        <w:pStyle w:val="16"/>
        <w:ind w:firstLine="464"/>
        <w:rPr>
          <w:rFonts w:hAnsi="宋体" w:eastAsia="宋体" w:cs="宋体"/>
          <w:color w:val="auto"/>
          <w:sz w:val="24"/>
          <w:szCs w:val="24"/>
          <w:highlight w:val="none"/>
        </w:rPr>
      </w:pPr>
    </w:p>
    <w:p w14:paraId="44F79148">
      <w:pPr>
        <w:pStyle w:val="16"/>
        <w:ind w:firstLine="464"/>
        <w:rPr>
          <w:rFonts w:hAnsi="宋体" w:eastAsia="宋体" w:cs="宋体"/>
          <w:color w:val="auto"/>
          <w:sz w:val="24"/>
          <w:szCs w:val="24"/>
          <w:highlight w:val="none"/>
        </w:rPr>
      </w:pPr>
    </w:p>
    <w:p w14:paraId="0D27251D">
      <w:pPr>
        <w:pStyle w:val="16"/>
        <w:ind w:firstLine="464"/>
        <w:rPr>
          <w:rFonts w:hAnsi="宋体" w:eastAsia="宋体" w:cs="宋体"/>
          <w:color w:val="auto"/>
          <w:sz w:val="24"/>
          <w:szCs w:val="24"/>
          <w:highlight w:val="none"/>
        </w:rPr>
      </w:pPr>
    </w:p>
    <w:p w14:paraId="68B7156A">
      <w:pPr>
        <w:pStyle w:val="16"/>
        <w:ind w:firstLine="464"/>
        <w:rPr>
          <w:rFonts w:hAnsi="宋体" w:eastAsia="宋体" w:cs="宋体"/>
          <w:color w:val="auto"/>
          <w:sz w:val="24"/>
          <w:szCs w:val="24"/>
          <w:highlight w:val="none"/>
        </w:rPr>
      </w:pPr>
    </w:p>
    <w:p w14:paraId="05C65B09">
      <w:pPr>
        <w:pStyle w:val="16"/>
        <w:ind w:firstLine="464"/>
        <w:rPr>
          <w:rFonts w:hAnsi="宋体" w:eastAsia="宋体" w:cs="宋体"/>
          <w:color w:val="auto"/>
          <w:sz w:val="24"/>
          <w:szCs w:val="24"/>
          <w:highlight w:val="none"/>
        </w:rPr>
      </w:pPr>
    </w:p>
    <w:p w14:paraId="322FEEC9">
      <w:pPr>
        <w:pStyle w:val="16"/>
        <w:ind w:firstLine="464"/>
        <w:rPr>
          <w:rFonts w:hAnsi="宋体" w:eastAsia="宋体" w:cs="宋体"/>
          <w:color w:val="auto"/>
          <w:sz w:val="24"/>
          <w:szCs w:val="24"/>
          <w:highlight w:val="none"/>
        </w:rPr>
      </w:pPr>
    </w:p>
    <w:p w14:paraId="028F8C6E">
      <w:pPr>
        <w:pStyle w:val="16"/>
        <w:ind w:firstLine="464"/>
        <w:rPr>
          <w:rFonts w:hAnsi="宋体" w:eastAsia="宋体" w:cs="宋体"/>
          <w:color w:val="auto"/>
          <w:sz w:val="24"/>
          <w:szCs w:val="24"/>
          <w:highlight w:val="none"/>
        </w:rPr>
      </w:pPr>
    </w:p>
    <w:p w14:paraId="4577C11C">
      <w:pPr>
        <w:pStyle w:val="16"/>
        <w:ind w:firstLine="464"/>
        <w:rPr>
          <w:rFonts w:hAnsi="宋体" w:eastAsia="宋体" w:cs="宋体"/>
          <w:color w:val="auto"/>
          <w:sz w:val="24"/>
          <w:szCs w:val="24"/>
          <w:highlight w:val="none"/>
        </w:rPr>
      </w:pPr>
    </w:p>
    <w:p w14:paraId="77C307B7">
      <w:pPr>
        <w:pStyle w:val="100"/>
        <w:rPr>
          <w:rFonts w:hAnsi="宋体" w:eastAsia="宋体" w:cs="宋体"/>
          <w:color w:val="auto"/>
          <w:sz w:val="24"/>
          <w:szCs w:val="24"/>
          <w:highlight w:val="none"/>
        </w:rPr>
      </w:pPr>
    </w:p>
    <w:p w14:paraId="1E8FE332">
      <w:pPr>
        <w:spacing w:line="360" w:lineRule="auto"/>
        <w:ind w:left="3780" w:leftChars="1800" w:firstLine="420" w:firstLineChars="200"/>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磋商申请人（盖单位章）</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lang w:val="en-US" w:eastAsia="zh-CN"/>
        </w:rPr>
        <w:t xml:space="preserve">               </w:t>
      </w:r>
    </w:p>
    <w:p w14:paraId="48DC7F42">
      <w:pPr>
        <w:spacing w:line="360" w:lineRule="auto"/>
        <w:ind w:left="3780" w:leftChars="1800" w:firstLine="1050" w:firstLineChars="50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日期：     </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w:t>
      </w:r>
    </w:p>
    <w:p w14:paraId="3795B323">
      <w:pPr>
        <w:spacing w:line="460" w:lineRule="exact"/>
        <w:jc w:val="left"/>
        <w:rPr>
          <w:rFonts w:ascii="宋体" w:hAnsi="宋体" w:eastAsia="宋体" w:cs="宋体"/>
          <w:color w:val="auto"/>
          <w:szCs w:val="21"/>
          <w:highlight w:val="none"/>
        </w:rPr>
      </w:pPr>
    </w:p>
    <w:p w14:paraId="58230FA0">
      <w:pPr>
        <w:spacing w:line="460" w:lineRule="exact"/>
        <w:jc w:val="left"/>
        <w:rPr>
          <w:rFonts w:ascii="宋体" w:hAnsi="宋体" w:eastAsia="宋体" w:cs="宋体"/>
          <w:color w:val="auto"/>
          <w:szCs w:val="21"/>
          <w:highlight w:val="none"/>
        </w:rPr>
      </w:pPr>
      <w:r>
        <w:rPr>
          <w:rFonts w:hint="eastAsia" w:ascii="宋体" w:hAnsi="宋体" w:eastAsia="宋体" w:cs="宋体"/>
          <w:b/>
          <w:color w:val="auto"/>
          <w:highlight w:val="none"/>
        </w:rPr>
        <w:t>注：以联合体形式参与磋商的，此材料联合体各方均需提供。</w:t>
      </w:r>
    </w:p>
    <w:p w14:paraId="65BBCB5D">
      <w:pPr>
        <w:spacing w:line="460" w:lineRule="exact"/>
        <w:jc w:val="left"/>
        <w:rPr>
          <w:rFonts w:ascii="宋体" w:hAnsi="宋体" w:eastAsia="宋体" w:cs="宋体"/>
          <w:color w:val="auto"/>
          <w:szCs w:val="21"/>
          <w:highlight w:val="none"/>
        </w:rPr>
      </w:pPr>
    </w:p>
    <w:p w14:paraId="44C58F39">
      <w:pPr>
        <w:widowControl/>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16B844C">
      <w:pPr>
        <w:spacing w:line="460" w:lineRule="exact"/>
        <w:jc w:val="center"/>
        <w:rPr>
          <w:rFonts w:ascii="宋体" w:hAnsi="宋体" w:eastAsia="宋体" w:cs="宋体"/>
          <w:b/>
          <w:bCs/>
          <w:color w:val="auto"/>
          <w:sz w:val="22"/>
          <w:highlight w:val="none"/>
        </w:rPr>
      </w:pPr>
      <w:r>
        <w:rPr>
          <w:rFonts w:hint="eastAsia" w:ascii="宋体" w:hAnsi="宋体" w:eastAsia="宋体" w:cs="宋体"/>
          <w:b/>
          <w:bCs/>
          <w:color w:val="auto"/>
          <w:sz w:val="28"/>
          <w:szCs w:val="28"/>
          <w:highlight w:val="none"/>
        </w:rPr>
        <w:t>格式3-2：提供磋商申请人2022年度或2023年度（提供最新年度的）经审计的财务报告；磋商申请人（含新成立的单位）无法提供2022年度或2023年度（提供最新年度的）经审计的财务报告的，提供银行出具的资信证明或担保机构出具的投标担保函等能证明具有健全的财务会计制度的证明材料。</w:t>
      </w:r>
    </w:p>
    <w:p w14:paraId="6C8A8DFB">
      <w:pPr>
        <w:pStyle w:val="4"/>
        <w:tabs>
          <w:tab w:val="left" w:pos="432"/>
        </w:tabs>
        <w:spacing w:before="0" w:after="0" w:line="480" w:lineRule="exact"/>
        <w:jc w:val="center"/>
        <w:rPr>
          <w:rFonts w:ascii="宋体" w:hAnsi="宋体" w:eastAsia="宋体" w:cs="宋体"/>
          <w:color w:val="auto"/>
          <w:sz w:val="28"/>
          <w:szCs w:val="28"/>
          <w:highlight w:val="none"/>
        </w:rPr>
      </w:pPr>
    </w:p>
    <w:p w14:paraId="224BFC3B">
      <w:pPr>
        <w:pStyle w:val="5"/>
        <w:ind w:left="0" w:leftChars="0" w:firstLine="0" w:firstLineChars="0"/>
        <w:rPr>
          <w:color w:val="auto"/>
          <w:sz w:val="21"/>
          <w:szCs w:val="21"/>
          <w:highlight w:val="none"/>
        </w:rPr>
      </w:pPr>
      <w:r>
        <w:rPr>
          <w:rFonts w:hint="eastAsia" w:ascii="宋体" w:hAnsi="宋体" w:eastAsia="宋体" w:cs="宋体"/>
          <w:b/>
          <w:color w:val="auto"/>
          <w:sz w:val="21"/>
          <w:szCs w:val="21"/>
          <w:highlight w:val="none"/>
        </w:rPr>
        <w:t>注：以联合体形式参与磋商的，此材料联合体各方均需提供。</w:t>
      </w:r>
    </w:p>
    <w:p w14:paraId="40DB3E92">
      <w:pPr>
        <w:pStyle w:val="4"/>
        <w:tabs>
          <w:tab w:val="left" w:pos="432"/>
        </w:tabs>
        <w:spacing w:before="0" w:after="0" w:line="480" w:lineRule="exact"/>
        <w:jc w:val="center"/>
        <w:rPr>
          <w:rFonts w:ascii="宋体" w:hAnsi="宋体" w:eastAsia="宋体" w:cs="宋体"/>
          <w:color w:val="auto"/>
          <w:sz w:val="28"/>
          <w:szCs w:val="28"/>
          <w:highlight w:val="none"/>
        </w:rPr>
      </w:pPr>
    </w:p>
    <w:p w14:paraId="12CF0DB4">
      <w:pPr>
        <w:pStyle w:val="4"/>
        <w:tabs>
          <w:tab w:val="left" w:pos="432"/>
        </w:tabs>
        <w:spacing w:before="0" w:after="0" w:line="480" w:lineRule="exact"/>
        <w:jc w:val="center"/>
        <w:rPr>
          <w:rFonts w:ascii="宋体" w:hAnsi="宋体" w:eastAsia="宋体" w:cs="宋体"/>
          <w:color w:val="auto"/>
          <w:sz w:val="28"/>
          <w:szCs w:val="28"/>
          <w:highlight w:val="none"/>
        </w:rPr>
      </w:pPr>
    </w:p>
    <w:p w14:paraId="61B4CCD6">
      <w:pPr>
        <w:pStyle w:val="4"/>
        <w:tabs>
          <w:tab w:val="left" w:pos="432"/>
        </w:tabs>
        <w:spacing w:before="0" w:after="0" w:line="480" w:lineRule="exact"/>
        <w:jc w:val="center"/>
        <w:rPr>
          <w:rFonts w:ascii="宋体" w:hAnsi="宋体" w:eastAsia="宋体" w:cs="宋体"/>
          <w:color w:val="auto"/>
          <w:sz w:val="28"/>
          <w:szCs w:val="28"/>
          <w:highlight w:val="none"/>
        </w:rPr>
      </w:pPr>
    </w:p>
    <w:p w14:paraId="13CC785F">
      <w:pPr>
        <w:rPr>
          <w:rFonts w:ascii="宋体" w:hAnsi="宋体" w:eastAsia="宋体" w:cs="宋体"/>
          <w:color w:val="auto"/>
          <w:highlight w:val="none"/>
        </w:rPr>
      </w:pPr>
    </w:p>
    <w:p w14:paraId="1186C2B6">
      <w:pPr>
        <w:pStyle w:val="4"/>
        <w:tabs>
          <w:tab w:val="left" w:pos="432"/>
        </w:tabs>
        <w:spacing w:before="0" w:after="0" w:line="480" w:lineRule="exact"/>
        <w:jc w:val="center"/>
        <w:rPr>
          <w:rFonts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br w:type="page"/>
      </w:r>
      <w:bookmarkStart w:id="264" w:name="_Toc119421999"/>
      <w:bookmarkStart w:id="265" w:name="_Toc29168"/>
      <w:r>
        <w:rPr>
          <w:rFonts w:hint="eastAsia" w:ascii="宋体" w:hAnsi="宋体" w:eastAsia="宋体" w:cs="宋体"/>
          <w:color w:val="auto"/>
          <w:sz w:val="28"/>
          <w:szCs w:val="28"/>
          <w:highlight w:val="none"/>
        </w:rPr>
        <w:t>格式4：具备履行合同所必需的设备和专业技术能力</w:t>
      </w:r>
      <w:bookmarkEnd w:id="264"/>
      <w:bookmarkEnd w:id="265"/>
    </w:p>
    <w:p w14:paraId="1204EC97">
      <w:pPr>
        <w:jc w:val="left"/>
        <w:rPr>
          <w:rFonts w:ascii="宋体" w:hAnsi="宋体" w:eastAsia="宋体" w:cs="宋体"/>
          <w:b/>
          <w:color w:val="auto"/>
          <w:sz w:val="24"/>
          <w:szCs w:val="24"/>
          <w:highlight w:val="none"/>
        </w:rPr>
      </w:pPr>
    </w:p>
    <w:p w14:paraId="27D762D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提供能证明其具备履行合同所必需的设备和专业技术能力的书面声明承诺函或证明材料（格式自拟，加盖公章确认）；</w:t>
      </w:r>
    </w:p>
    <w:p w14:paraId="6038CB82">
      <w:pPr>
        <w:spacing w:line="360" w:lineRule="auto"/>
        <w:jc w:val="left"/>
        <w:rPr>
          <w:rFonts w:hint="eastAsia" w:ascii="宋体" w:hAnsi="宋体" w:eastAsia="宋体" w:cs="宋体"/>
          <w:b/>
          <w:color w:val="auto"/>
          <w:highlight w:val="none"/>
        </w:rPr>
      </w:pPr>
    </w:p>
    <w:p w14:paraId="62CE93FA">
      <w:pPr>
        <w:spacing w:line="360" w:lineRule="auto"/>
        <w:jc w:val="left"/>
        <w:rPr>
          <w:rFonts w:hint="eastAsia" w:ascii="宋体" w:hAnsi="宋体" w:eastAsia="宋体" w:cs="宋体"/>
          <w:color w:val="auto"/>
          <w:szCs w:val="21"/>
          <w:highlight w:val="none"/>
        </w:rPr>
      </w:pPr>
      <w:r>
        <w:rPr>
          <w:rFonts w:hint="eastAsia" w:ascii="宋体" w:hAnsi="宋体" w:eastAsia="宋体" w:cs="宋体"/>
          <w:b/>
          <w:color w:val="auto"/>
          <w:highlight w:val="none"/>
        </w:rPr>
        <w:t>注：以联合体形式参与磋商的，此材料联合体各方均需提供。</w:t>
      </w:r>
    </w:p>
    <w:p w14:paraId="48A00D36">
      <w:pPr>
        <w:pStyle w:val="3"/>
        <w:rPr>
          <w:rFonts w:hint="eastAsia"/>
          <w:color w:val="auto"/>
          <w:highlight w:val="none"/>
        </w:rPr>
      </w:pPr>
    </w:p>
    <w:p w14:paraId="45849A08">
      <w:pPr>
        <w:pStyle w:val="3"/>
        <w:rPr>
          <w:rFonts w:hint="eastAsia"/>
          <w:color w:val="auto"/>
          <w:highlight w:val="none"/>
        </w:rPr>
      </w:pPr>
    </w:p>
    <w:p w14:paraId="2B1B46E1">
      <w:pPr>
        <w:rPr>
          <w:color w:val="auto"/>
          <w:highlight w:val="none"/>
        </w:rPr>
      </w:pPr>
    </w:p>
    <w:p w14:paraId="3170619E">
      <w:pPr>
        <w:pStyle w:val="43"/>
        <w:rPr>
          <w:rFonts w:ascii="宋体" w:hAnsi="宋体" w:cs="宋体"/>
          <w:color w:val="auto"/>
          <w:szCs w:val="21"/>
          <w:highlight w:val="none"/>
        </w:rPr>
      </w:pPr>
    </w:p>
    <w:p w14:paraId="7D5D69FA">
      <w:pPr>
        <w:pStyle w:val="43"/>
        <w:rPr>
          <w:rFonts w:ascii="宋体" w:hAnsi="宋体" w:cs="宋体"/>
          <w:color w:val="auto"/>
          <w:szCs w:val="21"/>
          <w:highlight w:val="none"/>
        </w:rPr>
      </w:pPr>
    </w:p>
    <w:p w14:paraId="40ABD19E">
      <w:pPr>
        <w:pStyle w:val="43"/>
        <w:rPr>
          <w:rFonts w:ascii="宋体" w:hAnsi="宋体" w:cs="宋体"/>
          <w:color w:val="auto"/>
          <w:szCs w:val="21"/>
          <w:highlight w:val="none"/>
        </w:rPr>
      </w:pPr>
    </w:p>
    <w:p w14:paraId="13785E3A">
      <w:pPr>
        <w:pStyle w:val="13"/>
        <w:rPr>
          <w:rFonts w:ascii="宋体" w:hAnsi="宋体" w:eastAsia="宋体" w:cs="宋体"/>
          <w:color w:val="auto"/>
          <w:szCs w:val="21"/>
          <w:highlight w:val="none"/>
        </w:rPr>
      </w:pPr>
    </w:p>
    <w:p w14:paraId="34D39449">
      <w:pPr>
        <w:pStyle w:val="14"/>
        <w:rPr>
          <w:rFonts w:hAnsi="宋体"/>
          <w:color w:val="auto"/>
          <w:szCs w:val="21"/>
          <w:highlight w:val="none"/>
        </w:rPr>
        <w:sectPr>
          <w:footerReference r:id="rId6" w:type="default"/>
          <w:pgSz w:w="11906" w:h="16838"/>
          <w:pgMar w:top="936" w:right="1134" w:bottom="1089" w:left="1134" w:header="851" w:footer="992" w:gutter="0"/>
          <w:cols w:space="425" w:num="1"/>
          <w:docGrid w:type="lines" w:linePitch="312" w:charSpace="0"/>
        </w:sectPr>
      </w:pPr>
    </w:p>
    <w:p w14:paraId="24A0213D">
      <w:pPr>
        <w:pStyle w:val="4"/>
        <w:tabs>
          <w:tab w:val="left" w:pos="432"/>
        </w:tabs>
        <w:spacing w:before="0" w:after="0" w:line="480" w:lineRule="exact"/>
        <w:jc w:val="center"/>
        <w:rPr>
          <w:rFonts w:ascii="宋体" w:hAnsi="宋体" w:eastAsia="宋体" w:cs="宋体"/>
          <w:b w:val="0"/>
          <w:color w:val="auto"/>
          <w:sz w:val="28"/>
          <w:szCs w:val="28"/>
          <w:highlight w:val="none"/>
        </w:rPr>
      </w:pPr>
      <w:bookmarkStart w:id="266" w:name="_Toc3902"/>
      <w:bookmarkStart w:id="267" w:name="_Toc119421998"/>
      <w:r>
        <w:rPr>
          <w:rFonts w:hint="eastAsia" w:ascii="宋体" w:hAnsi="宋体" w:eastAsia="宋体" w:cs="宋体"/>
          <w:color w:val="auto"/>
          <w:sz w:val="28"/>
          <w:szCs w:val="28"/>
          <w:highlight w:val="none"/>
        </w:rPr>
        <w:t>格式5：有依法缴纳税收和社会保障资金的良好记录</w:t>
      </w:r>
      <w:bookmarkEnd w:id="266"/>
      <w:bookmarkEnd w:id="267"/>
    </w:p>
    <w:p w14:paraId="19895586">
      <w:pPr>
        <w:spacing w:line="360" w:lineRule="auto"/>
        <w:ind w:firstLine="480" w:firstLineChars="200"/>
        <w:jc w:val="left"/>
        <w:rPr>
          <w:rFonts w:ascii="宋体" w:hAnsi="宋体" w:eastAsia="宋体" w:cs="宋体"/>
          <w:color w:val="auto"/>
          <w:sz w:val="24"/>
          <w:szCs w:val="24"/>
          <w:highlight w:val="none"/>
        </w:rPr>
      </w:pPr>
    </w:p>
    <w:p w14:paraId="274A552B">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提供磋商申请人2023年0</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月至今任意1个月份的依法缴纳税收凭证及社会保险证明等材料。</w:t>
      </w:r>
    </w:p>
    <w:p w14:paraId="1A043D8F">
      <w:pPr>
        <w:ind w:firstLine="420" w:firstLineChars="200"/>
        <w:jc w:val="left"/>
        <w:rPr>
          <w:rFonts w:ascii="宋体" w:hAnsi="宋体" w:eastAsia="宋体" w:cs="宋体"/>
          <w:color w:val="auto"/>
          <w:szCs w:val="21"/>
          <w:highlight w:val="none"/>
        </w:rPr>
      </w:pPr>
    </w:p>
    <w:p w14:paraId="4995809B">
      <w:pPr>
        <w:spacing w:line="360" w:lineRule="auto"/>
        <w:ind w:firstLine="422" w:firstLineChars="200"/>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注：</w:t>
      </w:r>
    </w:p>
    <w:p w14:paraId="155BCD9C">
      <w:pPr>
        <w:spacing w:line="360" w:lineRule="auto"/>
        <w:ind w:firstLine="422" w:firstLineChars="200"/>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 依法缴纳税收凭证：税务局税收通用缴款书复印件或银行电子缴税（费）凭证复印件或税务局出具纳税情况的相关证明复印件，磋商申请人若有免税情况，请出具税务机关出具的免税证明材料，未发生税收的磋商申请人（含新成立的）请提供纳税零申报证明材料。磋商申请人若为自然人的不需要提供此项材料，但须提供磋商申请人为自然人的书面声明函。</w:t>
      </w:r>
    </w:p>
    <w:p w14:paraId="4E08F682">
      <w:pPr>
        <w:spacing w:line="360" w:lineRule="auto"/>
        <w:ind w:firstLine="422" w:firstLineChars="200"/>
        <w:jc w:val="left"/>
        <w:rPr>
          <w:rFonts w:ascii="宋体" w:hAnsi="宋体" w:eastAsia="宋体" w:cs="宋体"/>
          <w:b/>
          <w:color w:val="auto"/>
          <w:szCs w:val="21"/>
          <w:highlight w:val="none"/>
        </w:rPr>
      </w:pPr>
      <w:r>
        <w:rPr>
          <w:rFonts w:hint="eastAsia" w:ascii="宋体" w:hAnsi="宋体" w:eastAsia="宋体" w:cs="宋体"/>
          <w:b/>
          <w:bCs/>
          <w:color w:val="auto"/>
          <w:szCs w:val="21"/>
          <w:highlight w:val="none"/>
        </w:rPr>
        <w:t>2. 依法缴纳社会保险证明：社会保险费缴款书复印件或银行电子缴税（费）凭证复印件或社保管理部门出具的有效的缴款证明复印件，本年度新成立的磋商申请人提供社会保障登记证明等相关证明材料。磋商申请人若为自然人的不需要提供此项材料，但须提供磋商申请人为自然人的书面声明函。</w:t>
      </w:r>
    </w:p>
    <w:p w14:paraId="0E1402CF">
      <w:pPr>
        <w:ind w:firstLine="422" w:firstLineChars="200"/>
        <w:jc w:val="left"/>
        <w:rPr>
          <w:rFonts w:ascii="宋体" w:hAnsi="宋体" w:eastAsia="宋体" w:cs="宋体"/>
          <w:b/>
          <w:color w:val="auto"/>
          <w:szCs w:val="21"/>
          <w:highlight w:val="none"/>
        </w:rPr>
      </w:pPr>
    </w:p>
    <w:p w14:paraId="25D54400">
      <w:pPr>
        <w:ind w:firstLine="422" w:firstLineChars="200"/>
        <w:jc w:val="left"/>
        <w:rPr>
          <w:rFonts w:ascii="宋体" w:hAnsi="宋体" w:eastAsia="宋体" w:cs="宋体"/>
          <w:color w:val="auto"/>
          <w:szCs w:val="28"/>
          <w:highlight w:val="none"/>
        </w:rPr>
      </w:pPr>
      <w:r>
        <w:rPr>
          <w:rFonts w:hint="eastAsia" w:ascii="宋体" w:hAnsi="宋体" w:eastAsia="宋体" w:cs="宋体"/>
          <w:b/>
          <w:color w:val="auto"/>
          <w:highlight w:val="none"/>
        </w:rPr>
        <w:t>注：以联合体形式参与磋商的，此材料联合体各方均需提供。</w:t>
      </w:r>
    </w:p>
    <w:p w14:paraId="7F51BCFE">
      <w:pPr>
        <w:pStyle w:val="14"/>
        <w:rPr>
          <w:rFonts w:hAnsi="宋体"/>
          <w:color w:val="auto"/>
          <w:szCs w:val="21"/>
          <w:highlight w:val="none"/>
        </w:rPr>
      </w:pPr>
      <w:r>
        <w:rPr>
          <w:rFonts w:hint="eastAsia" w:hAnsi="宋体"/>
          <w:color w:val="auto"/>
          <w:sz w:val="28"/>
          <w:szCs w:val="28"/>
          <w:highlight w:val="none"/>
        </w:rPr>
        <w:br w:type="page"/>
      </w:r>
    </w:p>
    <w:p w14:paraId="4E1D270C">
      <w:pPr>
        <w:pStyle w:val="4"/>
        <w:tabs>
          <w:tab w:val="left" w:pos="432"/>
        </w:tabs>
        <w:spacing w:before="0" w:after="0" w:line="480" w:lineRule="exact"/>
        <w:jc w:val="center"/>
        <w:rPr>
          <w:rFonts w:ascii="宋体" w:hAnsi="宋体" w:eastAsia="宋体" w:cs="宋体"/>
          <w:b w:val="0"/>
          <w:color w:val="auto"/>
          <w:sz w:val="28"/>
          <w:szCs w:val="28"/>
          <w:highlight w:val="none"/>
        </w:rPr>
      </w:pPr>
      <w:bookmarkStart w:id="268" w:name="_Toc5886"/>
      <w:bookmarkStart w:id="269" w:name="_Toc119422000"/>
      <w:r>
        <w:rPr>
          <w:rFonts w:hint="eastAsia" w:ascii="宋体" w:hAnsi="宋体" w:eastAsia="宋体" w:cs="宋体"/>
          <w:color w:val="auto"/>
          <w:sz w:val="28"/>
          <w:szCs w:val="28"/>
          <w:highlight w:val="none"/>
        </w:rPr>
        <w:t>格式6：无重大违法声明</w:t>
      </w:r>
      <w:bookmarkEnd w:id="268"/>
      <w:bookmarkEnd w:id="269"/>
    </w:p>
    <w:p w14:paraId="2C10323E">
      <w:pPr>
        <w:spacing w:line="360" w:lineRule="auto"/>
        <w:ind w:firstLine="210" w:firstLineChars="100"/>
        <w:jc w:val="left"/>
        <w:rPr>
          <w:rFonts w:ascii="宋体" w:hAnsi="宋体" w:eastAsia="宋体" w:cs="宋体"/>
          <w:color w:val="auto"/>
          <w:szCs w:val="21"/>
          <w:highlight w:val="none"/>
        </w:rPr>
      </w:pPr>
    </w:p>
    <w:p w14:paraId="7CB761A2">
      <w:pPr>
        <w:spacing w:line="360" w:lineRule="auto"/>
        <w:ind w:firstLine="210" w:firstLineChars="100"/>
        <w:jc w:val="left"/>
        <w:rPr>
          <w:rFonts w:ascii="宋体" w:hAnsi="宋体" w:cs="宋体"/>
          <w:color w:val="auto"/>
          <w:szCs w:val="21"/>
          <w:highlight w:val="none"/>
        </w:rPr>
      </w:pPr>
      <w:r>
        <w:rPr>
          <w:rFonts w:hint="eastAsia" w:ascii="宋体" w:hAnsi="宋体" w:eastAsia="宋体" w:cs="宋体"/>
          <w:color w:val="auto"/>
          <w:szCs w:val="21"/>
          <w:highlight w:val="none"/>
        </w:rPr>
        <w:t xml:space="preserve"> 提供参加政府采购活动前3年内在经营活动中没有重大违法记录的书面声明（重大违法记录是指：因违法经营受到刑事处罚或者责令停产停业、吊销许可证或者执照、较大数额罚款等行政处罚）。格式自拟（加盖公章确认）。</w:t>
      </w:r>
    </w:p>
    <w:p w14:paraId="70635525">
      <w:pPr>
        <w:ind w:firstLine="240" w:firstLineChars="100"/>
        <w:jc w:val="left"/>
        <w:rPr>
          <w:rFonts w:ascii="宋体" w:hAnsi="宋体" w:cs="宋体"/>
          <w:color w:val="auto"/>
          <w:sz w:val="24"/>
          <w:highlight w:val="none"/>
        </w:rPr>
      </w:pPr>
    </w:p>
    <w:p w14:paraId="34809CA9">
      <w:pPr>
        <w:widowControl/>
        <w:jc w:val="left"/>
        <w:rPr>
          <w:rFonts w:ascii="宋体" w:hAnsi="宋体" w:eastAsia="宋体" w:cs="宋体"/>
          <w:b/>
          <w:color w:val="auto"/>
          <w:highlight w:val="none"/>
        </w:rPr>
      </w:pPr>
      <w:r>
        <w:rPr>
          <w:rFonts w:hint="eastAsia" w:ascii="宋体" w:hAnsi="宋体" w:eastAsia="宋体" w:cs="宋体"/>
          <w:b/>
          <w:color w:val="auto"/>
          <w:highlight w:val="none"/>
        </w:rPr>
        <w:t>注：以联合体形式参与磋商的，此材料联合体各方均需提供。</w:t>
      </w:r>
      <w:r>
        <w:rPr>
          <w:rFonts w:hint="eastAsia" w:hAnsi="宋体" w:cs="宋体"/>
          <w:color w:val="auto"/>
          <w:sz w:val="28"/>
          <w:szCs w:val="28"/>
          <w:highlight w:val="none"/>
        </w:rPr>
        <w:br w:type="page"/>
      </w:r>
    </w:p>
    <w:p w14:paraId="5BEC8A80">
      <w:pPr>
        <w:pStyle w:val="4"/>
        <w:tabs>
          <w:tab w:val="left" w:pos="432"/>
        </w:tabs>
        <w:spacing w:before="0" w:after="0" w:line="480" w:lineRule="exact"/>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格式7：磋商申请人资格要求</w:t>
      </w:r>
    </w:p>
    <w:p w14:paraId="26B185EB">
      <w:pPr>
        <w:spacing w:line="360" w:lineRule="auto"/>
        <w:ind w:firstLine="420" w:firstLineChars="200"/>
        <w:jc w:val="left"/>
        <w:rPr>
          <w:rFonts w:ascii="宋体" w:hAnsi="宋体" w:eastAsia="宋体" w:cs="宋体"/>
          <w:color w:val="auto"/>
          <w:szCs w:val="21"/>
          <w:highlight w:val="none"/>
        </w:rPr>
      </w:pPr>
    </w:p>
    <w:p w14:paraId="43C29ECE">
      <w:pPr>
        <w:widowControl/>
        <w:spacing w:line="440" w:lineRule="exact"/>
        <w:ind w:firstLine="424" w:firstLineChars="202"/>
        <w:rPr>
          <w:rFonts w:hint="eastAsia" w:ascii="宋体" w:hAnsi="宋体" w:eastAsia="宋体" w:cs="宋体"/>
          <w:color w:val="auto"/>
          <w:kern w:val="0"/>
          <w:highlight w:val="none"/>
          <w:lang w:eastAsia="zh-CN"/>
        </w:rPr>
      </w:pPr>
      <w:r>
        <w:rPr>
          <w:rFonts w:hint="eastAsia" w:ascii="宋体" w:hAnsi="宋体" w:eastAsia="宋体" w:cs="宋体"/>
          <w:color w:val="auto"/>
          <w:kern w:val="0"/>
          <w:szCs w:val="21"/>
          <w:highlight w:val="none"/>
        </w:rPr>
        <w:t>磋商申请人应具有《保险许可证》，联合体（若为保险经纪机构的）参与的还须具有《保险中介许可证》，</w:t>
      </w:r>
      <w:r>
        <w:rPr>
          <w:rFonts w:hint="eastAsia" w:ascii="宋体" w:hAnsi="宋体" w:eastAsia="宋体" w:cs="宋体"/>
          <w:color w:val="auto"/>
          <w:kern w:val="0"/>
          <w:highlight w:val="none"/>
        </w:rPr>
        <w:t>请提供在有效期内的资质证书图像清晰完整扫描件</w:t>
      </w:r>
      <w:r>
        <w:rPr>
          <w:rFonts w:hint="eastAsia" w:ascii="宋体" w:hAnsi="宋体" w:eastAsia="宋体" w:cs="宋体"/>
          <w:color w:val="auto"/>
          <w:szCs w:val="21"/>
          <w:highlight w:val="none"/>
        </w:rPr>
        <w:t>并加盖公章确认</w:t>
      </w:r>
      <w:r>
        <w:rPr>
          <w:rFonts w:hint="eastAsia" w:ascii="宋体" w:hAnsi="宋体" w:eastAsia="宋体" w:cs="宋体"/>
          <w:color w:val="auto"/>
          <w:kern w:val="0"/>
          <w:highlight w:val="none"/>
        </w:rPr>
        <w:t>；</w:t>
      </w:r>
    </w:p>
    <w:p w14:paraId="43610112">
      <w:pPr>
        <w:widowControl/>
        <w:spacing w:line="460" w:lineRule="exact"/>
        <w:ind w:firstLine="424" w:firstLineChars="202"/>
        <w:rPr>
          <w:rFonts w:hint="eastAsia" w:ascii="宋体" w:hAnsi="宋体" w:eastAsia="宋体" w:cs="宋体"/>
          <w:color w:val="auto"/>
          <w:kern w:val="0"/>
          <w:highlight w:val="none"/>
        </w:rPr>
      </w:pPr>
    </w:p>
    <w:p w14:paraId="40F77725">
      <w:pPr>
        <w:spacing w:line="460" w:lineRule="exact"/>
        <w:ind w:firstLine="420" w:firstLineChars="200"/>
        <w:rPr>
          <w:rFonts w:ascii="宋体" w:hAnsi="宋体" w:eastAsia="宋体" w:cs="宋体"/>
          <w:color w:val="auto"/>
          <w:kern w:val="0"/>
          <w:highlight w:val="none"/>
        </w:rPr>
      </w:pPr>
    </w:p>
    <w:p w14:paraId="006B8AEF">
      <w:pPr>
        <w:ind w:firstLine="420" w:firstLineChars="200"/>
        <w:rPr>
          <w:rFonts w:ascii="宋体" w:hAnsi="宋体" w:eastAsia="宋体" w:cs="宋体"/>
          <w:color w:val="auto"/>
          <w:kern w:val="0"/>
          <w:highlight w:val="none"/>
        </w:rPr>
      </w:pPr>
    </w:p>
    <w:p w14:paraId="31086BB9">
      <w:pPr>
        <w:ind w:firstLine="420" w:firstLineChars="200"/>
        <w:rPr>
          <w:rFonts w:ascii="宋体" w:hAnsi="宋体" w:eastAsia="宋体" w:cs="宋体"/>
          <w:color w:val="auto"/>
          <w:kern w:val="0"/>
          <w:highlight w:val="none"/>
        </w:rPr>
      </w:pPr>
    </w:p>
    <w:p w14:paraId="593CE903">
      <w:pPr>
        <w:ind w:firstLine="562" w:firstLineChars="200"/>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10F79AE3">
      <w:pP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格式8：《中小企业声明函》或《残疾人福利性单位声明函》或《监狱企业声明函》（如有）</w:t>
      </w:r>
    </w:p>
    <w:p w14:paraId="05A02284">
      <w:pPr>
        <w:widowControl/>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注：磋商申请人应对其提交的《中小企业声明函》《残疾人福利性单位声明函》《监狱企业声明函》的真实性负责，提交的声明函不真实的，应承担相应的法律责任。若磋商申请人不属于该三类企业单位，则可以删除三类企业声明函，并自行编制相应声明材料即可，若未提供任何声明函、说明材料或未按要求填写编制的，则不予认可磋商申请人属于此三类企业单位。</w:t>
      </w:r>
    </w:p>
    <w:p w14:paraId="07A0A8CF">
      <w:pPr>
        <w:widowControl/>
        <w:jc w:val="left"/>
        <w:rPr>
          <w:rFonts w:ascii="宋体" w:hAnsi="宋体" w:eastAsia="宋体" w:cs="宋体"/>
          <w:b/>
          <w:bCs/>
          <w:color w:val="auto"/>
          <w:sz w:val="24"/>
          <w:szCs w:val="24"/>
          <w:highlight w:val="none"/>
        </w:rPr>
      </w:pPr>
    </w:p>
    <w:p w14:paraId="2104ECB9">
      <w:pPr>
        <w:keepNext/>
        <w:jc w:val="left"/>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color w:val="auto"/>
          <w:sz w:val="24"/>
          <w:szCs w:val="24"/>
          <w:highlight w:val="none"/>
        </w:rPr>
        <w:t>中小企业声明函（工程、服务）</w:t>
      </w:r>
    </w:p>
    <w:p w14:paraId="238327B9">
      <w:pPr>
        <w:pStyle w:val="13"/>
        <w:keepNext/>
        <w:spacing w:before="5"/>
        <w:rPr>
          <w:rFonts w:ascii="宋体" w:hAnsi="宋体" w:eastAsia="宋体" w:cs="宋体"/>
          <w:b/>
          <w:bCs/>
          <w:color w:val="auto"/>
          <w:kern w:val="0"/>
          <w:szCs w:val="21"/>
          <w:highlight w:val="none"/>
        </w:rPr>
      </w:pPr>
    </w:p>
    <w:p w14:paraId="06A4A5F0">
      <w:pPr>
        <w:pStyle w:val="13"/>
        <w:keepNext/>
        <w:spacing w:line="360" w:lineRule="auto"/>
        <w:ind w:right="415" w:firstLine="473"/>
        <w:rPr>
          <w:rFonts w:ascii="宋体" w:hAnsi="宋体" w:eastAsia="宋体" w:cs="宋体"/>
          <w:color w:val="auto"/>
          <w:szCs w:val="21"/>
          <w:highlight w:val="none"/>
        </w:rPr>
      </w:pPr>
      <w:r>
        <w:rPr>
          <w:rFonts w:hint="eastAsia" w:ascii="宋体" w:hAnsi="宋体" w:eastAsia="宋体" w:cs="宋体"/>
          <w:color w:val="auto"/>
          <w:szCs w:val="21"/>
          <w:highlight w:val="none"/>
        </w:rPr>
        <w:t>本公司（联合体）郑重声明，根据《政府采购促进中小企业发展管理办法》（财库﹝2020﹞46 号）的规定，本公司（联合体）参加</w:t>
      </w:r>
      <w:r>
        <w:rPr>
          <w:rFonts w:hint="eastAsia" w:ascii="宋体" w:hAnsi="宋体" w:eastAsia="宋体" w:cs="宋体"/>
          <w:iCs/>
          <w:color w:val="auto"/>
          <w:szCs w:val="21"/>
          <w:highlight w:val="none"/>
          <w:u w:val="single"/>
        </w:rPr>
        <w:t>（单位名称）</w:t>
      </w:r>
      <w:r>
        <w:rPr>
          <w:rFonts w:hint="eastAsia" w:ascii="宋体" w:hAnsi="宋体" w:eastAsia="宋体" w:cs="宋体"/>
          <w:color w:val="auto"/>
          <w:szCs w:val="21"/>
          <w:highlight w:val="none"/>
        </w:rPr>
        <w:t>的</w:t>
      </w:r>
      <w:r>
        <w:rPr>
          <w:rFonts w:hint="eastAsia" w:ascii="宋体" w:hAnsi="宋体" w:eastAsia="宋体" w:cs="宋体"/>
          <w:iCs/>
          <w:color w:val="auto"/>
          <w:szCs w:val="21"/>
          <w:highlight w:val="none"/>
          <w:u w:val="single"/>
        </w:rPr>
        <w:t>（项目名称）</w:t>
      </w:r>
      <w:r>
        <w:rPr>
          <w:rFonts w:hint="eastAsia" w:ascii="宋体" w:hAnsi="宋体" w:eastAsia="宋体" w:cs="宋体"/>
          <w:color w:val="auto"/>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06F3847">
      <w:pPr>
        <w:pStyle w:val="58"/>
        <w:keepNext/>
        <w:numPr>
          <w:ilvl w:val="0"/>
          <w:numId w:val="9"/>
        </w:numPr>
        <w:autoSpaceDE w:val="0"/>
        <w:autoSpaceDN w:val="0"/>
        <w:spacing w:before="94" w:line="360" w:lineRule="auto"/>
        <w:ind w:left="5" w:right="236" w:firstLine="415" w:firstLineChars="0"/>
        <w:rPr>
          <w:rFonts w:ascii="宋体" w:hAnsi="宋体" w:eastAsia="宋体" w:cs="宋体"/>
          <w:color w:val="auto"/>
          <w:szCs w:val="21"/>
          <w:highlight w:val="none"/>
        </w:rPr>
      </w:pPr>
      <w:r>
        <w:rPr>
          <w:rFonts w:hint="eastAsia" w:ascii="宋体" w:hAnsi="宋体" w:eastAsia="宋体" w:cs="宋体"/>
          <w:iCs/>
          <w:color w:val="auto"/>
          <w:szCs w:val="21"/>
          <w:highlight w:val="none"/>
          <w:u w:val="single"/>
        </w:rPr>
        <w:t>（标的名称）</w:t>
      </w:r>
      <w:r>
        <w:rPr>
          <w:rFonts w:hint="eastAsia" w:ascii="宋体" w:hAnsi="宋体" w:eastAsia="宋体" w:cs="宋体"/>
          <w:color w:val="auto"/>
          <w:szCs w:val="21"/>
          <w:highlight w:val="none"/>
        </w:rPr>
        <w:t>，属于</w:t>
      </w:r>
      <w:r>
        <w:rPr>
          <w:rFonts w:hint="eastAsia" w:ascii="宋体" w:hAnsi="宋体" w:eastAsia="宋体" w:cs="宋体"/>
          <w:iCs/>
          <w:color w:val="auto"/>
          <w:szCs w:val="21"/>
          <w:highlight w:val="none"/>
          <w:u w:val="single"/>
        </w:rPr>
        <w:t>（采购文件中明确的所属行业）</w:t>
      </w:r>
      <w:r>
        <w:rPr>
          <w:rFonts w:hint="eastAsia" w:ascii="宋体" w:hAnsi="宋体" w:eastAsia="宋体" w:cs="宋体"/>
          <w:color w:val="auto"/>
          <w:szCs w:val="21"/>
          <w:highlight w:val="none"/>
        </w:rPr>
        <w:t>；承建（承接）企业为</w:t>
      </w:r>
      <w:r>
        <w:rPr>
          <w:rFonts w:hint="eastAsia" w:ascii="宋体" w:hAnsi="宋体" w:eastAsia="宋体" w:cs="宋体"/>
          <w:iCs/>
          <w:color w:val="auto"/>
          <w:szCs w:val="21"/>
          <w:highlight w:val="none"/>
          <w:u w:val="single"/>
        </w:rPr>
        <w:t>（企业名称）</w:t>
      </w:r>
      <w:r>
        <w:rPr>
          <w:rFonts w:hint="eastAsia" w:ascii="宋体" w:hAnsi="宋体" w:eastAsia="宋体" w:cs="宋体"/>
          <w:color w:val="auto"/>
          <w:szCs w:val="21"/>
          <w:highlight w:val="none"/>
        </w:rPr>
        <w:t>，从业人员</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万元1，属于</w:t>
      </w:r>
      <w:r>
        <w:rPr>
          <w:rFonts w:hint="eastAsia" w:ascii="宋体" w:hAnsi="宋体" w:eastAsia="宋体" w:cs="宋体"/>
          <w:color w:val="auto"/>
          <w:szCs w:val="21"/>
          <w:highlight w:val="none"/>
          <w:u w:val="single"/>
        </w:rPr>
        <w:tab/>
      </w:r>
      <w:r>
        <w:rPr>
          <w:rFonts w:hint="eastAsia" w:ascii="宋体" w:hAnsi="宋体" w:eastAsia="宋体" w:cs="宋体"/>
          <w:iCs/>
          <w:color w:val="auto"/>
          <w:szCs w:val="21"/>
          <w:highlight w:val="none"/>
        </w:rPr>
        <w:t>（中型企业、小型企业、微型企业）</w:t>
      </w:r>
      <w:r>
        <w:rPr>
          <w:rFonts w:hint="eastAsia" w:ascii="宋体" w:hAnsi="宋体" w:eastAsia="宋体" w:cs="宋体"/>
          <w:color w:val="auto"/>
          <w:szCs w:val="21"/>
          <w:highlight w:val="none"/>
        </w:rPr>
        <w:t>；</w:t>
      </w:r>
    </w:p>
    <w:p w14:paraId="3254CBFB">
      <w:pPr>
        <w:pStyle w:val="58"/>
        <w:keepNext/>
        <w:numPr>
          <w:ilvl w:val="0"/>
          <w:numId w:val="9"/>
        </w:numPr>
        <w:autoSpaceDE w:val="0"/>
        <w:autoSpaceDN w:val="0"/>
        <w:spacing w:before="94" w:line="360" w:lineRule="auto"/>
        <w:ind w:left="5" w:right="236" w:firstLine="415" w:firstLineChars="0"/>
        <w:rPr>
          <w:rFonts w:ascii="宋体" w:hAnsi="宋体" w:eastAsia="宋体" w:cs="宋体"/>
          <w:color w:val="auto"/>
          <w:szCs w:val="21"/>
          <w:highlight w:val="none"/>
        </w:rPr>
      </w:pPr>
      <w:r>
        <w:rPr>
          <w:rFonts w:hint="eastAsia" w:ascii="宋体" w:hAnsi="宋体" w:eastAsia="宋体" w:cs="宋体"/>
          <w:iCs/>
          <w:color w:val="auto"/>
          <w:szCs w:val="21"/>
          <w:highlight w:val="none"/>
          <w:u w:val="single"/>
        </w:rPr>
        <w:t>（标的名称）</w:t>
      </w:r>
      <w:r>
        <w:rPr>
          <w:rFonts w:hint="eastAsia" w:ascii="宋体" w:hAnsi="宋体" w:eastAsia="宋体" w:cs="宋体"/>
          <w:color w:val="auto"/>
          <w:szCs w:val="21"/>
          <w:highlight w:val="none"/>
        </w:rPr>
        <w:t>，属于</w:t>
      </w:r>
      <w:r>
        <w:rPr>
          <w:rFonts w:hint="eastAsia" w:ascii="宋体" w:hAnsi="宋体" w:eastAsia="宋体" w:cs="宋体"/>
          <w:iCs/>
          <w:color w:val="auto"/>
          <w:szCs w:val="21"/>
          <w:highlight w:val="none"/>
          <w:u w:val="single"/>
        </w:rPr>
        <w:t>（采购文件中明确的所属行业）</w:t>
      </w:r>
      <w:r>
        <w:rPr>
          <w:rFonts w:hint="eastAsia" w:ascii="宋体" w:hAnsi="宋体" w:eastAsia="宋体" w:cs="宋体"/>
          <w:color w:val="auto"/>
          <w:szCs w:val="21"/>
          <w:highlight w:val="none"/>
        </w:rPr>
        <w:t>；承建（承接）企业为</w:t>
      </w:r>
      <w:r>
        <w:rPr>
          <w:rFonts w:hint="eastAsia" w:ascii="宋体" w:hAnsi="宋体" w:eastAsia="宋体" w:cs="宋体"/>
          <w:iCs/>
          <w:color w:val="auto"/>
          <w:szCs w:val="21"/>
          <w:highlight w:val="none"/>
          <w:u w:val="single"/>
        </w:rPr>
        <w:t>（企业名称）</w:t>
      </w:r>
      <w:r>
        <w:rPr>
          <w:rFonts w:hint="eastAsia" w:ascii="宋体" w:hAnsi="宋体" w:eastAsia="宋体" w:cs="宋体"/>
          <w:color w:val="auto"/>
          <w:szCs w:val="21"/>
          <w:highlight w:val="none"/>
        </w:rPr>
        <w:t>，从业人员</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万元1，属于</w:t>
      </w:r>
      <w:r>
        <w:rPr>
          <w:rFonts w:hint="eastAsia" w:ascii="宋体" w:hAnsi="宋体" w:eastAsia="宋体" w:cs="宋体"/>
          <w:color w:val="auto"/>
          <w:szCs w:val="21"/>
          <w:highlight w:val="none"/>
          <w:u w:val="single"/>
        </w:rPr>
        <w:tab/>
      </w:r>
      <w:r>
        <w:rPr>
          <w:rFonts w:hint="eastAsia" w:ascii="宋体" w:hAnsi="宋体" w:eastAsia="宋体" w:cs="宋体"/>
          <w:iCs/>
          <w:color w:val="auto"/>
          <w:szCs w:val="21"/>
          <w:highlight w:val="none"/>
        </w:rPr>
        <w:t>（中型企业、小型企业、微型企业）</w:t>
      </w:r>
      <w:r>
        <w:rPr>
          <w:rFonts w:hint="eastAsia" w:ascii="宋体" w:hAnsi="宋体" w:eastAsia="宋体" w:cs="宋体"/>
          <w:color w:val="auto"/>
          <w:szCs w:val="21"/>
          <w:highlight w:val="none"/>
        </w:rPr>
        <w:t>；</w:t>
      </w:r>
    </w:p>
    <w:p w14:paraId="2AAFE337">
      <w:pPr>
        <w:pStyle w:val="13"/>
        <w:keepNext/>
        <w:spacing w:before="11" w:line="360" w:lineRule="auto"/>
        <w:ind w:left="860"/>
        <w:rPr>
          <w:rFonts w:ascii="宋体" w:hAnsi="宋体" w:eastAsia="宋体" w:cs="宋体"/>
          <w:color w:val="auto"/>
          <w:szCs w:val="21"/>
          <w:highlight w:val="none"/>
        </w:rPr>
      </w:pPr>
      <w:r>
        <w:rPr>
          <w:rFonts w:hint="eastAsia" w:ascii="宋体" w:hAnsi="宋体" w:eastAsia="宋体" w:cs="宋体"/>
          <w:color w:val="auto"/>
          <w:szCs w:val="21"/>
          <w:highlight w:val="none"/>
        </w:rPr>
        <w:t>……</w:t>
      </w:r>
    </w:p>
    <w:p w14:paraId="579574E0">
      <w:pPr>
        <w:pStyle w:val="13"/>
        <w:keepNext/>
        <w:spacing w:before="108" w:line="360" w:lineRule="auto"/>
        <w:ind w:right="417" w:firstLine="645"/>
        <w:rPr>
          <w:rFonts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以上企业，不属于大企业的分支机构，不存在控股股东为大企业的情形，也不存在与大企业的负责人为同一人的情形。</w:t>
      </w:r>
    </w:p>
    <w:p w14:paraId="58364F78">
      <w:pPr>
        <w:pStyle w:val="13"/>
        <w:keepNext/>
        <w:spacing w:line="360" w:lineRule="auto"/>
        <w:ind w:right="375" w:firstLine="640"/>
        <w:rPr>
          <w:rFonts w:ascii="宋体" w:hAnsi="宋体" w:eastAsia="宋体" w:cs="宋体"/>
          <w:color w:val="auto"/>
          <w:szCs w:val="21"/>
          <w:highlight w:val="none"/>
        </w:rPr>
      </w:pPr>
      <w:r>
        <w:rPr>
          <w:rFonts w:hint="eastAsia" w:ascii="宋体" w:hAnsi="宋体" w:eastAsia="宋体" w:cs="宋体"/>
          <w:color w:val="auto"/>
          <w:szCs w:val="21"/>
          <w:highlight w:val="none"/>
        </w:rPr>
        <w:t>本企业对上述声明内容的真实性负责。如有虚假，将依法承担相应责任。</w:t>
      </w:r>
    </w:p>
    <w:p w14:paraId="503616F7">
      <w:pPr>
        <w:pStyle w:val="13"/>
        <w:keepNext/>
        <w:spacing w:before="29" w:line="360" w:lineRule="auto"/>
        <w:ind w:left="4060" w:right="2166"/>
        <w:rPr>
          <w:rFonts w:ascii="宋体" w:hAnsi="宋体" w:eastAsia="宋体" w:cs="宋体"/>
          <w:color w:val="auto"/>
          <w:szCs w:val="21"/>
          <w:highlight w:val="none"/>
        </w:rPr>
      </w:pPr>
      <w:r>
        <w:rPr>
          <w:rFonts w:hint="eastAsia" w:ascii="宋体" w:hAnsi="宋体" w:eastAsia="宋体" w:cs="宋体"/>
          <w:color w:val="auto"/>
          <w:szCs w:val="21"/>
          <w:highlight w:val="none"/>
        </w:rPr>
        <w:t>企业名称（盖章）：日期：</w:t>
      </w:r>
    </w:p>
    <w:p w14:paraId="6AEBEC4B">
      <w:pPr>
        <w:keepNext/>
        <w:spacing w:line="360" w:lineRule="auto"/>
        <w:rPr>
          <w:rFonts w:ascii="宋体" w:hAnsi="宋体" w:eastAsia="宋体" w:cs="宋体"/>
          <w:color w:val="auto"/>
          <w:szCs w:val="21"/>
          <w:highlight w:val="none"/>
        </w:rPr>
      </w:pPr>
    </w:p>
    <w:p w14:paraId="309B1060">
      <w:pPr>
        <w:widowControl/>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注：从业人员、营业收入、资产总额填报上一年度数据，无上一年度数据的新成立企业可不填报。</w:t>
      </w:r>
    </w:p>
    <w:p w14:paraId="42FB2300">
      <w:pPr>
        <w:widowControl/>
        <w:jc w:val="left"/>
        <w:rPr>
          <w:rFonts w:ascii="宋体" w:hAnsi="宋体" w:eastAsia="宋体" w:cs="宋体"/>
          <w:b/>
          <w:color w:val="auto"/>
          <w:sz w:val="24"/>
          <w:szCs w:val="24"/>
          <w:highlight w:val="none"/>
        </w:rPr>
      </w:pPr>
    </w:p>
    <w:p w14:paraId="08AAD230">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78213E57">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（2）《残疾人福利性单位声明函》格式</w:t>
      </w:r>
    </w:p>
    <w:p w14:paraId="13FD1786">
      <w:pPr>
        <w:widowControl/>
        <w:jc w:val="left"/>
        <w:rPr>
          <w:rFonts w:ascii="宋体" w:hAnsi="宋体" w:eastAsia="宋体" w:cs="宋体"/>
          <w:b/>
          <w:color w:val="auto"/>
          <w:sz w:val="24"/>
          <w:szCs w:val="24"/>
          <w:highlight w:val="none"/>
        </w:rPr>
      </w:pPr>
    </w:p>
    <w:p w14:paraId="0044136D">
      <w:pPr>
        <w:spacing w:line="588" w:lineRule="exact"/>
        <w:jc w:val="center"/>
        <w:rPr>
          <w:rFonts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残疾人福利性单位声明函</w:t>
      </w:r>
    </w:p>
    <w:p w14:paraId="4B3579CE">
      <w:pPr>
        <w:widowControl/>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（不属于残疾人福利性单位的无需填写）</w:t>
      </w:r>
    </w:p>
    <w:p w14:paraId="507CEC1C">
      <w:pPr>
        <w:widowControl/>
        <w:jc w:val="left"/>
        <w:rPr>
          <w:rFonts w:ascii="宋体" w:hAnsi="宋体" w:eastAsia="宋体" w:cs="宋体"/>
          <w:b/>
          <w:color w:val="auto"/>
          <w:sz w:val="24"/>
          <w:szCs w:val="24"/>
          <w:highlight w:val="none"/>
        </w:rPr>
      </w:pPr>
    </w:p>
    <w:p w14:paraId="0DFA0E46">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本单位郑重声明，根据《财政部 民政部 中国残疾人联合会关于促进残疾人就业政府采购政策的通知》</w:t>
      </w:r>
    </w:p>
    <w:p w14:paraId="77D4BE9D">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5EC9C75">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本单位对上述声明的真实性负责。如有虚假，将依法承担相应责任。</w:t>
      </w:r>
    </w:p>
    <w:p w14:paraId="3FC92A9E">
      <w:pPr>
        <w:widowControl/>
        <w:spacing w:line="360" w:lineRule="auto"/>
        <w:ind w:firstLine="420" w:firstLineChars="200"/>
        <w:jc w:val="left"/>
        <w:rPr>
          <w:rFonts w:ascii="宋体" w:hAnsi="宋体" w:eastAsia="宋体" w:cs="宋体"/>
          <w:color w:val="auto"/>
          <w:szCs w:val="21"/>
          <w:highlight w:val="none"/>
        </w:rPr>
      </w:pPr>
    </w:p>
    <w:p w14:paraId="4B3D162A">
      <w:pPr>
        <w:widowControl/>
        <w:spacing w:line="360" w:lineRule="auto"/>
        <w:ind w:firstLine="420" w:firstLineChars="200"/>
        <w:jc w:val="left"/>
        <w:rPr>
          <w:rFonts w:ascii="宋体" w:hAnsi="宋体" w:eastAsia="宋体" w:cs="宋体"/>
          <w:color w:val="auto"/>
          <w:szCs w:val="21"/>
          <w:highlight w:val="none"/>
        </w:rPr>
      </w:pPr>
    </w:p>
    <w:p w14:paraId="37CE595D">
      <w:pPr>
        <w:widowControl/>
        <w:spacing w:line="360" w:lineRule="auto"/>
        <w:ind w:firstLine="422"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注：请单独列出所供残疾人福利性单位制造的货物产品或提供的服务或实施的工程的单价和总价。</w:t>
      </w:r>
    </w:p>
    <w:p w14:paraId="012451F9">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（若磋商响应文件中无上述材料，则在评审时不考虑对该小、微企业的相关优惠。）</w:t>
      </w:r>
    </w:p>
    <w:p w14:paraId="05C2A026">
      <w:pPr>
        <w:widowControl/>
        <w:spacing w:line="360" w:lineRule="auto"/>
        <w:ind w:firstLine="420" w:firstLineChars="200"/>
        <w:jc w:val="left"/>
        <w:rPr>
          <w:rFonts w:ascii="宋体" w:hAnsi="宋体" w:eastAsia="宋体" w:cs="宋体"/>
          <w:color w:val="auto"/>
          <w:szCs w:val="21"/>
          <w:highlight w:val="none"/>
        </w:rPr>
      </w:pPr>
    </w:p>
    <w:p w14:paraId="04B8F338">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磋商申请人（盖章）：</w:t>
      </w:r>
    </w:p>
    <w:p w14:paraId="71CC0AD7">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日 期：</w:t>
      </w:r>
    </w:p>
    <w:p w14:paraId="33354CDC">
      <w:pPr>
        <w:widowControl/>
        <w:spacing w:line="360" w:lineRule="auto"/>
        <w:ind w:firstLine="420" w:firstLineChars="200"/>
        <w:jc w:val="left"/>
        <w:rPr>
          <w:rFonts w:ascii="宋体" w:hAnsi="宋体" w:eastAsia="宋体" w:cs="宋体"/>
          <w:color w:val="auto"/>
          <w:szCs w:val="21"/>
          <w:highlight w:val="none"/>
        </w:rPr>
      </w:pPr>
    </w:p>
    <w:p w14:paraId="0219BAFA">
      <w:pPr>
        <w:widowControl/>
        <w:spacing w:line="360" w:lineRule="auto"/>
        <w:ind w:firstLine="420" w:firstLineChars="200"/>
        <w:jc w:val="left"/>
        <w:rPr>
          <w:rFonts w:ascii="宋体" w:hAnsi="宋体" w:eastAsia="宋体" w:cs="宋体"/>
          <w:color w:val="auto"/>
          <w:szCs w:val="21"/>
          <w:highlight w:val="none"/>
        </w:rPr>
      </w:pPr>
    </w:p>
    <w:p w14:paraId="5E3B7978">
      <w:pPr>
        <w:widowControl/>
        <w:spacing w:line="360" w:lineRule="auto"/>
        <w:ind w:firstLine="420" w:firstLineChars="200"/>
        <w:jc w:val="left"/>
        <w:rPr>
          <w:rFonts w:ascii="宋体" w:hAnsi="宋体" w:eastAsia="宋体" w:cs="宋体"/>
          <w:color w:val="auto"/>
          <w:sz w:val="24"/>
          <w:szCs w:val="24"/>
          <w:highlight w:val="none"/>
        </w:rPr>
      </w:pPr>
      <w:r>
        <w:rPr>
          <w:rFonts w:hint="eastAsia" w:ascii="宋体" w:hAnsi="宋体" w:eastAsia="宋体" w:cs="宋体"/>
          <w:color w:val="auto"/>
          <w:szCs w:val="21"/>
          <w:highlight w:val="none"/>
        </w:rPr>
        <w:t>符合条件的残疾人福利性单位在参加政府采购活动时，应当提供本通知规定的《残疾人福利性单位声明函》，并对声明的真实性负责。采购代理机构在随成交、成交结果同时公告其《残疾人福利性单位声明函》，接受社会监督。磋商申请人提供的《残疾人福利性单位声明函》与事实不符的，依照《政府采购法》第七十七条第一款的规定追究法律责任。</w:t>
      </w:r>
    </w:p>
    <w:p w14:paraId="14698912">
      <w:pPr>
        <w:widowControl/>
        <w:jc w:val="left"/>
        <w:rPr>
          <w:rFonts w:ascii="宋体" w:hAnsi="宋体" w:eastAsia="宋体" w:cs="宋体"/>
          <w:b/>
          <w:color w:val="auto"/>
          <w:sz w:val="24"/>
          <w:szCs w:val="24"/>
          <w:highlight w:val="none"/>
        </w:rPr>
      </w:pPr>
    </w:p>
    <w:p w14:paraId="1BCF8499">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2E2C7F99">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（3）《监狱企业声明函》格式</w:t>
      </w:r>
    </w:p>
    <w:p w14:paraId="4CC27181">
      <w:pPr>
        <w:spacing w:line="588" w:lineRule="exact"/>
        <w:jc w:val="center"/>
        <w:rPr>
          <w:rFonts w:ascii="宋体" w:hAnsi="宋体" w:eastAsia="宋体" w:cs="宋体"/>
          <w:b/>
          <w:color w:val="auto"/>
          <w:spacing w:val="6"/>
          <w:sz w:val="32"/>
          <w:szCs w:val="32"/>
          <w:highlight w:val="none"/>
        </w:rPr>
      </w:pPr>
    </w:p>
    <w:p w14:paraId="0B533922">
      <w:pPr>
        <w:spacing w:line="588" w:lineRule="exact"/>
        <w:jc w:val="center"/>
        <w:rPr>
          <w:rFonts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监狱企业声明函</w:t>
      </w:r>
    </w:p>
    <w:p w14:paraId="4E3A8E3E">
      <w:pPr>
        <w:widowControl/>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（不属于监狱企业的无需填写）</w:t>
      </w:r>
    </w:p>
    <w:p w14:paraId="43CD46F4">
      <w:pPr>
        <w:widowControl/>
        <w:spacing w:line="360" w:lineRule="auto"/>
        <w:ind w:firstLine="480" w:firstLineChars="200"/>
        <w:jc w:val="left"/>
        <w:rPr>
          <w:rFonts w:ascii="宋体" w:hAnsi="宋体" w:eastAsia="宋体" w:cs="宋体"/>
          <w:color w:val="auto"/>
          <w:sz w:val="24"/>
          <w:szCs w:val="24"/>
          <w:highlight w:val="none"/>
        </w:rPr>
      </w:pPr>
    </w:p>
    <w:p w14:paraId="7DAB8520">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公司郑重声明，根据《关于政府采购支持监狱企业发展有关问题的通知》 （财库[2014]68 号）的规定，本公司为监狱企业。</w:t>
      </w:r>
    </w:p>
    <w:p w14:paraId="4770829C">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根据上述标准，我公司属于监狱企业的理由为：   。</w:t>
      </w:r>
    </w:p>
    <w:p w14:paraId="7186BB74">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本公司为参加 </w:t>
      </w:r>
      <w:r>
        <w:rPr>
          <w:rFonts w:hint="eastAsia" w:ascii="宋体" w:hAnsi="宋体" w:eastAsia="宋体" w:cs="宋体"/>
          <w:color w:val="auto"/>
          <w:szCs w:val="21"/>
          <w:highlight w:val="none"/>
          <w:u w:val="single"/>
        </w:rPr>
        <w:t>（项目名称） （项目编号：）</w:t>
      </w:r>
      <w:r>
        <w:rPr>
          <w:rFonts w:hint="eastAsia" w:ascii="宋体" w:hAnsi="宋体" w:eastAsia="宋体" w:cs="宋体"/>
          <w:color w:val="auto"/>
          <w:szCs w:val="21"/>
          <w:highlight w:val="none"/>
        </w:rPr>
        <w:t>采购活动提供本企业（填写制造的货物，由本企业承担工程、提供服务）。</w:t>
      </w:r>
    </w:p>
    <w:p w14:paraId="67075A56">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本条所称货物不包括使用大型企业注册商标的货物和服务。</w:t>
      </w:r>
    </w:p>
    <w:p w14:paraId="683E91E3">
      <w:pPr>
        <w:widowControl/>
        <w:spacing w:line="360" w:lineRule="auto"/>
        <w:ind w:firstLine="420" w:firstLineChars="200"/>
        <w:jc w:val="left"/>
        <w:rPr>
          <w:rFonts w:ascii="宋体" w:hAnsi="宋体" w:eastAsia="宋体" w:cs="宋体"/>
          <w:color w:val="auto"/>
          <w:szCs w:val="21"/>
          <w:highlight w:val="none"/>
        </w:rPr>
      </w:pPr>
    </w:p>
    <w:p w14:paraId="704B19EE">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本公司对上述声明的真实性负责。如有虚假，将依法承担相应责任</w:t>
      </w:r>
    </w:p>
    <w:p w14:paraId="6AB1C1F5">
      <w:pPr>
        <w:widowControl/>
        <w:spacing w:line="360" w:lineRule="auto"/>
        <w:ind w:firstLine="420" w:firstLineChars="200"/>
        <w:jc w:val="left"/>
        <w:rPr>
          <w:rFonts w:ascii="宋体" w:hAnsi="宋体" w:eastAsia="宋体" w:cs="宋体"/>
          <w:color w:val="auto"/>
          <w:szCs w:val="21"/>
          <w:highlight w:val="none"/>
        </w:rPr>
      </w:pPr>
    </w:p>
    <w:p w14:paraId="73EEA4A1">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磋商申请人（盖章）：</w:t>
      </w:r>
    </w:p>
    <w:p w14:paraId="57989CC4">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日 期：</w:t>
      </w:r>
    </w:p>
    <w:p w14:paraId="6CEE7706">
      <w:pPr>
        <w:widowControl/>
        <w:spacing w:line="360" w:lineRule="auto"/>
        <w:ind w:firstLine="420" w:firstLineChars="200"/>
        <w:jc w:val="left"/>
        <w:rPr>
          <w:rFonts w:ascii="宋体" w:hAnsi="宋体" w:eastAsia="宋体" w:cs="宋体"/>
          <w:color w:val="auto"/>
          <w:szCs w:val="21"/>
          <w:highlight w:val="none"/>
        </w:rPr>
      </w:pPr>
    </w:p>
    <w:p w14:paraId="4785B236">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注：</w:t>
      </w:r>
    </w:p>
    <w:p w14:paraId="369C21BB">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否则在评审时将不考虑对该监狱企业的相关优惠。</w:t>
      </w:r>
    </w:p>
    <w:p w14:paraId="16442631">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监狱企业视同小型、微型企业，享受评审中价格扣除等政府采购促进中小企业发展的政府采购政策。</w:t>
      </w:r>
    </w:p>
    <w:p w14:paraId="707CEC13">
      <w:pPr>
        <w:widowControl/>
        <w:jc w:val="lef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145B7B6">
      <w:pPr>
        <w:pStyle w:val="50"/>
        <w:spacing w:before="156" w:line="360" w:lineRule="auto"/>
        <w:ind w:firstLine="0" w:firstLineChars="0"/>
        <w:jc w:val="center"/>
        <w:rPr>
          <w:rFonts w:ascii="宋体" w:hAnsi="宋体" w:eastAsia="宋体" w:cs="宋体"/>
          <w:b/>
          <w:bCs/>
          <w:color w:val="auto"/>
          <w:sz w:val="28"/>
          <w:szCs w:val="28"/>
          <w:highlight w:val="none"/>
        </w:rPr>
        <w:sectPr>
          <w:footerReference r:id="rId7" w:type="default"/>
          <w:pgSz w:w="11906" w:h="16838"/>
          <w:pgMar w:top="936" w:right="1134" w:bottom="1089" w:left="1134" w:header="851" w:footer="992" w:gutter="0"/>
          <w:cols w:space="425" w:num="1"/>
          <w:docGrid w:type="lines" w:linePitch="312" w:charSpace="0"/>
        </w:sectPr>
      </w:pPr>
    </w:p>
    <w:p w14:paraId="7A1E9709">
      <w:pPr>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格式9：磋商申请人资格要求中要求的其他文件</w:t>
      </w:r>
    </w:p>
    <w:p w14:paraId="2BF6B370">
      <w:pPr>
        <w:pStyle w:val="18"/>
        <w:spacing w:line="360" w:lineRule="auto"/>
        <w:ind w:firstLine="241" w:firstLineChars="100"/>
        <w:rPr>
          <w:rFonts w:hAnsi="宋体"/>
          <w:b/>
          <w:bCs/>
          <w:color w:val="auto"/>
          <w:sz w:val="24"/>
          <w:szCs w:val="24"/>
          <w:highlight w:val="none"/>
        </w:rPr>
      </w:pPr>
    </w:p>
    <w:p w14:paraId="3BFAE8B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详见第二章“</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”，有格式的请按给定格式填写，无格式要求的请自拟格式。</w:t>
      </w:r>
    </w:p>
    <w:p w14:paraId="6DE7E7BB">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2F84A1E5">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第二部分  磋商报价部分</w:t>
      </w:r>
    </w:p>
    <w:p w14:paraId="1F62194F">
      <w:pPr>
        <w:jc w:val="center"/>
        <w:rPr>
          <w:rFonts w:ascii="宋体" w:hAnsi="宋体" w:eastAsia="宋体" w:cs="宋体"/>
          <w:b/>
          <w:color w:val="auto"/>
          <w:sz w:val="28"/>
          <w:szCs w:val="28"/>
          <w:highlight w:val="none"/>
        </w:rPr>
      </w:pPr>
      <w:bookmarkStart w:id="270" w:name="_Toc7252779"/>
      <w:bookmarkStart w:id="271" w:name="_Toc383175516"/>
      <w:bookmarkStart w:id="272" w:name="_Toc347849253"/>
      <w:bookmarkStart w:id="273" w:name="_Toc346496609"/>
      <w:r>
        <w:rPr>
          <w:rFonts w:hint="eastAsia" w:ascii="宋体" w:hAnsi="宋体" w:eastAsia="宋体" w:cs="宋体"/>
          <w:b/>
          <w:color w:val="auto"/>
          <w:sz w:val="28"/>
          <w:szCs w:val="28"/>
          <w:highlight w:val="none"/>
        </w:rPr>
        <w:t>格式</w:t>
      </w:r>
      <w:bookmarkEnd w:id="270"/>
      <w:bookmarkEnd w:id="271"/>
      <w:bookmarkEnd w:id="272"/>
      <w:r>
        <w:rPr>
          <w:rFonts w:hint="eastAsia" w:ascii="宋体" w:hAnsi="宋体" w:eastAsia="宋体" w:cs="宋体"/>
          <w:b/>
          <w:color w:val="auto"/>
          <w:sz w:val="28"/>
          <w:szCs w:val="28"/>
          <w:highlight w:val="none"/>
        </w:rPr>
        <w:t>1：</w:t>
      </w:r>
      <w:bookmarkStart w:id="274" w:name="_Toc347849254"/>
      <w:bookmarkStart w:id="275" w:name="_Toc7252780"/>
      <w:bookmarkStart w:id="276" w:name="_Toc383175517"/>
      <w:r>
        <w:rPr>
          <w:rFonts w:hint="eastAsia" w:ascii="宋体" w:hAnsi="宋体" w:eastAsia="宋体" w:cs="宋体"/>
          <w:b/>
          <w:color w:val="auto"/>
          <w:sz w:val="28"/>
          <w:szCs w:val="28"/>
          <w:highlight w:val="none"/>
          <w:lang w:val="en-US" w:eastAsia="zh-CN"/>
        </w:rPr>
        <w:t>磋商</w:t>
      </w:r>
      <w:r>
        <w:rPr>
          <w:rFonts w:hint="eastAsia" w:ascii="宋体" w:hAnsi="宋体" w:eastAsia="宋体" w:cs="宋体"/>
          <w:b/>
          <w:color w:val="auto"/>
          <w:sz w:val="28"/>
          <w:szCs w:val="28"/>
          <w:highlight w:val="none"/>
        </w:rPr>
        <w:t>报价一览表</w:t>
      </w:r>
      <w:bookmarkEnd w:id="273"/>
      <w:bookmarkEnd w:id="274"/>
      <w:bookmarkEnd w:id="275"/>
      <w:bookmarkEnd w:id="276"/>
    </w:p>
    <w:p w14:paraId="5D70ED36">
      <w:pPr>
        <w:jc w:val="left"/>
        <w:rPr>
          <w:rFonts w:ascii="宋体" w:hAnsi="宋体" w:eastAsia="宋体" w:cs="宋体"/>
          <w:b/>
          <w:bCs/>
          <w:color w:val="auto"/>
          <w:highlight w:val="none"/>
        </w:rPr>
      </w:pPr>
    </w:p>
    <w:tbl>
      <w:tblPr>
        <w:tblStyle w:val="31"/>
        <w:tblW w:w="101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1"/>
        <w:gridCol w:w="3024"/>
        <w:gridCol w:w="4106"/>
      </w:tblGrid>
      <w:tr w14:paraId="37DB2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11" w:type="dxa"/>
            <w:noWrap w:val="0"/>
            <w:vAlign w:val="center"/>
          </w:tcPr>
          <w:p w14:paraId="6DEB2B5A">
            <w:pPr>
              <w:autoSpaceDE w:val="0"/>
              <w:autoSpaceDN w:val="0"/>
              <w:adjustRightInd w:val="0"/>
              <w:spacing w:line="54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项目名称：</w:t>
            </w:r>
          </w:p>
        </w:tc>
        <w:tc>
          <w:tcPr>
            <w:tcW w:w="7130" w:type="dxa"/>
            <w:gridSpan w:val="2"/>
            <w:noWrap w:val="0"/>
            <w:vAlign w:val="center"/>
          </w:tcPr>
          <w:p w14:paraId="662D4485">
            <w:pPr>
              <w:autoSpaceDE w:val="0"/>
              <w:autoSpaceDN w:val="0"/>
              <w:adjustRightIn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昌宁县教育体育局2024至2025学年校方综合防范保险采购</w:t>
            </w:r>
          </w:p>
        </w:tc>
      </w:tr>
      <w:tr w14:paraId="6152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11" w:type="dxa"/>
            <w:noWrap w:val="0"/>
            <w:vAlign w:val="center"/>
          </w:tcPr>
          <w:p w14:paraId="08578E39">
            <w:pPr>
              <w:autoSpaceDE w:val="0"/>
              <w:autoSpaceDN w:val="0"/>
              <w:adjustRightInd w:val="0"/>
              <w:spacing w:line="54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项目编号</w:t>
            </w:r>
            <w:r>
              <w:rPr>
                <w:rFonts w:hint="eastAsia" w:ascii="宋体" w:hAnsi="宋体" w:eastAsia="宋体" w:cs="宋体"/>
                <w:color w:val="auto"/>
                <w:kern w:val="0"/>
                <w:szCs w:val="21"/>
                <w:highlight w:val="none"/>
              </w:rPr>
              <w:t>：</w:t>
            </w:r>
          </w:p>
        </w:tc>
        <w:tc>
          <w:tcPr>
            <w:tcW w:w="7130" w:type="dxa"/>
            <w:gridSpan w:val="2"/>
            <w:noWrap w:val="0"/>
            <w:vAlign w:val="center"/>
          </w:tcPr>
          <w:p w14:paraId="62808649">
            <w:pPr>
              <w:autoSpaceDE w:val="0"/>
              <w:autoSpaceDN w:val="0"/>
              <w:adjustRightInd w:val="0"/>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TRZBC2024-83</w:t>
            </w:r>
          </w:p>
        </w:tc>
      </w:tr>
      <w:tr w14:paraId="2F3E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11" w:type="dxa"/>
            <w:noWrap w:val="0"/>
            <w:vAlign w:val="center"/>
          </w:tcPr>
          <w:p w14:paraId="043F799E">
            <w:pPr>
              <w:autoSpaceDE w:val="0"/>
              <w:autoSpaceDN w:val="0"/>
              <w:adjustRightInd w:val="0"/>
              <w:spacing w:line="54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磋商</w:t>
            </w:r>
            <w:r>
              <w:rPr>
                <w:rFonts w:hint="eastAsia" w:ascii="宋体" w:hAnsi="宋体" w:eastAsia="宋体" w:cs="宋体"/>
                <w:color w:val="auto"/>
                <w:kern w:val="0"/>
                <w:szCs w:val="21"/>
                <w:highlight w:val="none"/>
              </w:rPr>
              <w:t>报价</w:t>
            </w:r>
            <w:r>
              <w:rPr>
                <w:rFonts w:hint="eastAsia" w:ascii="宋体" w:hAnsi="宋体" w:eastAsia="宋体" w:cs="宋体"/>
                <w:color w:val="auto"/>
                <w:kern w:val="0"/>
                <w:szCs w:val="21"/>
                <w:highlight w:val="none"/>
                <w:lang w:val="en-US" w:eastAsia="zh-CN"/>
              </w:rPr>
              <w:t>总价（固定金额）</w:t>
            </w:r>
          </w:p>
        </w:tc>
        <w:tc>
          <w:tcPr>
            <w:tcW w:w="7130" w:type="dxa"/>
            <w:gridSpan w:val="2"/>
            <w:noWrap w:val="0"/>
            <w:vAlign w:val="center"/>
          </w:tcPr>
          <w:p w14:paraId="0E02730D">
            <w:pPr>
              <w:autoSpaceDE w:val="0"/>
              <w:autoSpaceDN w:val="0"/>
              <w:adjustRightInd w:val="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highlight w:val="none"/>
                <w:lang w:val="en-US" w:eastAsia="zh-CN"/>
              </w:rPr>
              <w:t>759210.00</w:t>
            </w:r>
            <w:r>
              <w:rPr>
                <w:rFonts w:hint="eastAsia" w:ascii="宋体" w:hAnsi="宋体" w:eastAsia="宋体" w:cs="宋体"/>
                <w:color w:val="auto"/>
                <w:highlight w:val="none"/>
              </w:rPr>
              <w:t>元</w:t>
            </w:r>
            <w:r>
              <w:rPr>
                <w:rFonts w:hint="eastAsia" w:ascii="宋体" w:hAnsi="宋体" w:eastAsia="宋体" w:cs="宋体"/>
                <w:color w:val="auto"/>
                <w:highlight w:val="none"/>
                <w:lang w:val="en-US" w:eastAsia="zh-CN"/>
              </w:rPr>
              <w:t>/年</w:t>
            </w:r>
          </w:p>
        </w:tc>
      </w:tr>
      <w:tr w14:paraId="5A940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11" w:type="dxa"/>
            <w:noWrap w:val="0"/>
            <w:vAlign w:val="center"/>
          </w:tcPr>
          <w:p w14:paraId="59458032">
            <w:pPr>
              <w:autoSpaceDE w:val="0"/>
              <w:autoSpaceDN w:val="0"/>
              <w:adjustRightInd w:val="0"/>
              <w:spacing w:line="540" w:lineRule="exact"/>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highlight w:val="none"/>
              </w:rPr>
              <w:t>义务教育阶段</w:t>
            </w:r>
            <w:r>
              <w:rPr>
                <w:rFonts w:hint="eastAsia" w:ascii="宋体" w:hAnsi="宋体" w:eastAsia="宋体" w:cs="宋体"/>
                <w:color w:val="auto"/>
                <w:highlight w:val="none"/>
                <w:lang w:eastAsia="zh-CN"/>
              </w:rPr>
              <w:t>校方综合防范保险</w:t>
            </w:r>
            <w:r>
              <w:rPr>
                <w:rFonts w:hint="eastAsia" w:ascii="宋体" w:hAnsi="宋体" w:eastAsia="宋体" w:cs="宋体"/>
                <w:color w:val="auto"/>
                <w:highlight w:val="none"/>
                <w:lang w:val="en-US" w:eastAsia="zh-CN"/>
              </w:rPr>
              <w:t>单价磋商报价</w:t>
            </w:r>
            <w:r>
              <w:rPr>
                <w:rFonts w:hint="eastAsia" w:ascii="宋体" w:hAnsi="宋体" w:eastAsia="宋体" w:cs="宋体"/>
                <w:color w:val="auto"/>
                <w:kern w:val="0"/>
                <w:szCs w:val="21"/>
                <w:highlight w:val="none"/>
                <w:lang w:val="en-US" w:eastAsia="zh-CN"/>
              </w:rPr>
              <w:t>（固定金额）</w:t>
            </w:r>
          </w:p>
        </w:tc>
        <w:tc>
          <w:tcPr>
            <w:tcW w:w="7130" w:type="dxa"/>
            <w:gridSpan w:val="2"/>
            <w:noWrap w:val="0"/>
            <w:vAlign w:val="center"/>
          </w:tcPr>
          <w:p w14:paraId="0487AA6C">
            <w:pPr>
              <w:autoSpaceDE w:val="0"/>
              <w:autoSpaceDN w:val="0"/>
              <w:adjustRightInd w:val="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highlight w:val="none"/>
              </w:rPr>
              <w:t>每人每年</w:t>
            </w:r>
            <w:r>
              <w:rPr>
                <w:rFonts w:hint="eastAsia" w:ascii="宋体" w:hAnsi="宋体" w:eastAsia="宋体" w:cs="宋体"/>
                <w:color w:val="auto"/>
                <w:highlight w:val="none"/>
                <w:lang w:val="en-US" w:eastAsia="zh-CN"/>
              </w:rPr>
              <w:t>15.00</w:t>
            </w:r>
            <w:r>
              <w:rPr>
                <w:rFonts w:hint="eastAsia" w:ascii="宋体" w:hAnsi="宋体" w:eastAsia="宋体" w:cs="宋体"/>
                <w:color w:val="auto"/>
                <w:highlight w:val="none"/>
              </w:rPr>
              <w:t>元</w:t>
            </w:r>
          </w:p>
        </w:tc>
      </w:tr>
      <w:tr w14:paraId="76E33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11" w:type="dxa"/>
            <w:noWrap w:val="0"/>
            <w:vAlign w:val="center"/>
          </w:tcPr>
          <w:p w14:paraId="335AA99E">
            <w:pPr>
              <w:autoSpaceDE w:val="0"/>
              <w:autoSpaceDN w:val="0"/>
              <w:adjustRightInd w:val="0"/>
              <w:spacing w:line="54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highlight w:val="none"/>
                <w:lang w:val="en-US" w:eastAsia="zh-CN"/>
              </w:rPr>
              <w:t>非</w:t>
            </w:r>
            <w:r>
              <w:rPr>
                <w:rFonts w:hint="eastAsia" w:ascii="宋体" w:hAnsi="宋体" w:eastAsia="宋体" w:cs="宋体"/>
                <w:color w:val="auto"/>
                <w:highlight w:val="none"/>
              </w:rPr>
              <w:t>义务教育阶段</w:t>
            </w:r>
            <w:r>
              <w:rPr>
                <w:rFonts w:hint="eastAsia" w:ascii="宋体" w:hAnsi="宋体" w:eastAsia="宋体" w:cs="宋体"/>
                <w:color w:val="auto"/>
                <w:highlight w:val="none"/>
                <w:lang w:eastAsia="zh-CN"/>
              </w:rPr>
              <w:t>校方综合防范保险</w:t>
            </w:r>
            <w:r>
              <w:rPr>
                <w:rFonts w:hint="eastAsia" w:ascii="宋体" w:hAnsi="宋体" w:eastAsia="宋体" w:cs="宋体"/>
                <w:color w:val="auto"/>
                <w:highlight w:val="none"/>
                <w:lang w:val="en-US" w:eastAsia="zh-CN"/>
              </w:rPr>
              <w:t>单价磋商报价</w:t>
            </w:r>
            <w:r>
              <w:rPr>
                <w:rFonts w:hint="eastAsia" w:ascii="宋体" w:hAnsi="宋体" w:eastAsia="宋体" w:cs="宋体"/>
                <w:color w:val="auto"/>
                <w:kern w:val="0"/>
                <w:szCs w:val="21"/>
                <w:highlight w:val="none"/>
                <w:lang w:val="en-US" w:eastAsia="zh-CN"/>
              </w:rPr>
              <w:t>（固定金额）</w:t>
            </w:r>
          </w:p>
        </w:tc>
        <w:tc>
          <w:tcPr>
            <w:tcW w:w="7130" w:type="dxa"/>
            <w:gridSpan w:val="2"/>
            <w:noWrap w:val="0"/>
            <w:vAlign w:val="center"/>
          </w:tcPr>
          <w:p w14:paraId="02B620D1">
            <w:pPr>
              <w:autoSpaceDE w:val="0"/>
              <w:autoSpaceDN w:val="0"/>
              <w:adjustRightInd w:val="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highlight w:val="none"/>
              </w:rPr>
              <w:t>每人每年</w:t>
            </w:r>
            <w:r>
              <w:rPr>
                <w:rFonts w:hint="eastAsia" w:ascii="宋体" w:hAnsi="宋体" w:eastAsia="宋体" w:cs="宋体"/>
                <w:color w:val="auto"/>
                <w:highlight w:val="none"/>
                <w:lang w:val="en-US" w:eastAsia="zh-CN"/>
              </w:rPr>
              <w:t>20.00</w:t>
            </w:r>
            <w:r>
              <w:rPr>
                <w:rFonts w:hint="eastAsia" w:ascii="宋体" w:hAnsi="宋体" w:eastAsia="宋体" w:cs="宋体"/>
                <w:color w:val="auto"/>
                <w:highlight w:val="none"/>
              </w:rPr>
              <w:t>元</w:t>
            </w:r>
          </w:p>
        </w:tc>
      </w:tr>
      <w:tr w14:paraId="7596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11" w:type="dxa"/>
            <w:noWrap w:val="0"/>
            <w:vAlign w:val="center"/>
          </w:tcPr>
          <w:p w14:paraId="4A526BF2">
            <w:pPr>
              <w:autoSpaceDE w:val="0"/>
              <w:autoSpaceDN w:val="0"/>
              <w:adjustRightInd w:val="0"/>
              <w:spacing w:line="54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项目负责人</w:t>
            </w:r>
          </w:p>
        </w:tc>
        <w:tc>
          <w:tcPr>
            <w:tcW w:w="7130" w:type="dxa"/>
            <w:gridSpan w:val="2"/>
            <w:noWrap w:val="0"/>
            <w:vAlign w:val="center"/>
          </w:tcPr>
          <w:p w14:paraId="4DB19D45">
            <w:pPr>
              <w:autoSpaceDE w:val="0"/>
              <w:autoSpaceDN w:val="0"/>
              <w:adjustRightInd w:val="0"/>
              <w:jc w:val="left"/>
              <w:rPr>
                <w:rFonts w:hint="eastAsia" w:ascii="宋体" w:hAnsi="宋体" w:eastAsia="宋体" w:cs="宋体"/>
                <w:color w:val="auto"/>
                <w:kern w:val="0"/>
                <w:szCs w:val="21"/>
                <w:highlight w:val="none"/>
              </w:rPr>
            </w:pPr>
          </w:p>
        </w:tc>
      </w:tr>
      <w:tr w14:paraId="291B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11" w:type="dxa"/>
            <w:noWrap w:val="0"/>
            <w:vAlign w:val="center"/>
          </w:tcPr>
          <w:p w14:paraId="6D4D9D29">
            <w:pPr>
              <w:autoSpaceDE w:val="0"/>
              <w:autoSpaceDN w:val="0"/>
              <w:adjustRightIn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 w:val="21"/>
                <w:szCs w:val="21"/>
                <w:highlight w:val="none"/>
              </w:rPr>
              <w:t>保险</w:t>
            </w:r>
            <w:r>
              <w:rPr>
                <w:rFonts w:hint="eastAsia" w:hAnsi="宋体" w:eastAsia="宋体" w:cs="宋体"/>
                <w:color w:val="auto"/>
                <w:kern w:val="0"/>
                <w:sz w:val="21"/>
                <w:szCs w:val="21"/>
                <w:highlight w:val="none"/>
                <w:lang w:val="en-US" w:eastAsia="zh-CN"/>
              </w:rPr>
              <w:t>责任</w:t>
            </w:r>
            <w:r>
              <w:rPr>
                <w:rFonts w:hint="eastAsia" w:ascii="宋体" w:hAnsi="宋体" w:eastAsia="宋体" w:cs="宋体"/>
                <w:color w:val="auto"/>
                <w:kern w:val="0"/>
                <w:sz w:val="21"/>
                <w:szCs w:val="21"/>
                <w:highlight w:val="none"/>
              </w:rPr>
              <w:t>期限</w:t>
            </w:r>
          </w:p>
        </w:tc>
        <w:tc>
          <w:tcPr>
            <w:tcW w:w="3024" w:type="dxa"/>
            <w:noWrap w:val="0"/>
            <w:vAlign w:val="center"/>
          </w:tcPr>
          <w:p w14:paraId="5FA2474C">
            <w:pPr>
              <w:autoSpaceDE w:val="0"/>
              <w:autoSpaceDN w:val="0"/>
              <w:adjustRightInd w:val="0"/>
              <w:ind w:firstLine="210" w:firstLineChars="10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服务期限</w:t>
            </w:r>
          </w:p>
        </w:tc>
        <w:tc>
          <w:tcPr>
            <w:tcW w:w="4106" w:type="dxa"/>
            <w:noWrap w:val="0"/>
            <w:vAlign w:val="center"/>
          </w:tcPr>
          <w:p w14:paraId="3B087D0B">
            <w:pPr>
              <w:autoSpaceDE w:val="0"/>
              <w:autoSpaceDN w:val="0"/>
              <w:adjustRightInd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磋商保证金金额及缴纳方式</w:t>
            </w:r>
          </w:p>
        </w:tc>
      </w:tr>
      <w:tr w14:paraId="3444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11" w:type="dxa"/>
            <w:noWrap w:val="0"/>
            <w:vAlign w:val="center"/>
          </w:tcPr>
          <w:p w14:paraId="0EB9E93B">
            <w:pPr>
              <w:autoSpaceDE w:val="0"/>
              <w:autoSpaceDN w:val="0"/>
              <w:adjustRightInd w:val="0"/>
              <w:jc w:val="center"/>
              <w:rPr>
                <w:rFonts w:hint="eastAsia" w:ascii="宋体" w:hAnsi="宋体" w:eastAsia="宋体" w:cs="宋体"/>
                <w:color w:val="auto"/>
                <w:kern w:val="0"/>
                <w:szCs w:val="21"/>
                <w:highlight w:val="none"/>
              </w:rPr>
            </w:pPr>
          </w:p>
        </w:tc>
        <w:tc>
          <w:tcPr>
            <w:tcW w:w="3024" w:type="dxa"/>
            <w:noWrap w:val="0"/>
            <w:vAlign w:val="center"/>
          </w:tcPr>
          <w:p w14:paraId="08D6DC0F">
            <w:pPr>
              <w:autoSpaceDE w:val="0"/>
              <w:autoSpaceDN w:val="0"/>
              <w:adjustRightInd w:val="0"/>
              <w:jc w:val="center"/>
              <w:rPr>
                <w:rFonts w:hint="eastAsia" w:ascii="宋体" w:hAnsi="宋体" w:eastAsia="宋体" w:cs="宋体"/>
                <w:color w:val="auto"/>
                <w:kern w:val="0"/>
                <w:szCs w:val="21"/>
                <w:highlight w:val="none"/>
              </w:rPr>
            </w:pPr>
          </w:p>
        </w:tc>
        <w:tc>
          <w:tcPr>
            <w:tcW w:w="4106" w:type="dxa"/>
            <w:noWrap w:val="0"/>
            <w:vAlign w:val="center"/>
          </w:tcPr>
          <w:p w14:paraId="4E6D0B2D">
            <w:pPr>
              <w:autoSpaceDE w:val="0"/>
              <w:autoSpaceDN w:val="0"/>
              <w:adjustRightInd w:val="0"/>
              <w:jc w:val="center"/>
              <w:rPr>
                <w:rFonts w:hint="eastAsia" w:ascii="宋体" w:hAnsi="宋体" w:eastAsia="宋体" w:cs="宋体"/>
                <w:color w:val="auto"/>
                <w:kern w:val="0"/>
                <w:szCs w:val="21"/>
                <w:highlight w:val="none"/>
              </w:rPr>
            </w:pPr>
          </w:p>
        </w:tc>
      </w:tr>
    </w:tbl>
    <w:p w14:paraId="743DF48B">
      <w:pPr>
        <w:jc w:val="left"/>
        <w:rPr>
          <w:rFonts w:ascii="宋体" w:hAnsi="宋体" w:eastAsia="宋体" w:cs="宋体"/>
          <w:b/>
          <w:color w:val="auto"/>
          <w:sz w:val="28"/>
          <w:szCs w:val="28"/>
          <w:highlight w:val="none"/>
        </w:rPr>
      </w:pPr>
      <w:r>
        <w:rPr>
          <w:rFonts w:hint="eastAsia" w:ascii="宋体" w:hAnsi="宋体" w:eastAsia="宋体" w:cs="宋体"/>
          <w:color w:val="auto"/>
          <w:kern w:val="0"/>
          <w:szCs w:val="21"/>
          <w:highlight w:val="none"/>
        </w:rPr>
        <w:t>备注：</w:t>
      </w:r>
      <w:r>
        <w:rPr>
          <w:rFonts w:hint="eastAsia" w:ascii="宋体" w:hAnsi="宋体" w:eastAsia="宋体" w:cs="宋体"/>
          <w:color w:val="auto"/>
          <w:kern w:val="0"/>
          <w:szCs w:val="21"/>
          <w:highlight w:val="none"/>
          <w:lang w:val="en-US" w:eastAsia="zh-CN"/>
        </w:rPr>
        <w:t>磋商</w:t>
      </w:r>
      <w:r>
        <w:rPr>
          <w:rFonts w:hint="eastAsia" w:ascii="宋体" w:hAnsi="宋体" w:eastAsia="宋体" w:cs="宋体"/>
          <w:color w:val="auto"/>
          <w:kern w:val="0"/>
          <w:szCs w:val="21"/>
          <w:highlight w:val="none"/>
        </w:rPr>
        <w:t>报价分：本项目的保险金额为固定价格，根据《政府采购货物和服务招标投标管理办法》（财政部令第87号）的规定“执行国家统一定价标准和采用固定价格采购的项目，其价格不列为评审因素”，无报价分。</w:t>
      </w:r>
    </w:p>
    <w:p w14:paraId="7E4B210C">
      <w:pPr>
        <w:jc w:val="center"/>
        <w:rPr>
          <w:rFonts w:ascii="宋体" w:hAnsi="宋体" w:eastAsia="宋体" w:cs="宋体"/>
          <w:b/>
          <w:color w:val="auto"/>
          <w:sz w:val="28"/>
          <w:szCs w:val="28"/>
          <w:highlight w:val="none"/>
        </w:rPr>
      </w:pPr>
    </w:p>
    <w:p w14:paraId="1355A55F">
      <w:pPr>
        <w:spacing w:line="360" w:lineRule="auto"/>
        <w:ind w:firstLine="420" w:firstLineChars="200"/>
        <w:rPr>
          <w:rFonts w:ascii="宋体" w:hAnsi="宋体" w:eastAsia="宋体" w:cs="宋体"/>
          <w:color w:val="auto"/>
          <w:szCs w:val="21"/>
          <w:highlight w:val="none"/>
        </w:rPr>
      </w:pPr>
    </w:p>
    <w:p w14:paraId="644B7FBA">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磋商申请人（公章）：______________</w:t>
      </w:r>
    </w:p>
    <w:p w14:paraId="156D378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法定代表人（负责人）或其委托代理人（签字或盖章）：_______</w:t>
      </w:r>
    </w:p>
    <w:p w14:paraId="42C080FE">
      <w:pPr>
        <w:spacing w:line="360" w:lineRule="auto"/>
        <w:ind w:firstLine="420" w:firstLineChars="200"/>
        <w:rPr>
          <w:rFonts w:hint="eastAsia" w:ascii="宋体" w:hAnsi="宋体" w:eastAsia="宋体" w:cs="宋体"/>
          <w:b/>
          <w:bCs/>
          <w:color w:val="000000"/>
          <w:sz w:val="23"/>
          <w:szCs w:val="23"/>
          <w:highlight w:val="none"/>
        </w:rPr>
      </w:pPr>
      <w:r>
        <w:rPr>
          <w:rFonts w:hint="eastAsia" w:ascii="宋体" w:hAnsi="宋体" w:eastAsia="宋体" w:cs="宋体"/>
          <w:color w:val="auto"/>
          <w:highlight w:val="none"/>
        </w:rPr>
        <w:t>日期：________年_____月_____日</w:t>
      </w:r>
    </w:p>
    <w:p w14:paraId="643829CD">
      <w:pPr>
        <w:pStyle w:val="4"/>
        <w:spacing w:before="0" w:after="0" w:line="240" w:lineRule="auto"/>
        <w:rPr>
          <w:rFonts w:hint="eastAsia" w:ascii="宋体" w:hAnsi="宋体" w:eastAsia="宋体" w:cs="宋体"/>
          <w:b w:val="0"/>
          <w:bCs w:val="0"/>
          <w:color w:val="000000"/>
          <w:sz w:val="21"/>
          <w:szCs w:val="21"/>
          <w:highlight w:val="none"/>
        </w:rPr>
      </w:pPr>
    </w:p>
    <w:p w14:paraId="49A35888">
      <w:pPr>
        <w:pStyle w:val="4"/>
        <w:spacing w:before="0" w:after="0" w:line="240" w:lineRule="auto"/>
        <w:rPr>
          <w:rFonts w:hint="eastAsia" w:ascii="宋体" w:hAnsi="宋体" w:eastAsia="宋体" w:cs="宋体"/>
          <w:b w:val="0"/>
          <w:bCs w:val="0"/>
          <w:color w:val="000000"/>
          <w:sz w:val="21"/>
          <w:szCs w:val="21"/>
          <w:highlight w:val="none"/>
        </w:rPr>
      </w:pPr>
    </w:p>
    <w:p w14:paraId="7336A405">
      <w:pPr>
        <w:spacing w:line="360" w:lineRule="auto"/>
        <w:rPr>
          <w:rFonts w:hint="eastAsia" w:ascii="宋体" w:hAnsi="宋体" w:eastAsia="宋体" w:cs="宋体"/>
          <w:b/>
          <w:bCs/>
          <w:color w:val="auto"/>
          <w:highlight w:val="none"/>
          <w:u w:val="single"/>
        </w:rPr>
      </w:pPr>
      <w:r>
        <w:rPr>
          <w:rFonts w:hint="eastAsia" w:ascii="宋体" w:hAnsi="宋体" w:eastAsia="宋体" w:cs="宋体"/>
          <w:b/>
          <w:bCs/>
          <w:color w:val="000000"/>
          <w:sz w:val="21"/>
          <w:szCs w:val="21"/>
          <w:highlight w:val="none"/>
        </w:rPr>
        <w:t>注：</w:t>
      </w:r>
      <w:r>
        <w:rPr>
          <w:rFonts w:hint="eastAsia" w:ascii="宋体" w:hAnsi="宋体" w:eastAsia="宋体" w:cs="宋体"/>
          <w:b/>
          <w:bCs/>
          <w:color w:val="000000"/>
          <w:sz w:val="21"/>
          <w:szCs w:val="21"/>
          <w:highlight w:val="none"/>
          <w:lang w:eastAsia="zh-CN"/>
        </w:rPr>
        <w:t>以联合体形式参与磋商的，此材料由联合体牵头人汇总编制后提供</w:t>
      </w:r>
      <w:r>
        <w:rPr>
          <w:rFonts w:hint="eastAsia" w:ascii="宋体" w:hAnsi="宋体" w:eastAsia="宋体" w:cs="宋体"/>
          <w:b/>
          <w:bCs/>
          <w:color w:val="000000"/>
          <w:sz w:val="21"/>
          <w:szCs w:val="21"/>
          <w:highlight w:val="none"/>
        </w:rPr>
        <w:t>。</w:t>
      </w:r>
    </w:p>
    <w:p w14:paraId="76C4F2AE">
      <w:pPr>
        <w:pStyle w:val="13"/>
        <w:rPr>
          <w:rFonts w:ascii="宋体" w:hAnsi="宋体" w:eastAsia="宋体" w:cs="宋体"/>
          <w:color w:val="auto"/>
          <w:highlight w:val="none"/>
        </w:rPr>
      </w:pPr>
    </w:p>
    <w:p w14:paraId="7F2AADE1">
      <w:pPr>
        <w:rPr>
          <w:color w:val="auto"/>
          <w:highlight w:val="none"/>
        </w:rPr>
      </w:pPr>
      <w:r>
        <w:rPr>
          <w:color w:val="auto"/>
          <w:highlight w:val="none"/>
        </w:rPr>
        <w:br w:type="page"/>
      </w:r>
    </w:p>
    <w:p w14:paraId="4D2CBC1E">
      <w:pPr>
        <w:pStyle w:val="50"/>
        <w:spacing w:before="156" w:line="360" w:lineRule="auto"/>
        <w:ind w:firstLine="0" w:firstLine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第三部分  商务及技术响应文件</w:t>
      </w:r>
    </w:p>
    <w:p w14:paraId="05C21C12">
      <w:pPr>
        <w:spacing w:line="360" w:lineRule="auto"/>
        <w:jc w:val="center"/>
        <w:rPr>
          <w:rFonts w:hint="eastAsia" w:ascii="宋体" w:hAnsi="宋体" w:eastAsia="宋体" w:cs="宋体"/>
          <w:b/>
          <w:bCs/>
          <w:color w:val="auto"/>
          <w:sz w:val="28"/>
          <w:szCs w:val="28"/>
          <w:highlight w:val="none"/>
        </w:rPr>
      </w:pPr>
      <w:bookmarkStart w:id="277" w:name="_Toc2521"/>
      <w:bookmarkStart w:id="278" w:name="_Toc3896308"/>
      <w:r>
        <w:rPr>
          <w:rFonts w:hint="eastAsia" w:ascii="宋体" w:hAnsi="宋体" w:eastAsia="宋体" w:cs="宋体"/>
          <w:b/>
          <w:bCs/>
          <w:color w:val="auto"/>
          <w:sz w:val="28"/>
          <w:szCs w:val="28"/>
          <w:highlight w:val="none"/>
          <w:lang w:val="en-US" w:eastAsia="zh-CN"/>
        </w:rPr>
        <w:t>格式1：</w:t>
      </w:r>
      <w:r>
        <w:rPr>
          <w:rFonts w:hint="eastAsia" w:ascii="宋体" w:hAnsi="宋体" w:eastAsia="宋体" w:cs="宋体"/>
          <w:b/>
          <w:bCs/>
          <w:color w:val="auto"/>
          <w:sz w:val="28"/>
          <w:szCs w:val="28"/>
          <w:highlight w:val="none"/>
        </w:rPr>
        <w:t>磋商函</w:t>
      </w:r>
      <w:bookmarkEnd w:id="277"/>
      <w:bookmarkEnd w:id="278"/>
    </w:p>
    <w:p w14:paraId="6BC0C9E1">
      <w:pPr>
        <w:spacing w:line="360" w:lineRule="auto"/>
        <w:rPr>
          <w:rFonts w:hint="eastAsia" w:ascii="宋体" w:hAnsi="宋体" w:eastAsia="宋体" w:cs="宋体"/>
          <w:sz w:val="24"/>
          <w:szCs w:val="24"/>
          <w:u w:val="single"/>
        </w:rPr>
      </w:pPr>
    </w:p>
    <w:p w14:paraId="3162D31F">
      <w:pPr>
        <w:spacing w:line="360" w:lineRule="auto"/>
        <w:rPr>
          <w:rFonts w:hint="eastAsia" w:ascii="宋体" w:hAnsi="宋体" w:eastAsia="宋体" w:cs="宋体"/>
          <w:sz w:val="23"/>
          <w:szCs w:val="23"/>
        </w:rPr>
      </w:pPr>
      <w:r>
        <w:rPr>
          <w:rFonts w:hint="eastAsia" w:ascii="宋体" w:hAnsi="宋体" w:eastAsia="宋体" w:cs="宋体"/>
          <w:sz w:val="23"/>
          <w:szCs w:val="23"/>
          <w:u w:val="single"/>
        </w:rPr>
        <w:t xml:space="preserve">             </w:t>
      </w:r>
      <w:r>
        <w:rPr>
          <w:rFonts w:hint="eastAsia" w:ascii="宋体" w:hAnsi="宋体" w:eastAsia="宋体" w:cs="宋体"/>
          <w:sz w:val="23"/>
          <w:szCs w:val="23"/>
        </w:rPr>
        <w:t>（采购人名称）：</w:t>
      </w:r>
    </w:p>
    <w:p w14:paraId="6A1779EA">
      <w:p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我方已仔细研究了</w:t>
      </w:r>
      <w:r>
        <w:rPr>
          <w:rFonts w:hint="eastAsia" w:ascii="宋体" w:hAnsi="宋体" w:eastAsia="宋体" w:cs="宋体"/>
          <w:sz w:val="23"/>
          <w:szCs w:val="23"/>
          <w:u w:val="single"/>
        </w:rPr>
        <w:t xml:space="preserve">              </w:t>
      </w:r>
      <w:r>
        <w:rPr>
          <w:rFonts w:hint="eastAsia" w:ascii="宋体" w:hAnsi="宋体" w:eastAsia="宋体" w:cs="宋体"/>
          <w:sz w:val="23"/>
          <w:szCs w:val="23"/>
        </w:rPr>
        <w:t xml:space="preserve">（项目名称）竞争性磋商文件的全部内容，且对竞争性磋商文件无任何异议，并愿意以采购文件报价要求进行报价并按作出的承诺，向你方提供竞争性磋商文件要求的服务。    </w:t>
      </w:r>
    </w:p>
    <w:p w14:paraId="63B95340">
      <w:pPr>
        <w:numPr>
          <w:ilvl w:val="0"/>
          <w:numId w:val="10"/>
        </w:num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我方承诺在磋商有效期内不修改或撤销响应文件。否则，你方可不予退还我方的磋商保证金。</w:t>
      </w:r>
    </w:p>
    <w:p w14:paraId="1F58A6ED">
      <w:p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2.本磋商的磋商有效期为自响应文件递交截止之日起</w:t>
      </w:r>
      <w:r>
        <w:rPr>
          <w:rFonts w:hint="eastAsia" w:ascii="宋体" w:hAnsi="宋体" w:eastAsia="宋体" w:cs="宋体"/>
          <w:sz w:val="23"/>
          <w:szCs w:val="23"/>
          <w:u w:val="single"/>
        </w:rPr>
        <w:t xml:space="preserve">       </w:t>
      </w:r>
      <w:r>
        <w:rPr>
          <w:rFonts w:hint="eastAsia" w:ascii="宋体" w:hAnsi="宋体" w:eastAsia="宋体" w:cs="宋体"/>
          <w:sz w:val="23"/>
          <w:szCs w:val="23"/>
        </w:rPr>
        <w:t>个日历天。</w:t>
      </w:r>
    </w:p>
    <w:p w14:paraId="0AEA653A">
      <w:pPr>
        <w:pStyle w:val="13"/>
        <w:ind w:firstLine="460" w:firstLineChars="200"/>
        <w:rPr>
          <w:rFonts w:hint="eastAsia" w:ascii="宋体" w:hAnsi="宋体" w:eastAsia="宋体" w:cs="宋体"/>
          <w:kern w:val="0"/>
          <w:sz w:val="23"/>
          <w:szCs w:val="23"/>
        </w:rPr>
      </w:pPr>
      <w:r>
        <w:rPr>
          <w:rFonts w:hint="eastAsia" w:ascii="宋体" w:hAnsi="宋体" w:eastAsia="宋体" w:cs="宋体"/>
          <w:kern w:val="0"/>
          <w:sz w:val="23"/>
          <w:szCs w:val="23"/>
        </w:rPr>
        <w:t>3.我方承诺所提交的响应文件及有关资料是完整的、真实的、准确的和有效的，否则，我方承担由此造成的任何损失及引起的任何后果。</w:t>
      </w:r>
    </w:p>
    <w:p w14:paraId="7984A265">
      <w:p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4．如我方成交：</w:t>
      </w:r>
    </w:p>
    <w:p w14:paraId="6634844A">
      <w:p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（1）我方承诺在收到成交通知书后，在成交通知书规定的期限内与你方签订合同。</w:t>
      </w:r>
    </w:p>
    <w:p w14:paraId="0DEB300E">
      <w:p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（2）我方承诺按照竞争性磋商文件规定向你方递交履约保证金。</w:t>
      </w:r>
    </w:p>
    <w:p w14:paraId="34F4CF32">
      <w:p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（3）我方承诺按合同约定的期限和地点，提供符合竞争性磋商文件要求的全部的服务。</w:t>
      </w:r>
    </w:p>
    <w:p w14:paraId="5F8EB157">
      <w:p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（4）除商务条款偏离表列出的偏差外，我方响应磋商文件的全部要求。</w:t>
      </w:r>
    </w:p>
    <w:p w14:paraId="690A86C7">
      <w:pPr>
        <w:autoSpaceDE w:val="0"/>
        <w:autoSpaceDN w:val="0"/>
        <w:adjustRightInd w:val="0"/>
        <w:snapToGrid w:val="0"/>
        <w:spacing w:line="360" w:lineRule="auto"/>
        <w:ind w:firstLine="460" w:firstLineChars="200"/>
        <w:rPr>
          <w:rFonts w:hint="eastAsia" w:ascii="宋体" w:hAnsi="宋体" w:eastAsia="宋体" w:cs="宋体"/>
          <w:sz w:val="23"/>
          <w:szCs w:val="23"/>
        </w:rPr>
      </w:pPr>
      <w:r>
        <w:rPr>
          <w:rFonts w:hint="eastAsia" w:ascii="宋体" w:hAnsi="宋体" w:eastAsia="宋体" w:cs="宋体"/>
          <w:sz w:val="23"/>
          <w:szCs w:val="23"/>
        </w:rPr>
        <w:t>5．</w:t>
      </w:r>
      <w:r>
        <w:rPr>
          <w:rFonts w:hint="eastAsia" w:ascii="宋体" w:hAnsi="宋体" w:eastAsia="宋体" w:cs="宋体"/>
          <w:sz w:val="23"/>
          <w:szCs w:val="23"/>
          <w:u w:val="single"/>
        </w:rPr>
        <w:t xml:space="preserve">                </w:t>
      </w:r>
      <w:r>
        <w:rPr>
          <w:rFonts w:hint="eastAsia" w:ascii="宋体" w:hAnsi="宋体" w:eastAsia="宋体" w:cs="宋体"/>
          <w:sz w:val="23"/>
          <w:szCs w:val="23"/>
        </w:rPr>
        <w:t>（其他补充说明）。</w:t>
      </w:r>
    </w:p>
    <w:p w14:paraId="2E508A8F">
      <w:pPr>
        <w:pStyle w:val="13"/>
        <w:ind w:firstLine="460" w:firstLineChars="200"/>
        <w:rPr>
          <w:rFonts w:hint="eastAsia" w:ascii="宋体" w:hAnsi="宋体" w:eastAsia="宋体" w:cs="宋体"/>
          <w:kern w:val="0"/>
          <w:sz w:val="23"/>
          <w:szCs w:val="23"/>
        </w:rPr>
      </w:pPr>
    </w:p>
    <w:p w14:paraId="39B79243">
      <w:pPr>
        <w:pStyle w:val="13"/>
        <w:ind w:firstLine="460" w:firstLineChars="200"/>
        <w:rPr>
          <w:rFonts w:hint="eastAsia" w:ascii="宋体" w:hAnsi="宋体" w:eastAsia="宋体" w:cs="宋体"/>
          <w:kern w:val="0"/>
          <w:sz w:val="23"/>
          <w:szCs w:val="23"/>
        </w:rPr>
      </w:pPr>
    </w:p>
    <w:p w14:paraId="6CE5487F">
      <w:pPr>
        <w:spacing w:line="360" w:lineRule="auto"/>
        <w:ind w:firstLine="1154" w:firstLineChars="500"/>
        <w:rPr>
          <w:rFonts w:hint="eastAsia" w:ascii="宋体" w:hAnsi="宋体" w:eastAsia="宋体" w:cs="宋体"/>
          <w:b/>
          <w:bCs/>
          <w:sz w:val="23"/>
          <w:szCs w:val="23"/>
        </w:rPr>
      </w:pPr>
      <w:r>
        <w:rPr>
          <w:rFonts w:hint="eastAsia" w:ascii="宋体" w:hAnsi="宋体" w:eastAsia="宋体" w:cs="宋体"/>
          <w:b/>
          <w:bCs/>
          <w:sz w:val="23"/>
          <w:szCs w:val="23"/>
        </w:rPr>
        <w:t>磋商申请人：</w:t>
      </w:r>
      <w:r>
        <w:rPr>
          <w:rFonts w:hint="eastAsia" w:ascii="宋体" w:hAnsi="宋体" w:eastAsia="宋体" w:cs="宋体"/>
          <w:b/>
          <w:bCs/>
          <w:sz w:val="23"/>
          <w:szCs w:val="23"/>
          <w:u w:val="single"/>
        </w:rPr>
        <w:tab/>
      </w:r>
      <w:r>
        <w:rPr>
          <w:rFonts w:hint="eastAsia" w:ascii="宋体" w:hAnsi="宋体" w:eastAsia="宋体" w:cs="宋体"/>
          <w:b/>
          <w:bCs/>
          <w:sz w:val="23"/>
          <w:szCs w:val="23"/>
          <w:u w:val="single"/>
        </w:rPr>
        <w:t xml:space="preserve">                                    </w:t>
      </w:r>
      <w:r>
        <w:rPr>
          <w:rFonts w:hint="eastAsia" w:ascii="宋体" w:hAnsi="宋体" w:eastAsia="宋体" w:cs="宋体"/>
          <w:b/>
          <w:bCs/>
          <w:sz w:val="23"/>
          <w:szCs w:val="23"/>
        </w:rPr>
        <w:t>（加盖单位公章）</w:t>
      </w:r>
    </w:p>
    <w:p w14:paraId="2F1AB078">
      <w:pPr>
        <w:spacing w:line="360" w:lineRule="auto"/>
        <w:ind w:firstLine="1154" w:firstLineChars="500"/>
        <w:rPr>
          <w:rFonts w:hint="eastAsia" w:ascii="宋体" w:hAnsi="宋体" w:eastAsia="宋体" w:cs="宋体"/>
          <w:b/>
          <w:bCs/>
          <w:sz w:val="23"/>
          <w:szCs w:val="23"/>
        </w:rPr>
      </w:pPr>
      <w:r>
        <w:rPr>
          <w:rFonts w:hint="eastAsia" w:ascii="宋体" w:hAnsi="宋体" w:eastAsia="宋体" w:cs="宋体"/>
          <w:b/>
          <w:bCs/>
          <w:sz w:val="23"/>
          <w:szCs w:val="23"/>
        </w:rPr>
        <w:t>法定代表人（单位负责人）或其委托代理人：</w:t>
      </w:r>
      <w:r>
        <w:rPr>
          <w:rFonts w:hint="eastAsia" w:ascii="宋体" w:hAnsi="宋体" w:eastAsia="宋体" w:cs="宋体"/>
          <w:b/>
          <w:bCs/>
          <w:sz w:val="23"/>
          <w:szCs w:val="23"/>
          <w:u w:val="single"/>
        </w:rPr>
        <w:t xml:space="preserve">             </w:t>
      </w:r>
      <w:r>
        <w:rPr>
          <w:rFonts w:hint="eastAsia" w:ascii="宋体" w:hAnsi="宋体" w:eastAsia="宋体" w:cs="宋体"/>
          <w:b/>
          <w:bCs/>
          <w:sz w:val="23"/>
          <w:szCs w:val="23"/>
        </w:rPr>
        <w:t>（签字或盖章）</w:t>
      </w:r>
    </w:p>
    <w:p w14:paraId="496F4F5B">
      <w:pPr>
        <w:spacing w:line="360" w:lineRule="auto"/>
        <w:ind w:firstLine="1154" w:firstLineChars="500"/>
        <w:rPr>
          <w:rFonts w:hint="eastAsia" w:ascii="宋体" w:hAnsi="宋体" w:eastAsia="宋体" w:cs="宋体"/>
          <w:b/>
          <w:bCs/>
          <w:sz w:val="23"/>
          <w:szCs w:val="23"/>
        </w:rPr>
      </w:pPr>
      <w:r>
        <w:rPr>
          <w:rFonts w:hint="eastAsia" w:ascii="宋体" w:hAnsi="宋体" w:eastAsia="宋体" w:cs="宋体"/>
          <w:b/>
          <w:bCs/>
          <w:sz w:val="23"/>
          <w:szCs w:val="23"/>
        </w:rPr>
        <w:t>地</w:t>
      </w:r>
      <w:r>
        <w:rPr>
          <w:rFonts w:hint="eastAsia" w:ascii="宋体" w:hAnsi="宋体" w:eastAsia="宋体" w:cs="宋体"/>
          <w:b/>
          <w:bCs/>
          <w:sz w:val="23"/>
          <w:szCs w:val="23"/>
        </w:rPr>
        <w:tab/>
      </w:r>
      <w:r>
        <w:rPr>
          <w:rFonts w:hint="eastAsia" w:ascii="宋体" w:hAnsi="宋体" w:eastAsia="宋体" w:cs="宋体"/>
          <w:b/>
          <w:bCs/>
          <w:sz w:val="23"/>
          <w:szCs w:val="23"/>
        </w:rPr>
        <w:t>址：</w:t>
      </w:r>
      <w:r>
        <w:rPr>
          <w:rFonts w:hint="eastAsia" w:ascii="宋体" w:hAnsi="宋体" w:eastAsia="宋体" w:cs="宋体"/>
          <w:b/>
          <w:bCs/>
          <w:sz w:val="23"/>
          <w:szCs w:val="23"/>
          <w:u w:val="single"/>
        </w:rPr>
        <w:t xml:space="preserve">                                           </w:t>
      </w:r>
    </w:p>
    <w:p w14:paraId="208A0186">
      <w:pPr>
        <w:spacing w:line="360" w:lineRule="auto"/>
        <w:ind w:firstLine="1154" w:firstLineChars="500"/>
        <w:rPr>
          <w:rFonts w:hint="eastAsia" w:ascii="宋体" w:hAnsi="宋体" w:eastAsia="宋体" w:cs="宋体"/>
          <w:b/>
          <w:bCs/>
          <w:sz w:val="23"/>
          <w:szCs w:val="23"/>
        </w:rPr>
      </w:pPr>
      <w:r>
        <w:rPr>
          <w:rFonts w:hint="eastAsia" w:ascii="宋体" w:hAnsi="宋体" w:eastAsia="宋体" w:cs="宋体"/>
          <w:b/>
          <w:bCs/>
          <w:sz w:val="23"/>
          <w:szCs w:val="23"/>
        </w:rPr>
        <w:t>网</w:t>
      </w:r>
      <w:r>
        <w:rPr>
          <w:rFonts w:hint="eastAsia" w:ascii="宋体" w:hAnsi="宋体" w:eastAsia="宋体" w:cs="宋体"/>
          <w:b/>
          <w:bCs/>
          <w:sz w:val="23"/>
          <w:szCs w:val="23"/>
        </w:rPr>
        <w:tab/>
      </w:r>
      <w:r>
        <w:rPr>
          <w:rFonts w:hint="eastAsia" w:ascii="宋体" w:hAnsi="宋体" w:eastAsia="宋体" w:cs="宋体"/>
          <w:b/>
          <w:bCs/>
          <w:sz w:val="23"/>
          <w:szCs w:val="23"/>
        </w:rPr>
        <w:t>址：</w:t>
      </w:r>
      <w:r>
        <w:rPr>
          <w:rFonts w:hint="eastAsia" w:ascii="宋体" w:hAnsi="宋体" w:eastAsia="宋体" w:cs="宋体"/>
          <w:b/>
          <w:bCs/>
          <w:sz w:val="23"/>
          <w:szCs w:val="23"/>
          <w:u w:val="single"/>
        </w:rPr>
        <w:t xml:space="preserve">                                           </w:t>
      </w:r>
    </w:p>
    <w:p w14:paraId="31C252CC">
      <w:pPr>
        <w:spacing w:line="360" w:lineRule="auto"/>
        <w:ind w:firstLine="1154" w:firstLineChars="500"/>
        <w:rPr>
          <w:rFonts w:hint="eastAsia" w:ascii="宋体" w:hAnsi="宋体" w:eastAsia="宋体" w:cs="宋体"/>
          <w:b/>
          <w:bCs/>
          <w:sz w:val="23"/>
          <w:szCs w:val="23"/>
        </w:rPr>
      </w:pPr>
      <w:r>
        <w:rPr>
          <w:rFonts w:hint="eastAsia" w:ascii="宋体" w:hAnsi="宋体" w:eastAsia="宋体" w:cs="宋体"/>
          <w:b/>
          <w:bCs/>
          <w:sz w:val="23"/>
          <w:szCs w:val="23"/>
        </w:rPr>
        <w:t>电</w:t>
      </w:r>
      <w:r>
        <w:rPr>
          <w:rFonts w:hint="eastAsia" w:ascii="宋体" w:hAnsi="宋体" w:eastAsia="宋体" w:cs="宋体"/>
          <w:b/>
          <w:bCs/>
          <w:sz w:val="23"/>
          <w:szCs w:val="23"/>
        </w:rPr>
        <w:tab/>
      </w:r>
      <w:r>
        <w:rPr>
          <w:rFonts w:hint="eastAsia" w:ascii="宋体" w:hAnsi="宋体" w:eastAsia="宋体" w:cs="宋体"/>
          <w:b/>
          <w:bCs/>
          <w:sz w:val="23"/>
          <w:szCs w:val="23"/>
        </w:rPr>
        <w:t>话：</w:t>
      </w:r>
      <w:r>
        <w:rPr>
          <w:rFonts w:hint="eastAsia" w:ascii="宋体" w:hAnsi="宋体" w:eastAsia="宋体" w:cs="宋体"/>
          <w:b/>
          <w:bCs/>
          <w:sz w:val="23"/>
          <w:szCs w:val="23"/>
          <w:u w:val="single"/>
        </w:rPr>
        <w:t xml:space="preserve">                                           </w:t>
      </w:r>
    </w:p>
    <w:p w14:paraId="42BC5846">
      <w:pPr>
        <w:spacing w:line="360" w:lineRule="auto"/>
        <w:ind w:firstLine="1154" w:firstLineChars="500"/>
        <w:rPr>
          <w:rFonts w:hint="eastAsia" w:ascii="宋体" w:hAnsi="宋体" w:eastAsia="宋体" w:cs="宋体"/>
          <w:b/>
          <w:bCs/>
          <w:sz w:val="23"/>
          <w:szCs w:val="23"/>
        </w:rPr>
      </w:pPr>
      <w:r>
        <w:rPr>
          <w:rFonts w:hint="eastAsia" w:ascii="宋体" w:hAnsi="宋体" w:eastAsia="宋体" w:cs="宋体"/>
          <w:b/>
          <w:bCs/>
          <w:sz w:val="23"/>
          <w:szCs w:val="23"/>
        </w:rPr>
        <w:t>传</w:t>
      </w:r>
      <w:r>
        <w:rPr>
          <w:rFonts w:hint="eastAsia" w:ascii="宋体" w:hAnsi="宋体" w:eastAsia="宋体" w:cs="宋体"/>
          <w:b/>
          <w:bCs/>
          <w:sz w:val="23"/>
          <w:szCs w:val="23"/>
        </w:rPr>
        <w:tab/>
      </w:r>
      <w:r>
        <w:rPr>
          <w:rFonts w:hint="eastAsia" w:ascii="宋体" w:hAnsi="宋体" w:eastAsia="宋体" w:cs="宋体"/>
          <w:b/>
          <w:bCs/>
          <w:sz w:val="23"/>
          <w:szCs w:val="23"/>
        </w:rPr>
        <w:t>真：</w:t>
      </w:r>
      <w:r>
        <w:rPr>
          <w:rFonts w:hint="eastAsia" w:ascii="宋体" w:hAnsi="宋体" w:eastAsia="宋体" w:cs="宋体"/>
          <w:b/>
          <w:bCs/>
          <w:sz w:val="23"/>
          <w:szCs w:val="23"/>
          <w:u w:val="single"/>
        </w:rPr>
        <w:t xml:space="preserve">                                           </w:t>
      </w:r>
    </w:p>
    <w:p w14:paraId="1A471E3A">
      <w:pPr>
        <w:spacing w:line="360" w:lineRule="auto"/>
        <w:ind w:firstLine="1154" w:firstLineChars="500"/>
        <w:rPr>
          <w:rFonts w:hint="eastAsia" w:ascii="宋体" w:hAnsi="宋体" w:eastAsia="宋体" w:cs="宋体"/>
          <w:b/>
          <w:bCs/>
          <w:sz w:val="23"/>
          <w:szCs w:val="23"/>
        </w:rPr>
      </w:pPr>
      <w:r>
        <w:rPr>
          <w:rFonts w:hint="eastAsia" w:ascii="宋体" w:hAnsi="宋体" w:eastAsia="宋体" w:cs="宋体"/>
          <w:b/>
          <w:bCs/>
          <w:sz w:val="23"/>
          <w:szCs w:val="23"/>
        </w:rPr>
        <w:t>邮政编码：</w:t>
      </w:r>
      <w:r>
        <w:rPr>
          <w:rFonts w:hint="eastAsia" w:ascii="宋体" w:hAnsi="宋体" w:eastAsia="宋体" w:cs="宋体"/>
          <w:b/>
          <w:bCs/>
          <w:sz w:val="23"/>
          <w:szCs w:val="23"/>
          <w:u w:val="single"/>
        </w:rPr>
        <w:t xml:space="preserve">                                         </w:t>
      </w:r>
    </w:p>
    <w:p w14:paraId="231847A6">
      <w:pPr>
        <w:spacing w:line="360" w:lineRule="auto"/>
        <w:ind w:firstLine="1154" w:firstLineChars="500"/>
        <w:rPr>
          <w:rFonts w:hint="eastAsia" w:ascii="宋体" w:hAnsi="宋体" w:eastAsia="宋体" w:cs="宋体"/>
          <w:b/>
          <w:bCs/>
          <w:sz w:val="23"/>
          <w:szCs w:val="23"/>
        </w:rPr>
      </w:pPr>
      <w:r>
        <w:rPr>
          <w:rFonts w:hint="eastAsia" w:ascii="宋体" w:hAnsi="宋体" w:eastAsia="宋体" w:cs="宋体"/>
          <w:b/>
          <w:bCs/>
          <w:sz w:val="23"/>
          <w:szCs w:val="23"/>
        </w:rPr>
        <w:t>日 期：</w:t>
      </w:r>
      <w:r>
        <w:rPr>
          <w:rFonts w:hint="eastAsia" w:ascii="宋体" w:hAnsi="宋体" w:eastAsia="宋体" w:cs="宋体"/>
          <w:b/>
          <w:bCs/>
          <w:sz w:val="23"/>
          <w:szCs w:val="23"/>
          <w:u w:val="single"/>
        </w:rPr>
        <w:t xml:space="preserve">         </w:t>
      </w:r>
      <w:r>
        <w:rPr>
          <w:rFonts w:hint="eastAsia" w:ascii="宋体" w:hAnsi="宋体" w:eastAsia="宋体" w:cs="宋体"/>
          <w:b/>
          <w:bCs/>
          <w:sz w:val="23"/>
          <w:szCs w:val="23"/>
        </w:rPr>
        <w:t>年</w:t>
      </w:r>
      <w:r>
        <w:rPr>
          <w:rFonts w:hint="eastAsia" w:ascii="宋体" w:hAnsi="宋体" w:eastAsia="宋体" w:cs="宋体"/>
          <w:b/>
          <w:bCs/>
          <w:sz w:val="23"/>
          <w:szCs w:val="23"/>
          <w:u w:val="single"/>
        </w:rPr>
        <w:t xml:space="preserve">         </w:t>
      </w:r>
      <w:r>
        <w:rPr>
          <w:rFonts w:hint="eastAsia" w:ascii="宋体" w:hAnsi="宋体" w:eastAsia="宋体" w:cs="宋体"/>
          <w:b/>
          <w:bCs/>
          <w:sz w:val="23"/>
          <w:szCs w:val="23"/>
        </w:rPr>
        <w:t>月</w:t>
      </w:r>
      <w:r>
        <w:rPr>
          <w:rFonts w:hint="eastAsia" w:ascii="宋体" w:hAnsi="宋体" w:eastAsia="宋体" w:cs="宋体"/>
          <w:b/>
          <w:bCs/>
          <w:sz w:val="23"/>
          <w:szCs w:val="23"/>
          <w:u w:val="single"/>
        </w:rPr>
        <w:t xml:space="preserve">         </w:t>
      </w:r>
      <w:r>
        <w:rPr>
          <w:rFonts w:hint="eastAsia" w:ascii="宋体" w:hAnsi="宋体" w:eastAsia="宋体" w:cs="宋体"/>
          <w:b/>
          <w:bCs/>
          <w:sz w:val="23"/>
          <w:szCs w:val="23"/>
        </w:rPr>
        <w:t>日</w:t>
      </w:r>
    </w:p>
    <w:p w14:paraId="7A10F23F">
      <w:pPr>
        <w:spacing w:line="360" w:lineRule="auto"/>
        <w:jc w:val="both"/>
        <w:rPr>
          <w:rFonts w:hint="eastAsia" w:ascii="宋体" w:hAnsi="宋体" w:eastAsia="宋体" w:cs="宋体"/>
          <w:b/>
          <w:bCs/>
          <w:color w:val="000000"/>
          <w:sz w:val="21"/>
          <w:szCs w:val="21"/>
          <w:highlight w:val="none"/>
        </w:rPr>
      </w:pPr>
      <w:bookmarkStart w:id="279" w:name="_Toc17119"/>
      <w:bookmarkEnd w:id="279"/>
      <w:bookmarkStart w:id="280" w:name="_Toc13197"/>
      <w:bookmarkStart w:id="281" w:name="_Toc28081"/>
    </w:p>
    <w:p w14:paraId="5C27159E">
      <w:pPr>
        <w:spacing w:line="360" w:lineRule="auto"/>
        <w:jc w:val="both"/>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注：</w:t>
      </w:r>
      <w:r>
        <w:rPr>
          <w:rFonts w:hint="eastAsia" w:ascii="宋体" w:hAnsi="宋体" w:eastAsia="宋体" w:cs="宋体"/>
          <w:b/>
          <w:bCs/>
          <w:color w:val="000000"/>
          <w:sz w:val="21"/>
          <w:szCs w:val="21"/>
          <w:highlight w:val="none"/>
          <w:lang w:eastAsia="zh-CN"/>
        </w:rPr>
        <w:t>以联合体形式参与磋商的，此材料由联合体牵头人汇总编制后提供</w:t>
      </w:r>
      <w:r>
        <w:rPr>
          <w:rFonts w:hint="eastAsia" w:ascii="宋体" w:hAnsi="宋体" w:eastAsia="宋体" w:cs="宋体"/>
          <w:b/>
          <w:bCs/>
          <w:color w:val="000000"/>
          <w:sz w:val="21"/>
          <w:szCs w:val="21"/>
          <w:highlight w:val="none"/>
        </w:rPr>
        <w:t>。</w:t>
      </w:r>
    </w:p>
    <w:p w14:paraId="066FC329">
      <w:pPr>
        <w:spacing w:line="360" w:lineRule="auto"/>
        <w:jc w:val="center"/>
        <w:rPr>
          <w:rFonts w:ascii="宋体" w:hAnsi="宋体" w:eastAsia="宋体" w:cs="宋体"/>
          <w:b/>
          <w:bCs/>
          <w:color w:val="auto"/>
          <w:sz w:val="28"/>
          <w:szCs w:val="28"/>
          <w:highlight w:val="none"/>
        </w:rPr>
      </w:pPr>
      <w:r>
        <w:rPr>
          <w:rFonts w:hint="eastAsia" w:ascii="宋体" w:hAnsi="宋体" w:eastAsia="宋体" w:cs="宋体"/>
          <w:sz w:val="21"/>
          <w:szCs w:val="21"/>
        </w:rPr>
        <w:br w:type="page"/>
      </w:r>
      <w:bookmarkEnd w:id="280"/>
      <w:bookmarkStart w:id="282" w:name="_Toc26620"/>
      <w:bookmarkEnd w:id="282"/>
      <w:bookmarkStart w:id="283" w:name="_Toc19510"/>
      <w:bookmarkStart w:id="284" w:name="_Toc3896311"/>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：商务条款偏离表</w:t>
      </w:r>
    </w:p>
    <w:p w14:paraId="212E679B">
      <w:pPr>
        <w:snapToGrid w:val="0"/>
        <w:spacing w:afterLines="50" w:line="460" w:lineRule="atLeast"/>
        <w:rPr>
          <w:rFonts w:ascii="宋体" w:hAnsi="宋体" w:eastAsia="宋体" w:cs="宋体"/>
          <w:color w:val="auto"/>
          <w:szCs w:val="21"/>
          <w:highlight w:val="none"/>
        </w:rPr>
      </w:pPr>
    </w:p>
    <w:tbl>
      <w:tblPr>
        <w:tblStyle w:val="31"/>
        <w:tblW w:w="9778"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3145"/>
        <w:gridCol w:w="2936"/>
        <w:gridCol w:w="1789"/>
        <w:gridCol w:w="1256"/>
      </w:tblGrid>
      <w:tr w14:paraId="34172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652" w:type="dxa"/>
            <w:noWrap/>
          </w:tcPr>
          <w:p w14:paraId="37749149">
            <w:pPr>
              <w:snapToGrid w:val="0"/>
              <w:spacing w:line="60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3145" w:type="dxa"/>
            <w:noWrap/>
          </w:tcPr>
          <w:p w14:paraId="6FB9E5B2">
            <w:pPr>
              <w:snapToGrid w:val="0"/>
              <w:spacing w:line="60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竞争性磋商文件商务条款</w:t>
            </w:r>
          </w:p>
        </w:tc>
        <w:tc>
          <w:tcPr>
            <w:tcW w:w="2936" w:type="dxa"/>
            <w:noWrap/>
          </w:tcPr>
          <w:p w14:paraId="5A013588">
            <w:pPr>
              <w:snapToGrid w:val="0"/>
              <w:spacing w:line="60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磋商响应文件商务条款</w:t>
            </w:r>
          </w:p>
        </w:tc>
        <w:tc>
          <w:tcPr>
            <w:tcW w:w="1789" w:type="dxa"/>
            <w:noWrap/>
          </w:tcPr>
          <w:p w14:paraId="6C753F41">
            <w:pPr>
              <w:snapToGrid w:val="0"/>
              <w:spacing w:line="600"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偏离情况</w:t>
            </w:r>
          </w:p>
        </w:tc>
        <w:tc>
          <w:tcPr>
            <w:tcW w:w="1256" w:type="dxa"/>
            <w:noWrap/>
          </w:tcPr>
          <w:p w14:paraId="5899270C">
            <w:pPr>
              <w:snapToGrid w:val="0"/>
              <w:spacing w:line="600" w:lineRule="atLeas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备注</w:t>
            </w:r>
          </w:p>
        </w:tc>
      </w:tr>
      <w:tr w14:paraId="2B8E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52" w:type="dxa"/>
            <w:noWrap/>
          </w:tcPr>
          <w:p w14:paraId="2DE6F7FA">
            <w:pPr>
              <w:snapToGrid w:val="0"/>
              <w:spacing w:line="800" w:lineRule="atLeast"/>
              <w:rPr>
                <w:rFonts w:ascii="宋体" w:hAnsi="宋体" w:eastAsia="宋体" w:cs="宋体"/>
                <w:color w:val="auto"/>
                <w:szCs w:val="21"/>
                <w:highlight w:val="none"/>
              </w:rPr>
            </w:pPr>
          </w:p>
        </w:tc>
        <w:tc>
          <w:tcPr>
            <w:tcW w:w="3145" w:type="dxa"/>
            <w:noWrap/>
          </w:tcPr>
          <w:p w14:paraId="66926B0D">
            <w:pPr>
              <w:snapToGrid w:val="0"/>
              <w:spacing w:line="800" w:lineRule="atLeast"/>
              <w:rPr>
                <w:rFonts w:ascii="宋体" w:hAnsi="宋体" w:eastAsia="宋体" w:cs="宋体"/>
                <w:color w:val="auto"/>
                <w:szCs w:val="21"/>
                <w:highlight w:val="none"/>
              </w:rPr>
            </w:pPr>
          </w:p>
        </w:tc>
        <w:tc>
          <w:tcPr>
            <w:tcW w:w="2936" w:type="dxa"/>
            <w:noWrap/>
          </w:tcPr>
          <w:p w14:paraId="341D5E87">
            <w:pPr>
              <w:snapToGrid w:val="0"/>
              <w:spacing w:line="800" w:lineRule="atLeast"/>
              <w:rPr>
                <w:rFonts w:ascii="宋体" w:hAnsi="宋体" w:eastAsia="宋体" w:cs="宋体"/>
                <w:color w:val="auto"/>
                <w:szCs w:val="21"/>
                <w:highlight w:val="none"/>
              </w:rPr>
            </w:pPr>
          </w:p>
        </w:tc>
        <w:tc>
          <w:tcPr>
            <w:tcW w:w="1789" w:type="dxa"/>
            <w:noWrap/>
          </w:tcPr>
          <w:p w14:paraId="2D9B6C1C">
            <w:pPr>
              <w:snapToGrid w:val="0"/>
              <w:spacing w:line="800" w:lineRule="atLeast"/>
              <w:rPr>
                <w:rFonts w:ascii="宋体" w:hAnsi="宋体" w:eastAsia="宋体" w:cs="宋体"/>
                <w:color w:val="auto"/>
                <w:szCs w:val="21"/>
                <w:highlight w:val="none"/>
              </w:rPr>
            </w:pPr>
          </w:p>
        </w:tc>
        <w:tc>
          <w:tcPr>
            <w:tcW w:w="1256" w:type="dxa"/>
            <w:noWrap/>
          </w:tcPr>
          <w:p w14:paraId="2422445C">
            <w:pPr>
              <w:snapToGrid w:val="0"/>
              <w:spacing w:line="800" w:lineRule="atLeast"/>
              <w:rPr>
                <w:rFonts w:ascii="宋体" w:hAnsi="宋体" w:eastAsia="宋体" w:cs="宋体"/>
                <w:color w:val="auto"/>
                <w:szCs w:val="21"/>
                <w:highlight w:val="none"/>
              </w:rPr>
            </w:pPr>
          </w:p>
        </w:tc>
      </w:tr>
      <w:tr w14:paraId="129E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52" w:type="dxa"/>
            <w:noWrap/>
          </w:tcPr>
          <w:p w14:paraId="43B905F1">
            <w:pPr>
              <w:snapToGrid w:val="0"/>
              <w:spacing w:line="800" w:lineRule="atLeast"/>
              <w:rPr>
                <w:rFonts w:ascii="宋体" w:hAnsi="宋体" w:eastAsia="宋体" w:cs="宋体"/>
                <w:color w:val="auto"/>
                <w:szCs w:val="21"/>
                <w:highlight w:val="none"/>
              </w:rPr>
            </w:pPr>
          </w:p>
        </w:tc>
        <w:tc>
          <w:tcPr>
            <w:tcW w:w="3145" w:type="dxa"/>
            <w:noWrap/>
          </w:tcPr>
          <w:p w14:paraId="360A5722">
            <w:pPr>
              <w:snapToGrid w:val="0"/>
              <w:spacing w:line="800" w:lineRule="atLeast"/>
              <w:rPr>
                <w:rFonts w:ascii="宋体" w:hAnsi="宋体" w:eastAsia="宋体" w:cs="宋体"/>
                <w:color w:val="auto"/>
                <w:szCs w:val="21"/>
                <w:highlight w:val="none"/>
              </w:rPr>
            </w:pPr>
          </w:p>
        </w:tc>
        <w:tc>
          <w:tcPr>
            <w:tcW w:w="2936" w:type="dxa"/>
            <w:noWrap/>
          </w:tcPr>
          <w:p w14:paraId="2421F93C">
            <w:pPr>
              <w:snapToGrid w:val="0"/>
              <w:spacing w:line="800" w:lineRule="atLeast"/>
              <w:rPr>
                <w:rFonts w:ascii="宋体" w:hAnsi="宋体" w:eastAsia="宋体" w:cs="宋体"/>
                <w:color w:val="auto"/>
                <w:szCs w:val="21"/>
                <w:highlight w:val="none"/>
              </w:rPr>
            </w:pPr>
          </w:p>
        </w:tc>
        <w:tc>
          <w:tcPr>
            <w:tcW w:w="1789" w:type="dxa"/>
            <w:noWrap/>
          </w:tcPr>
          <w:p w14:paraId="39FEF538">
            <w:pPr>
              <w:snapToGrid w:val="0"/>
              <w:spacing w:line="800" w:lineRule="atLeast"/>
              <w:rPr>
                <w:rFonts w:ascii="宋体" w:hAnsi="宋体" w:eastAsia="宋体" w:cs="宋体"/>
                <w:color w:val="auto"/>
                <w:szCs w:val="21"/>
                <w:highlight w:val="none"/>
              </w:rPr>
            </w:pPr>
          </w:p>
        </w:tc>
        <w:tc>
          <w:tcPr>
            <w:tcW w:w="1256" w:type="dxa"/>
            <w:noWrap/>
          </w:tcPr>
          <w:p w14:paraId="51CE4C4A">
            <w:pPr>
              <w:snapToGrid w:val="0"/>
              <w:spacing w:line="800" w:lineRule="atLeast"/>
              <w:rPr>
                <w:rFonts w:ascii="宋体" w:hAnsi="宋体" w:eastAsia="宋体" w:cs="宋体"/>
                <w:color w:val="auto"/>
                <w:szCs w:val="21"/>
                <w:highlight w:val="none"/>
              </w:rPr>
            </w:pPr>
          </w:p>
        </w:tc>
      </w:tr>
      <w:tr w14:paraId="42FE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652" w:type="dxa"/>
            <w:noWrap/>
          </w:tcPr>
          <w:p w14:paraId="3174CEB5">
            <w:pPr>
              <w:snapToGrid w:val="0"/>
              <w:spacing w:line="800" w:lineRule="atLeast"/>
              <w:rPr>
                <w:rFonts w:ascii="宋体" w:hAnsi="宋体" w:eastAsia="宋体" w:cs="宋体"/>
                <w:color w:val="auto"/>
                <w:szCs w:val="21"/>
                <w:highlight w:val="none"/>
              </w:rPr>
            </w:pPr>
          </w:p>
        </w:tc>
        <w:tc>
          <w:tcPr>
            <w:tcW w:w="3145" w:type="dxa"/>
            <w:noWrap/>
          </w:tcPr>
          <w:p w14:paraId="14F89939">
            <w:pPr>
              <w:snapToGrid w:val="0"/>
              <w:spacing w:line="800" w:lineRule="atLeast"/>
              <w:rPr>
                <w:rFonts w:ascii="宋体" w:hAnsi="宋体" w:eastAsia="宋体" w:cs="宋体"/>
                <w:color w:val="auto"/>
                <w:szCs w:val="21"/>
                <w:highlight w:val="none"/>
              </w:rPr>
            </w:pPr>
          </w:p>
        </w:tc>
        <w:tc>
          <w:tcPr>
            <w:tcW w:w="2936" w:type="dxa"/>
            <w:noWrap/>
          </w:tcPr>
          <w:p w14:paraId="3939D6C7">
            <w:pPr>
              <w:snapToGrid w:val="0"/>
              <w:spacing w:line="800" w:lineRule="atLeast"/>
              <w:rPr>
                <w:rFonts w:ascii="宋体" w:hAnsi="宋体" w:eastAsia="宋体" w:cs="宋体"/>
                <w:color w:val="auto"/>
                <w:szCs w:val="21"/>
                <w:highlight w:val="none"/>
              </w:rPr>
            </w:pPr>
          </w:p>
        </w:tc>
        <w:tc>
          <w:tcPr>
            <w:tcW w:w="1789" w:type="dxa"/>
            <w:noWrap/>
          </w:tcPr>
          <w:p w14:paraId="4E6DDEAC">
            <w:pPr>
              <w:snapToGrid w:val="0"/>
              <w:spacing w:line="800" w:lineRule="atLeast"/>
              <w:rPr>
                <w:rFonts w:ascii="宋体" w:hAnsi="宋体" w:eastAsia="宋体" w:cs="宋体"/>
                <w:color w:val="auto"/>
                <w:szCs w:val="21"/>
                <w:highlight w:val="none"/>
              </w:rPr>
            </w:pPr>
          </w:p>
        </w:tc>
        <w:tc>
          <w:tcPr>
            <w:tcW w:w="1256" w:type="dxa"/>
            <w:noWrap/>
          </w:tcPr>
          <w:p w14:paraId="22CFA127">
            <w:pPr>
              <w:snapToGrid w:val="0"/>
              <w:spacing w:line="800" w:lineRule="atLeast"/>
              <w:rPr>
                <w:rFonts w:ascii="宋体" w:hAnsi="宋体" w:eastAsia="宋体" w:cs="宋体"/>
                <w:color w:val="auto"/>
                <w:szCs w:val="21"/>
                <w:highlight w:val="none"/>
              </w:rPr>
            </w:pPr>
          </w:p>
        </w:tc>
      </w:tr>
    </w:tbl>
    <w:p w14:paraId="16ED44CE">
      <w:pPr>
        <w:topLinePunct/>
        <w:spacing w:line="28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注：1、商务条款包含合同履行期限、项目服务地点、保险地域范围要求等非技术要求的指标。2、若表格不够填写，可自行扩展；3、竞争性磋商文件条目号一栏要注明页码。</w:t>
      </w:r>
    </w:p>
    <w:p w14:paraId="10968E2E">
      <w:pPr>
        <w:widowControl/>
        <w:jc w:val="left"/>
        <w:rPr>
          <w:rFonts w:ascii="宋体" w:hAnsi="宋体" w:eastAsia="宋体" w:cs="宋体"/>
          <w:b/>
          <w:bCs/>
          <w:color w:val="auto"/>
          <w:szCs w:val="21"/>
          <w:highlight w:val="none"/>
        </w:rPr>
      </w:pPr>
    </w:p>
    <w:p w14:paraId="37B86F1C">
      <w:pPr>
        <w:widowControl/>
        <w:jc w:val="left"/>
        <w:rPr>
          <w:rFonts w:ascii="宋体" w:hAnsi="宋体" w:eastAsia="宋体" w:cs="宋体"/>
          <w:b/>
          <w:bCs/>
          <w:color w:val="auto"/>
          <w:szCs w:val="21"/>
          <w:highlight w:val="none"/>
        </w:rPr>
      </w:pPr>
    </w:p>
    <w:p w14:paraId="5D647136">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磋商申请人（公章）：______________</w:t>
      </w:r>
    </w:p>
    <w:p w14:paraId="4787F5FC">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法定代表人（负责人）或其委托代理人（签字或盖章）：_______</w:t>
      </w:r>
    </w:p>
    <w:p w14:paraId="440F6C06">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highlight w:val="none"/>
        </w:rPr>
        <w:t>日期：________年_____月_____日</w:t>
      </w:r>
    </w:p>
    <w:p w14:paraId="3DE5E0F1">
      <w:pPr>
        <w:jc w:val="center"/>
        <w:rPr>
          <w:rFonts w:hint="eastAsia" w:ascii="宋体" w:hAnsi="宋体" w:eastAsia="宋体" w:cs="宋体"/>
          <w:b/>
          <w:bCs/>
          <w:color w:val="000000"/>
          <w:sz w:val="21"/>
          <w:szCs w:val="21"/>
          <w:highlight w:val="none"/>
        </w:rPr>
      </w:pPr>
    </w:p>
    <w:p w14:paraId="085584D5">
      <w:pPr>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注：</w:t>
      </w:r>
      <w:r>
        <w:rPr>
          <w:rFonts w:hint="eastAsia" w:ascii="宋体" w:hAnsi="宋体" w:eastAsia="宋体" w:cs="宋体"/>
          <w:b/>
          <w:bCs/>
          <w:color w:val="000000"/>
          <w:sz w:val="21"/>
          <w:szCs w:val="21"/>
          <w:highlight w:val="none"/>
          <w:lang w:eastAsia="zh-CN"/>
        </w:rPr>
        <w:t>以联合体形式参与磋商的，此材料由联合体牵头人汇总编制后提供</w:t>
      </w:r>
      <w:r>
        <w:rPr>
          <w:rFonts w:hint="eastAsia" w:ascii="宋体" w:hAnsi="宋体" w:eastAsia="宋体" w:cs="宋体"/>
          <w:b/>
          <w:bCs/>
          <w:color w:val="000000"/>
          <w:sz w:val="21"/>
          <w:szCs w:val="21"/>
          <w:highlight w:val="none"/>
        </w:rPr>
        <w:t>。</w:t>
      </w:r>
    </w:p>
    <w:p w14:paraId="0D3AF96B">
      <w:pPr>
        <w:jc w:val="left"/>
        <w:rPr>
          <w:rFonts w:hint="eastAsia" w:ascii="宋体" w:hAnsi="宋体" w:eastAsia="宋体" w:cs="宋体"/>
          <w:b/>
          <w:bCs/>
          <w:color w:val="000000"/>
          <w:sz w:val="21"/>
          <w:szCs w:val="21"/>
          <w:highlight w:val="none"/>
        </w:rPr>
      </w:pPr>
    </w:p>
    <w:p w14:paraId="68A9E6A5">
      <w:pPr>
        <w:jc w:val="center"/>
        <w:rPr>
          <w:rFonts w:hint="eastAsia" w:ascii="宋体" w:hAnsi="宋体" w:eastAsia="宋体"/>
          <w:b/>
          <w:color w:val="auto"/>
          <w:sz w:val="28"/>
          <w:szCs w:val="28"/>
          <w:highlight w:val="none"/>
        </w:rPr>
      </w:pPr>
      <w:r>
        <w:rPr>
          <w:rFonts w:hint="eastAsia" w:ascii="宋体" w:hAnsi="宋体" w:eastAsia="宋体" w:cs="宋体"/>
          <w:b/>
          <w:bCs/>
          <w:color w:val="auto"/>
          <w:sz w:val="28"/>
          <w:szCs w:val="28"/>
          <w:highlight w:val="none"/>
        </w:rPr>
        <w:br w:type="page"/>
      </w:r>
      <w:r>
        <w:rPr>
          <w:rFonts w:hint="eastAsia" w:ascii="宋体" w:hAnsi="宋体" w:eastAsia="宋体"/>
          <w:b/>
          <w:color w:val="auto"/>
          <w:sz w:val="28"/>
          <w:szCs w:val="28"/>
          <w:highlight w:val="none"/>
        </w:rPr>
        <w:t>格式</w:t>
      </w:r>
      <w:r>
        <w:rPr>
          <w:rFonts w:hint="eastAsia" w:ascii="宋体" w:hAnsi="宋体" w:eastAsia="宋体"/>
          <w:b/>
          <w:color w:val="auto"/>
          <w:sz w:val="28"/>
          <w:szCs w:val="28"/>
          <w:highlight w:val="none"/>
          <w:lang w:val="en-US" w:eastAsia="zh-CN"/>
        </w:rPr>
        <w:t>3</w:t>
      </w:r>
      <w:r>
        <w:rPr>
          <w:rFonts w:hint="eastAsia" w:ascii="宋体" w:hAnsi="宋体" w:eastAsia="宋体"/>
          <w:b/>
          <w:color w:val="auto"/>
          <w:sz w:val="28"/>
          <w:szCs w:val="28"/>
          <w:highlight w:val="none"/>
        </w:rPr>
        <w:t>：“针对合同履行期限中内，若因其它原因致使学生人数增加的，学生人数增加在5％内免费承保”的书面承诺</w:t>
      </w:r>
    </w:p>
    <w:p w14:paraId="1F574C04">
      <w:pPr>
        <w:jc w:val="center"/>
        <w:rPr>
          <w:rFonts w:hint="eastAsia" w:ascii="宋体" w:hAnsi="宋体" w:eastAsia="宋体"/>
          <w:b/>
          <w:color w:val="auto"/>
          <w:sz w:val="28"/>
          <w:szCs w:val="28"/>
          <w:highlight w:val="none"/>
        </w:rPr>
      </w:pPr>
    </w:p>
    <w:p w14:paraId="544C588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（格式由各磋商申请人自行设计）</w:t>
      </w:r>
    </w:p>
    <w:p w14:paraId="19A92D84">
      <w:pPr>
        <w:jc w:val="center"/>
        <w:rPr>
          <w:rFonts w:hint="eastAsia" w:ascii="宋体" w:hAnsi="宋体" w:eastAsia="宋体" w:cs="宋体"/>
          <w:color w:val="auto"/>
          <w:szCs w:val="21"/>
          <w:highlight w:val="none"/>
        </w:rPr>
      </w:pPr>
    </w:p>
    <w:p w14:paraId="1CDB15F3">
      <w:pPr>
        <w:jc w:val="center"/>
        <w:rPr>
          <w:rFonts w:hint="eastAsia" w:ascii="宋体" w:hAnsi="宋体" w:eastAsia="宋体" w:cs="宋体"/>
          <w:sz w:val="21"/>
          <w:szCs w:val="21"/>
        </w:rPr>
      </w:pPr>
      <w:r>
        <w:rPr>
          <w:rFonts w:hint="eastAsia" w:ascii="宋体" w:hAnsi="宋体" w:eastAsia="宋体" w:cs="宋体"/>
          <w:b/>
          <w:bCs/>
          <w:sz w:val="21"/>
          <w:szCs w:val="21"/>
        </w:rPr>
        <w:t>注：以联合体形式参与</w:t>
      </w:r>
      <w:r>
        <w:rPr>
          <w:rFonts w:hint="eastAsia" w:ascii="宋体" w:hAnsi="宋体" w:eastAsia="宋体" w:cs="宋体"/>
          <w:b/>
          <w:bCs/>
          <w:sz w:val="21"/>
          <w:szCs w:val="21"/>
          <w:lang w:eastAsia="zh-CN"/>
        </w:rPr>
        <w:t>磋商</w:t>
      </w:r>
      <w:r>
        <w:rPr>
          <w:rFonts w:hint="eastAsia" w:ascii="宋体" w:hAnsi="宋体" w:eastAsia="宋体" w:cs="宋体"/>
          <w:b/>
          <w:bCs/>
          <w:sz w:val="21"/>
          <w:szCs w:val="21"/>
        </w:rPr>
        <w:t>的，此材料由联合体</w:t>
      </w:r>
      <w:r>
        <w:rPr>
          <w:rFonts w:hint="eastAsia" w:ascii="宋体" w:hAnsi="宋体" w:eastAsia="宋体" w:cs="宋体"/>
          <w:b/>
          <w:bCs/>
          <w:sz w:val="21"/>
          <w:szCs w:val="21"/>
          <w:lang w:eastAsia="zh-CN"/>
        </w:rPr>
        <w:t>成员各方均须</w:t>
      </w:r>
      <w:r>
        <w:rPr>
          <w:rFonts w:hint="eastAsia" w:ascii="宋体" w:hAnsi="宋体" w:eastAsia="宋体" w:cs="宋体"/>
          <w:b/>
          <w:bCs/>
          <w:sz w:val="21"/>
          <w:szCs w:val="21"/>
        </w:rPr>
        <w:t>提供。</w:t>
      </w:r>
      <w:r>
        <w:rPr>
          <w:rFonts w:hint="eastAsia" w:ascii="宋体" w:hAnsi="宋体" w:eastAsia="宋体" w:cs="宋体"/>
          <w:sz w:val="21"/>
          <w:szCs w:val="21"/>
        </w:rPr>
        <w:br w:type="page"/>
      </w:r>
    </w:p>
    <w:p w14:paraId="17FD90BC">
      <w:pPr>
        <w:jc w:val="center"/>
        <w:rPr>
          <w:rFonts w:hint="eastAsia" w:ascii="宋体" w:hAnsi="宋体" w:eastAsia="宋体"/>
          <w:b/>
          <w:color w:val="auto"/>
          <w:sz w:val="28"/>
          <w:szCs w:val="28"/>
          <w:highlight w:val="none"/>
          <w:lang w:val="en-US" w:eastAsia="zh-CN"/>
        </w:rPr>
      </w:pPr>
      <w:r>
        <w:rPr>
          <w:rFonts w:hint="eastAsia" w:ascii="宋体" w:hAnsi="宋体" w:eastAsia="宋体"/>
          <w:b/>
          <w:color w:val="auto"/>
          <w:sz w:val="28"/>
          <w:szCs w:val="28"/>
          <w:highlight w:val="none"/>
          <w:lang w:val="en-US" w:eastAsia="zh-CN"/>
        </w:rPr>
        <w:t>格式4：</w:t>
      </w:r>
      <w:r>
        <w:rPr>
          <w:rFonts w:hint="eastAsia" w:ascii="宋体" w:hAnsi="宋体" w:eastAsia="宋体"/>
          <w:b/>
          <w:color w:val="auto"/>
          <w:sz w:val="28"/>
          <w:szCs w:val="28"/>
          <w:highlight w:val="none"/>
          <w:lang w:eastAsia="zh-CN"/>
        </w:rPr>
        <w:t>磋商申请人</w:t>
      </w:r>
      <w:bookmarkEnd w:id="281"/>
      <w:bookmarkEnd w:id="283"/>
      <w:bookmarkEnd w:id="284"/>
      <w:r>
        <w:rPr>
          <w:rFonts w:hint="eastAsia" w:ascii="宋体" w:hAnsi="宋体" w:eastAsia="宋体"/>
          <w:b/>
          <w:color w:val="auto"/>
          <w:sz w:val="28"/>
          <w:szCs w:val="28"/>
          <w:highlight w:val="none"/>
          <w:lang w:val="en-US" w:eastAsia="zh-CN"/>
        </w:rPr>
        <w:t>介绍</w:t>
      </w:r>
    </w:p>
    <w:p w14:paraId="515FF65D">
      <w:pPr>
        <w:pStyle w:val="19"/>
        <w:jc w:val="center"/>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4.1磋商申请人基本情况表</w:t>
      </w:r>
    </w:p>
    <w:p w14:paraId="2FA9C638">
      <w:pPr>
        <w:pStyle w:val="19"/>
        <w:jc w:val="center"/>
        <w:rPr>
          <w:rFonts w:hint="default" w:ascii="宋体" w:hAnsi="宋体" w:eastAsia="宋体"/>
          <w:b/>
          <w:color w:val="auto"/>
          <w:sz w:val="24"/>
          <w:szCs w:val="24"/>
          <w:highlight w:val="none"/>
          <w:lang w:val="en-US" w:eastAsia="zh-CN"/>
        </w:rPr>
      </w:pPr>
    </w:p>
    <w:tbl>
      <w:tblPr>
        <w:tblStyle w:val="31"/>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1275"/>
        <w:gridCol w:w="2423"/>
        <w:gridCol w:w="1368"/>
        <w:gridCol w:w="1929"/>
      </w:tblGrid>
      <w:tr w14:paraId="5560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1ED9E1EC">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磋商申请人名称</w:t>
            </w:r>
          </w:p>
        </w:tc>
        <w:tc>
          <w:tcPr>
            <w:tcW w:w="6995" w:type="dxa"/>
            <w:gridSpan w:val="4"/>
            <w:tcBorders>
              <w:top w:val="single" w:color="auto" w:sz="4" w:space="0"/>
              <w:left w:val="nil"/>
              <w:bottom w:val="single" w:color="auto" w:sz="4" w:space="0"/>
              <w:right w:val="single" w:color="auto" w:sz="4" w:space="0"/>
            </w:tcBorders>
            <w:noWrap w:val="0"/>
            <w:vAlign w:val="center"/>
          </w:tcPr>
          <w:p w14:paraId="1E0E471C">
            <w:pPr>
              <w:spacing w:line="440" w:lineRule="exact"/>
              <w:jc w:val="center"/>
              <w:rPr>
                <w:rFonts w:hint="eastAsia" w:ascii="宋体" w:hAnsi="宋体" w:eastAsia="宋体" w:cs="宋体"/>
                <w:sz w:val="23"/>
                <w:szCs w:val="23"/>
              </w:rPr>
            </w:pPr>
          </w:p>
        </w:tc>
      </w:tr>
      <w:tr w14:paraId="30B2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1D840748">
            <w:pPr>
              <w:spacing w:line="440" w:lineRule="exact"/>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社会统一信用代码</w:t>
            </w:r>
          </w:p>
        </w:tc>
        <w:tc>
          <w:tcPr>
            <w:tcW w:w="6995" w:type="dxa"/>
            <w:gridSpan w:val="4"/>
            <w:tcBorders>
              <w:top w:val="single" w:color="auto" w:sz="4" w:space="0"/>
              <w:left w:val="nil"/>
              <w:bottom w:val="single" w:color="auto" w:sz="4" w:space="0"/>
              <w:right w:val="single" w:color="auto" w:sz="4" w:space="0"/>
            </w:tcBorders>
            <w:noWrap w:val="0"/>
            <w:vAlign w:val="center"/>
          </w:tcPr>
          <w:p w14:paraId="6A9D529E">
            <w:pPr>
              <w:spacing w:line="440" w:lineRule="exact"/>
              <w:jc w:val="center"/>
              <w:rPr>
                <w:rFonts w:hint="eastAsia" w:ascii="宋体" w:hAnsi="宋体" w:eastAsia="宋体" w:cs="宋体"/>
                <w:sz w:val="23"/>
                <w:szCs w:val="23"/>
              </w:rPr>
            </w:pPr>
          </w:p>
        </w:tc>
      </w:tr>
      <w:tr w14:paraId="73215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4800B96B">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注册资金</w:t>
            </w:r>
          </w:p>
        </w:tc>
        <w:tc>
          <w:tcPr>
            <w:tcW w:w="3698" w:type="dxa"/>
            <w:gridSpan w:val="2"/>
            <w:tcBorders>
              <w:top w:val="single" w:color="auto" w:sz="4" w:space="0"/>
              <w:left w:val="nil"/>
              <w:bottom w:val="single" w:color="auto" w:sz="4" w:space="0"/>
              <w:right w:val="single" w:color="auto" w:sz="4" w:space="0"/>
            </w:tcBorders>
            <w:noWrap w:val="0"/>
            <w:vAlign w:val="center"/>
          </w:tcPr>
          <w:p w14:paraId="4B67BD2C">
            <w:pPr>
              <w:spacing w:line="440" w:lineRule="exact"/>
              <w:jc w:val="center"/>
              <w:rPr>
                <w:rFonts w:hint="eastAsia" w:ascii="宋体" w:hAnsi="宋体" w:eastAsia="宋体" w:cs="宋体"/>
                <w:sz w:val="23"/>
                <w:szCs w:val="23"/>
              </w:rPr>
            </w:pPr>
          </w:p>
        </w:tc>
        <w:tc>
          <w:tcPr>
            <w:tcW w:w="1368" w:type="dxa"/>
            <w:tcBorders>
              <w:top w:val="single" w:color="auto" w:sz="4" w:space="0"/>
              <w:left w:val="nil"/>
              <w:bottom w:val="single" w:color="auto" w:sz="4" w:space="0"/>
              <w:right w:val="single" w:color="auto" w:sz="4" w:space="0"/>
            </w:tcBorders>
            <w:noWrap w:val="0"/>
            <w:vAlign w:val="center"/>
          </w:tcPr>
          <w:p w14:paraId="276BEB0A">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成立时间</w:t>
            </w:r>
          </w:p>
        </w:tc>
        <w:tc>
          <w:tcPr>
            <w:tcW w:w="1929" w:type="dxa"/>
            <w:tcBorders>
              <w:top w:val="single" w:color="auto" w:sz="4" w:space="0"/>
              <w:left w:val="nil"/>
              <w:bottom w:val="single" w:color="auto" w:sz="4" w:space="0"/>
              <w:right w:val="single" w:color="auto" w:sz="4" w:space="0"/>
            </w:tcBorders>
            <w:noWrap w:val="0"/>
            <w:vAlign w:val="center"/>
          </w:tcPr>
          <w:p w14:paraId="16208CAC">
            <w:pPr>
              <w:spacing w:line="440" w:lineRule="exact"/>
              <w:jc w:val="center"/>
              <w:rPr>
                <w:rFonts w:hint="eastAsia" w:ascii="宋体" w:hAnsi="宋体" w:eastAsia="宋体" w:cs="宋体"/>
                <w:sz w:val="23"/>
                <w:szCs w:val="23"/>
              </w:rPr>
            </w:pPr>
          </w:p>
        </w:tc>
      </w:tr>
      <w:tr w14:paraId="3E9B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27230E10">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注册地址</w:t>
            </w:r>
          </w:p>
        </w:tc>
        <w:tc>
          <w:tcPr>
            <w:tcW w:w="6995" w:type="dxa"/>
            <w:gridSpan w:val="4"/>
            <w:tcBorders>
              <w:top w:val="single" w:color="auto" w:sz="4" w:space="0"/>
              <w:left w:val="nil"/>
              <w:bottom w:val="single" w:color="auto" w:sz="4" w:space="0"/>
              <w:right w:val="single" w:color="auto" w:sz="4" w:space="0"/>
            </w:tcBorders>
            <w:noWrap w:val="0"/>
            <w:vAlign w:val="center"/>
          </w:tcPr>
          <w:p w14:paraId="77D1BD69">
            <w:pPr>
              <w:spacing w:line="440" w:lineRule="exact"/>
              <w:jc w:val="center"/>
              <w:rPr>
                <w:rFonts w:hint="eastAsia" w:ascii="宋体" w:hAnsi="宋体" w:eastAsia="宋体" w:cs="宋体"/>
                <w:sz w:val="23"/>
                <w:szCs w:val="23"/>
              </w:rPr>
            </w:pPr>
          </w:p>
        </w:tc>
      </w:tr>
      <w:tr w14:paraId="7DA8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79933F14">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邮政编码</w:t>
            </w:r>
          </w:p>
        </w:tc>
        <w:tc>
          <w:tcPr>
            <w:tcW w:w="3698" w:type="dxa"/>
            <w:gridSpan w:val="2"/>
            <w:tcBorders>
              <w:top w:val="single" w:color="auto" w:sz="4" w:space="0"/>
              <w:left w:val="nil"/>
              <w:bottom w:val="single" w:color="auto" w:sz="4" w:space="0"/>
              <w:right w:val="single" w:color="auto" w:sz="4" w:space="0"/>
            </w:tcBorders>
            <w:noWrap w:val="0"/>
            <w:vAlign w:val="center"/>
          </w:tcPr>
          <w:p w14:paraId="72DFD4FA">
            <w:pPr>
              <w:spacing w:line="440" w:lineRule="exact"/>
              <w:jc w:val="center"/>
              <w:rPr>
                <w:rFonts w:hint="eastAsia" w:ascii="宋体" w:hAnsi="宋体" w:eastAsia="宋体" w:cs="宋体"/>
                <w:sz w:val="23"/>
                <w:szCs w:val="23"/>
              </w:rPr>
            </w:pPr>
          </w:p>
        </w:tc>
        <w:tc>
          <w:tcPr>
            <w:tcW w:w="1368" w:type="dxa"/>
            <w:tcBorders>
              <w:top w:val="single" w:color="auto" w:sz="4" w:space="0"/>
              <w:left w:val="nil"/>
              <w:bottom w:val="single" w:color="auto" w:sz="4" w:space="0"/>
              <w:right w:val="single" w:color="auto" w:sz="4" w:space="0"/>
            </w:tcBorders>
            <w:noWrap w:val="0"/>
            <w:vAlign w:val="center"/>
          </w:tcPr>
          <w:p w14:paraId="26DF53E5">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员工总数</w:t>
            </w:r>
          </w:p>
        </w:tc>
        <w:tc>
          <w:tcPr>
            <w:tcW w:w="1929" w:type="dxa"/>
            <w:tcBorders>
              <w:top w:val="single" w:color="auto" w:sz="4" w:space="0"/>
              <w:left w:val="nil"/>
              <w:bottom w:val="single" w:color="auto" w:sz="4" w:space="0"/>
              <w:right w:val="single" w:color="auto" w:sz="4" w:space="0"/>
            </w:tcBorders>
            <w:noWrap w:val="0"/>
            <w:vAlign w:val="center"/>
          </w:tcPr>
          <w:p w14:paraId="29FD4459">
            <w:pPr>
              <w:spacing w:line="440" w:lineRule="exact"/>
              <w:jc w:val="center"/>
              <w:rPr>
                <w:rFonts w:hint="eastAsia" w:ascii="宋体" w:hAnsi="宋体" w:eastAsia="宋体" w:cs="宋体"/>
                <w:sz w:val="23"/>
                <w:szCs w:val="23"/>
              </w:rPr>
            </w:pPr>
          </w:p>
        </w:tc>
      </w:tr>
      <w:tr w14:paraId="3AC3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restart"/>
            <w:tcBorders>
              <w:top w:val="nil"/>
              <w:left w:val="single" w:color="auto" w:sz="4" w:space="0"/>
              <w:bottom w:val="single" w:color="auto" w:sz="4" w:space="0"/>
              <w:right w:val="single" w:color="auto" w:sz="4" w:space="0"/>
            </w:tcBorders>
            <w:noWrap w:val="0"/>
            <w:vAlign w:val="center"/>
          </w:tcPr>
          <w:p w14:paraId="2FD6A37C">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联系方式</w:t>
            </w:r>
          </w:p>
        </w:tc>
        <w:tc>
          <w:tcPr>
            <w:tcW w:w="1275" w:type="dxa"/>
            <w:tcBorders>
              <w:top w:val="single" w:color="auto" w:sz="4" w:space="0"/>
              <w:left w:val="nil"/>
              <w:bottom w:val="single" w:color="auto" w:sz="4" w:space="0"/>
              <w:right w:val="single" w:color="auto" w:sz="4" w:space="0"/>
            </w:tcBorders>
            <w:noWrap w:val="0"/>
            <w:vAlign w:val="center"/>
          </w:tcPr>
          <w:p w14:paraId="765DBF5F">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联系人</w:t>
            </w:r>
          </w:p>
        </w:tc>
        <w:tc>
          <w:tcPr>
            <w:tcW w:w="2423" w:type="dxa"/>
            <w:tcBorders>
              <w:top w:val="single" w:color="auto" w:sz="4" w:space="0"/>
              <w:left w:val="nil"/>
              <w:bottom w:val="single" w:color="auto" w:sz="4" w:space="0"/>
              <w:right w:val="single" w:color="auto" w:sz="4" w:space="0"/>
            </w:tcBorders>
            <w:noWrap w:val="0"/>
            <w:vAlign w:val="center"/>
          </w:tcPr>
          <w:p w14:paraId="1FACB8E0">
            <w:pPr>
              <w:spacing w:line="440" w:lineRule="exact"/>
              <w:jc w:val="center"/>
              <w:rPr>
                <w:rFonts w:hint="eastAsia" w:ascii="宋体" w:hAnsi="宋体" w:eastAsia="宋体" w:cs="宋体"/>
                <w:sz w:val="23"/>
                <w:szCs w:val="23"/>
              </w:rPr>
            </w:pPr>
          </w:p>
        </w:tc>
        <w:tc>
          <w:tcPr>
            <w:tcW w:w="1368" w:type="dxa"/>
            <w:tcBorders>
              <w:top w:val="single" w:color="auto" w:sz="4" w:space="0"/>
              <w:left w:val="nil"/>
              <w:bottom w:val="single" w:color="auto" w:sz="4" w:space="0"/>
              <w:right w:val="single" w:color="auto" w:sz="4" w:space="0"/>
            </w:tcBorders>
            <w:noWrap w:val="0"/>
            <w:vAlign w:val="center"/>
          </w:tcPr>
          <w:p w14:paraId="406966B8">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电话</w:t>
            </w:r>
          </w:p>
        </w:tc>
        <w:tc>
          <w:tcPr>
            <w:tcW w:w="1929" w:type="dxa"/>
            <w:tcBorders>
              <w:top w:val="single" w:color="auto" w:sz="4" w:space="0"/>
              <w:left w:val="nil"/>
              <w:bottom w:val="single" w:color="auto" w:sz="4" w:space="0"/>
              <w:right w:val="single" w:color="auto" w:sz="4" w:space="0"/>
            </w:tcBorders>
            <w:noWrap w:val="0"/>
            <w:vAlign w:val="center"/>
          </w:tcPr>
          <w:p w14:paraId="69AE005D">
            <w:pPr>
              <w:spacing w:line="440" w:lineRule="exact"/>
              <w:jc w:val="center"/>
              <w:rPr>
                <w:rFonts w:hint="eastAsia" w:ascii="宋体" w:hAnsi="宋体" w:eastAsia="宋体" w:cs="宋体"/>
                <w:sz w:val="23"/>
                <w:szCs w:val="23"/>
              </w:rPr>
            </w:pPr>
          </w:p>
        </w:tc>
      </w:tr>
      <w:tr w14:paraId="03FAC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continue"/>
            <w:tcBorders>
              <w:top w:val="nil"/>
              <w:left w:val="single" w:color="auto" w:sz="4" w:space="0"/>
              <w:bottom w:val="single" w:color="auto" w:sz="4" w:space="0"/>
              <w:right w:val="single" w:color="auto" w:sz="4" w:space="0"/>
            </w:tcBorders>
            <w:noWrap w:val="0"/>
            <w:vAlign w:val="center"/>
          </w:tcPr>
          <w:p w14:paraId="767F7F45">
            <w:pPr>
              <w:widowControl w:val="0"/>
              <w:jc w:val="both"/>
              <w:rPr>
                <w:rFonts w:hint="eastAsia" w:ascii="宋体" w:hAnsi="宋体" w:eastAsia="宋体" w:cs="宋体"/>
                <w:kern w:val="2"/>
                <w:sz w:val="23"/>
                <w:szCs w:val="23"/>
              </w:rPr>
            </w:pPr>
          </w:p>
        </w:tc>
        <w:tc>
          <w:tcPr>
            <w:tcW w:w="1275" w:type="dxa"/>
            <w:tcBorders>
              <w:top w:val="single" w:color="auto" w:sz="4" w:space="0"/>
              <w:left w:val="nil"/>
              <w:bottom w:val="single" w:color="auto" w:sz="4" w:space="0"/>
              <w:right w:val="single" w:color="auto" w:sz="4" w:space="0"/>
            </w:tcBorders>
            <w:noWrap w:val="0"/>
            <w:vAlign w:val="center"/>
          </w:tcPr>
          <w:p w14:paraId="05CB1659">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网址</w:t>
            </w:r>
          </w:p>
        </w:tc>
        <w:tc>
          <w:tcPr>
            <w:tcW w:w="2423" w:type="dxa"/>
            <w:tcBorders>
              <w:top w:val="single" w:color="auto" w:sz="4" w:space="0"/>
              <w:left w:val="nil"/>
              <w:bottom w:val="single" w:color="auto" w:sz="4" w:space="0"/>
              <w:right w:val="single" w:color="auto" w:sz="4" w:space="0"/>
            </w:tcBorders>
            <w:noWrap w:val="0"/>
            <w:vAlign w:val="center"/>
          </w:tcPr>
          <w:p w14:paraId="194E1921">
            <w:pPr>
              <w:spacing w:line="440" w:lineRule="exact"/>
              <w:jc w:val="center"/>
              <w:rPr>
                <w:rFonts w:hint="eastAsia" w:ascii="宋体" w:hAnsi="宋体" w:eastAsia="宋体" w:cs="宋体"/>
                <w:sz w:val="23"/>
                <w:szCs w:val="23"/>
              </w:rPr>
            </w:pPr>
          </w:p>
        </w:tc>
        <w:tc>
          <w:tcPr>
            <w:tcW w:w="1368" w:type="dxa"/>
            <w:tcBorders>
              <w:top w:val="single" w:color="auto" w:sz="4" w:space="0"/>
              <w:left w:val="nil"/>
              <w:bottom w:val="single" w:color="auto" w:sz="4" w:space="0"/>
              <w:right w:val="single" w:color="auto" w:sz="4" w:space="0"/>
            </w:tcBorders>
            <w:noWrap w:val="0"/>
            <w:vAlign w:val="center"/>
          </w:tcPr>
          <w:p w14:paraId="7F8AE9A0">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传真</w:t>
            </w:r>
          </w:p>
        </w:tc>
        <w:tc>
          <w:tcPr>
            <w:tcW w:w="1929" w:type="dxa"/>
            <w:tcBorders>
              <w:top w:val="single" w:color="auto" w:sz="4" w:space="0"/>
              <w:left w:val="nil"/>
              <w:bottom w:val="single" w:color="auto" w:sz="4" w:space="0"/>
              <w:right w:val="single" w:color="auto" w:sz="4" w:space="0"/>
            </w:tcBorders>
            <w:noWrap w:val="0"/>
            <w:vAlign w:val="center"/>
          </w:tcPr>
          <w:p w14:paraId="29457A79">
            <w:pPr>
              <w:spacing w:line="440" w:lineRule="exact"/>
              <w:jc w:val="center"/>
              <w:rPr>
                <w:rFonts w:hint="eastAsia" w:ascii="宋体" w:hAnsi="宋体" w:eastAsia="宋体" w:cs="宋体"/>
                <w:sz w:val="23"/>
                <w:szCs w:val="23"/>
              </w:rPr>
            </w:pPr>
          </w:p>
        </w:tc>
      </w:tr>
      <w:tr w14:paraId="5019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7F9CA25F">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法定代表人</w:t>
            </w:r>
          </w:p>
          <w:p w14:paraId="40C91B0A">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（单位负责人）</w:t>
            </w:r>
          </w:p>
        </w:tc>
        <w:tc>
          <w:tcPr>
            <w:tcW w:w="1275" w:type="dxa"/>
            <w:tcBorders>
              <w:top w:val="single" w:color="auto" w:sz="4" w:space="0"/>
              <w:left w:val="nil"/>
              <w:bottom w:val="single" w:color="auto" w:sz="4" w:space="0"/>
              <w:right w:val="single" w:color="auto" w:sz="4" w:space="0"/>
            </w:tcBorders>
            <w:noWrap w:val="0"/>
            <w:vAlign w:val="center"/>
          </w:tcPr>
          <w:p w14:paraId="1085A109">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姓名</w:t>
            </w:r>
          </w:p>
        </w:tc>
        <w:tc>
          <w:tcPr>
            <w:tcW w:w="2423" w:type="dxa"/>
            <w:tcBorders>
              <w:top w:val="single" w:color="auto" w:sz="4" w:space="0"/>
              <w:left w:val="nil"/>
              <w:bottom w:val="single" w:color="auto" w:sz="4" w:space="0"/>
              <w:right w:val="single" w:color="auto" w:sz="4" w:space="0"/>
            </w:tcBorders>
            <w:noWrap w:val="0"/>
            <w:vAlign w:val="center"/>
          </w:tcPr>
          <w:p w14:paraId="454E1E7A">
            <w:pPr>
              <w:spacing w:line="440" w:lineRule="exact"/>
              <w:jc w:val="center"/>
              <w:rPr>
                <w:rFonts w:hint="eastAsia" w:ascii="宋体" w:hAnsi="宋体" w:eastAsia="宋体" w:cs="宋体"/>
                <w:sz w:val="23"/>
                <w:szCs w:val="23"/>
              </w:rPr>
            </w:pPr>
          </w:p>
        </w:tc>
        <w:tc>
          <w:tcPr>
            <w:tcW w:w="1368" w:type="dxa"/>
            <w:tcBorders>
              <w:top w:val="single" w:color="auto" w:sz="4" w:space="0"/>
              <w:left w:val="nil"/>
              <w:bottom w:val="single" w:color="auto" w:sz="4" w:space="0"/>
              <w:right w:val="single" w:color="auto" w:sz="4" w:space="0"/>
            </w:tcBorders>
            <w:noWrap w:val="0"/>
            <w:vAlign w:val="center"/>
          </w:tcPr>
          <w:p w14:paraId="038E7A83">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电话</w:t>
            </w:r>
          </w:p>
        </w:tc>
        <w:tc>
          <w:tcPr>
            <w:tcW w:w="1929" w:type="dxa"/>
            <w:tcBorders>
              <w:top w:val="single" w:color="auto" w:sz="4" w:space="0"/>
              <w:left w:val="nil"/>
              <w:bottom w:val="single" w:color="auto" w:sz="4" w:space="0"/>
              <w:right w:val="single" w:color="auto" w:sz="4" w:space="0"/>
            </w:tcBorders>
            <w:noWrap w:val="0"/>
            <w:vAlign w:val="center"/>
          </w:tcPr>
          <w:p w14:paraId="696F689D">
            <w:pPr>
              <w:spacing w:line="440" w:lineRule="exact"/>
              <w:jc w:val="center"/>
              <w:rPr>
                <w:rFonts w:hint="eastAsia" w:ascii="宋体" w:hAnsi="宋体" w:eastAsia="宋体" w:cs="宋体"/>
                <w:sz w:val="23"/>
                <w:szCs w:val="23"/>
              </w:rPr>
            </w:pPr>
          </w:p>
        </w:tc>
      </w:tr>
      <w:tr w14:paraId="0D1EB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1E0753A2">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磋商申请人知要求磋商申请人需具有的各类资质证书（若有）</w:t>
            </w:r>
          </w:p>
        </w:tc>
        <w:tc>
          <w:tcPr>
            <w:tcW w:w="6995" w:type="dxa"/>
            <w:gridSpan w:val="4"/>
            <w:tcBorders>
              <w:top w:val="single" w:color="auto" w:sz="4" w:space="0"/>
              <w:left w:val="nil"/>
              <w:bottom w:val="single" w:color="auto" w:sz="4" w:space="0"/>
              <w:right w:val="single" w:color="auto" w:sz="4" w:space="0"/>
            </w:tcBorders>
            <w:noWrap w:val="0"/>
            <w:vAlign w:val="center"/>
          </w:tcPr>
          <w:p w14:paraId="2E10338A">
            <w:pPr>
              <w:spacing w:line="440" w:lineRule="exact"/>
              <w:rPr>
                <w:rFonts w:hint="eastAsia" w:ascii="宋体" w:hAnsi="宋体" w:eastAsia="宋体" w:cs="宋体"/>
                <w:sz w:val="23"/>
                <w:szCs w:val="23"/>
              </w:rPr>
            </w:pPr>
            <w:r>
              <w:rPr>
                <w:rFonts w:hint="eastAsia" w:ascii="宋体" w:hAnsi="宋体" w:eastAsia="宋体" w:cs="宋体"/>
                <w:sz w:val="23"/>
                <w:szCs w:val="23"/>
              </w:rPr>
              <w:t xml:space="preserve">类型：                  </w:t>
            </w:r>
          </w:p>
          <w:p w14:paraId="28509012">
            <w:pPr>
              <w:spacing w:line="440" w:lineRule="exact"/>
              <w:rPr>
                <w:rFonts w:hint="eastAsia" w:ascii="宋体" w:hAnsi="宋体" w:eastAsia="宋体" w:cs="宋体"/>
                <w:sz w:val="23"/>
                <w:szCs w:val="23"/>
              </w:rPr>
            </w:pPr>
            <w:r>
              <w:rPr>
                <w:rFonts w:hint="eastAsia" w:ascii="宋体" w:hAnsi="宋体" w:eastAsia="宋体" w:cs="宋体"/>
                <w:sz w:val="23"/>
                <w:szCs w:val="23"/>
              </w:rPr>
              <w:t>证书</w:t>
            </w:r>
            <w:r>
              <w:rPr>
                <w:rFonts w:hint="eastAsia" w:ascii="宋体" w:hAnsi="宋体" w:eastAsia="宋体" w:cs="宋体"/>
                <w:sz w:val="23"/>
                <w:szCs w:val="23"/>
                <w:lang w:val="en-US" w:eastAsia="zh-CN"/>
              </w:rPr>
              <w:t>编</w:t>
            </w:r>
            <w:r>
              <w:rPr>
                <w:rFonts w:hint="eastAsia" w:ascii="宋体" w:hAnsi="宋体" w:eastAsia="宋体" w:cs="宋体"/>
                <w:sz w:val="23"/>
                <w:szCs w:val="23"/>
              </w:rPr>
              <w:t>号：</w:t>
            </w:r>
          </w:p>
        </w:tc>
      </w:tr>
      <w:tr w14:paraId="69ACE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6D6C284B">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基本账户开户银行</w:t>
            </w:r>
          </w:p>
        </w:tc>
        <w:tc>
          <w:tcPr>
            <w:tcW w:w="6995" w:type="dxa"/>
            <w:gridSpan w:val="4"/>
            <w:tcBorders>
              <w:top w:val="single" w:color="auto" w:sz="4" w:space="0"/>
              <w:left w:val="nil"/>
              <w:bottom w:val="single" w:color="auto" w:sz="4" w:space="0"/>
              <w:right w:val="single" w:color="auto" w:sz="4" w:space="0"/>
            </w:tcBorders>
            <w:noWrap w:val="0"/>
            <w:vAlign w:val="center"/>
          </w:tcPr>
          <w:p w14:paraId="2D8A4EBD">
            <w:pPr>
              <w:spacing w:line="440" w:lineRule="exact"/>
              <w:jc w:val="center"/>
              <w:rPr>
                <w:rFonts w:hint="eastAsia" w:ascii="宋体" w:hAnsi="宋体" w:eastAsia="宋体" w:cs="宋体"/>
                <w:sz w:val="23"/>
                <w:szCs w:val="23"/>
              </w:rPr>
            </w:pPr>
          </w:p>
        </w:tc>
      </w:tr>
      <w:tr w14:paraId="2EA2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7E594636">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基本账户银行账号</w:t>
            </w:r>
          </w:p>
        </w:tc>
        <w:tc>
          <w:tcPr>
            <w:tcW w:w="6995" w:type="dxa"/>
            <w:gridSpan w:val="4"/>
            <w:tcBorders>
              <w:top w:val="single" w:color="auto" w:sz="4" w:space="0"/>
              <w:left w:val="nil"/>
              <w:bottom w:val="single" w:color="auto" w:sz="4" w:space="0"/>
              <w:right w:val="single" w:color="auto" w:sz="4" w:space="0"/>
            </w:tcBorders>
            <w:noWrap w:val="0"/>
            <w:vAlign w:val="center"/>
          </w:tcPr>
          <w:p w14:paraId="1C82C15D">
            <w:pPr>
              <w:spacing w:line="440" w:lineRule="exact"/>
              <w:jc w:val="center"/>
              <w:rPr>
                <w:rFonts w:hint="eastAsia" w:ascii="宋体" w:hAnsi="宋体" w:eastAsia="宋体" w:cs="宋体"/>
                <w:sz w:val="23"/>
                <w:szCs w:val="23"/>
              </w:rPr>
            </w:pPr>
          </w:p>
        </w:tc>
      </w:tr>
      <w:tr w14:paraId="321F0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588BA816">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磋商申请人关联企业情况（包括但不限于与磋商申请人法定代表人（单位负责人）为同一人或者存在控股、管理关系的不同单位）</w:t>
            </w:r>
          </w:p>
        </w:tc>
        <w:tc>
          <w:tcPr>
            <w:tcW w:w="6995" w:type="dxa"/>
            <w:gridSpan w:val="4"/>
            <w:tcBorders>
              <w:top w:val="single" w:color="auto" w:sz="4" w:space="0"/>
              <w:left w:val="nil"/>
              <w:bottom w:val="single" w:color="auto" w:sz="4" w:space="0"/>
              <w:right w:val="single" w:color="auto" w:sz="4" w:space="0"/>
            </w:tcBorders>
            <w:noWrap w:val="0"/>
            <w:vAlign w:val="center"/>
          </w:tcPr>
          <w:p w14:paraId="3F86FBDA">
            <w:pPr>
              <w:spacing w:line="440" w:lineRule="exact"/>
              <w:jc w:val="center"/>
              <w:rPr>
                <w:rFonts w:hint="eastAsia" w:ascii="宋体" w:hAnsi="宋体" w:eastAsia="宋体" w:cs="宋体"/>
                <w:sz w:val="23"/>
                <w:szCs w:val="23"/>
              </w:rPr>
            </w:pPr>
          </w:p>
        </w:tc>
      </w:tr>
      <w:tr w14:paraId="68A1E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3AEEA4A2">
            <w:pPr>
              <w:spacing w:line="440" w:lineRule="exact"/>
              <w:jc w:val="center"/>
              <w:rPr>
                <w:rFonts w:hint="eastAsia" w:ascii="宋体" w:hAnsi="宋体" w:eastAsia="宋体" w:cs="宋体"/>
                <w:sz w:val="23"/>
                <w:szCs w:val="23"/>
              </w:rPr>
            </w:pPr>
            <w:r>
              <w:rPr>
                <w:rFonts w:hint="eastAsia" w:ascii="宋体" w:hAnsi="宋体" w:eastAsia="宋体" w:cs="宋体"/>
                <w:sz w:val="23"/>
                <w:szCs w:val="23"/>
              </w:rPr>
              <w:t>备注</w:t>
            </w:r>
          </w:p>
        </w:tc>
        <w:tc>
          <w:tcPr>
            <w:tcW w:w="6995" w:type="dxa"/>
            <w:gridSpan w:val="4"/>
            <w:tcBorders>
              <w:top w:val="single" w:color="auto" w:sz="4" w:space="0"/>
              <w:left w:val="nil"/>
              <w:bottom w:val="single" w:color="auto" w:sz="4" w:space="0"/>
              <w:right w:val="single" w:color="auto" w:sz="4" w:space="0"/>
            </w:tcBorders>
            <w:noWrap w:val="0"/>
            <w:vAlign w:val="center"/>
          </w:tcPr>
          <w:p w14:paraId="43A25299">
            <w:pPr>
              <w:spacing w:line="440" w:lineRule="exact"/>
              <w:jc w:val="center"/>
              <w:rPr>
                <w:rFonts w:hint="eastAsia" w:ascii="宋体" w:hAnsi="宋体" w:eastAsia="宋体" w:cs="宋体"/>
                <w:sz w:val="23"/>
                <w:szCs w:val="23"/>
              </w:rPr>
            </w:pPr>
          </w:p>
        </w:tc>
      </w:tr>
    </w:tbl>
    <w:p w14:paraId="47034032">
      <w:pPr>
        <w:spacing w:line="240" w:lineRule="exact"/>
        <w:rPr>
          <w:rFonts w:hint="eastAsia" w:ascii="宋体" w:hAnsi="宋体" w:eastAsia="宋体" w:cs="宋体"/>
        </w:rPr>
      </w:pPr>
    </w:p>
    <w:p w14:paraId="2ECE5761">
      <w:pPr>
        <w:spacing w:line="320" w:lineRule="exact"/>
        <w:rPr>
          <w:rFonts w:hint="eastAsia" w:ascii="宋体" w:hAnsi="宋体" w:eastAsia="宋体" w:cs="宋体"/>
          <w:b/>
          <w:bCs/>
        </w:rPr>
      </w:pPr>
      <w:r>
        <w:rPr>
          <w:rFonts w:hint="eastAsia" w:ascii="宋体" w:hAnsi="宋体" w:eastAsia="宋体" w:cs="宋体"/>
        </w:rPr>
        <w:t>注：磋商申请人应根据竞争性磋商文件要求在本表后附相关证明材料。</w:t>
      </w:r>
    </w:p>
    <w:p w14:paraId="7AE9C95E">
      <w:pPr>
        <w:pStyle w:val="4"/>
        <w:widowControl/>
        <w:autoSpaceDE w:val="0"/>
        <w:spacing w:before="0" w:after="0" w:line="360" w:lineRule="auto"/>
        <w:jc w:val="both"/>
        <w:rPr>
          <w:rFonts w:hint="eastAsia" w:ascii="宋体" w:hAnsi="宋体" w:eastAsia="宋体" w:cs="宋体"/>
          <w:sz w:val="21"/>
          <w:szCs w:val="21"/>
        </w:rPr>
      </w:pPr>
      <w:bookmarkStart w:id="285" w:name="_Toc25271"/>
      <w:bookmarkEnd w:id="285"/>
      <w:bookmarkStart w:id="286" w:name="_Toc28613"/>
      <w:bookmarkStart w:id="287" w:name="_Toc3896312"/>
      <w:bookmarkStart w:id="288" w:name="_Toc255"/>
      <w:bookmarkStart w:id="289" w:name="_Toc14198"/>
      <w:r>
        <w:rPr>
          <w:rFonts w:hint="eastAsia" w:ascii="宋体" w:hAnsi="宋体" w:eastAsia="宋体" w:cs="宋体"/>
          <w:sz w:val="21"/>
          <w:szCs w:val="21"/>
        </w:rPr>
        <w:t>注：以联合体形式参与</w:t>
      </w:r>
      <w:r>
        <w:rPr>
          <w:rFonts w:hint="eastAsia" w:ascii="宋体" w:hAnsi="宋体" w:eastAsia="宋体" w:cs="宋体"/>
          <w:sz w:val="21"/>
          <w:szCs w:val="21"/>
          <w:lang w:eastAsia="zh-CN"/>
        </w:rPr>
        <w:t>磋商</w:t>
      </w:r>
      <w:r>
        <w:rPr>
          <w:rFonts w:hint="eastAsia" w:ascii="宋体" w:hAnsi="宋体" w:eastAsia="宋体" w:cs="宋体"/>
          <w:sz w:val="21"/>
          <w:szCs w:val="21"/>
        </w:rPr>
        <w:t>的，此材料由联合体</w:t>
      </w:r>
      <w:r>
        <w:rPr>
          <w:rFonts w:hint="eastAsia" w:ascii="宋体" w:hAnsi="宋体" w:eastAsia="宋体" w:cs="宋体"/>
          <w:sz w:val="21"/>
          <w:szCs w:val="21"/>
          <w:lang w:eastAsia="zh-CN"/>
        </w:rPr>
        <w:t>成员各方均须</w:t>
      </w:r>
      <w:r>
        <w:rPr>
          <w:rFonts w:hint="eastAsia" w:ascii="宋体" w:hAnsi="宋体" w:eastAsia="宋体" w:cs="宋体"/>
          <w:sz w:val="21"/>
          <w:szCs w:val="21"/>
        </w:rPr>
        <w:t>提供。</w:t>
      </w:r>
      <w:bookmarkEnd w:id="286"/>
      <w:bookmarkEnd w:id="287"/>
      <w:bookmarkEnd w:id="288"/>
      <w:bookmarkEnd w:id="289"/>
    </w:p>
    <w:p w14:paraId="48C7E625">
      <w:pPr>
        <w:pStyle w:val="5"/>
        <w:ind w:firstLine="422"/>
        <w:rPr>
          <w:rFonts w:hint="eastAsia" w:ascii="宋体" w:hAnsi="宋体" w:eastAsia="宋体" w:cs="宋体"/>
          <w:b/>
          <w:sz w:val="21"/>
        </w:rPr>
      </w:pPr>
    </w:p>
    <w:p w14:paraId="5D7C0235">
      <w:pPr>
        <w:pStyle w:val="5"/>
        <w:ind w:firstLine="422"/>
        <w:rPr>
          <w:rFonts w:hint="eastAsia" w:ascii="宋体" w:hAnsi="宋体" w:eastAsia="宋体" w:cs="宋体"/>
          <w:b/>
          <w:sz w:val="21"/>
        </w:rPr>
      </w:pPr>
    </w:p>
    <w:p w14:paraId="2B096B21">
      <w:pPr>
        <w:pStyle w:val="5"/>
        <w:ind w:firstLine="422"/>
        <w:rPr>
          <w:rFonts w:hint="eastAsia" w:ascii="宋体" w:hAnsi="宋体" w:eastAsia="宋体" w:cs="宋体"/>
          <w:b/>
          <w:sz w:val="21"/>
        </w:rPr>
      </w:pPr>
    </w:p>
    <w:p w14:paraId="7A16A99F">
      <w:pPr>
        <w:pStyle w:val="5"/>
        <w:ind w:firstLine="422"/>
        <w:rPr>
          <w:rFonts w:hint="eastAsia" w:ascii="宋体" w:hAnsi="宋体" w:eastAsia="宋体" w:cs="宋体"/>
          <w:b/>
          <w:sz w:val="21"/>
        </w:rPr>
      </w:pPr>
    </w:p>
    <w:p w14:paraId="0A01EF8C">
      <w:pPr>
        <w:pStyle w:val="5"/>
        <w:ind w:firstLine="422"/>
        <w:rPr>
          <w:rFonts w:hint="eastAsia" w:ascii="宋体" w:hAnsi="宋体" w:eastAsia="宋体" w:cs="宋体"/>
          <w:b/>
          <w:sz w:val="21"/>
        </w:rPr>
      </w:pPr>
    </w:p>
    <w:p w14:paraId="5C5C751D">
      <w:pPr>
        <w:pStyle w:val="101"/>
        <w:rPr>
          <w:rFonts w:hint="eastAsia" w:ascii="宋体" w:hAnsi="宋体" w:eastAsia="宋体" w:cs="宋体"/>
        </w:rPr>
      </w:pPr>
    </w:p>
    <w:p w14:paraId="35135ADE">
      <w:pPr>
        <w:pStyle w:val="101"/>
        <w:rPr>
          <w:rFonts w:hint="eastAsia" w:ascii="宋体" w:hAnsi="宋体" w:eastAsia="宋体" w:cs="宋体"/>
        </w:rPr>
      </w:pPr>
    </w:p>
    <w:p w14:paraId="5137C64E">
      <w:pPr>
        <w:pStyle w:val="101"/>
        <w:rPr>
          <w:rFonts w:hint="eastAsia" w:ascii="宋体" w:hAnsi="宋体" w:eastAsia="宋体" w:cs="宋体"/>
        </w:rPr>
      </w:pPr>
    </w:p>
    <w:p w14:paraId="70F4361E">
      <w:pPr>
        <w:pStyle w:val="19"/>
        <w:spacing w:line="380" w:lineRule="exact"/>
        <w:ind w:left="0" w:leftChars="0" w:firstLine="0" w:firstLineChars="0"/>
        <w:jc w:val="center"/>
        <w:rPr>
          <w:rFonts w:hint="eastAsia" w:ascii="宋体" w:hAnsi="宋体" w:eastAsia="宋体"/>
          <w:b/>
          <w:color w:val="auto"/>
          <w:sz w:val="24"/>
          <w:szCs w:val="24"/>
          <w:highlight w:val="none"/>
          <w:lang w:val="en-US" w:eastAsia="zh-CN"/>
        </w:rPr>
      </w:pPr>
      <w:r>
        <w:rPr>
          <w:rFonts w:hint="eastAsia" w:ascii="宋体" w:hAnsi="宋体" w:eastAsia="宋体" w:cs="宋体"/>
          <w:b/>
          <w:bCs/>
          <w:kern w:val="2"/>
          <w:sz w:val="28"/>
          <w:szCs w:val="28"/>
        </w:rPr>
        <w:br w:type="page"/>
      </w:r>
      <w:bookmarkStart w:id="290" w:name="_Toc7807"/>
      <w:r>
        <w:rPr>
          <w:rFonts w:hint="eastAsia" w:ascii="宋体" w:hAnsi="宋体" w:eastAsia="宋体"/>
          <w:b/>
          <w:color w:val="auto"/>
          <w:sz w:val="24"/>
          <w:szCs w:val="24"/>
          <w:highlight w:val="none"/>
          <w:lang w:val="en-US" w:eastAsia="zh-CN"/>
        </w:rPr>
        <w:t>4.2磋商申请人资产状况、承保及偿付能力一览表</w:t>
      </w:r>
    </w:p>
    <w:p w14:paraId="30A6A96C">
      <w:pPr>
        <w:pStyle w:val="19"/>
        <w:ind w:firstLine="280" w:firstLineChars="100"/>
        <w:jc w:val="center"/>
        <w:rPr>
          <w:rFonts w:hint="eastAsia" w:ascii="宋体" w:hAnsi="宋体" w:eastAsia="宋体" w:cs="宋体"/>
          <w:color w:val="auto"/>
          <w:sz w:val="28"/>
          <w:szCs w:val="28"/>
          <w:highlight w:val="none"/>
        </w:rPr>
      </w:pPr>
    </w:p>
    <w:tbl>
      <w:tblPr>
        <w:tblStyle w:val="31"/>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0"/>
        <w:gridCol w:w="3164"/>
        <w:gridCol w:w="4352"/>
      </w:tblGrid>
      <w:tr w14:paraId="4297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284" w:type="dxa"/>
            <w:gridSpan w:val="2"/>
            <w:noWrap w:val="0"/>
            <w:vAlign w:val="center"/>
          </w:tcPr>
          <w:p w14:paraId="5FDD4586">
            <w:pPr>
              <w:pStyle w:val="19"/>
              <w:ind w:firstLine="230" w:firstLineChars="10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磋商申请人名称</w:t>
            </w:r>
          </w:p>
        </w:tc>
        <w:tc>
          <w:tcPr>
            <w:tcW w:w="4352" w:type="dxa"/>
            <w:noWrap w:val="0"/>
            <w:vAlign w:val="center"/>
          </w:tcPr>
          <w:p w14:paraId="70EF7531">
            <w:pPr>
              <w:pStyle w:val="19"/>
              <w:ind w:firstLine="230" w:firstLineChars="100"/>
              <w:jc w:val="center"/>
              <w:rPr>
                <w:rFonts w:hint="eastAsia" w:ascii="宋体" w:hAnsi="宋体" w:eastAsia="宋体" w:cs="宋体"/>
                <w:color w:val="auto"/>
                <w:sz w:val="23"/>
                <w:szCs w:val="23"/>
                <w:highlight w:val="none"/>
              </w:rPr>
            </w:pPr>
          </w:p>
        </w:tc>
      </w:tr>
      <w:tr w14:paraId="2DC0A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20" w:type="dxa"/>
            <w:vMerge w:val="restart"/>
            <w:noWrap w:val="0"/>
            <w:vAlign w:val="center"/>
          </w:tcPr>
          <w:p w14:paraId="36096491">
            <w:pPr>
              <w:pStyle w:val="19"/>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资产状况</w:t>
            </w:r>
          </w:p>
        </w:tc>
        <w:tc>
          <w:tcPr>
            <w:tcW w:w="3164" w:type="dxa"/>
            <w:noWrap w:val="0"/>
            <w:vAlign w:val="center"/>
          </w:tcPr>
          <w:p w14:paraId="437D4E76">
            <w:pPr>
              <w:pStyle w:val="19"/>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2023年总资产</w:t>
            </w:r>
          </w:p>
        </w:tc>
        <w:tc>
          <w:tcPr>
            <w:tcW w:w="4352" w:type="dxa"/>
            <w:noWrap w:val="0"/>
            <w:vAlign w:val="center"/>
          </w:tcPr>
          <w:p w14:paraId="5364DD04">
            <w:pPr>
              <w:pStyle w:val="19"/>
              <w:jc w:val="center"/>
              <w:rPr>
                <w:rFonts w:hint="eastAsia" w:ascii="宋体" w:hAnsi="宋体" w:eastAsia="宋体" w:cs="宋体"/>
                <w:color w:val="auto"/>
                <w:sz w:val="23"/>
                <w:szCs w:val="23"/>
                <w:highlight w:val="none"/>
              </w:rPr>
            </w:pPr>
          </w:p>
        </w:tc>
      </w:tr>
      <w:tr w14:paraId="6D71E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20" w:type="dxa"/>
            <w:vMerge w:val="continue"/>
            <w:noWrap w:val="0"/>
            <w:vAlign w:val="center"/>
          </w:tcPr>
          <w:p w14:paraId="4D1FEBBA">
            <w:pPr>
              <w:pStyle w:val="19"/>
              <w:jc w:val="center"/>
              <w:rPr>
                <w:rFonts w:hint="eastAsia" w:ascii="宋体" w:hAnsi="宋体" w:eastAsia="宋体" w:cs="宋体"/>
                <w:color w:val="auto"/>
                <w:sz w:val="23"/>
                <w:szCs w:val="23"/>
                <w:highlight w:val="none"/>
              </w:rPr>
            </w:pPr>
          </w:p>
        </w:tc>
        <w:tc>
          <w:tcPr>
            <w:tcW w:w="3164" w:type="dxa"/>
            <w:noWrap w:val="0"/>
            <w:vAlign w:val="center"/>
          </w:tcPr>
          <w:p w14:paraId="4C2D0C07">
            <w:pPr>
              <w:pStyle w:val="19"/>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2023年负债率</w:t>
            </w:r>
          </w:p>
        </w:tc>
        <w:tc>
          <w:tcPr>
            <w:tcW w:w="4352" w:type="dxa"/>
            <w:noWrap w:val="0"/>
            <w:vAlign w:val="center"/>
          </w:tcPr>
          <w:p w14:paraId="04A192B9">
            <w:pPr>
              <w:pStyle w:val="19"/>
              <w:jc w:val="center"/>
              <w:rPr>
                <w:rFonts w:hint="eastAsia" w:ascii="宋体" w:hAnsi="宋体" w:eastAsia="宋体" w:cs="宋体"/>
                <w:color w:val="auto"/>
                <w:sz w:val="23"/>
                <w:szCs w:val="23"/>
                <w:highlight w:val="none"/>
              </w:rPr>
            </w:pPr>
          </w:p>
        </w:tc>
      </w:tr>
      <w:tr w14:paraId="762B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20" w:type="dxa"/>
            <w:vMerge w:val="continue"/>
            <w:noWrap w:val="0"/>
            <w:vAlign w:val="center"/>
          </w:tcPr>
          <w:p w14:paraId="6341764F">
            <w:pPr>
              <w:pStyle w:val="19"/>
              <w:jc w:val="center"/>
              <w:rPr>
                <w:rFonts w:hint="eastAsia" w:ascii="宋体" w:hAnsi="宋体" w:eastAsia="宋体" w:cs="宋体"/>
                <w:color w:val="auto"/>
                <w:sz w:val="23"/>
                <w:szCs w:val="23"/>
                <w:highlight w:val="none"/>
              </w:rPr>
            </w:pPr>
          </w:p>
        </w:tc>
        <w:tc>
          <w:tcPr>
            <w:tcW w:w="3164" w:type="dxa"/>
            <w:noWrap w:val="0"/>
            <w:vAlign w:val="center"/>
          </w:tcPr>
          <w:p w14:paraId="03C687D4">
            <w:pPr>
              <w:pStyle w:val="19"/>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注册资本金</w:t>
            </w:r>
          </w:p>
        </w:tc>
        <w:tc>
          <w:tcPr>
            <w:tcW w:w="4352" w:type="dxa"/>
            <w:noWrap w:val="0"/>
            <w:vAlign w:val="center"/>
          </w:tcPr>
          <w:p w14:paraId="047EB84D">
            <w:pPr>
              <w:pStyle w:val="19"/>
              <w:jc w:val="center"/>
              <w:rPr>
                <w:rFonts w:hint="eastAsia" w:ascii="宋体" w:hAnsi="宋体" w:eastAsia="宋体" w:cs="宋体"/>
                <w:color w:val="auto"/>
                <w:sz w:val="23"/>
                <w:szCs w:val="23"/>
                <w:highlight w:val="none"/>
              </w:rPr>
            </w:pPr>
          </w:p>
        </w:tc>
      </w:tr>
      <w:tr w14:paraId="5225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20" w:type="dxa"/>
            <w:vMerge w:val="restart"/>
            <w:noWrap w:val="0"/>
            <w:vAlign w:val="center"/>
          </w:tcPr>
          <w:p w14:paraId="15A554AF">
            <w:pPr>
              <w:pStyle w:val="19"/>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承保及偿付能力</w:t>
            </w:r>
          </w:p>
        </w:tc>
        <w:tc>
          <w:tcPr>
            <w:tcW w:w="3164" w:type="dxa"/>
            <w:noWrap w:val="0"/>
            <w:vAlign w:val="center"/>
          </w:tcPr>
          <w:p w14:paraId="5907DDCF">
            <w:pPr>
              <w:pStyle w:val="19"/>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保险最大承保能力</w:t>
            </w:r>
          </w:p>
        </w:tc>
        <w:tc>
          <w:tcPr>
            <w:tcW w:w="4352" w:type="dxa"/>
            <w:noWrap w:val="0"/>
            <w:vAlign w:val="center"/>
          </w:tcPr>
          <w:p w14:paraId="66ADDFC5">
            <w:pPr>
              <w:pStyle w:val="19"/>
              <w:jc w:val="center"/>
              <w:rPr>
                <w:rFonts w:hint="eastAsia" w:ascii="宋体" w:hAnsi="宋体" w:eastAsia="宋体" w:cs="宋体"/>
                <w:color w:val="auto"/>
                <w:sz w:val="23"/>
                <w:szCs w:val="23"/>
                <w:highlight w:val="none"/>
              </w:rPr>
            </w:pPr>
          </w:p>
        </w:tc>
      </w:tr>
      <w:tr w14:paraId="3FF96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20" w:type="dxa"/>
            <w:vMerge w:val="continue"/>
            <w:noWrap w:val="0"/>
            <w:vAlign w:val="center"/>
          </w:tcPr>
          <w:p w14:paraId="7FD20E2B">
            <w:pPr>
              <w:pStyle w:val="19"/>
              <w:jc w:val="center"/>
              <w:rPr>
                <w:rFonts w:hint="eastAsia" w:ascii="宋体" w:hAnsi="宋体" w:eastAsia="宋体" w:cs="宋体"/>
                <w:color w:val="auto"/>
                <w:sz w:val="23"/>
                <w:szCs w:val="23"/>
                <w:highlight w:val="none"/>
              </w:rPr>
            </w:pPr>
          </w:p>
        </w:tc>
        <w:tc>
          <w:tcPr>
            <w:tcW w:w="3164" w:type="dxa"/>
            <w:noWrap w:val="0"/>
            <w:vAlign w:val="center"/>
          </w:tcPr>
          <w:p w14:paraId="23DA3A1E">
            <w:pPr>
              <w:pStyle w:val="19"/>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近1年度综合偿付能力充足率</w:t>
            </w:r>
          </w:p>
        </w:tc>
        <w:tc>
          <w:tcPr>
            <w:tcW w:w="4352" w:type="dxa"/>
            <w:noWrap w:val="0"/>
            <w:vAlign w:val="center"/>
          </w:tcPr>
          <w:p w14:paraId="537F6462">
            <w:pPr>
              <w:pStyle w:val="19"/>
              <w:jc w:val="center"/>
              <w:rPr>
                <w:rFonts w:hint="eastAsia" w:ascii="宋体" w:hAnsi="宋体" w:eastAsia="宋体" w:cs="宋体"/>
                <w:color w:val="auto"/>
                <w:sz w:val="23"/>
                <w:szCs w:val="23"/>
                <w:highlight w:val="none"/>
              </w:rPr>
            </w:pPr>
          </w:p>
        </w:tc>
      </w:tr>
      <w:tr w14:paraId="26C7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284" w:type="dxa"/>
            <w:gridSpan w:val="2"/>
            <w:noWrap w:val="0"/>
            <w:vAlign w:val="center"/>
          </w:tcPr>
          <w:p w14:paraId="22EF3076">
            <w:pPr>
              <w:pStyle w:val="19"/>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2022年财产险公司经营评价结果评级</w:t>
            </w:r>
          </w:p>
        </w:tc>
        <w:tc>
          <w:tcPr>
            <w:tcW w:w="4352" w:type="dxa"/>
            <w:noWrap w:val="0"/>
            <w:vAlign w:val="center"/>
          </w:tcPr>
          <w:p w14:paraId="4759DB6E">
            <w:pPr>
              <w:pStyle w:val="19"/>
              <w:jc w:val="center"/>
              <w:rPr>
                <w:rFonts w:hint="eastAsia" w:ascii="宋体" w:hAnsi="宋体" w:eastAsia="宋体" w:cs="宋体"/>
                <w:color w:val="auto"/>
                <w:sz w:val="23"/>
                <w:szCs w:val="23"/>
                <w:highlight w:val="none"/>
              </w:rPr>
            </w:pPr>
          </w:p>
        </w:tc>
      </w:tr>
    </w:tbl>
    <w:p w14:paraId="7811BE1F">
      <w:pPr>
        <w:pStyle w:val="19"/>
        <w:spacing w:line="380" w:lineRule="exac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w:t>
      </w:r>
    </w:p>
    <w:p w14:paraId="37FE1F55">
      <w:pPr>
        <w:pStyle w:val="19"/>
        <w:spacing w:line="380" w:lineRule="exact"/>
        <w:ind w:left="0" w:leftChars="0" w:firstLine="418" w:firstLineChars="182"/>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1.以上数据应为</w:t>
      </w:r>
      <w:r>
        <w:rPr>
          <w:rFonts w:hint="eastAsia" w:ascii="宋体" w:hAnsi="宋体" w:eastAsia="宋体" w:cs="宋体"/>
          <w:color w:val="auto"/>
          <w:sz w:val="23"/>
          <w:szCs w:val="23"/>
          <w:highlight w:val="none"/>
          <w:lang w:eastAsia="zh-CN"/>
        </w:rPr>
        <w:t>承保机构</w:t>
      </w:r>
      <w:r>
        <w:rPr>
          <w:rFonts w:hint="eastAsia" w:ascii="宋体" w:hAnsi="宋体" w:eastAsia="宋体" w:cs="宋体"/>
          <w:color w:val="auto"/>
          <w:sz w:val="23"/>
          <w:szCs w:val="23"/>
          <w:highlight w:val="none"/>
        </w:rPr>
        <w:t>总公司的资料。</w:t>
      </w:r>
    </w:p>
    <w:p w14:paraId="26268473">
      <w:pPr>
        <w:pStyle w:val="19"/>
        <w:spacing w:line="380" w:lineRule="exact"/>
        <w:ind w:left="0" w:leftChars="0" w:firstLine="418" w:firstLineChars="182"/>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2.偿付能力</w:t>
      </w:r>
      <w:r>
        <w:rPr>
          <w:rFonts w:hint="eastAsia" w:ascii="宋体" w:hAnsi="宋体" w:eastAsia="宋体" w:cs="宋体"/>
          <w:color w:val="auto"/>
          <w:sz w:val="23"/>
          <w:szCs w:val="23"/>
          <w:highlight w:val="none"/>
          <w:lang w:eastAsia="zh-CN"/>
        </w:rPr>
        <w:t>近1年度（截止</w:t>
      </w:r>
      <w:r>
        <w:rPr>
          <w:rFonts w:hint="eastAsia" w:ascii="宋体" w:hAnsi="宋体" w:eastAsia="宋体" w:cs="宋体"/>
          <w:color w:val="auto"/>
          <w:sz w:val="23"/>
          <w:szCs w:val="23"/>
          <w:highlight w:val="none"/>
          <w:lang w:val="en-US" w:eastAsia="zh-CN"/>
        </w:rPr>
        <w:t>2023年12月31日</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偿付能力充足率或证明资料。（鉴于各</w:t>
      </w:r>
      <w:r>
        <w:rPr>
          <w:rFonts w:hint="eastAsia" w:ascii="宋体" w:hAnsi="宋体" w:eastAsia="宋体" w:cs="宋体"/>
          <w:color w:val="auto"/>
          <w:sz w:val="23"/>
          <w:szCs w:val="23"/>
          <w:highlight w:val="none"/>
          <w:lang w:eastAsia="zh-CN"/>
        </w:rPr>
        <w:t>承保机构</w:t>
      </w:r>
      <w:r>
        <w:rPr>
          <w:rFonts w:hint="eastAsia" w:ascii="宋体" w:hAnsi="宋体" w:eastAsia="宋体" w:cs="宋体"/>
          <w:color w:val="auto"/>
          <w:sz w:val="23"/>
          <w:szCs w:val="23"/>
          <w:highlight w:val="none"/>
        </w:rPr>
        <w:t>总公司的第三方机构审计报告正式形成时间不一致的情况，该项是请各</w:t>
      </w:r>
      <w:r>
        <w:rPr>
          <w:rFonts w:hint="eastAsia" w:ascii="宋体" w:hAnsi="宋体" w:eastAsia="宋体" w:cs="宋体"/>
          <w:color w:val="auto"/>
          <w:sz w:val="23"/>
          <w:szCs w:val="23"/>
          <w:highlight w:val="none"/>
          <w:lang w:val="en-US" w:eastAsia="zh-CN"/>
        </w:rPr>
        <w:t>磋商申请人（保险机构）</w:t>
      </w:r>
      <w:r>
        <w:rPr>
          <w:rFonts w:hint="eastAsia" w:ascii="宋体" w:hAnsi="宋体" w:eastAsia="宋体" w:cs="宋体"/>
          <w:color w:val="auto"/>
          <w:sz w:val="23"/>
          <w:szCs w:val="23"/>
          <w:highlight w:val="none"/>
        </w:rPr>
        <w:t>提供</w:t>
      </w:r>
      <w:r>
        <w:rPr>
          <w:rFonts w:hint="eastAsia" w:ascii="宋体" w:hAnsi="宋体" w:eastAsia="宋体" w:cs="宋体"/>
          <w:color w:val="auto"/>
          <w:sz w:val="23"/>
          <w:szCs w:val="23"/>
          <w:highlight w:val="none"/>
          <w:lang w:eastAsia="zh-CN"/>
        </w:rPr>
        <w:t>承保机构</w:t>
      </w:r>
      <w:r>
        <w:rPr>
          <w:rFonts w:hint="eastAsia" w:ascii="宋体" w:hAnsi="宋体" w:eastAsia="宋体" w:cs="宋体"/>
          <w:color w:val="auto"/>
          <w:sz w:val="23"/>
          <w:szCs w:val="23"/>
          <w:highlight w:val="none"/>
        </w:rPr>
        <w:t>总公司最新的一年的第三方机构审计报告，即提供</w:t>
      </w:r>
      <w:r>
        <w:rPr>
          <w:rFonts w:hint="eastAsia" w:ascii="宋体" w:hAnsi="宋体" w:eastAsia="宋体" w:cs="宋体"/>
          <w:color w:val="auto"/>
          <w:sz w:val="23"/>
          <w:szCs w:val="23"/>
          <w:highlight w:val="none"/>
          <w:lang w:eastAsia="zh-CN"/>
        </w:rPr>
        <w:t>承保机构</w:t>
      </w:r>
      <w:r>
        <w:rPr>
          <w:rFonts w:hint="eastAsia" w:ascii="宋体" w:hAnsi="宋体" w:eastAsia="宋体" w:cs="宋体"/>
          <w:color w:val="auto"/>
          <w:sz w:val="23"/>
          <w:szCs w:val="23"/>
          <w:highlight w:val="none"/>
        </w:rPr>
        <w:t>总公司202</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年第三方机构审计报告或公开披露信息数据，但必须所提供材料必须为最新一年的</w:t>
      </w:r>
      <w:r>
        <w:rPr>
          <w:rFonts w:hint="eastAsia" w:ascii="宋体" w:hAnsi="宋体" w:eastAsia="宋体" w:cs="宋体"/>
          <w:color w:val="auto"/>
          <w:sz w:val="23"/>
          <w:szCs w:val="23"/>
          <w:highlight w:val="none"/>
          <w:lang w:val="en-US" w:eastAsia="zh-CN"/>
        </w:rPr>
        <w:t>证明材料</w:t>
      </w:r>
      <w:r>
        <w:rPr>
          <w:rFonts w:hint="eastAsia" w:ascii="宋体" w:hAnsi="宋体" w:eastAsia="宋体" w:cs="宋体"/>
          <w:color w:val="auto"/>
          <w:sz w:val="23"/>
          <w:szCs w:val="23"/>
          <w:highlight w:val="none"/>
        </w:rPr>
        <w:t>扫描件）。</w:t>
      </w:r>
    </w:p>
    <w:p w14:paraId="33F8A95A">
      <w:pPr>
        <w:pStyle w:val="19"/>
        <w:spacing w:line="380" w:lineRule="exact"/>
        <w:ind w:left="0" w:leftChars="0" w:firstLine="418" w:firstLineChars="182"/>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3.中国保险行业协会公布的2021年、2022年财产险公司经营评价结果（提供证明资料扫描件）。</w:t>
      </w:r>
    </w:p>
    <w:p w14:paraId="1BD5D364">
      <w:pPr>
        <w:keepNext w:val="0"/>
        <w:keepLines w:val="0"/>
        <w:pageBreakBefore w:val="0"/>
        <w:widowControl/>
        <w:suppressLineNumbers w:val="0"/>
        <w:kinsoku/>
        <w:wordWrap/>
        <w:overflowPunct/>
        <w:topLinePunct w:val="0"/>
        <w:autoSpaceDE/>
        <w:autoSpaceDN/>
        <w:bidi w:val="0"/>
        <w:adjustRightInd/>
        <w:snapToGrid/>
        <w:spacing w:afterAutospacing="0" w:line="400" w:lineRule="exact"/>
        <w:ind w:left="0" w:leftChars="0" w:firstLine="384" w:firstLineChars="182"/>
        <w:jc w:val="left"/>
        <w:textAlignment w:val="center"/>
        <w:rPr>
          <w:rFonts w:hint="eastAsia" w:ascii="宋体" w:hAnsi="宋体" w:eastAsia="宋体" w:cs="宋体"/>
          <w:b/>
          <w:bCs/>
          <w:sz w:val="21"/>
          <w:szCs w:val="21"/>
        </w:rPr>
      </w:pPr>
    </w:p>
    <w:p w14:paraId="77BC6133">
      <w:pPr>
        <w:keepNext w:val="0"/>
        <w:keepLines w:val="0"/>
        <w:pageBreakBefore w:val="0"/>
        <w:widowControl/>
        <w:suppressLineNumbers w:val="0"/>
        <w:kinsoku/>
        <w:wordWrap/>
        <w:overflowPunct/>
        <w:topLinePunct w:val="0"/>
        <w:autoSpaceDE/>
        <w:autoSpaceDN/>
        <w:bidi w:val="0"/>
        <w:adjustRightInd/>
        <w:snapToGrid/>
        <w:spacing w:afterAutospacing="0" w:line="400" w:lineRule="exact"/>
        <w:ind w:left="0" w:leftChars="0" w:firstLine="384" w:firstLineChars="182"/>
        <w:jc w:val="left"/>
        <w:textAlignment w:val="center"/>
        <w:rPr>
          <w:rFonts w:hint="eastAsia" w:ascii="宋体" w:hAnsi="宋体" w:eastAsia="宋体" w:cs="宋体"/>
          <w:i w:val="0"/>
          <w:iCs w:val="0"/>
          <w:color w:val="auto"/>
          <w:kern w:val="0"/>
          <w:sz w:val="23"/>
          <w:szCs w:val="23"/>
          <w:highlight w:val="none"/>
          <w:u w:val="none"/>
          <w:lang w:val="en-US" w:eastAsia="zh-CN" w:bidi="ar"/>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p>
    <w:p w14:paraId="50B50E19">
      <w:pPr>
        <w:keepNext w:val="0"/>
        <w:keepLines w:val="0"/>
        <w:widowControl/>
        <w:suppressLineNumbers w:val="0"/>
        <w:jc w:val="left"/>
        <w:rPr>
          <w:rFonts w:hint="default" w:ascii="宋体" w:hAnsi="宋体" w:eastAsia="宋体" w:cs="宋体"/>
          <w:color w:val="auto"/>
          <w:sz w:val="23"/>
          <w:szCs w:val="23"/>
          <w:highlight w:val="none"/>
          <w:lang w:val="en-US" w:eastAsia="zh-CN"/>
        </w:rPr>
      </w:pPr>
    </w:p>
    <w:p w14:paraId="19FC3462">
      <w:pPr>
        <w:rPr>
          <w:rFonts w:hint="eastAsia" w:ascii="宋体" w:hAnsi="宋体" w:eastAsia="宋体" w:cs="宋体"/>
          <w:color w:val="auto"/>
          <w:sz w:val="23"/>
          <w:szCs w:val="23"/>
          <w:highlight w:val="none"/>
          <w:lang w:eastAsia="zh-CN"/>
        </w:rPr>
      </w:pPr>
    </w:p>
    <w:p w14:paraId="306B2557">
      <w:pPr>
        <w:rPr>
          <w:rFonts w:hint="eastAsia" w:ascii="宋体" w:hAnsi="宋体" w:eastAsia="宋体" w:cs="宋体"/>
          <w:color w:val="auto"/>
          <w:sz w:val="23"/>
          <w:szCs w:val="23"/>
          <w:highlight w:val="none"/>
          <w:lang w:eastAsia="zh-CN"/>
        </w:rPr>
      </w:pPr>
    </w:p>
    <w:p w14:paraId="006DEA7C">
      <w:pPr>
        <w:rPr>
          <w:rFonts w:hint="eastAsia" w:ascii="宋体" w:hAnsi="宋体" w:eastAsia="宋体" w:cs="宋体"/>
          <w:b/>
          <w:bCs/>
          <w:kern w:val="2"/>
          <w:sz w:val="28"/>
          <w:szCs w:val="28"/>
        </w:rPr>
      </w:pPr>
      <w:r>
        <w:rPr>
          <w:rFonts w:hint="eastAsia" w:ascii="宋体" w:hAnsi="宋体" w:eastAsia="宋体" w:cs="宋体"/>
          <w:b/>
          <w:color w:val="auto"/>
          <w:sz w:val="28"/>
          <w:szCs w:val="28"/>
          <w:highlight w:val="none"/>
        </w:rPr>
        <w:br w:type="page"/>
      </w:r>
    </w:p>
    <w:p w14:paraId="55476489">
      <w:pPr>
        <w:jc w:val="center"/>
        <w:rPr>
          <w:rFonts w:hint="eastAsia" w:ascii="宋体" w:hAnsi="宋体" w:eastAsia="宋体"/>
          <w:b/>
          <w:color w:val="auto"/>
          <w:sz w:val="28"/>
          <w:szCs w:val="28"/>
          <w:highlight w:val="none"/>
          <w:lang w:eastAsia="zh-CN"/>
        </w:rPr>
      </w:pPr>
      <w:bookmarkStart w:id="291" w:name="_Toc17180"/>
      <w:r>
        <w:rPr>
          <w:rFonts w:hint="eastAsia" w:ascii="宋体" w:hAnsi="宋体" w:eastAsia="宋体"/>
          <w:b/>
          <w:color w:val="auto"/>
          <w:sz w:val="28"/>
          <w:szCs w:val="28"/>
          <w:highlight w:val="none"/>
          <w:lang w:val="en-US" w:eastAsia="zh-CN"/>
        </w:rPr>
        <w:t>格式5：</w:t>
      </w:r>
      <w:r>
        <w:rPr>
          <w:rFonts w:hint="eastAsia" w:ascii="宋体" w:hAnsi="宋体" w:eastAsia="宋体"/>
          <w:b/>
          <w:color w:val="auto"/>
          <w:sz w:val="28"/>
          <w:szCs w:val="28"/>
          <w:highlight w:val="none"/>
          <w:lang w:eastAsia="zh-CN"/>
        </w:rPr>
        <w:t>拟投入本项目的</w:t>
      </w:r>
      <w:bookmarkEnd w:id="291"/>
      <w:r>
        <w:rPr>
          <w:rFonts w:hint="eastAsia" w:ascii="宋体" w:hAnsi="宋体" w:eastAsia="宋体"/>
          <w:b/>
          <w:color w:val="auto"/>
          <w:sz w:val="28"/>
          <w:szCs w:val="28"/>
          <w:highlight w:val="none"/>
          <w:lang w:eastAsia="zh-CN"/>
        </w:rPr>
        <w:t>团队服务机构情况</w:t>
      </w:r>
    </w:p>
    <w:p w14:paraId="1E0DC102">
      <w:pPr>
        <w:jc w:val="center"/>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5.1项目团队服务机构介绍</w:t>
      </w:r>
    </w:p>
    <w:p w14:paraId="665EE670">
      <w:pPr>
        <w:pStyle w:val="19"/>
        <w:spacing w:line="380" w:lineRule="exact"/>
        <w:rPr>
          <w:rFonts w:hint="eastAsia" w:ascii="宋体" w:hAnsi="宋体" w:eastAsia="宋体" w:cs="宋体"/>
          <w:color w:val="auto"/>
          <w:sz w:val="21"/>
          <w:szCs w:val="21"/>
          <w:highlight w:val="none"/>
        </w:rPr>
      </w:pPr>
    </w:p>
    <w:p w14:paraId="2A019856">
      <w:pPr>
        <w:pStyle w:val="19"/>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包含但</w:t>
      </w:r>
      <w:r>
        <w:rPr>
          <w:rFonts w:hint="eastAsia" w:ascii="宋体" w:hAnsi="宋体" w:eastAsia="宋体" w:cs="宋体"/>
          <w:color w:val="auto"/>
          <w:sz w:val="21"/>
          <w:szCs w:val="21"/>
          <w:highlight w:val="none"/>
          <w:lang w:eastAsia="zh-CN"/>
        </w:rPr>
        <w:t>不</w:t>
      </w:r>
      <w:r>
        <w:rPr>
          <w:rFonts w:hint="eastAsia" w:ascii="宋体" w:hAnsi="宋体" w:eastAsia="宋体" w:cs="宋体"/>
          <w:color w:val="auto"/>
          <w:sz w:val="21"/>
          <w:szCs w:val="21"/>
          <w:highlight w:val="none"/>
        </w:rPr>
        <w:t>限于项目团队服务机构的具体情况，团队组织架构介绍，根据本次保险范围和保险服务流程（如根据承保服务、</w:t>
      </w:r>
      <w:r>
        <w:rPr>
          <w:rFonts w:hint="eastAsia" w:ascii="宋体" w:hAnsi="宋体" w:eastAsia="宋体" w:cs="宋体"/>
          <w:color w:val="auto"/>
          <w:sz w:val="21"/>
          <w:szCs w:val="21"/>
          <w:highlight w:val="none"/>
          <w:lang w:val="en-US" w:eastAsia="zh-CN"/>
        </w:rPr>
        <w:t>保险宣传服务、</w:t>
      </w:r>
      <w:r>
        <w:rPr>
          <w:rFonts w:hint="eastAsia" w:ascii="宋体" w:hAnsi="宋体" w:eastAsia="宋体" w:cs="宋体"/>
          <w:color w:val="auto"/>
          <w:sz w:val="21"/>
          <w:szCs w:val="21"/>
          <w:highlight w:val="none"/>
        </w:rPr>
        <w:t>现场查勘、定损理赔服务等工作分工）等分别设置内部职能明确的小组情况、每个小组划定明确的工作范围权责说明，每个小组各类服务人员的管理、配备、分工情况介绍等内容，格式由</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自行设计。</w:t>
      </w:r>
    </w:p>
    <w:p w14:paraId="1F8B9D36">
      <w:pPr>
        <w:pStyle w:val="19"/>
        <w:spacing w:line="380" w:lineRule="exact"/>
        <w:ind w:firstLine="420" w:firstLineChars="200"/>
        <w:rPr>
          <w:rFonts w:hint="eastAsia" w:ascii="宋体" w:hAnsi="宋体" w:eastAsia="宋体" w:cs="宋体"/>
          <w:color w:val="auto"/>
          <w:sz w:val="21"/>
          <w:szCs w:val="21"/>
          <w:highlight w:val="none"/>
        </w:rPr>
      </w:pPr>
    </w:p>
    <w:p w14:paraId="24922609">
      <w:pPr>
        <w:pStyle w:val="19"/>
        <w:spacing w:line="38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p>
    <w:p w14:paraId="18A4D3C3">
      <w:pPr>
        <w:rPr>
          <w:rFonts w:hint="eastAsia" w:ascii="宋体" w:hAnsi="宋体" w:eastAsia="宋体" w:cs="宋体"/>
          <w:color w:val="auto"/>
          <w:highlight w:val="none"/>
        </w:rPr>
      </w:pPr>
    </w:p>
    <w:p w14:paraId="29F0AEFA">
      <w:pPr>
        <w:pStyle w:val="9"/>
        <w:ind w:firstLine="560"/>
        <w:rPr>
          <w:rFonts w:hint="eastAsia" w:ascii="宋体" w:hAnsi="宋体" w:eastAsia="宋体" w:cs="宋体"/>
          <w:color w:val="auto"/>
          <w:highlight w:val="none"/>
        </w:rPr>
      </w:pPr>
    </w:p>
    <w:p w14:paraId="6F1D09C7">
      <w:pPr>
        <w:rPr>
          <w:rFonts w:hint="eastAsia" w:ascii="宋体" w:hAnsi="宋体" w:eastAsia="宋体" w:cs="宋体"/>
          <w:color w:val="auto"/>
          <w:highlight w:val="none"/>
        </w:rPr>
      </w:pPr>
    </w:p>
    <w:p w14:paraId="0C686ACB">
      <w:pPr>
        <w:pStyle w:val="9"/>
        <w:ind w:firstLine="560"/>
        <w:rPr>
          <w:rFonts w:hint="eastAsia" w:ascii="宋体" w:hAnsi="宋体" w:eastAsia="宋体" w:cs="宋体"/>
          <w:color w:val="auto"/>
          <w:highlight w:val="none"/>
        </w:rPr>
      </w:pPr>
    </w:p>
    <w:p w14:paraId="53712D6B">
      <w:pPr>
        <w:jc w:val="center"/>
        <w:rPr>
          <w:rFonts w:hint="eastAsia" w:ascii="宋体" w:hAnsi="宋体" w:eastAsia="宋体" w:cs="宋体"/>
          <w:b/>
          <w:bCs/>
          <w:color w:val="auto"/>
          <w:sz w:val="24"/>
          <w:highlight w:val="none"/>
        </w:rPr>
      </w:pPr>
      <w:r>
        <w:rPr>
          <w:rFonts w:hint="eastAsia" w:ascii="宋体" w:hAnsi="宋体" w:eastAsia="宋体" w:cs="宋体"/>
          <w:color w:val="auto"/>
          <w:highlight w:val="none"/>
        </w:rPr>
        <w:br w:type="page"/>
      </w:r>
      <w:r>
        <w:rPr>
          <w:rFonts w:hint="eastAsia" w:ascii="宋体" w:hAnsi="宋体" w:eastAsia="宋体" w:cs="宋体"/>
          <w:b/>
          <w:color w:val="auto"/>
          <w:kern w:val="2"/>
          <w:sz w:val="28"/>
          <w:szCs w:val="28"/>
          <w:highlight w:val="none"/>
          <w:lang w:val="en-US" w:eastAsia="zh-CN" w:bidi="ar-SA"/>
        </w:rPr>
        <w:t>5.2拟投入本项目的服务人员配置汇总表</w:t>
      </w:r>
    </w:p>
    <w:p w14:paraId="2013FF43">
      <w:pPr>
        <w:pStyle w:val="9"/>
        <w:ind w:firstLine="560"/>
        <w:rPr>
          <w:rFonts w:hint="eastAsia" w:ascii="宋体" w:hAnsi="宋体" w:eastAsia="宋体" w:cs="宋体"/>
          <w:color w:val="auto"/>
          <w:highlight w:val="none"/>
        </w:rPr>
      </w:pPr>
    </w:p>
    <w:tbl>
      <w:tblPr>
        <w:tblStyle w:val="31"/>
        <w:tblW w:w="103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035"/>
        <w:gridCol w:w="1973"/>
        <w:gridCol w:w="997"/>
        <w:gridCol w:w="1065"/>
        <w:gridCol w:w="1827"/>
        <w:gridCol w:w="1378"/>
        <w:gridCol w:w="1461"/>
      </w:tblGrid>
      <w:tr w14:paraId="5B47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645" w:type="dxa"/>
            <w:noWrap w:val="0"/>
            <w:vAlign w:val="center"/>
          </w:tcPr>
          <w:p w14:paraId="7D321696">
            <w:pP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035" w:type="dxa"/>
            <w:noWrap w:val="0"/>
            <w:vAlign w:val="center"/>
          </w:tcPr>
          <w:p w14:paraId="3035C5D6">
            <w:pPr>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973" w:type="dxa"/>
            <w:noWrap w:val="0"/>
            <w:vAlign w:val="center"/>
          </w:tcPr>
          <w:p w14:paraId="2AD097E3">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人员所属单位名称及现服务地区（明确到具体州市、县级情况）</w:t>
            </w:r>
          </w:p>
        </w:tc>
        <w:tc>
          <w:tcPr>
            <w:tcW w:w="997" w:type="dxa"/>
            <w:noWrap w:val="0"/>
            <w:vAlign w:val="center"/>
          </w:tcPr>
          <w:p w14:paraId="21B5160A">
            <w:pPr>
              <w:jc w:val="center"/>
              <w:rPr>
                <w:rFonts w:hint="eastAsia" w:ascii="宋体" w:hAnsi="宋体" w:eastAsia="宋体" w:cs="宋体"/>
                <w:color w:val="auto"/>
                <w:highlight w:val="none"/>
              </w:rPr>
            </w:pPr>
            <w:r>
              <w:rPr>
                <w:rFonts w:hint="eastAsia" w:ascii="宋体" w:hAnsi="宋体" w:eastAsia="宋体" w:cs="宋体"/>
                <w:color w:val="auto"/>
                <w:highlight w:val="none"/>
              </w:rPr>
              <w:t>职位</w:t>
            </w:r>
          </w:p>
        </w:tc>
        <w:tc>
          <w:tcPr>
            <w:tcW w:w="1065" w:type="dxa"/>
            <w:noWrap w:val="0"/>
            <w:vAlign w:val="center"/>
          </w:tcPr>
          <w:p w14:paraId="3AE44827">
            <w:pPr>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1827" w:type="dxa"/>
            <w:noWrap w:val="0"/>
            <w:vAlign w:val="center"/>
          </w:tcPr>
          <w:p w14:paraId="35B65BB6">
            <w:pPr>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本项目拟任岗位</w:t>
            </w:r>
          </w:p>
        </w:tc>
        <w:tc>
          <w:tcPr>
            <w:tcW w:w="1378" w:type="dxa"/>
            <w:noWrap w:val="0"/>
            <w:vAlign w:val="center"/>
          </w:tcPr>
          <w:p w14:paraId="1A17444E">
            <w:pPr>
              <w:jc w:val="cente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1461" w:type="dxa"/>
            <w:noWrap w:val="0"/>
            <w:vAlign w:val="center"/>
          </w:tcPr>
          <w:p w14:paraId="3368D3E2">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保险服务 </w:t>
            </w:r>
            <w:r>
              <w:rPr>
                <w:rFonts w:hint="eastAsia" w:ascii="宋体" w:hAnsi="宋体" w:eastAsia="宋体" w:cs="宋体"/>
                <w:color w:val="auto"/>
                <w:highlight w:val="none"/>
                <w:lang w:val="en-US" w:eastAsia="zh-CN"/>
              </w:rPr>
              <w:t>从业</w:t>
            </w:r>
            <w:r>
              <w:rPr>
                <w:rFonts w:hint="eastAsia" w:ascii="宋体" w:hAnsi="宋体" w:eastAsia="宋体" w:cs="宋体"/>
                <w:color w:val="auto"/>
                <w:highlight w:val="none"/>
              </w:rPr>
              <w:t>年限</w:t>
            </w:r>
          </w:p>
        </w:tc>
      </w:tr>
      <w:tr w14:paraId="7044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768D45C1">
            <w:pPr>
              <w:pStyle w:val="19"/>
              <w:jc w:val="center"/>
              <w:rPr>
                <w:rFonts w:hint="eastAsia" w:ascii="宋体" w:hAnsi="宋体" w:eastAsia="宋体" w:cs="宋体"/>
                <w:color w:val="auto"/>
                <w:sz w:val="28"/>
                <w:szCs w:val="28"/>
                <w:highlight w:val="none"/>
              </w:rPr>
            </w:pPr>
          </w:p>
        </w:tc>
        <w:tc>
          <w:tcPr>
            <w:tcW w:w="1035" w:type="dxa"/>
            <w:noWrap w:val="0"/>
            <w:vAlign w:val="center"/>
          </w:tcPr>
          <w:p w14:paraId="7F509869">
            <w:pPr>
              <w:pStyle w:val="19"/>
              <w:jc w:val="center"/>
              <w:rPr>
                <w:rFonts w:hint="eastAsia" w:ascii="宋体" w:hAnsi="宋体" w:eastAsia="宋体" w:cs="宋体"/>
                <w:color w:val="auto"/>
                <w:sz w:val="28"/>
                <w:szCs w:val="28"/>
                <w:highlight w:val="none"/>
              </w:rPr>
            </w:pPr>
          </w:p>
        </w:tc>
        <w:tc>
          <w:tcPr>
            <w:tcW w:w="1973" w:type="dxa"/>
            <w:noWrap w:val="0"/>
            <w:vAlign w:val="center"/>
          </w:tcPr>
          <w:p w14:paraId="5097AE2C">
            <w:pPr>
              <w:pStyle w:val="19"/>
              <w:jc w:val="center"/>
              <w:rPr>
                <w:rFonts w:hint="eastAsia" w:ascii="宋体" w:hAnsi="宋体" w:eastAsia="宋体" w:cs="宋体"/>
                <w:color w:val="auto"/>
                <w:sz w:val="28"/>
                <w:szCs w:val="28"/>
                <w:highlight w:val="none"/>
              </w:rPr>
            </w:pPr>
          </w:p>
        </w:tc>
        <w:tc>
          <w:tcPr>
            <w:tcW w:w="997" w:type="dxa"/>
            <w:noWrap w:val="0"/>
            <w:vAlign w:val="center"/>
          </w:tcPr>
          <w:p w14:paraId="5256ED99">
            <w:pPr>
              <w:pStyle w:val="19"/>
              <w:jc w:val="center"/>
              <w:rPr>
                <w:rFonts w:hint="eastAsia" w:ascii="宋体" w:hAnsi="宋体" w:eastAsia="宋体" w:cs="宋体"/>
                <w:color w:val="auto"/>
                <w:sz w:val="28"/>
                <w:szCs w:val="28"/>
                <w:highlight w:val="none"/>
              </w:rPr>
            </w:pPr>
          </w:p>
        </w:tc>
        <w:tc>
          <w:tcPr>
            <w:tcW w:w="1065" w:type="dxa"/>
            <w:noWrap w:val="0"/>
            <w:vAlign w:val="center"/>
          </w:tcPr>
          <w:p w14:paraId="466E1DAD">
            <w:pPr>
              <w:pStyle w:val="19"/>
              <w:jc w:val="center"/>
              <w:rPr>
                <w:rFonts w:hint="eastAsia" w:ascii="宋体" w:hAnsi="宋体" w:eastAsia="宋体" w:cs="宋体"/>
                <w:color w:val="auto"/>
                <w:sz w:val="28"/>
                <w:szCs w:val="28"/>
                <w:highlight w:val="none"/>
              </w:rPr>
            </w:pPr>
          </w:p>
        </w:tc>
        <w:tc>
          <w:tcPr>
            <w:tcW w:w="1827" w:type="dxa"/>
            <w:noWrap w:val="0"/>
            <w:vAlign w:val="center"/>
          </w:tcPr>
          <w:p w14:paraId="3DA428EE">
            <w:pPr>
              <w:pStyle w:val="19"/>
              <w:jc w:val="center"/>
              <w:rPr>
                <w:rFonts w:hint="eastAsia" w:ascii="宋体" w:hAnsi="宋体" w:eastAsia="宋体" w:cs="宋体"/>
                <w:color w:val="auto"/>
                <w:sz w:val="28"/>
                <w:szCs w:val="28"/>
                <w:highlight w:val="none"/>
              </w:rPr>
            </w:pPr>
          </w:p>
        </w:tc>
        <w:tc>
          <w:tcPr>
            <w:tcW w:w="1378" w:type="dxa"/>
            <w:noWrap w:val="0"/>
            <w:vAlign w:val="center"/>
          </w:tcPr>
          <w:p w14:paraId="0E062E62">
            <w:pPr>
              <w:pStyle w:val="19"/>
              <w:jc w:val="center"/>
              <w:rPr>
                <w:rFonts w:hint="eastAsia" w:ascii="宋体" w:hAnsi="宋体" w:eastAsia="宋体" w:cs="宋体"/>
                <w:color w:val="auto"/>
                <w:sz w:val="28"/>
                <w:szCs w:val="28"/>
                <w:highlight w:val="none"/>
              </w:rPr>
            </w:pPr>
          </w:p>
        </w:tc>
        <w:tc>
          <w:tcPr>
            <w:tcW w:w="1461" w:type="dxa"/>
            <w:noWrap w:val="0"/>
            <w:vAlign w:val="center"/>
          </w:tcPr>
          <w:p w14:paraId="7728EECA">
            <w:pPr>
              <w:pStyle w:val="19"/>
              <w:jc w:val="center"/>
              <w:rPr>
                <w:rFonts w:hint="eastAsia" w:ascii="宋体" w:hAnsi="宋体" w:eastAsia="宋体" w:cs="宋体"/>
                <w:color w:val="auto"/>
                <w:sz w:val="28"/>
                <w:szCs w:val="28"/>
                <w:highlight w:val="none"/>
              </w:rPr>
            </w:pPr>
          </w:p>
        </w:tc>
      </w:tr>
      <w:tr w14:paraId="4807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44DE0BC5">
            <w:pPr>
              <w:pStyle w:val="19"/>
              <w:jc w:val="center"/>
              <w:rPr>
                <w:rFonts w:hint="eastAsia" w:ascii="宋体" w:hAnsi="宋体" w:eastAsia="宋体" w:cs="宋体"/>
                <w:color w:val="auto"/>
                <w:sz w:val="28"/>
                <w:szCs w:val="28"/>
                <w:highlight w:val="none"/>
              </w:rPr>
            </w:pPr>
          </w:p>
        </w:tc>
        <w:tc>
          <w:tcPr>
            <w:tcW w:w="1035" w:type="dxa"/>
            <w:noWrap w:val="0"/>
            <w:vAlign w:val="center"/>
          </w:tcPr>
          <w:p w14:paraId="59A15813">
            <w:pPr>
              <w:pStyle w:val="19"/>
              <w:jc w:val="center"/>
              <w:rPr>
                <w:rFonts w:hint="eastAsia" w:ascii="宋体" w:hAnsi="宋体" w:eastAsia="宋体" w:cs="宋体"/>
                <w:color w:val="auto"/>
                <w:sz w:val="28"/>
                <w:szCs w:val="28"/>
                <w:highlight w:val="none"/>
              </w:rPr>
            </w:pPr>
          </w:p>
        </w:tc>
        <w:tc>
          <w:tcPr>
            <w:tcW w:w="1973" w:type="dxa"/>
            <w:noWrap w:val="0"/>
            <w:vAlign w:val="center"/>
          </w:tcPr>
          <w:p w14:paraId="321F6A44">
            <w:pPr>
              <w:pStyle w:val="19"/>
              <w:jc w:val="center"/>
              <w:rPr>
                <w:rFonts w:hint="eastAsia" w:ascii="宋体" w:hAnsi="宋体" w:eastAsia="宋体" w:cs="宋体"/>
                <w:color w:val="auto"/>
                <w:sz w:val="28"/>
                <w:szCs w:val="28"/>
                <w:highlight w:val="none"/>
              </w:rPr>
            </w:pPr>
          </w:p>
        </w:tc>
        <w:tc>
          <w:tcPr>
            <w:tcW w:w="997" w:type="dxa"/>
            <w:noWrap w:val="0"/>
            <w:vAlign w:val="center"/>
          </w:tcPr>
          <w:p w14:paraId="49DD27D2">
            <w:pPr>
              <w:pStyle w:val="19"/>
              <w:jc w:val="center"/>
              <w:rPr>
                <w:rFonts w:hint="eastAsia" w:ascii="宋体" w:hAnsi="宋体" w:eastAsia="宋体" w:cs="宋体"/>
                <w:color w:val="auto"/>
                <w:sz w:val="28"/>
                <w:szCs w:val="28"/>
                <w:highlight w:val="none"/>
              </w:rPr>
            </w:pPr>
          </w:p>
        </w:tc>
        <w:tc>
          <w:tcPr>
            <w:tcW w:w="1065" w:type="dxa"/>
            <w:noWrap w:val="0"/>
            <w:vAlign w:val="center"/>
          </w:tcPr>
          <w:p w14:paraId="54E4D022">
            <w:pPr>
              <w:pStyle w:val="19"/>
              <w:jc w:val="center"/>
              <w:rPr>
                <w:rFonts w:hint="eastAsia" w:ascii="宋体" w:hAnsi="宋体" w:eastAsia="宋体" w:cs="宋体"/>
                <w:color w:val="auto"/>
                <w:sz w:val="28"/>
                <w:szCs w:val="28"/>
                <w:highlight w:val="none"/>
              </w:rPr>
            </w:pPr>
          </w:p>
        </w:tc>
        <w:tc>
          <w:tcPr>
            <w:tcW w:w="1827" w:type="dxa"/>
            <w:noWrap w:val="0"/>
            <w:vAlign w:val="center"/>
          </w:tcPr>
          <w:p w14:paraId="314EF2FB">
            <w:pPr>
              <w:pStyle w:val="19"/>
              <w:jc w:val="center"/>
              <w:rPr>
                <w:rFonts w:hint="eastAsia" w:ascii="宋体" w:hAnsi="宋体" w:eastAsia="宋体" w:cs="宋体"/>
                <w:color w:val="auto"/>
                <w:sz w:val="28"/>
                <w:szCs w:val="28"/>
                <w:highlight w:val="none"/>
              </w:rPr>
            </w:pPr>
          </w:p>
        </w:tc>
        <w:tc>
          <w:tcPr>
            <w:tcW w:w="1378" w:type="dxa"/>
            <w:noWrap w:val="0"/>
            <w:vAlign w:val="center"/>
          </w:tcPr>
          <w:p w14:paraId="49F75AEE">
            <w:pPr>
              <w:pStyle w:val="19"/>
              <w:jc w:val="center"/>
              <w:rPr>
                <w:rFonts w:hint="eastAsia" w:ascii="宋体" w:hAnsi="宋体" w:eastAsia="宋体" w:cs="宋体"/>
                <w:color w:val="auto"/>
                <w:sz w:val="28"/>
                <w:szCs w:val="28"/>
                <w:highlight w:val="none"/>
              </w:rPr>
            </w:pPr>
          </w:p>
        </w:tc>
        <w:tc>
          <w:tcPr>
            <w:tcW w:w="1461" w:type="dxa"/>
            <w:noWrap w:val="0"/>
            <w:vAlign w:val="center"/>
          </w:tcPr>
          <w:p w14:paraId="2E17D9DE">
            <w:pPr>
              <w:pStyle w:val="19"/>
              <w:jc w:val="center"/>
              <w:rPr>
                <w:rFonts w:hint="eastAsia" w:ascii="宋体" w:hAnsi="宋体" w:eastAsia="宋体" w:cs="宋体"/>
                <w:color w:val="auto"/>
                <w:sz w:val="28"/>
                <w:szCs w:val="28"/>
                <w:highlight w:val="none"/>
              </w:rPr>
            </w:pPr>
          </w:p>
        </w:tc>
      </w:tr>
      <w:tr w14:paraId="219A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306C2CA8">
            <w:pPr>
              <w:pStyle w:val="19"/>
              <w:jc w:val="center"/>
              <w:rPr>
                <w:rFonts w:hint="eastAsia" w:ascii="宋体" w:hAnsi="宋体" w:eastAsia="宋体" w:cs="宋体"/>
                <w:color w:val="auto"/>
                <w:sz w:val="28"/>
                <w:szCs w:val="28"/>
                <w:highlight w:val="none"/>
              </w:rPr>
            </w:pPr>
          </w:p>
        </w:tc>
        <w:tc>
          <w:tcPr>
            <w:tcW w:w="1035" w:type="dxa"/>
            <w:noWrap w:val="0"/>
            <w:vAlign w:val="center"/>
          </w:tcPr>
          <w:p w14:paraId="3030BF49">
            <w:pPr>
              <w:pStyle w:val="19"/>
              <w:jc w:val="center"/>
              <w:rPr>
                <w:rFonts w:hint="eastAsia" w:ascii="宋体" w:hAnsi="宋体" w:eastAsia="宋体" w:cs="宋体"/>
                <w:color w:val="auto"/>
                <w:sz w:val="28"/>
                <w:szCs w:val="28"/>
                <w:highlight w:val="none"/>
              </w:rPr>
            </w:pPr>
          </w:p>
        </w:tc>
        <w:tc>
          <w:tcPr>
            <w:tcW w:w="1973" w:type="dxa"/>
            <w:noWrap w:val="0"/>
            <w:vAlign w:val="center"/>
          </w:tcPr>
          <w:p w14:paraId="1329D667">
            <w:pPr>
              <w:pStyle w:val="19"/>
              <w:jc w:val="center"/>
              <w:rPr>
                <w:rFonts w:hint="eastAsia" w:ascii="宋体" w:hAnsi="宋体" w:eastAsia="宋体" w:cs="宋体"/>
                <w:color w:val="auto"/>
                <w:sz w:val="28"/>
                <w:szCs w:val="28"/>
                <w:highlight w:val="none"/>
              </w:rPr>
            </w:pPr>
          </w:p>
        </w:tc>
        <w:tc>
          <w:tcPr>
            <w:tcW w:w="997" w:type="dxa"/>
            <w:noWrap w:val="0"/>
            <w:vAlign w:val="center"/>
          </w:tcPr>
          <w:p w14:paraId="34588614">
            <w:pPr>
              <w:pStyle w:val="19"/>
              <w:jc w:val="center"/>
              <w:rPr>
                <w:rFonts w:hint="eastAsia" w:ascii="宋体" w:hAnsi="宋体" w:eastAsia="宋体" w:cs="宋体"/>
                <w:color w:val="auto"/>
                <w:sz w:val="28"/>
                <w:szCs w:val="28"/>
                <w:highlight w:val="none"/>
              </w:rPr>
            </w:pPr>
          </w:p>
        </w:tc>
        <w:tc>
          <w:tcPr>
            <w:tcW w:w="1065" w:type="dxa"/>
            <w:noWrap w:val="0"/>
            <w:vAlign w:val="center"/>
          </w:tcPr>
          <w:p w14:paraId="0A046D08">
            <w:pPr>
              <w:pStyle w:val="19"/>
              <w:jc w:val="center"/>
              <w:rPr>
                <w:rFonts w:hint="eastAsia" w:ascii="宋体" w:hAnsi="宋体" w:eastAsia="宋体" w:cs="宋体"/>
                <w:color w:val="auto"/>
                <w:sz w:val="28"/>
                <w:szCs w:val="28"/>
                <w:highlight w:val="none"/>
              </w:rPr>
            </w:pPr>
          </w:p>
        </w:tc>
        <w:tc>
          <w:tcPr>
            <w:tcW w:w="1827" w:type="dxa"/>
            <w:noWrap w:val="0"/>
            <w:vAlign w:val="center"/>
          </w:tcPr>
          <w:p w14:paraId="73EC621C">
            <w:pPr>
              <w:pStyle w:val="19"/>
              <w:jc w:val="center"/>
              <w:rPr>
                <w:rFonts w:hint="eastAsia" w:ascii="宋体" w:hAnsi="宋体" w:eastAsia="宋体" w:cs="宋体"/>
                <w:color w:val="auto"/>
                <w:sz w:val="28"/>
                <w:szCs w:val="28"/>
                <w:highlight w:val="none"/>
              </w:rPr>
            </w:pPr>
          </w:p>
        </w:tc>
        <w:tc>
          <w:tcPr>
            <w:tcW w:w="1378" w:type="dxa"/>
            <w:noWrap w:val="0"/>
            <w:vAlign w:val="center"/>
          </w:tcPr>
          <w:p w14:paraId="18EBD654">
            <w:pPr>
              <w:pStyle w:val="19"/>
              <w:jc w:val="center"/>
              <w:rPr>
                <w:rFonts w:hint="eastAsia" w:ascii="宋体" w:hAnsi="宋体" w:eastAsia="宋体" w:cs="宋体"/>
                <w:color w:val="auto"/>
                <w:sz w:val="28"/>
                <w:szCs w:val="28"/>
                <w:highlight w:val="none"/>
              </w:rPr>
            </w:pPr>
          </w:p>
        </w:tc>
        <w:tc>
          <w:tcPr>
            <w:tcW w:w="1461" w:type="dxa"/>
            <w:noWrap w:val="0"/>
            <w:vAlign w:val="center"/>
          </w:tcPr>
          <w:p w14:paraId="5AE98B6E">
            <w:pPr>
              <w:pStyle w:val="19"/>
              <w:jc w:val="center"/>
              <w:rPr>
                <w:rFonts w:hint="eastAsia" w:ascii="宋体" w:hAnsi="宋体" w:eastAsia="宋体" w:cs="宋体"/>
                <w:color w:val="auto"/>
                <w:sz w:val="28"/>
                <w:szCs w:val="28"/>
                <w:highlight w:val="none"/>
              </w:rPr>
            </w:pPr>
          </w:p>
        </w:tc>
      </w:tr>
      <w:tr w14:paraId="42CB0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381A9518">
            <w:pPr>
              <w:pStyle w:val="19"/>
              <w:jc w:val="center"/>
              <w:rPr>
                <w:rFonts w:hint="eastAsia" w:ascii="宋体" w:hAnsi="宋体" w:eastAsia="宋体" w:cs="宋体"/>
                <w:color w:val="auto"/>
                <w:sz w:val="28"/>
                <w:szCs w:val="28"/>
                <w:highlight w:val="none"/>
              </w:rPr>
            </w:pPr>
          </w:p>
        </w:tc>
        <w:tc>
          <w:tcPr>
            <w:tcW w:w="1035" w:type="dxa"/>
            <w:noWrap w:val="0"/>
            <w:vAlign w:val="center"/>
          </w:tcPr>
          <w:p w14:paraId="0EF0C2FB">
            <w:pPr>
              <w:pStyle w:val="19"/>
              <w:jc w:val="center"/>
              <w:rPr>
                <w:rFonts w:hint="eastAsia" w:ascii="宋体" w:hAnsi="宋体" w:eastAsia="宋体" w:cs="宋体"/>
                <w:color w:val="auto"/>
                <w:sz w:val="28"/>
                <w:szCs w:val="28"/>
                <w:highlight w:val="none"/>
              </w:rPr>
            </w:pPr>
          </w:p>
        </w:tc>
        <w:tc>
          <w:tcPr>
            <w:tcW w:w="1973" w:type="dxa"/>
            <w:noWrap w:val="0"/>
            <w:vAlign w:val="center"/>
          </w:tcPr>
          <w:p w14:paraId="23F7B853">
            <w:pPr>
              <w:pStyle w:val="19"/>
              <w:jc w:val="center"/>
              <w:rPr>
                <w:rFonts w:hint="eastAsia" w:ascii="宋体" w:hAnsi="宋体" w:eastAsia="宋体" w:cs="宋体"/>
                <w:color w:val="auto"/>
                <w:sz w:val="28"/>
                <w:szCs w:val="28"/>
                <w:highlight w:val="none"/>
              </w:rPr>
            </w:pPr>
          </w:p>
        </w:tc>
        <w:tc>
          <w:tcPr>
            <w:tcW w:w="997" w:type="dxa"/>
            <w:noWrap w:val="0"/>
            <w:vAlign w:val="center"/>
          </w:tcPr>
          <w:p w14:paraId="0264A174">
            <w:pPr>
              <w:pStyle w:val="19"/>
              <w:jc w:val="center"/>
              <w:rPr>
                <w:rFonts w:hint="eastAsia" w:ascii="宋体" w:hAnsi="宋体" w:eastAsia="宋体" w:cs="宋体"/>
                <w:color w:val="auto"/>
                <w:sz w:val="28"/>
                <w:szCs w:val="28"/>
                <w:highlight w:val="none"/>
              </w:rPr>
            </w:pPr>
          </w:p>
        </w:tc>
        <w:tc>
          <w:tcPr>
            <w:tcW w:w="1065" w:type="dxa"/>
            <w:noWrap w:val="0"/>
            <w:vAlign w:val="center"/>
          </w:tcPr>
          <w:p w14:paraId="608EC602">
            <w:pPr>
              <w:pStyle w:val="19"/>
              <w:jc w:val="center"/>
              <w:rPr>
                <w:rFonts w:hint="eastAsia" w:ascii="宋体" w:hAnsi="宋体" w:eastAsia="宋体" w:cs="宋体"/>
                <w:color w:val="auto"/>
                <w:sz w:val="28"/>
                <w:szCs w:val="28"/>
                <w:highlight w:val="none"/>
              </w:rPr>
            </w:pPr>
          </w:p>
        </w:tc>
        <w:tc>
          <w:tcPr>
            <w:tcW w:w="1827" w:type="dxa"/>
            <w:noWrap w:val="0"/>
            <w:vAlign w:val="center"/>
          </w:tcPr>
          <w:p w14:paraId="778799B9">
            <w:pPr>
              <w:pStyle w:val="19"/>
              <w:jc w:val="center"/>
              <w:rPr>
                <w:rFonts w:hint="eastAsia" w:ascii="宋体" w:hAnsi="宋体" w:eastAsia="宋体" w:cs="宋体"/>
                <w:color w:val="auto"/>
                <w:sz w:val="28"/>
                <w:szCs w:val="28"/>
                <w:highlight w:val="none"/>
              </w:rPr>
            </w:pPr>
          </w:p>
        </w:tc>
        <w:tc>
          <w:tcPr>
            <w:tcW w:w="1378" w:type="dxa"/>
            <w:noWrap w:val="0"/>
            <w:vAlign w:val="center"/>
          </w:tcPr>
          <w:p w14:paraId="2A92DE99">
            <w:pPr>
              <w:pStyle w:val="19"/>
              <w:jc w:val="center"/>
              <w:rPr>
                <w:rFonts w:hint="eastAsia" w:ascii="宋体" w:hAnsi="宋体" w:eastAsia="宋体" w:cs="宋体"/>
                <w:color w:val="auto"/>
                <w:sz w:val="28"/>
                <w:szCs w:val="28"/>
                <w:highlight w:val="none"/>
              </w:rPr>
            </w:pPr>
          </w:p>
        </w:tc>
        <w:tc>
          <w:tcPr>
            <w:tcW w:w="1461" w:type="dxa"/>
            <w:noWrap w:val="0"/>
            <w:vAlign w:val="center"/>
          </w:tcPr>
          <w:p w14:paraId="10206E39">
            <w:pPr>
              <w:pStyle w:val="19"/>
              <w:jc w:val="center"/>
              <w:rPr>
                <w:rFonts w:hint="eastAsia" w:ascii="宋体" w:hAnsi="宋体" w:eastAsia="宋体" w:cs="宋体"/>
                <w:color w:val="auto"/>
                <w:sz w:val="28"/>
                <w:szCs w:val="28"/>
                <w:highlight w:val="none"/>
              </w:rPr>
            </w:pPr>
          </w:p>
        </w:tc>
      </w:tr>
      <w:tr w14:paraId="14A37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71FFD1F6">
            <w:pPr>
              <w:pStyle w:val="19"/>
              <w:jc w:val="center"/>
              <w:rPr>
                <w:rFonts w:hint="eastAsia" w:ascii="宋体" w:hAnsi="宋体" w:eastAsia="宋体" w:cs="宋体"/>
                <w:color w:val="auto"/>
                <w:sz w:val="28"/>
                <w:szCs w:val="28"/>
                <w:highlight w:val="none"/>
              </w:rPr>
            </w:pPr>
          </w:p>
        </w:tc>
        <w:tc>
          <w:tcPr>
            <w:tcW w:w="1035" w:type="dxa"/>
            <w:noWrap w:val="0"/>
            <w:vAlign w:val="center"/>
          </w:tcPr>
          <w:p w14:paraId="73261C70">
            <w:pPr>
              <w:pStyle w:val="19"/>
              <w:jc w:val="center"/>
              <w:rPr>
                <w:rFonts w:hint="eastAsia" w:ascii="宋体" w:hAnsi="宋体" w:eastAsia="宋体" w:cs="宋体"/>
                <w:color w:val="auto"/>
                <w:sz w:val="28"/>
                <w:szCs w:val="28"/>
                <w:highlight w:val="none"/>
              </w:rPr>
            </w:pPr>
          </w:p>
        </w:tc>
        <w:tc>
          <w:tcPr>
            <w:tcW w:w="1973" w:type="dxa"/>
            <w:noWrap w:val="0"/>
            <w:vAlign w:val="center"/>
          </w:tcPr>
          <w:p w14:paraId="24362E1B">
            <w:pPr>
              <w:pStyle w:val="19"/>
              <w:jc w:val="center"/>
              <w:rPr>
                <w:rFonts w:hint="eastAsia" w:ascii="宋体" w:hAnsi="宋体" w:eastAsia="宋体" w:cs="宋体"/>
                <w:color w:val="auto"/>
                <w:sz w:val="28"/>
                <w:szCs w:val="28"/>
                <w:highlight w:val="none"/>
              </w:rPr>
            </w:pPr>
          </w:p>
        </w:tc>
        <w:tc>
          <w:tcPr>
            <w:tcW w:w="997" w:type="dxa"/>
            <w:noWrap w:val="0"/>
            <w:vAlign w:val="center"/>
          </w:tcPr>
          <w:p w14:paraId="64861E08">
            <w:pPr>
              <w:pStyle w:val="19"/>
              <w:jc w:val="center"/>
              <w:rPr>
                <w:rFonts w:hint="eastAsia" w:ascii="宋体" w:hAnsi="宋体" w:eastAsia="宋体" w:cs="宋体"/>
                <w:color w:val="auto"/>
                <w:sz w:val="28"/>
                <w:szCs w:val="28"/>
                <w:highlight w:val="none"/>
              </w:rPr>
            </w:pPr>
          </w:p>
        </w:tc>
        <w:tc>
          <w:tcPr>
            <w:tcW w:w="1065" w:type="dxa"/>
            <w:noWrap w:val="0"/>
            <w:vAlign w:val="center"/>
          </w:tcPr>
          <w:p w14:paraId="5DD80118">
            <w:pPr>
              <w:pStyle w:val="19"/>
              <w:jc w:val="center"/>
              <w:rPr>
                <w:rFonts w:hint="eastAsia" w:ascii="宋体" w:hAnsi="宋体" w:eastAsia="宋体" w:cs="宋体"/>
                <w:color w:val="auto"/>
                <w:sz w:val="28"/>
                <w:szCs w:val="28"/>
                <w:highlight w:val="none"/>
              </w:rPr>
            </w:pPr>
          </w:p>
        </w:tc>
        <w:tc>
          <w:tcPr>
            <w:tcW w:w="1827" w:type="dxa"/>
            <w:noWrap w:val="0"/>
            <w:vAlign w:val="center"/>
          </w:tcPr>
          <w:p w14:paraId="0D22365A">
            <w:pPr>
              <w:pStyle w:val="19"/>
              <w:jc w:val="center"/>
              <w:rPr>
                <w:rFonts w:hint="eastAsia" w:ascii="宋体" w:hAnsi="宋体" w:eastAsia="宋体" w:cs="宋体"/>
                <w:color w:val="auto"/>
                <w:sz w:val="28"/>
                <w:szCs w:val="28"/>
                <w:highlight w:val="none"/>
              </w:rPr>
            </w:pPr>
          </w:p>
        </w:tc>
        <w:tc>
          <w:tcPr>
            <w:tcW w:w="1378" w:type="dxa"/>
            <w:noWrap w:val="0"/>
            <w:vAlign w:val="center"/>
          </w:tcPr>
          <w:p w14:paraId="52580BBD">
            <w:pPr>
              <w:pStyle w:val="19"/>
              <w:jc w:val="center"/>
              <w:rPr>
                <w:rFonts w:hint="eastAsia" w:ascii="宋体" w:hAnsi="宋体" w:eastAsia="宋体" w:cs="宋体"/>
                <w:color w:val="auto"/>
                <w:sz w:val="28"/>
                <w:szCs w:val="28"/>
                <w:highlight w:val="none"/>
              </w:rPr>
            </w:pPr>
          </w:p>
        </w:tc>
        <w:tc>
          <w:tcPr>
            <w:tcW w:w="1461" w:type="dxa"/>
            <w:noWrap w:val="0"/>
            <w:vAlign w:val="center"/>
          </w:tcPr>
          <w:p w14:paraId="77ECA651">
            <w:pPr>
              <w:pStyle w:val="19"/>
              <w:jc w:val="center"/>
              <w:rPr>
                <w:rFonts w:hint="eastAsia" w:ascii="宋体" w:hAnsi="宋体" w:eastAsia="宋体" w:cs="宋体"/>
                <w:color w:val="auto"/>
                <w:sz w:val="28"/>
                <w:szCs w:val="28"/>
                <w:highlight w:val="none"/>
              </w:rPr>
            </w:pPr>
          </w:p>
        </w:tc>
      </w:tr>
      <w:tr w14:paraId="0543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662438B1">
            <w:pPr>
              <w:pStyle w:val="19"/>
              <w:jc w:val="center"/>
              <w:rPr>
                <w:rFonts w:hint="eastAsia" w:ascii="宋体" w:hAnsi="宋体" w:eastAsia="宋体" w:cs="宋体"/>
                <w:color w:val="auto"/>
                <w:sz w:val="28"/>
                <w:szCs w:val="28"/>
                <w:highlight w:val="none"/>
              </w:rPr>
            </w:pPr>
          </w:p>
        </w:tc>
        <w:tc>
          <w:tcPr>
            <w:tcW w:w="1035" w:type="dxa"/>
            <w:noWrap w:val="0"/>
            <w:vAlign w:val="center"/>
          </w:tcPr>
          <w:p w14:paraId="38DEE299">
            <w:pPr>
              <w:pStyle w:val="19"/>
              <w:jc w:val="center"/>
              <w:rPr>
                <w:rFonts w:hint="eastAsia" w:ascii="宋体" w:hAnsi="宋体" w:eastAsia="宋体" w:cs="宋体"/>
                <w:color w:val="auto"/>
                <w:sz w:val="28"/>
                <w:szCs w:val="28"/>
                <w:highlight w:val="none"/>
              </w:rPr>
            </w:pPr>
          </w:p>
        </w:tc>
        <w:tc>
          <w:tcPr>
            <w:tcW w:w="1973" w:type="dxa"/>
            <w:noWrap w:val="0"/>
            <w:vAlign w:val="center"/>
          </w:tcPr>
          <w:p w14:paraId="7ECAEEF8">
            <w:pPr>
              <w:pStyle w:val="19"/>
              <w:jc w:val="center"/>
              <w:rPr>
                <w:rFonts w:hint="eastAsia" w:ascii="宋体" w:hAnsi="宋体" w:eastAsia="宋体" w:cs="宋体"/>
                <w:color w:val="auto"/>
                <w:sz w:val="28"/>
                <w:szCs w:val="28"/>
                <w:highlight w:val="none"/>
              </w:rPr>
            </w:pPr>
          </w:p>
        </w:tc>
        <w:tc>
          <w:tcPr>
            <w:tcW w:w="997" w:type="dxa"/>
            <w:noWrap w:val="0"/>
            <w:vAlign w:val="center"/>
          </w:tcPr>
          <w:p w14:paraId="550B898F">
            <w:pPr>
              <w:pStyle w:val="19"/>
              <w:jc w:val="center"/>
              <w:rPr>
                <w:rFonts w:hint="eastAsia" w:ascii="宋体" w:hAnsi="宋体" w:eastAsia="宋体" w:cs="宋体"/>
                <w:color w:val="auto"/>
                <w:sz w:val="28"/>
                <w:szCs w:val="28"/>
                <w:highlight w:val="none"/>
              </w:rPr>
            </w:pPr>
          </w:p>
        </w:tc>
        <w:tc>
          <w:tcPr>
            <w:tcW w:w="1065" w:type="dxa"/>
            <w:noWrap w:val="0"/>
            <w:vAlign w:val="center"/>
          </w:tcPr>
          <w:p w14:paraId="2124DFD4">
            <w:pPr>
              <w:pStyle w:val="19"/>
              <w:jc w:val="center"/>
              <w:rPr>
                <w:rFonts w:hint="eastAsia" w:ascii="宋体" w:hAnsi="宋体" w:eastAsia="宋体" w:cs="宋体"/>
                <w:color w:val="auto"/>
                <w:sz w:val="28"/>
                <w:szCs w:val="28"/>
                <w:highlight w:val="none"/>
              </w:rPr>
            </w:pPr>
          </w:p>
        </w:tc>
        <w:tc>
          <w:tcPr>
            <w:tcW w:w="1827" w:type="dxa"/>
            <w:noWrap w:val="0"/>
            <w:vAlign w:val="center"/>
          </w:tcPr>
          <w:p w14:paraId="76972B47">
            <w:pPr>
              <w:pStyle w:val="19"/>
              <w:jc w:val="center"/>
              <w:rPr>
                <w:rFonts w:hint="eastAsia" w:ascii="宋体" w:hAnsi="宋体" w:eastAsia="宋体" w:cs="宋体"/>
                <w:color w:val="auto"/>
                <w:sz w:val="28"/>
                <w:szCs w:val="28"/>
                <w:highlight w:val="none"/>
              </w:rPr>
            </w:pPr>
          </w:p>
        </w:tc>
        <w:tc>
          <w:tcPr>
            <w:tcW w:w="1378" w:type="dxa"/>
            <w:noWrap w:val="0"/>
            <w:vAlign w:val="center"/>
          </w:tcPr>
          <w:p w14:paraId="340E03C2">
            <w:pPr>
              <w:pStyle w:val="19"/>
              <w:jc w:val="center"/>
              <w:rPr>
                <w:rFonts w:hint="eastAsia" w:ascii="宋体" w:hAnsi="宋体" w:eastAsia="宋体" w:cs="宋体"/>
                <w:color w:val="auto"/>
                <w:sz w:val="28"/>
                <w:szCs w:val="28"/>
                <w:highlight w:val="none"/>
              </w:rPr>
            </w:pPr>
          </w:p>
        </w:tc>
        <w:tc>
          <w:tcPr>
            <w:tcW w:w="1461" w:type="dxa"/>
            <w:noWrap w:val="0"/>
            <w:vAlign w:val="center"/>
          </w:tcPr>
          <w:p w14:paraId="4726EF69">
            <w:pPr>
              <w:pStyle w:val="19"/>
              <w:jc w:val="center"/>
              <w:rPr>
                <w:rFonts w:hint="eastAsia" w:ascii="宋体" w:hAnsi="宋体" w:eastAsia="宋体" w:cs="宋体"/>
                <w:color w:val="auto"/>
                <w:sz w:val="28"/>
                <w:szCs w:val="28"/>
                <w:highlight w:val="none"/>
              </w:rPr>
            </w:pPr>
          </w:p>
        </w:tc>
      </w:tr>
      <w:tr w14:paraId="50B9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0496E235">
            <w:pPr>
              <w:pStyle w:val="19"/>
              <w:jc w:val="center"/>
              <w:rPr>
                <w:rFonts w:hint="eastAsia" w:ascii="宋体" w:hAnsi="宋体" w:eastAsia="宋体" w:cs="宋体"/>
                <w:color w:val="auto"/>
                <w:sz w:val="28"/>
                <w:szCs w:val="28"/>
                <w:highlight w:val="none"/>
              </w:rPr>
            </w:pPr>
          </w:p>
        </w:tc>
        <w:tc>
          <w:tcPr>
            <w:tcW w:w="1035" w:type="dxa"/>
            <w:noWrap w:val="0"/>
            <w:vAlign w:val="center"/>
          </w:tcPr>
          <w:p w14:paraId="5EDA4FF4">
            <w:pPr>
              <w:pStyle w:val="19"/>
              <w:jc w:val="center"/>
              <w:rPr>
                <w:rFonts w:hint="eastAsia" w:ascii="宋体" w:hAnsi="宋体" w:eastAsia="宋体" w:cs="宋体"/>
                <w:color w:val="auto"/>
                <w:sz w:val="28"/>
                <w:szCs w:val="28"/>
                <w:highlight w:val="none"/>
              </w:rPr>
            </w:pPr>
          </w:p>
        </w:tc>
        <w:tc>
          <w:tcPr>
            <w:tcW w:w="1973" w:type="dxa"/>
            <w:noWrap w:val="0"/>
            <w:vAlign w:val="center"/>
          </w:tcPr>
          <w:p w14:paraId="2AE433B0">
            <w:pPr>
              <w:pStyle w:val="19"/>
              <w:jc w:val="center"/>
              <w:rPr>
                <w:rFonts w:hint="eastAsia" w:ascii="宋体" w:hAnsi="宋体" w:eastAsia="宋体" w:cs="宋体"/>
                <w:color w:val="auto"/>
                <w:sz w:val="28"/>
                <w:szCs w:val="28"/>
                <w:highlight w:val="none"/>
              </w:rPr>
            </w:pPr>
          </w:p>
        </w:tc>
        <w:tc>
          <w:tcPr>
            <w:tcW w:w="997" w:type="dxa"/>
            <w:noWrap w:val="0"/>
            <w:vAlign w:val="center"/>
          </w:tcPr>
          <w:p w14:paraId="6DD5D4EA">
            <w:pPr>
              <w:pStyle w:val="19"/>
              <w:jc w:val="center"/>
              <w:rPr>
                <w:rFonts w:hint="eastAsia" w:ascii="宋体" w:hAnsi="宋体" w:eastAsia="宋体" w:cs="宋体"/>
                <w:color w:val="auto"/>
                <w:sz w:val="28"/>
                <w:szCs w:val="28"/>
                <w:highlight w:val="none"/>
              </w:rPr>
            </w:pPr>
          </w:p>
        </w:tc>
        <w:tc>
          <w:tcPr>
            <w:tcW w:w="1065" w:type="dxa"/>
            <w:noWrap w:val="0"/>
            <w:vAlign w:val="center"/>
          </w:tcPr>
          <w:p w14:paraId="5D7A8F31">
            <w:pPr>
              <w:pStyle w:val="19"/>
              <w:jc w:val="center"/>
              <w:rPr>
                <w:rFonts w:hint="eastAsia" w:ascii="宋体" w:hAnsi="宋体" w:eastAsia="宋体" w:cs="宋体"/>
                <w:color w:val="auto"/>
                <w:sz w:val="28"/>
                <w:szCs w:val="28"/>
                <w:highlight w:val="none"/>
              </w:rPr>
            </w:pPr>
          </w:p>
        </w:tc>
        <w:tc>
          <w:tcPr>
            <w:tcW w:w="1827" w:type="dxa"/>
            <w:noWrap w:val="0"/>
            <w:vAlign w:val="center"/>
          </w:tcPr>
          <w:p w14:paraId="78A583CB">
            <w:pPr>
              <w:pStyle w:val="19"/>
              <w:jc w:val="center"/>
              <w:rPr>
                <w:rFonts w:hint="eastAsia" w:ascii="宋体" w:hAnsi="宋体" w:eastAsia="宋体" w:cs="宋体"/>
                <w:color w:val="auto"/>
                <w:sz w:val="28"/>
                <w:szCs w:val="28"/>
                <w:highlight w:val="none"/>
              </w:rPr>
            </w:pPr>
          </w:p>
        </w:tc>
        <w:tc>
          <w:tcPr>
            <w:tcW w:w="1378" w:type="dxa"/>
            <w:noWrap w:val="0"/>
            <w:vAlign w:val="center"/>
          </w:tcPr>
          <w:p w14:paraId="0EC1189D">
            <w:pPr>
              <w:pStyle w:val="19"/>
              <w:jc w:val="center"/>
              <w:rPr>
                <w:rFonts w:hint="eastAsia" w:ascii="宋体" w:hAnsi="宋体" w:eastAsia="宋体" w:cs="宋体"/>
                <w:color w:val="auto"/>
                <w:sz w:val="28"/>
                <w:szCs w:val="28"/>
                <w:highlight w:val="none"/>
              </w:rPr>
            </w:pPr>
          </w:p>
        </w:tc>
        <w:tc>
          <w:tcPr>
            <w:tcW w:w="1461" w:type="dxa"/>
            <w:noWrap w:val="0"/>
            <w:vAlign w:val="center"/>
          </w:tcPr>
          <w:p w14:paraId="592B3E57">
            <w:pPr>
              <w:pStyle w:val="19"/>
              <w:jc w:val="center"/>
              <w:rPr>
                <w:rFonts w:hint="eastAsia" w:ascii="宋体" w:hAnsi="宋体" w:eastAsia="宋体" w:cs="宋体"/>
                <w:color w:val="auto"/>
                <w:sz w:val="28"/>
                <w:szCs w:val="28"/>
                <w:highlight w:val="none"/>
              </w:rPr>
            </w:pPr>
          </w:p>
        </w:tc>
      </w:tr>
      <w:tr w14:paraId="2842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76EB4141">
            <w:pPr>
              <w:pStyle w:val="19"/>
              <w:jc w:val="center"/>
              <w:rPr>
                <w:rFonts w:hint="eastAsia" w:ascii="宋体" w:hAnsi="宋体" w:eastAsia="宋体" w:cs="宋体"/>
                <w:color w:val="auto"/>
                <w:sz w:val="28"/>
                <w:szCs w:val="28"/>
                <w:highlight w:val="none"/>
              </w:rPr>
            </w:pPr>
          </w:p>
        </w:tc>
        <w:tc>
          <w:tcPr>
            <w:tcW w:w="1035" w:type="dxa"/>
            <w:noWrap w:val="0"/>
            <w:vAlign w:val="center"/>
          </w:tcPr>
          <w:p w14:paraId="108B0CB9">
            <w:pPr>
              <w:pStyle w:val="19"/>
              <w:jc w:val="center"/>
              <w:rPr>
                <w:rFonts w:hint="eastAsia" w:ascii="宋体" w:hAnsi="宋体" w:eastAsia="宋体" w:cs="宋体"/>
                <w:color w:val="auto"/>
                <w:sz w:val="28"/>
                <w:szCs w:val="28"/>
                <w:highlight w:val="none"/>
              </w:rPr>
            </w:pPr>
          </w:p>
        </w:tc>
        <w:tc>
          <w:tcPr>
            <w:tcW w:w="1973" w:type="dxa"/>
            <w:noWrap w:val="0"/>
            <w:vAlign w:val="center"/>
          </w:tcPr>
          <w:p w14:paraId="0C1181CE">
            <w:pPr>
              <w:pStyle w:val="19"/>
              <w:jc w:val="center"/>
              <w:rPr>
                <w:rFonts w:hint="eastAsia" w:ascii="宋体" w:hAnsi="宋体" w:eastAsia="宋体" w:cs="宋体"/>
                <w:color w:val="auto"/>
                <w:sz w:val="28"/>
                <w:szCs w:val="28"/>
                <w:highlight w:val="none"/>
              </w:rPr>
            </w:pPr>
          </w:p>
        </w:tc>
        <w:tc>
          <w:tcPr>
            <w:tcW w:w="997" w:type="dxa"/>
            <w:noWrap w:val="0"/>
            <w:vAlign w:val="center"/>
          </w:tcPr>
          <w:p w14:paraId="445CC3AC">
            <w:pPr>
              <w:pStyle w:val="19"/>
              <w:jc w:val="center"/>
              <w:rPr>
                <w:rFonts w:hint="eastAsia" w:ascii="宋体" w:hAnsi="宋体" w:eastAsia="宋体" w:cs="宋体"/>
                <w:color w:val="auto"/>
                <w:sz w:val="28"/>
                <w:szCs w:val="28"/>
                <w:highlight w:val="none"/>
              </w:rPr>
            </w:pPr>
          </w:p>
        </w:tc>
        <w:tc>
          <w:tcPr>
            <w:tcW w:w="1065" w:type="dxa"/>
            <w:noWrap w:val="0"/>
            <w:vAlign w:val="center"/>
          </w:tcPr>
          <w:p w14:paraId="2E11D674">
            <w:pPr>
              <w:pStyle w:val="19"/>
              <w:jc w:val="center"/>
              <w:rPr>
                <w:rFonts w:hint="eastAsia" w:ascii="宋体" w:hAnsi="宋体" w:eastAsia="宋体" w:cs="宋体"/>
                <w:color w:val="auto"/>
                <w:sz w:val="28"/>
                <w:szCs w:val="28"/>
                <w:highlight w:val="none"/>
              </w:rPr>
            </w:pPr>
          </w:p>
        </w:tc>
        <w:tc>
          <w:tcPr>
            <w:tcW w:w="1827" w:type="dxa"/>
            <w:noWrap w:val="0"/>
            <w:vAlign w:val="center"/>
          </w:tcPr>
          <w:p w14:paraId="27D869D8">
            <w:pPr>
              <w:pStyle w:val="19"/>
              <w:jc w:val="center"/>
              <w:rPr>
                <w:rFonts w:hint="eastAsia" w:ascii="宋体" w:hAnsi="宋体" w:eastAsia="宋体" w:cs="宋体"/>
                <w:color w:val="auto"/>
                <w:sz w:val="28"/>
                <w:szCs w:val="28"/>
                <w:highlight w:val="none"/>
              </w:rPr>
            </w:pPr>
          </w:p>
        </w:tc>
        <w:tc>
          <w:tcPr>
            <w:tcW w:w="1378" w:type="dxa"/>
            <w:noWrap w:val="0"/>
            <w:vAlign w:val="center"/>
          </w:tcPr>
          <w:p w14:paraId="24917968">
            <w:pPr>
              <w:pStyle w:val="19"/>
              <w:jc w:val="center"/>
              <w:rPr>
                <w:rFonts w:hint="eastAsia" w:ascii="宋体" w:hAnsi="宋体" w:eastAsia="宋体" w:cs="宋体"/>
                <w:color w:val="auto"/>
                <w:sz w:val="28"/>
                <w:szCs w:val="28"/>
                <w:highlight w:val="none"/>
              </w:rPr>
            </w:pPr>
          </w:p>
        </w:tc>
        <w:tc>
          <w:tcPr>
            <w:tcW w:w="1461" w:type="dxa"/>
            <w:noWrap w:val="0"/>
            <w:vAlign w:val="center"/>
          </w:tcPr>
          <w:p w14:paraId="0EE8B6CD">
            <w:pPr>
              <w:pStyle w:val="19"/>
              <w:jc w:val="center"/>
              <w:rPr>
                <w:rFonts w:hint="eastAsia" w:ascii="宋体" w:hAnsi="宋体" w:eastAsia="宋体" w:cs="宋体"/>
                <w:color w:val="auto"/>
                <w:sz w:val="28"/>
                <w:szCs w:val="28"/>
                <w:highlight w:val="none"/>
              </w:rPr>
            </w:pPr>
          </w:p>
        </w:tc>
      </w:tr>
      <w:tr w14:paraId="5DBE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5" w:type="dxa"/>
            <w:noWrap w:val="0"/>
            <w:vAlign w:val="center"/>
          </w:tcPr>
          <w:p w14:paraId="747CED74">
            <w:pPr>
              <w:pStyle w:val="19"/>
              <w:jc w:val="center"/>
              <w:rPr>
                <w:rFonts w:hint="eastAsia" w:ascii="宋体" w:hAnsi="宋体" w:eastAsia="宋体" w:cs="宋体"/>
                <w:color w:val="auto"/>
                <w:sz w:val="28"/>
                <w:szCs w:val="28"/>
                <w:highlight w:val="none"/>
              </w:rPr>
            </w:pPr>
          </w:p>
        </w:tc>
        <w:tc>
          <w:tcPr>
            <w:tcW w:w="1035" w:type="dxa"/>
            <w:noWrap w:val="0"/>
            <w:vAlign w:val="center"/>
          </w:tcPr>
          <w:p w14:paraId="2139C3E0">
            <w:pPr>
              <w:pStyle w:val="19"/>
              <w:jc w:val="center"/>
              <w:rPr>
                <w:rFonts w:hint="eastAsia" w:ascii="宋体" w:hAnsi="宋体" w:eastAsia="宋体" w:cs="宋体"/>
                <w:color w:val="auto"/>
                <w:sz w:val="28"/>
                <w:szCs w:val="28"/>
                <w:highlight w:val="none"/>
              </w:rPr>
            </w:pPr>
          </w:p>
        </w:tc>
        <w:tc>
          <w:tcPr>
            <w:tcW w:w="1973" w:type="dxa"/>
            <w:noWrap w:val="0"/>
            <w:vAlign w:val="center"/>
          </w:tcPr>
          <w:p w14:paraId="547F6B76">
            <w:pPr>
              <w:pStyle w:val="19"/>
              <w:jc w:val="center"/>
              <w:rPr>
                <w:rFonts w:hint="eastAsia" w:ascii="宋体" w:hAnsi="宋体" w:eastAsia="宋体" w:cs="宋体"/>
                <w:color w:val="auto"/>
                <w:sz w:val="28"/>
                <w:szCs w:val="28"/>
                <w:highlight w:val="none"/>
              </w:rPr>
            </w:pPr>
          </w:p>
        </w:tc>
        <w:tc>
          <w:tcPr>
            <w:tcW w:w="997" w:type="dxa"/>
            <w:noWrap w:val="0"/>
            <w:vAlign w:val="center"/>
          </w:tcPr>
          <w:p w14:paraId="48E44D5E">
            <w:pPr>
              <w:pStyle w:val="19"/>
              <w:jc w:val="center"/>
              <w:rPr>
                <w:rFonts w:hint="eastAsia" w:ascii="宋体" w:hAnsi="宋体" w:eastAsia="宋体" w:cs="宋体"/>
                <w:color w:val="auto"/>
                <w:sz w:val="28"/>
                <w:szCs w:val="28"/>
                <w:highlight w:val="none"/>
              </w:rPr>
            </w:pPr>
          </w:p>
        </w:tc>
        <w:tc>
          <w:tcPr>
            <w:tcW w:w="1065" w:type="dxa"/>
            <w:noWrap w:val="0"/>
            <w:vAlign w:val="center"/>
          </w:tcPr>
          <w:p w14:paraId="49084A05">
            <w:pPr>
              <w:pStyle w:val="19"/>
              <w:jc w:val="center"/>
              <w:rPr>
                <w:rFonts w:hint="eastAsia" w:ascii="宋体" w:hAnsi="宋体" w:eastAsia="宋体" w:cs="宋体"/>
                <w:color w:val="auto"/>
                <w:sz w:val="28"/>
                <w:szCs w:val="28"/>
                <w:highlight w:val="none"/>
              </w:rPr>
            </w:pPr>
          </w:p>
        </w:tc>
        <w:tc>
          <w:tcPr>
            <w:tcW w:w="1827" w:type="dxa"/>
            <w:noWrap w:val="0"/>
            <w:vAlign w:val="center"/>
          </w:tcPr>
          <w:p w14:paraId="1593BB39">
            <w:pPr>
              <w:pStyle w:val="19"/>
              <w:jc w:val="center"/>
              <w:rPr>
                <w:rFonts w:hint="eastAsia" w:ascii="宋体" w:hAnsi="宋体" w:eastAsia="宋体" w:cs="宋体"/>
                <w:color w:val="auto"/>
                <w:sz w:val="28"/>
                <w:szCs w:val="28"/>
                <w:highlight w:val="none"/>
              </w:rPr>
            </w:pPr>
          </w:p>
        </w:tc>
        <w:tc>
          <w:tcPr>
            <w:tcW w:w="1378" w:type="dxa"/>
            <w:noWrap w:val="0"/>
            <w:vAlign w:val="center"/>
          </w:tcPr>
          <w:p w14:paraId="319C27C1">
            <w:pPr>
              <w:pStyle w:val="19"/>
              <w:jc w:val="center"/>
              <w:rPr>
                <w:rFonts w:hint="eastAsia" w:ascii="宋体" w:hAnsi="宋体" w:eastAsia="宋体" w:cs="宋体"/>
                <w:color w:val="auto"/>
                <w:sz w:val="28"/>
                <w:szCs w:val="28"/>
                <w:highlight w:val="none"/>
              </w:rPr>
            </w:pPr>
          </w:p>
        </w:tc>
        <w:tc>
          <w:tcPr>
            <w:tcW w:w="1461" w:type="dxa"/>
            <w:noWrap w:val="0"/>
            <w:vAlign w:val="center"/>
          </w:tcPr>
          <w:p w14:paraId="6A420751">
            <w:pPr>
              <w:pStyle w:val="19"/>
              <w:jc w:val="center"/>
              <w:rPr>
                <w:rFonts w:hint="eastAsia" w:ascii="宋体" w:hAnsi="宋体" w:eastAsia="宋体" w:cs="宋体"/>
                <w:color w:val="auto"/>
                <w:sz w:val="28"/>
                <w:szCs w:val="28"/>
                <w:highlight w:val="none"/>
              </w:rPr>
            </w:pPr>
          </w:p>
        </w:tc>
      </w:tr>
      <w:tr w14:paraId="18F7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45" w:type="dxa"/>
            <w:noWrap w:val="0"/>
            <w:vAlign w:val="center"/>
          </w:tcPr>
          <w:p w14:paraId="03CB98C3">
            <w:pPr>
              <w:pStyle w:val="1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总计</w:t>
            </w:r>
          </w:p>
        </w:tc>
        <w:tc>
          <w:tcPr>
            <w:tcW w:w="9736" w:type="dxa"/>
            <w:gridSpan w:val="7"/>
            <w:noWrap w:val="0"/>
            <w:vAlign w:val="center"/>
          </w:tcPr>
          <w:p w14:paraId="77819395">
            <w:pPr>
              <w:pStyle w:val="1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请分别明确各县市区配备保险服务人员数量情况和总计人数</w:t>
            </w:r>
            <w:r>
              <w:rPr>
                <w:rFonts w:hint="eastAsia" w:ascii="宋体" w:hAnsi="宋体" w:eastAsia="宋体" w:cs="宋体"/>
                <w:color w:val="auto"/>
                <w:sz w:val="21"/>
                <w:szCs w:val="21"/>
                <w:highlight w:val="none"/>
                <w:lang w:eastAsia="zh-CN"/>
              </w:rPr>
              <w:t>）</w:t>
            </w:r>
          </w:p>
        </w:tc>
      </w:tr>
    </w:tbl>
    <w:p w14:paraId="42C16DF5">
      <w:pPr>
        <w:pStyle w:val="19"/>
        <w:spacing w:line="380" w:lineRule="exact"/>
        <w:rPr>
          <w:rFonts w:hint="eastAsia" w:ascii="宋体" w:hAnsi="宋体" w:eastAsia="宋体" w:cs="宋体"/>
          <w:color w:val="auto"/>
          <w:sz w:val="21"/>
          <w:szCs w:val="21"/>
          <w:highlight w:val="none"/>
        </w:rPr>
      </w:pPr>
    </w:p>
    <w:p w14:paraId="617513FC">
      <w:pPr>
        <w:pStyle w:val="19"/>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C641585">
      <w:pPr>
        <w:pStyle w:val="19"/>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1.表格可根据实际内容进行调整及补充，但不能缺失以上表格所包含内容；</w:t>
      </w:r>
    </w:p>
    <w:p w14:paraId="30BCAB02">
      <w:pPr>
        <w:pStyle w:val="19"/>
        <w:spacing w:line="3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2.提供项目负责人身份证、</w:t>
      </w:r>
      <w:r>
        <w:rPr>
          <w:rFonts w:hint="eastAsia" w:ascii="宋体" w:hAnsi="宋体" w:eastAsia="宋体" w:cs="宋体"/>
          <w:color w:val="auto"/>
          <w:sz w:val="21"/>
          <w:szCs w:val="21"/>
          <w:highlight w:val="none"/>
          <w:lang w:val="en-US" w:eastAsia="zh-CN"/>
        </w:rPr>
        <w:t>在职证明材料【人员与磋商申请人</w:t>
      </w:r>
      <w:r>
        <w:rPr>
          <w:rFonts w:hint="eastAsia" w:ascii="宋体" w:hAnsi="宋体" w:eastAsia="宋体" w:cs="宋体"/>
          <w:color w:val="auto"/>
          <w:sz w:val="21"/>
          <w:szCs w:val="21"/>
          <w:highlight w:val="none"/>
        </w:rPr>
        <w:t>签订的劳动合同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可提供关键页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或近三个月磋商申请人为人员缴纳的社保证明材料，并证明从业的连续性】；</w:t>
      </w:r>
    </w:p>
    <w:p w14:paraId="16F383B5">
      <w:pPr>
        <w:pStyle w:val="19"/>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3.团队服务人员对应身份证、</w:t>
      </w:r>
      <w:r>
        <w:rPr>
          <w:rFonts w:hint="eastAsia" w:ascii="宋体" w:hAnsi="宋体" w:eastAsia="宋体" w:cs="宋体"/>
          <w:color w:val="auto"/>
          <w:sz w:val="21"/>
          <w:szCs w:val="21"/>
          <w:highlight w:val="none"/>
          <w:lang w:val="en-US" w:eastAsia="zh-CN"/>
        </w:rPr>
        <w:t>在职证明材料【人员与磋商申请人</w:t>
      </w:r>
      <w:r>
        <w:rPr>
          <w:rFonts w:hint="eastAsia" w:ascii="宋体" w:hAnsi="宋体" w:eastAsia="宋体" w:cs="宋体"/>
          <w:color w:val="auto"/>
          <w:sz w:val="21"/>
          <w:szCs w:val="21"/>
          <w:highlight w:val="none"/>
        </w:rPr>
        <w:t>签订的劳动合同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可提供关键页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或近三个月磋商申请人为人员缴纳的社保证明材料，并证明从业的连续性】</w:t>
      </w:r>
      <w:r>
        <w:rPr>
          <w:rFonts w:hint="eastAsia" w:ascii="宋体" w:hAnsi="宋体" w:eastAsia="宋体" w:cs="宋体"/>
          <w:color w:val="auto"/>
          <w:sz w:val="21"/>
          <w:szCs w:val="21"/>
          <w:highlight w:val="none"/>
        </w:rPr>
        <w:t>。</w:t>
      </w:r>
    </w:p>
    <w:p w14:paraId="5C17DF60">
      <w:pPr>
        <w:pStyle w:val="19"/>
        <w:spacing w:line="380" w:lineRule="exact"/>
        <w:rPr>
          <w:rFonts w:hint="eastAsia" w:ascii="宋体" w:hAnsi="宋体" w:eastAsia="宋体" w:cs="宋体"/>
          <w:color w:val="auto"/>
          <w:sz w:val="21"/>
          <w:szCs w:val="21"/>
          <w:highlight w:val="none"/>
        </w:rPr>
      </w:pPr>
    </w:p>
    <w:p w14:paraId="3A451555">
      <w:pPr>
        <w:pStyle w:val="19"/>
        <w:spacing w:line="380" w:lineRule="exact"/>
        <w:rPr>
          <w:rFonts w:hint="eastAsia" w:ascii="宋体" w:hAnsi="宋体" w:eastAsia="宋体" w:cs="宋体"/>
          <w:color w:val="auto"/>
          <w:sz w:val="21"/>
          <w:szCs w:val="21"/>
          <w:highlight w:val="none"/>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p>
    <w:p w14:paraId="1224B785">
      <w:pPr>
        <w:pStyle w:val="19"/>
        <w:ind w:firstLine="320" w:firstLineChars="100"/>
        <w:jc w:val="center"/>
        <w:rPr>
          <w:rFonts w:hint="eastAsia" w:ascii="宋体" w:hAnsi="宋体" w:eastAsia="宋体" w:cs="宋体"/>
          <w:color w:val="auto"/>
          <w:sz w:val="32"/>
          <w:szCs w:val="32"/>
          <w:highlight w:val="none"/>
        </w:rPr>
      </w:pPr>
    </w:p>
    <w:p w14:paraId="4AB46A56">
      <w:pPr>
        <w:jc w:val="center"/>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color w:val="auto"/>
          <w:sz w:val="32"/>
          <w:szCs w:val="32"/>
          <w:highlight w:val="none"/>
        </w:rPr>
        <w:br w:type="page"/>
      </w:r>
      <w:r>
        <w:rPr>
          <w:rFonts w:hint="eastAsia" w:ascii="宋体" w:hAnsi="宋体" w:eastAsia="宋体" w:cs="宋体"/>
          <w:b/>
          <w:color w:val="auto"/>
          <w:kern w:val="2"/>
          <w:sz w:val="28"/>
          <w:szCs w:val="28"/>
          <w:highlight w:val="none"/>
          <w:lang w:val="en-US" w:eastAsia="zh-CN" w:bidi="ar-SA"/>
        </w:rPr>
        <w:t>5.3磋商申请人开展校方综合防范保险服务工作软硬件配备情况</w:t>
      </w:r>
    </w:p>
    <w:p w14:paraId="345F685D">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出险专用车辆配备表</w:t>
      </w:r>
    </w:p>
    <w:tbl>
      <w:tblPr>
        <w:tblStyle w:val="31"/>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7"/>
        <w:gridCol w:w="2646"/>
        <w:gridCol w:w="2552"/>
        <w:gridCol w:w="2901"/>
      </w:tblGrid>
      <w:tr w14:paraId="50E8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noWrap w:val="0"/>
            <w:vAlign w:val="center"/>
          </w:tcPr>
          <w:p w14:paraId="1253AAB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646" w:type="dxa"/>
            <w:noWrap w:val="0"/>
            <w:vAlign w:val="center"/>
          </w:tcPr>
          <w:p w14:paraId="195F441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服务地点</w:t>
            </w:r>
          </w:p>
        </w:tc>
        <w:tc>
          <w:tcPr>
            <w:tcW w:w="2552" w:type="dxa"/>
            <w:noWrap w:val="0"/>
            <w:vAlign w:val="center"/>
          </w:tcPr>
          <w:p w14:paraId="142E9D0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车辆数量</w:t>
            </w:r>
          </w:p>
        </w:tc>
        <w:tc>
          <w:tcPr>
            <w:tcW w:w="2901" w:type="dxa"/>
            <w:noWrap w:val="0"/>
            <w:vAlign w:val="center"/>
          </w:tcPr>
          <w:p w14:paraId="6FB7245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车辆的车牌号码</w:t>
            </w:r>
          </w:p>
        </w:tc>
      </w:tr>
      <w:tr w14:paraId="77765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noWrap w:val="0"/>
            <w:vAlign w:val="center"/>
          </w:tcPr>
          <w:p w14:paraId="42A4B55B">
            <w:pPr>
              <w:spacing w:line="360" w:lineRule="auto"/>
              <w:jc w:val="center"/>
              <w:rPr>
                <w:rFonts w:hint="eastAsia" w:ascii="宋体" w:hAnsi="宋体" w:eastAsia="宋体" w:cs="宋体"/>
                <w:color w:val="auto"/>
                <w:szCs w:val="21"/>
                <w:highlight w:val="none"/>
              </w:rPr>
            </w:pPr>
            <w:r>
              <w:rPr>
                <w:rFonts w:hint="eastAsia" w:hAnsi="宋体"/>
                <w:color w:val="auto"/>
                <w:szCs w:val="21"/>
                <w:highlight w:val="none"/>
              </w:rPr>
              <w:t>1</w:t>
            </w:r>
          </w:p>
        </w:tc>
        <w:tc>
          <w:tcPr>
            <w:tcW w:w="2646" w:type="dxa"/>
            <w:noWrap w:val="0"/>
            <w:vAlign w:val="center"/>
          </w:tcPr>
          <w:p w14:paraId="640EC235">
            <w:pPr>
              <w:spacing w:line="360" w:lineRule="auto"/>
              <w:jc w:val="center"/>
              <w:rPr>
                <w:rFonts w:hint="eastAsia" w:ascii="宋体" w:hAnsi="宋体" w:eastAsia="宋体" w:cs="宋体"/>
                <w:color w:val="auto"/>
                <w:szCs w:val="21"/>
                <w:highlight w:val="none"/>
              </w:rPr>
            </w:pPr>
          </w:p>
        </w:tc>
        <w:tc>
          <w:tcPr>
            <w:tcW w:w="2552" w:type="dxa"/>
            <w:noWrap w:val="0"/>
            <w:vAlign w:val="center"/>
          </w:tcPr>
          <w:p w14:paraId="6416C927">
            <w:pPr>
              <w:spacing w:line="360" w:lineRule="auto"/>
              <w:jc w:val="center"/>
              <w:rPr>
                <w:rFonts w:hint="eastAsia" w:ascii="宋体" w:hAnsi="宋体" w:eastAsia="宋体" w:cs="宋体"/>
                <w:color w:val="auto"/>
                <w:szCs w:val="21"/>
                <w:highlight w:val="none"/>
              </w:rPr>
            </w:pPr>
          </w:p>
        </w:tc>
        <w:tc>
          <w:tcPr>
            <w:tcW w:w="2901" w:type="dxa"/>
            <w:noWrap w:val="0"/>
            <w:vAlign w:val="center"/>
          </w:tcPr>
          <w:p w14:paraId="4EAD015C">
            <w:pPr>
              <w:spacing w:line="360" w:lineRule="auto"/>
              <w:jc w:val="center"/>
              <w:rPr>
                <w:rFonts w:hint="eastAsia" w:ascii="宋体" w:hAnsi="宋体" w:eastAsia="宋体" w:cs="宋体"/>
                <w:color w:val="auto"/>
                <w:szCs w:val="21"/>
                <w:highlight w:val="none"/>
              </w:rPr>
            </w:pPr>
          </w:p>
        </w:tc>
      </w:tr>
      <w:tr w14:paraId="78B71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noWrap w:val="0"/>
            <w:vAlign w:val="center"/>
          </w:tcPr>
          <w:p w14:paraId="518F06A2">
            <w:pPr>
              <w:spacing w:line="360" w:lineRule="auto"/>
              <w:jc w:val="center"/>
              <w:rPr>
                <w:rFonts w:hint="eastAsia" w:ascii="宋体" w:hAnsi="宋体" w:eastAsia="宋体" w:cs="宋体"/>
                <w:color w:val="auto"/>
                <w:szCs w:val="21"/>
                <w:highlight w:val="none"/>
              </w:rPr>
            </w:pPr>
            <w:r>
              <w:rPr>
                <w:rFonts w:hint="eastAsia" w:hAnsi="宋体"/>
                <w:color w:val="auto"/>
                <w:szCs w:val="21"/>
                <w:highlight w:val="none"/>
              </w:rPr>
              <w:t>2</w:t>
            </w:r>
          </w:p>
        </w:tc>
        <w:tc>
          <w:tcPr>
            <w:tcW w:w="2646" w:type="dxa"/>
            <w:noWrap w:val="0"/>
            <w:vAlign w:val="center"/>
          </w:tcPr>
          <w:p w14:paraId="340E189E">
            <w:pPr>
              <w:spacing w:line="360" w:lineRule="auto"/>
              <w:jc w:val="center"/>
              <w:rPr>
                <w:rFonts w:hint="eastAsia" w:ascii="宋体" w:hAnsi="宋体" w:eastAsia="宋体" w:cs="宋体"/>
                <w:color w:val="auto"/>
                <w:szCs w:val="21"/>
                <w:highlight w:val="none"/>
                <w:lang w:eastAsia="zh-CN"/>
              </w:rPr>
            </w:pPr>
          </w:p>
        </w:tc>
        <w:tc>
          <w:tcPr>
            <w:tcW w:w="2552" w:type="dxa"/>
            <w:noWrap w:val="0"/>
            <w:vAlign w:val="center"/>
          </w:tcPr>
          <w:p w14:paraId="1226A278">
            <w:pPr>
              <w:spacing w:line="360" w:lineRule="auto"/>
              <w:jc w:val="center"/>
              <w:rPr>
                <w:rFonts w:hint="eastAsia" w:ascii="宋体" w:hAnsi="宋体" w:eastAsia="宋体" w:cs="宋体"/>
                <w:color w:val="auto"/>
                <w:szCs w:val="21"/>
                <w:highlight w:val="none"/>
              </w:rPr>
            </w:pPr>
          </w:p>
        </w:tc>
        <w:tc>
          <w:tcPr>
            <w:tcW w:w="2901" w:type="dxa"/>
            <w:noWrap w:val="0"/>
            <w:vAlign w:val="center"/>
          </w:tcPr>
          <w:p w14:paraId="271666ED">
            <w:pPr>
              <w:spacing w:line="360" w:lineRule="auto"/>
              <w:jc w:val="center"/>
              <w:rPr>
                <w:rFonts w:hint="eastAsia" w:ascii="宋体" w:hAnsi="宋体" w:eastAsia="宋体" w:cs="宋体"/>
                <w:color w:val="auto"/>
                <w:szCs w:val="21"/>
                <w:highlight w:val="none"/>
              </w:rPr>
            </w:pPr>
          </w:p>
        </w:tc>
      </w:tr>
      <w:tr w14:paraId="3CA84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noWrap w:val="0"/>
            <w:vAlign w:val="center"/>
          </w:tcPr>
          <w:p w14:paraId="28CF13FF">
            <w:pPr>
              <w:spacing w:line="360" w:lineRule="auto"/>
              <w:jc w:val="center"/>
              <w:rPr>
                <w:rFonts w:hint="default" w:hAnsi="宋体" w:eastAsiaTheme="minorEastAsia"/>
                <w:color w:val="auto"/>
                <w:szCs w:val="21"/>
                <w:highlight w:val="none"/>
                <w:lang w:val="en-US" w:eastAsia="zh-CN"/>
              </w:rPr>
            </w:pPr>
            <w:r>
              <w:rPr>
                <w:rFonts w:hint="eastAsia" w:hAnsi="宋体"/>
                <w:color w:val="auto"/>
                <w:szCs w:val="21"/>
                <w:highlight w:val="none"/>
                <w:lang w:val="en-US" w:eastAsia="zh-CN"/>
              </w:rPr>
              <w:t>···</w:t>
            </w:r>
          </w:p>
        </w:tc>
        <w:tc>
          <w:tcPr>
            <w:tcW w:w="2646" w:type="dxa"/>
            <w:noWrap w:val="0"/>
            <w:vAlign w:val="center"/>
          </w:tcPr>
          <w:p w14:paraId="6DD9AF0D">
            <w:pPr>
              <w:spacing w:line="360" w:lineRule="auto"/>
              <w:jc w:val="center"/>
              <w:rPr>
                <w:rFonts w:hint="eastAsia" w:ascii="宋体" w:hAnsi="宋体" w:eastAsia="宋体" w:cs="宋体"/>
                <w:color w:val="auto"/>
                <w:szCs w:val="21"/>
                <w:highlight w:val="none"/>
                <w:lang w:eastAsia="zh-CN"/>
              </w:rPr>
            </w:pPr>
          </w:p>
        </w:tc>
        <w:tc>
          <w:tcPr>
            <w:tcW w:w="2552" w:type="dxa"/>
            <w:noWrap w:val="0"/>
            <w:vAlign w:val="center"/>
          </w:tcPr>
          <w:p w14:paraId="0D84F213">
            <w:pPr>
              <w:spacing w:line="360" w:lineRule="auto"/>
              <w:jc w:val="center"/>
              <w:rPr>
                <w:rFonts w:hint="eastAsia" w:ascii="宋体" w:hAnsi="宋体" w:eastAsia="宋体" w:cs="宋体"/>
                <w:color w:val="auto"/>
                <w:szCs w:val="21"/>
                <w:highlight w:val="none"/>
              </w:rPr>
            </w:pPr>
          </w:p>
        </w:tc>
        <w:tc>
          <w:tcPr>
            <w:tcW w:w="2901" w:type="dxa"/>
            <w:noWrap w:val="0"/>
            <w:vAlign w:val="center"/>
          </w:tcPr>
          <w:p w14:paraId="0182ED21">
            <w:pPr>
              <w:spacing w:line="360" w:lineRule="auto"/>
              <w:jc w:val="center"/>
              <w:rPr>
                <w:rFonts w:hint="eastAsia" w:ascii="宋体" w:hAnsi="宋体" w:eastAsia="宋体" w:cs="宋体"/>
                <w:color w:val="auto"/>
                <w:szCs w:val="21"/>
                <w:highlight w:val="none"/>
              </w:rPr>
            </w:pPr>
          </w:p>
        </w:tc>
      </w:tr>
    </w:tbl>
    <w:p w14:paraId="1683920A">
      <w:pPr>
        <w:pStyle w:val="19"/>
        <w:ind w:firstLine="690" w:firstLineChars="300"/>
        <w:jc w:val="both"/>
        <w:rPr>
          <w:rFonts w:hint="eastAsia" w:ascii="宋体" w:hAnsi="宋体" w:eastAsia="宋体" w:cs="宋体"/>
          <w:color w:val="auto"/>
          <w:sz w:val="23"/>
          <w:szCs w:val="23"/>
          <w:highlight w:val="none"/>
        </w:rPr>
      </w:pPr>
    </w:p>
    <w:p w14:paraId="488DD84F">
      <w:pPr>
        <w:pStyle w:val="19"/>
        <w:ind w:firstLine="230" w:firstLineChars="100"/>
        <w:jc w:val="center"/>
        <w:rPr>
          <w:rFonts w:hint="eastAsia" w:ascii="宋体" w:hAnsi="宋体" w:eastAsia="宋体" w:cs="宋体"/>
          <w:color w:val="auto"/>
          <w:sz w:val="23"/>
          <w:szCs w:val="23"/>
          <w:highlight w:val="none"/>
        </w:rPr>
      </w:pPr>
    </w:p>
    <w:p w14:paraId="23CCD7C8">
      <w:pPr>
        <w:pStyle w:val="19"/>
        <w:ind w:firstLine="230" w:firstLineChars="100"/>
        <w:jc w:val="left"/>
        <w:rPr>
          <w:rFonts w:hint="eastAsia" w:ascii="宋体" w:hAnsi="宋体" w:eastAsia="宋体" w:cs="宋体"/>
          <w:b/>
          <w:color w:val="auto"/>
          <w:sz w:val="21"/>
          <w:szCs w:val="21"/>
          <w:highlight w:val="none"/>
        </w:rPr>
      </w:pPr>
      <w:r>
        <w:rPr>
          <w:rFonts w:hint="eastAsia" w:ascii="宋体" w:hAnsi="宋体" w:eastAsia="宋体" w:cs="宋体"/>
          <w:color w:val="auto"/>
          <w:sz w:val="23"/>
          <w:szCs w:val="23"/>
          <w:highlight w:val="none"/>
        </w:rPr>
        <w:t>后附：</w:t>
      </w:r>
      <w:r>
        <w:rPr>
          <w:rFonts w:hint="eastAsia" w:ascii="宋体" w:hAnsi="宋体" w:eastAsia="宋体" w:cs="宋体"/>
          <w:b/>
          <w:color w:val="auto"/>
          <w:sz w:val="21"/>
          <w:szCs w:val="21"/>
          <w:highlight w:val="none"/>
        </w:rPr>
        <w:t>提供车辆机动车登记证书</w:t>
      </w:r>
      <w:r>
        <w:rPr>
          <w:rFonts w:hint="eastAsia" w:ascii="宋体" w:hAnsi="宋体" w:eastAsia="宋体" w:cs="宋体"/>
          <w:b/>
          <w:color w:val="auto"/>
          <w:sz w:val="21"/>
          <w:szCs w:val="21"/>
          <w:highlight w:val="none"/>
          <w:lang w:val="en-US" w:eastAsia="zh-CN"/>
        </w:rPr>
        <w:t>、车辆行驶证</w:t>
      </w:r>
      <w:r>
        <w:rPr>
          <w:rFonts w:hint="eastAsia" w:ascii="宋体" w:hAnsi="宋体" w:eastAsia="宋体" w:cs="宋体"/>
          <w:b/>
          <w:color w:val="auto"/>
          <w:sz w:val="21"/>
          <w:szCs w:val="21"/>
          <w:highlight w:val="none"/>
        </w:rPr>
        <w:t>扫描件</w:t>
      </w:r>
      <w:r>
        <w:rPr>
          <w:rFonts w:hint="eastAsia" w:ascii="宋体" w:hAnsi="宋体" w:eastAsia="宋体" w:cs="宋体"/>
          <w:b/>
          <w:color w:val="auto"/>
          <w:sz w:val="21"/>
          <w:szCs w:val="21"/>
          <w:highlight w:val="none"/>
          <w:lang w:val="en-US" w:eastAsia="zh-CN"/>
        </w:rPr>
        <w:t>以及车辆实物图片</w:t>
      </w:r>
      <w:r>
        <w:rPr>
          <w:rFonts w:hint="eastAsia" w:ascii="宋体" w:hAnsi="宋体" w:eastAsia="宋体" w:cs="宋体"/>
          <w:b/>
          <w:color w:val="auto"/>
          <w:sz w:val="21"/>
          <w:szCs w:val="21"/>
          <w:highlight w:val="none"/>
        </w:rPr>
        <w:t>，并承诺以上车辆用于本项目的保险服务工作中。</w:t>
      </w:r>
    </w:p>
    <w:p w14:paraId="440832F9">
      <w:pPr>
        <w:pStyle w:val="19"/>
        <w:ind w:firstLine="210" w:firstLineChars="100"/>
        <w:jc w:val="left"/>
        <w:rPr>
          <w:rFonts w:hint="eastAsia" w:ascii="宋体" w:hAnsi="宋体" w:eastAsia="宋体" w:cs="宋体"/>
          <w:sz w:val="21"/>
          <w:szCs w:val="21"/>
        </w:rPr>
      </w:pPr>
    </w:p>
    <w:p w14:paraId="43B50B24">
      <w:pPr>
        <w:pStyle w:val="19"/>
        <w:ind w:firstLine="210" w:firstLineChars="100"/>
        <w:jc w:val="left"/>
        <w:rPr>
          <w:rFonts w:hint="eastAsia" w:ascii="宋体" w:hAnsi="宋体" w:eastAsia="宋体" w:cs="宋体"/>
          <w:b/>
          <w:color w:val="auto"/>
          <w:sz w:val="21"/>
          <w:szCs w:val="21"/>
          <w:highlight w:val="none"/>
        </w:rPr>
      </w:pPr>
      <w:r>
        <w:rPr>
          <w:rFonts w:hint="eastAsia" w:ascii="宋体" w:hAnsi="宋体" w:eastAsia="宋体" w:cs="宋体"/>
          <w:sz w:val="21"/>
          <w:szCs w:val="21"/>
        </w:rPr>
        <w:t>注：</w:t>
      </w:r>
      <w:r>
        <w:rPr>
          <w:rFonts w:hint="eastAsia" w:ascii="宋体" w:hAnsi="宋体" w:eastAsia="宋体" w:cs="宋体"/>
          <w:sz w:val="21"/>
          <w:szCs w:val="21"/>
          <w:lang w:eastAsia="zh-CN"/>
        </w:rPr>
        <w:t>以联合体形式参与磋商的，此材料由联合体牵头人汇总编制后提供</w:t>
      </w:r>
      <w:r>
        <w:rPr>
          <w:rFonts w:hint="eastAsia" w:ascii="宋体" w:hAnsi="宋体" w:eastAsia="宋体" w:cs="宋体"/>
          <w:sz w:val="21"/>
          <w:szCs w:val="21"/>
        </w:rPr>
        <w:t>。</w:t>
      </w:r>
    </w:p>
    <w:p w14:paraId="2B1F05C2">
      <w:pPr>
        <w:pStyle w:val="19"/>
        <w:ind w:firstLine="211" w:firstLineChars="100"/>
        <w:jc w:val="left"/>
        <w:rPr>
          <w:rFonts w:hint="eastAsia" w:ascii="宋体" w:hAnsi="宋体" w:eastAsia="宋体" w:cs="宋体"/>
          <w:b/>
          <w:color w:val="auto"/>
          <w:sz w:val="21"/>
          <w:szCs w:val="21"/>
          <w:highlight w:val="none"/>
        </w:rPr>
      </w:pPr>
    </w:p>
    <w:p w14:paraId="2FC0FF72">
      <w:pPr>
        <w:pStyle w:val="19"/>
        <w:ind w:firstLine="211" w:firstLineChars="100"/>
        <w:jc w:val="left"/>
        <w:rPr>
          <w:rFonts w:hint="eastAsia" w:ascii="宋体" w:hAnsi="宋体" w:eastAsia="宋体" w:cs="宋体"/>
          <w:b/>
          <w:color w:val="auto"/>
          <w:sz w:val="21"/>
          <w:szCs w:val="21"/>
          <w:highlight w:val="none"/>
        </w:rPr>
        <w:sectPr>
          <w:pgSz w:w="11906" w:h="16838"/>
          <w:pgMar w:top="989" w:right="945" w:bottom="989" w:left="881" w:header="720" w:footer="720" w:gutter="0"/>
          <w:pgNumType w:fmt="decimal"/>
          <w:cols w:space="720" w:num="1"/>
          <w:docGrid w:type="lines" w:linePitch="331" w:charSpace="0"/>
        </w:sectPr>
      </w:pPr>
    </w:p>
    <w:p w14:paraId="517D7D80">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2.信息化建设和运用程度、查勘装备情况表</w:t>
      </w:r>
    </w:p>
    <w:p w14:paraId="73CCC54B">
      <w:pPr>
        <w:keepNext/>
        <w:spacing w:line="360" w:lineRule="auto"/>
        <w:jc w:val="center"/>
        <w:rPr>
          <w:rFonts w:ascii="宋体" w:hAnsi="宋体" w:eastAsia="宋体"/>
          <w:color w:val="auto"/>
          <w:sz w:val="21"/>
          <w:szCs w:val="21"/>
          <w:highlight w:val="none"/>
        </w:rPr>
      </w:pPr>
    </w:p>
    <w:tbl>
      <w:tblPr>
        <w:tblStyle w:val="32"/>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875"/>
        <w:gridCol w:w="2443"/>
        <w:gridCol w:w="2363"/>
        <w:gridCol w:w="1080"/>
        <w:gridCol w:w="1082"/>
      </w:tblGrid>
      <w:tr w14:paraId="475E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ign w:val="center"/>
          </w:tcPr>
          <w:p w14:paraId="3C38100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875" w:type="dxa"/>
            <w:noWrap/>
            <w:vAlign w:val="center"/>
          </w:tcPr>
          <w:p w14:paraId="13E0542E">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软硬件产品名称</w:t>
            </w:r>
          </w:p>
        </w:tc>
        <w:tc>
          <w:tcPr>
            <w:tcW w:w="2443" w:type="dxa"/>
            <w:noWrap/>
            <w:vAlign w:val="center"/>
          </w:tcPr>
          <w:p w14:paraId="03A60B33">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品牌型号及主要用途</w:t>
            </w:r>
          </w:p>
        </w:tc>
        <w:tc>
          <w:tcPr>
            <w:tcW w:w="2363" w:type="dxa"/>
            <w:noWrap/>
            <w:vAlign w:val="center"/>
          </w:tcPr>
          <w:p w14:paraId="62F20E6D">
            <w:pP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软硬件产品</w:t>
            </w:r>
            <w:r>
              <w:rPr>
                <w:rFonts w:hint="eastAsia" w:ascii="宋体" w:hAnsi="宋体" w:eastAsia="宋体" w:cs="宋体"/>
                <w:color w:val="auto"/>
                <w:szCs w:val="21"/>
                <w:highlight w:val="none"/>
              </w:rPr>
              <w:t>现状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已使用年限和完好程度</w:t>
            </w:r>
            <w:r>
              <w:rPr>
                <w:rFonts w:hint="eastAsia" w:ascii="宋体" w:hAnsi="宋体" w:eastAsia="宋体" w:cs="宋体"/>
                <w:color w:val="auto"/>
                <w:szCs w:val="21"/>
                <w:highlight w:val="none"/>
                <w:lang w:eastAsia="zh-CN"/>
              </w:rPr>
              <w:t>）</w:t>
            </w:r>
          </w:p>
        </w:tc>
        <w:tc>
          <w:tcPr>
            <w:tcW w:w="1080" w:type="dxa"/>
            <w:noWrap/>
            <w:vAlign w:val="center"/>
          </w:tcPr>
          <w:p w14:paraId="4032CEE5">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投入数量</w:t>
            </w:r>
          </w:p>
        </w:tc>
        <w:tc>
          <w:tcPr>
            <w:tcW w:w="1082" w:type="dxa"/>
            <w:noWrap/>
            <w:vAlign w:val="center"/>
          </w:tcPr>
          <w:p w14:paraId="6E79919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7D19A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ign w:val="center"/>
          </w:tcPr>
          <w:p w14:paraId="670C0B4F">
            <w:pPr>
              <w:spacing w:before="60" w:after="60" w:line="480" w:lineRule="auto"/>
              <w:jc w:val="center"/>
              <w:rPr>
                <w:rFonts w:ascii="宋体" w:hAnsi="宋体" w:eastAsia="宋体" w:cs="宋体"/>
                <w:color w:val="auto"/>
                <w:sz w:val="21"/>
                <w:szCs w:val="21"/>
                <w:highlight w:val="none"/>
              </w:rPr>
            </w:pPr>
          </w:p>
        </w:tc>
        <w:tc>
          <w:tcPr>
            <w:tcW w:w="1875" w:type="dxa"/>
            <w:noWrap/>
            <w:vAlign w:val="center"/>
          </w:tcPr>
          <w:p w14:paraId="1B261A84">
            <w:pPr>
              <w:spacing w:before="60" w:after="60" w:line="480" w:lineRule="auto"/>
              <w:jc w:val="center"/>
              <w:rPr>
                <w:rFonts w:ascii="宋体" w:hAnsi="宋体" w:eastAsia="宋体" w:cs="宋体"/>
                <w:color w:val="auto"/>
                <w:sz w:val="21"/>
                <w:szCs w:val="21"/>
                <w:highlight w:val="none"/>
              </w:rPr>
            </w:pPr>
          </w:p>
        </w:tc>
        <w:tc>
          <w:tcPr>
            <w:tcW w:w="2443" w:type="dxa"/>
            <w:noWrap/>
            <w:vAlign w:val="center"/>
          </w:tcPr>
          <w:p w14:paraId="36EA3AB7">
            <w:pPr>
              <w:spacing w:before="60" w:after="60" w:line="480" w:lineRule="auto"/>
              <w:jc w:val="center"/>
              <w:rPr>
                <w:rFonts w:ascii="宋体" w:hAnsi="宋体" w:eastAsia="宋体" w:cs="宋体"/>
                <w:color w:val="auto"/>
                <w:sz w:val="21"/>
                <w:szCs w:val="21"/>
                <w:highlight w:val="none"/>
              </w:rPr>
            </w:pPr>
          </w:p>
        </w:tc>
        <w:tc>
          <w:tcPr>
            <w:tcW w:w="2363" w:type="dxa"/>
            <w:noWrap/>
            <w:vAlign w:val="center"/>
          </w:tcPr>
          <w:p w14:paraId="69145EBE">
            <w:pPr>
              <w:spacing w:before="60" w:after="60" w:line="480" w:lineRule="auto"/>
              <w:jc w:val="center"/>
              <w:rPr>
                <w:rFonts w:ascii="宋体" w:hAnsi="宋体" w:eastAsia="宋体" w:cs="宋体"/>
                <w:color w:val="auto"/>
                <w:sz w:val="21"/>
                <w:szCs w:val="21"/>
                <w:highlight w:val="none"/>
              </w:rPr>
            </w:pPr>
          </w:p>
        </w:tc>
        <w:tc>
          <w:tcPr>
            <w:tcW w:w="1080" w:type="dxa"/>
            <w:noWrap/>
            <w:vAlign w:val="center"/>
          </w:tcPr>
          <w:p w14:paraId="5DC8A94E">
            <w:pPr>
              <w:spacing w:before="60" w:after="60" w:line="480" w:lineRule="auto"/>
              <w:jc w:val="center"/>
              <w:rPr>
                <w:rFonts w:ascii="宋体" w:hAnsi="宋体" w:eastAsia="宋体" w:cs="宋体"/>
                <w:color w:val="auto"/>
                <w:sz w:val="21"/>
                <w:szCs w:val="21"/>
                <w:highlight w:val="none"/>
              </w:rPr>
            </w:pPr>
          </w:p>
        </w:tc>
        <w:tc>
          <w:tcPr>
            <w:tcW w:w="1082" w:type="dxa"/>
            <w:noWrap/>
            <w:vAlign w:val="center"/>
          </w:tcPr>
          <w:p w14:paraId="54380787">
            <w:pPr>
              <w:spacing w:before="60" w:after="60" w:line="480" w:lineRule="auto"/>
              <w:jc w:val="center"/>
              <w:rPr>
                <w:rFonts w:ascii="宋体" w:hAnsi="宋体" w:eastAsia="宋体" w:cs="宋体"/>
                <w:color w:val="auto"/>
                <w:sz w:val="21"/>
                <w:szCs w:val="21"/>
                <w:highlight w:val="none"/>
              </w:rPr>
            </w:pPr>
          </w:p>
        </w:tc>
      </w:tr>
      <w:tr w14:paraId="44BB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ign w:val="center"/>
          </w:tcPr>
          <w:p w14:paraId="13EC2ECB">
            <w:pPr>
              <w:spacing w:before="60" w:after="60" w:line="480" w:lineRule="auto"/>
              <w:jc w:val="center"/>
              <w:rPr>
                <w:rFonts w:ascii="宋体" w:hAnsi="宋体" w:eastAsia="宋体" w:cs="宋体"/>
                <w:color w:val="auto"/>
                <w:sz w:val="21"/>
                <w:szCs w:val="21"/>
                <w:highlight w:val="none"/>
              </w:rPr>
            </w:pPr>
          </w:p>
        </w:tc>
        <w:tc>
          <w:tcPr>
            <w:tcW w:w="1875" w:type="dxa"/>
            <w:noWrap/>
            <w:vAlign w:val="center"/>
          </w:tcPr>
          <w:p w14:paraId="0AA67C6B">
            <w:pPr>
              <w:spacing w:before="60" w:after="60" w:line="480" w:lineRule="auto"/>
              <w:jc w:val="center"/>
              <w:rPr>
                <w:rFonts w:ascii="宋体" w:hAnsi="宋体" w:eastAsia="宋体" w:cs="宋体"/>
                <w:color w:val="auto"/>
                <w:sz w:val="21"/>
                <w:szCs w:val="21"/>
                <w:highlight w:val="none"/>
              </w:rPr>
            </w:pPr>
          </w:p>
        </w:tc>
        <w:tc>
          <w:tcPr>
            <w:tcW w:w="2443" w:type="dxa"/>
            <w:noWrap/>
            <w:vAlign w:val="center"/>
          </w:tcPr>
          <w:p w14:paraId="0E48E6DB">
            <w:pPr>
              <w:spacing w:before="60" w:after="60" w:line="480" w:lineRule="auto"/>
              <w:jc w:val="center"/>
              <w:rPr>
                <w:rFonts w:ascii="宋体" w:hAnsi="宋体" w:eastAsia="宋体" w:cs="宋体"/>
                <w:color w:val="auto"/>
                <w:sz w:val="21"/>
                <w:szCs w:val="21"/>
                <w:highlight w:val="none"/>
              </w:rPr>
            </w:pPr>
          </w:p>
        </w:tc>
        <w:tc>
          <w:tcPr>
            <w:tcW w:w="2363" w:type="dxa"/>
            <w:noWrap/>
            <w:vAlign w:val="center"/>
          </w:tcPr>
          <w:p w14:paraId="34A0E699">
            <w:pPr>
              <w:spacing w:before="60" w:after="60" w:line="480" w:lineRule="auto"/>
              <w:jc w:val="center"/>
              <w:rPr>
                <w:rFonts w:ascii="宋体" w:hAnsi="宋体" w:eastAsia="宋体" w:cs="宋体"/>
                <w:color w:val="auto"/>
                <w:sz w:val="21"/>
                <w:szCs w:val="21"/>
                <w:highlight w:val="none"/>
              </w:rPr>
            </w:pPr>
          </w:p>
        </w:tc>
        <w:tc>
          <w:tcPr>
            <w:tcW w:w="1080" w:type="dxa"/>
            <w:noWrap/>
            <w:vAlign w:val="center"/>
          </w:tcPr>
          <w:p w14:paraId="087D9DF2">
            <w:pPr>
              <w:spacing w:before="60" w:after="60" w:line="480" w:lineRule="auto"/>
              <w:jc w:val="center"/>
              <w:rPr>
                <w:rFonts w:ascii="宋体" w:hAnsi="宋体" w:eastAsia="宋体" w:cs="宋体"/>
                <w:color w:val="auto"/>
                <w:sz w:val="21"/>
                <w:szCs w:val="21"/>
                <w:highlight w:val="none"/>
              </w:rPr>
            </w:pPr>
          </w:p>
        </w:tc>
        <w:tc>
          <w:tcPr>
            <w:tcW w:w="1082" w:type="dxa"/>
            <w:noWrap/>
            <w:vAlign w:val="center"/>
          </w:tcPr>
          <w:p w14:paraId="15ADAB8B">
            <w:pPr>
              <w:spacing w:before="60" w:after="60" w:line="480" w:lineRule="auto"/>
              <w:jc w:val="center"/>
              <w:rPr>
                <w:rFonts w:ascii="宋体" w:hAnsi="宋体" w:eastAsia="宋体" w:cs="宋体"/>
                <w:color w:val="auto"/>
                <w:sz w:val="21"/>
                <w:szCs w:val="21"/>
                <w:highlight w:val="none"/>
              </w:rPr>
            </w:pPr>
          </w:p>
        </w:tc>
      </w:tr>
      <w:tr w14:paraId="3071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ign w:val="center"/>
          </w:tcPr>
          <w:p w14:paraId="1FA6E7A7">
            <w:pPr>
              <w:spacing w:before="60" w:after="60" w:line="480" w:lineRule="auto"/>
              <w:jc w:val="center"/>
              <w:rPr>
                <w:rFonts w:ascii="宋体" w:hAnsi="宋体" w:eastAsia="宋体" w:cs="宋体"/>
                <w:color w:val="auto"/>
                <w:sz w:val="21"/>
                <w:szCs w:val="21"/>
                <w:highlight w:val="none"/>
              </w:rPr>
            </w:pPr>
          </w:p>
        </w:tc>
        <w:tc>
          <w:tcPr>
            <w:tcW w:w="1875" w:type="dxa"/>
            <w:noWrap/>
            <w:vAlign w:val="center"/>
          </w:tcPr>
          <w:p w14:paraId="15C89C9C">
            <w:pPr>
              <w:spacing w:before="60" w:after="60" w:line="480" w:lineRule="auto"/>
              <w:jc w:val="center"/>
              <w:rPr>
                <w:rFonts w:ascii="宋体" w:hAnsi="宋体" w:eastAsia="宋体" w:cs="宋体"/>
                <w:color w:val="auto"/>
                <w:sz w:val="21"/>
                <w:szCs w:val="21"/>
                <w:highlight w:val="none"/>
              </w:rPr>
            </w:pPr>
          </w:p>
        </w:tc>
        <w:tc>
          <w:tcPr>
            <w:tcW w:w="2443" w:type="dxa"/>
            <w:noWrap/>
            <w:vAlign w:val="center"/>
          </w:tcPr>
          <w:p w14:paraId="3227FD06">
            <w:pPr>
              <w:spacing w:before="60" w:after="60" w:line="480" w:lineRule="auto"/>
              <w:jc w:val="center"/>
              <w:rPr>
                <w:rFonts w:ascii="宋体" w:hAnsi="宋体" w:eastAsia="宋体" w:cs="宋体"/>
                <w:color w:val="auto"/>
                <w:sz w:val="21"/>
                <w:szCs w:val="21"/>
                <w:highlight w:val="none"/>
              </w:rPr>
            </w:pPr>
          </w:p>
        </w:tc>
        <w:tc>
          <w:tcPr>
            <w:tcW w:w="2363" w:type="dxa"/>
            <w:noWrap/>
            <w:vAlign w:val="center"/>
          </w:tcPr>
          <w:p w14:paraId="6CC7130B">
            <w:pPr>
              <w:spacing w:before="60" w:after="60" w:line="480" w:lineRule="auto"/>
              <w:jc w:val="center"/>
              <w:rPr>
                <w:rFonts w:ascii="宋体" w:hAnsi="宋体" w:eastAsia="宋体" w:cs="宋体"/>
                <w:color w:val="auto"/>
                <w:sz w:val="21"/>
                <w:szCs w:val="21"/>
                <w:highlight w:val="none"/>
              </w:rPr>
            </w:pPr>
          </w:p>
        </w:tc>
        <w:tc>
          <w:tcPr>
            <w:tcW w:w="1080" w:type="dxa"/>
            <w:noWrap/>
            <w:vAlign w:val="center"/>
          </w:tcPr>
          <w:p w14:paraId="58F03944">
            <w:pPr>
              <w:spacing w:before="60" w:after="60" w:line="480" w:lineRule="auto"/>
              <w:jc w:val="center"/>
              <w:rPr>
                <w:rFonts w:ascii="宋体" w:hAnsi="宋体" w:eastAsia="宋体" w:cs="宋体"/>
                <w:color w:val="auto"/>
                <w:sz w:val="21"/>
                <w:szCs w:val="21"/>
                <w:highlight w:val="none"/>
              </w:rPr>
            </w:pPr>
          </w:p>
        </w:tc>
        <w:tc>
          <w:tcPr>
            <w:tcW w:w="1082" w:type="dxa"/>
            <w:noWrap/>
            <w:vAlign w:val="center"/>
          </w:tcPr>
          <w:p w14:paraId="4ECCCCA4">
            <w:pPr>
              <w:spacing w:before="60" w:after="60" w:line="480" w:lineRule="auto"/>
              <w:jc w:val="center"/>
              <w:rPr>
                <w:rFonts w:ascii="宋体" w:hAnsi="宋体" w:eastAsia="宋体" w:cs="宋体"/>
                <w:color w:val="auto"/>
                <w:sz w:val="21"/>
                <w:szCs w:val="21"/>
                <w:highlight w:val="none"/>
              </w:rPr>
            </w:pPr>
          </w:p>
        </w:tc>
      </w:tr>
    </w:tbl>
    <w:p w14:paraId="79B09A32">
      <w:pPr>
        <w:rPr>
          <w:rFonts w:hint="eastAsia" w:hAnsi="宋体" w:eastAsia="宋体"/>
          <w:color w:val="auto"/>
          <w:sz w:val="21"/>
          <w:szCs w:val="21"/>
          <w:highlight w:val="none"/>
          <w:lang w:eastAsia="zh-CN"/>
        </w:rPr>
      </w:pPr>
      <w:r>
        <w:rPr>
          <w:rFonts w:hint="eastAsia" w:ascii="宋体" w:hAnsi="宋体" w:eastAsia="宋体"/>
          <w:color w:val="auto"/>
          <w:sz w:val="21"/>
          <w:szCs w:val="21"/>
          <w:highlight w:val="none"/>
        </w:rPr>
        <w:t>注：请提供以上</w:t>
      </w:r>
      <w:r>
        <w:rPr>
          <w:rFonts w:hint="eastAsia" w:ascii="宋体" w:hAnsi="宋体" w:eastAsia="宋体" w:cs="宋体"/>
          <w:color w:val="auto"/>
          <w:szCs w:val="21"/>
          <w:highlight w:val="none"/>
          <w:lang w:val="en-US" w:eastAsia="zh-CN"/>
        </w:rPr>
        <w:t>软硬件产品介绍说明及</w:t>
      </w:r>
      <w:r>
        <w:rPr>
          <w:rFonts w:hint="eastAsia" w:ascii="宋体" w:hAnsi="宋体" w:eastAsia="宋体"/>
          <w:color w:val="auto"/>
          <w:sz w:val="21"/>
          <w:szCs w:val="21"/>
          <w:highlight w:val="none"/>
        </w:rPr>
        <w:t>实物图片等证明材料（加盖公章确认），并承诺以上</w:t>
      </w:r>
      <w:r>
        <w:rPr>
          <w:rFonts w:hint="eastAsia" w:ascii="宋体" w:hAnsi="宋体" w:eastAsia="宋体"/>
          <w:color w:val="auto"/>
          <w:sz w:val="21"/>
          <w:szCs w:val="21"/>
          <w:highlight w:val="none"/>
          <w:lang w:val="en-US" w:eastAsia="zh-CN"/>
        </w:rPr>
        <w:t>装备</w:t>
      </w:r>
      <w:r>
        <w:rPr>
          <w:rFonts w:hint="eastAsia" w:ascii="宋体" w:hAnsi="宋体" w:eastAsia="宋体"/>
          <w:color w:val="auto"/>
          <w:sz w:val="21"/>
          <w:szCs w:val="21"/>
          <w:highlight w:val="none"/>
        </w:rPr>
        <w:t>用于本项目的保险服务工作中</w:t>
      </w:r>
      <w:r>
        <w:rPr>
          <w:rFonts w:hint="eastAsia" w:hAnsi="宋体" w:eastAsia="宋体"/>
          <w:color w:val="auto"/>
          <w:sz w:val="21"/>
          <w:szCs w:val="21"/>
          <w:highlight w:val="none"/>
          <w:lang w:eastAsia="zh-CN"/>
        </w:rPr>
        <w:t>。</w:t>
      </w:r>
    </w:p>
    <w:p w14:paraId="34465085">
      <w:pPr>
        <w:rPr>
          <w:rFonts w:hint="eastAsia" w:ascii="宋体" w:hAnsi="宋体" w:eastAsia="宋体" w:cs="宋体"/>
          <w:sz w:val="21"/>
          <w:szCs w:val="21"/>
        </w:rPr>
      </w:pPr>
    </w:p>
    <w:p w14:paraId="146DEEDC">
      <w:pPr>
        <w:rPr>
          <w:rFonts w:hint="eastAsia" w:ascii="宋体" w:hAnsi="宋体" w:eastAsia="宋体"/>
          <w:b/>
          <w:color w:val="auto"/>
          <w:sz w:val="28"/>
          <w:szCs w:val="28"/>
          <w:highlight w:val="none"/>
          <w:lang w:val="en-US" w:eastAsia="zh-CN"/>
        </w:rPr>
      </w:pPr>
      <w:r>
        <w:rPr>
          <w:rFonts w:hint="eastAsia" w:ascii="宋体" w:hAnsi="宋体" w:eastAsia="宋体" w:cs="宋体"/>
          <w:sz w:val="21"/>
          <w:szCs w:val="21"/>
        </w:rPr>
        <w:t>注：</w:t>
      </w:r>
      <w:r>
        <w:rPr>
          <w:rFonts w:hint="eastAsia" w:ascii="宋体" w:hAnsi="宋体" w:eastAsia="宋体" w:cs="宋体"/>
          <w:sz w:val="21"/>
          <w:szCs w:val="21"/>
          <w:lang w:eastAsia="zh-CN"/>
        </w:rPr>
        <w:t>以联合体形式参与磋商的，此材料由联合体牵头人汇总编制后提供</w:t>
      </w:r>
      <w:r>
        <w:rPr>
          <w:rFonts w:hint="eastAsia" w:ascii="宋体" w:hAnsi="宋体" w:eastAsia="宋体" w:cs="宋体"/>
          <w:sz w:val="21"/>
          <w:szCs w:val="21"/>
        </w:rPr>
        <w:t>。</w:t>
      </w:r>
      <w:r>
        <w:rPr>
          <w:rFonts w:hint="eastAsia" w:ascii="宋体" w:hAnsi="宋体" w:eastAsia="宋体"/>
          <w:b/>
          <w:color w:val="auto"/>
          <w:sz w:val="28"/>
          <w:szCs w:val="28"/>
          <w:highlight w:val="none"/>
          <w:lang w:val="en-US" w:eastAsia="zh-CN"/>
        </w:rPr>
        <w:br w:type="page"/>
      </w:r>
    </w:p>
    <w:bookmarkEnd w:id="290"/>
    <w:p w14:paraId="5A69B1D9">
      <w:pPr>
        <w:jc w:val="center"/>
        <w:rPr>
          <w:rFonts w:hint="eastAsia" w:ascii="楷体_GB2312" w:eastAsia="楷体_GB2312"/>
          <w:b/>
          <w:color w:val="000000"/>
          <w:sz w:val="32"/>
          <w:szCs w:val="32"/>
          <w:highlight w:val="none"/>
        </w:rPr>
      </w:pPr>
      <w:bookmarkStart w:id="292" w:name="_Toc24152"/>
      <w:bookmarkStart w:id="293" w:name="_Toc26464"/>
      <w:r>
        <w:rPr>
          <w:rFonts w:hint="eastAsia" w:ascii="宋体" w:hAnsi="宋体" w:eastAsia="宋体"/>
          <w:b/>
          <w:color w:val="auto"/>
          <w:sz w:val="28"/>
          <w:szCs w:val="28"/>
          <w:highlight w:val="none"/>
          <w:lang w:val="en-US" w:eastAsia="zh-CN"/>
        </w:rPr>
        <w:t>格式6：</w:t>
      </w:r>
      <w:r>
        <w:rPr>
          <w:rFonts w:hint="eastAsia" w:ascii="宋体" w:hAnsi="宋体" w:eastAsia="宋体"/>
          <w:b/>
          <w:color w:val="auto"/>
          <w:sz w:val="28"/>
          <w:szCs w:val="28"/>
          <w:highlight w:val="none"/>
          <w:lang w:eastAsia="zh-CN"/>
        </w:rPr>
        <w:t>磋商申请人</w:t>
      </w:r>
      <w:r>
        <w:rPr>
          <w:rFonts w:hint="eastAsia" w:ascii="宋体" w:hAnsi="宋体" w:eastAsia="宋体"/>
          <w:b/>
          <w:color w:val="auto"/>
          <w:sz w:val="28"/>
          <w:szCs w:val="28"/>
          <w:highlight w:val="none"/>
          <w:lang w:val="en-US" w:eastAsia="zh-CN"/>
        </w:rPr>
        <w:t>2021</w:t>
      </w:r>
      <w:r>
        <w:rPr>
          <w:rFonts w:hint="eastAsia" w:ascii="宋体" w:hAnsi="宋体" w:eastAsia="宋体"/>
          <w:b/>
          <w:color w:val="auto"/>
          <w:sz w:val="28"/>
          <w:szCs w:val="28"/>
          <w:highlight w:val="none"/>
          <w:lang w:eastAsia="zh-CN"/>
        </w:rPr>
        <w:t>年1月1日至今项目服务经验表</w:t>
      </w:r>
      <w:bookmarkEnd w:id="292"/>
    </w:p>
    <w:tbl>
      <w:tblPr>
        <w:tblStyle w:val="31"/>
        <w:tblpPr w:leftFromText="180" w:rightFromText="180" w:vertAnchor="text" w:horzAnchor="page" w:tblpX="1093" w:tblpY="634"/>
        <w:tblOverlap w:val="never"/>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596"/>
        <w:gridCol w:w="1596"/>
        <w:gridCol w:w="1596"/>
        <w:gridCol w:w="1596"/>
        <w:gridCol w:w="1596"/>
      </w:tblGrid>
      <w:tr w14:paraId="79F3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3A56D140">
            <w:pPr>
              <w:pStyle w:val="19"/>
              <w:jc w:val="center"/>
              <w:rPr>
                <w:color w:val="000000"/>
                <w:sz w:val="23"/>
                <w:szCs w:val="23"/>
                <w:highlight w:val="none"/>
              </w:rPr>
            </w:pPr>
            <w:r>
              <w:rPr>
                <w:color w:val="000000"/>
                <w:sz w:val="23"/>
                <w:szCs w:val="23"/>
                <w:highlight w:val="none"/>
              </w:rPr>
              <w:t>序号</w:t>
            </w:r>
          </w:p>
        </w:tc>
        <w:tc>
          <w:tcPr>
            <w:tcW w:w="1596" w:type="dxa"/>
            <w:noWrap w:val="0"/>
            <w:vAlign w:val="center"/>
          </w:tcPr>
          <w:p w14:paraId="15AB1D42">
            <w:pPr>
              <w:pStyle w:val="19"/>
              <w:jc w:val="center"/>
              <w:rPr>
                <w:color w:val="000000"/>
                <w:sz w:val="23"/>
                <w:szCs w:val="23"/>
                <w:highlight w:val="none"/>
              </w:rPr>
            </w:pPr>
            <w:r>
              <w:rPr>
                <w:color w:val="000000"/>
                <w:sz w:val="23"/>
                <w:szCs w:val="23"/>
                <w:highlight w:val="none"/>
              </w:rPr>
              <w:t>项目名称</w:t>
            </w:r>
          </w:p>
        </w:tc>
        <w:tc>
          <w:tcPr>
            <w:tcW w:w="1596" w:type="dxa"/>
            <w:noWrap w:val="0"/>
            <w:vAlign w:val="center"/>
          </w:tcPr>
          <w:p w14:paraId="79E2D719">
            <w:pPr>
              <w:pStyle w:val="19"/>
              <w:jc w:val="center"/>
              <w:rPr>
                <w:color w:val="000000"/>
                <w:sz w:val="23"/>
                <w:szCs w:val="23"/>
                <w:highlight w:val="none"/>
              </w:rPr>
            </w:pPr>
            <w:r>
              <w:rPr>
                <w:color w:val="000000"/>
                <w:sz w:val="23"/>
                <w:szCs w:val="23"/>
                <w:highlight w:val="none"/>
              </w:rPr>
              <w:t>规模</w:t>
            </w:r>
          </w:p>
        </w:tc>
        <w:tc>
          <w:tcPr>
            <w:tcW w:w="1596" w:type="dxa"/>
            <w:noWrap w:val="0"/>
            <w:vAlign w:val="center"/>
          </w:tcPr>
          <w:p w14:paraId="37D60D6A">
            <w:pPr>
              <w:pStyle w:val="19"/>
              <w:jc w:val="center"/>
              <w:rPr>
                <w:color w:val="000000"/>
                <w:sz w:val="23"/>
                <w:szCs w:val="23"/>
                <w:highlight w:val="none"/>
              </w:rPr>
            </w:pPr>
            <w:r>
              <w:rPr>
                <w:color w:val="000000"/>
                <w:sz w:val="23"/>
                <w:szCs w:val="23"/>
                <w:highlight w:val="none"/>
              </w:rPr>
              <w:t>项目地点</w:t>
            </w:r>
          </w:p>
        </w:tc>
        <w:tc>
          <w:tcPr>
            <w:tcW w:w="1596" w:type="dxa"/>
            <w:noWrap w:val="0"/>
            <w:vAlign w:val="center"/>
          </w:tcPr>
          <w:p w14:paraId="5D166DDB">
            <w:pPr>
              <w:pStyle w:val="19"/>
              <w:jc w:val="center"/>
              <w:rPr>
                <w:color w:val="000000"/>
                <w:sz w:val="23"/>
                <w:szCs w:val="23"/>
                <w:highlight w:val="none"/>
              </w:rPr>
            </w:pPr>
            <w:r>
              <w:rPr>
                <w:color w:val="000000"/>
                <w:sz w:val="23"/>
                <w:szCs w:val="23"/>
                <w:highlight w:val="none"/>
              </w:rPr>
              <w:t>项目期限</w:t>
            </w:r>
          </w:p>
        </w:tc>
        <w:tc>
          <w:tcPr>
            <w:tcW w:w="1596" w:type="dxa"/>
            <w:noWrap w:val="0"/>
            <w:vAlign w:val="center"/>
          </w:tcPr>
          <w:p w14:paraId="6D964E8D">
            <w:pPr>
              <w:pStyle w:val="19"/>
              <w:jc w:val="center"/>
              <w:rPr>
                <w:color w:val="000000"/>
                <w:sz w:val="23"/>
                <w:szCs w:val="23"/>
                <w:highlight w:val="none"/>
              </w:rPr>
            </w:pPr>
            <w:r>
              <w:rPr>
                <w:color w:val="000000"/>
                <w:sz w:val="23"/>
                <w:szCs w:val="23"/>
                <w:highlight w:val="none"/>
              </w:rPr>
              <w:t>是否已完</w:t>
            </w:r>
          </w:p>
        </w:tc>
      </w:tr>
      <w:tr w14:paraId="25EC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6DC9E5EE">
            <w:pPr>
              <w:pStyle w:val="19"/>
              <w:jc w:val="center"/>
              <w:rPr>
                <w:rFonts w:hint="eastAsia"/>
                <w:color w:val="000000"/>
                <w:sz w:val="23"/>
                <w:szCs w:val="23"/>
                <w:highlight w:val="none"/>
              </w:rPr>
            </w:pPr>
          </w:p>
        </w:tc>
        <w:tc>
          <w:tcPr>
            <w:tcW w:w="1596" w:type="dxa"/>
            <w:noWrap w:val="0"/>
            <w:vAlign w:val="center"/>
          </w:tcPr>
          <w:p w14:paraId="43158953">
            <w:pPr>
              <w:pStyle w:val="19"/>
              <w:jc w:val="center"/>
              <w:rPr>
                <w:rFonts w:hint="eastAsia"/>
                <w:color w:val="000000"/>
                <w:sz w:val="23"/>
                <w:szCs w:val="23"/>
                <w:highlight w:val="none"/>
              </w:rPr>
            </w:pPr>
          </w:p>
        </w:tc>
        <w:tc>
          <w:tcPr>
            <w:tcW w:w="1596" w:type="dxa"/>
            <w:noWrap w:val="0"/>
            <w:vAlign w:val="center"/>
          </w:tcPr>
          <w:p w14:paraId="07141DB2">
            <w:pPr>
              <w:pStyle w:val="19"/>
              <w:jc w:val="center"/>
              <w:rPr>
                <w:rFonts w:hint="eastAsia"/>
                <w:color w:val="000000"/>
                <w:sz w:val="23"/>
                <w:szCs w:val="23"/>
                <w:highlight w:val="none"/>
              </w:rPr>
            </w:pPr>
          </w:p>
        </w:tc>
        <w:tc>
          <w:tcPr>
            <w:tcW w:w="1596" w:type="dxa"/>
            <w:noWrap w:val="0"/>
            <w:vAlign w:val="center"/>
          </w:tcPr>
          <w:p w14:paraId="7549EB7A">
            <w:pPr>
              <w:pStyle w:val="19"/>
              <w:jc w:val="center"/>
              <w:rPr>
                <w:rFonts w:hint="eastAsia"/>
                <w:color w:val="000000"/>
                <w:sz w:val="23"/>
                <w:szCs w:val="23"/>
                <w:highlight w:val="none"/>
              </w:rPr>
            </w:pPr>
          </w:p>
        </w:tc>
        <w:tc>
          <w:tcPr>
            <w:tcW w:w="1596" w:type="dxa"/>
            <w:noWrap w:val="0"/>
            <w:vAlign w:val="center"/>
          </w:tcPr>
          <w:p w14:paraId="46494577">
            <w:pPr>
              <w:pStyle w:val="19"/>
              <w:jc w:val="center"/>
              <w:rPr>
                <w:rFonts w:hint="eastAsia"/>
                <w:color w:val="000000"/>
                <w:sz w:val="23"/>
                <w:szCs w:val="23"/>
                <w:highlight w:val="none"/>
              </w:rPr>
            </w:pPr>
          </w:p>
        </w:tc>
        <w:tc>
          <w:tcPr>
            <w:tcW w:w="1596" w:type="dxa"/>
            <w:noWrap w:val="0"/>
            <w:vAlign w:val="center"/>
          </w:tcPr>
          <w:p w14:paraId="1D72E1F1">
            <w:pPr>
              <w:pStyle w:val="19"/>
              <w:jc w:val="center"/>
              <w:rPr>
                <w:rFonts w:hint="eastAsia"/>
                <w:color w:val="000000"/>
                <w:sz w:val="23"/>
                <w:szCs w:val="23"/>
                <w:highlight w:val="none"/>
              </w:rPr>
            </w:pPr>
          </w:p>
        </w:tc>
      </w:tr>
      <w:tr w14:paraId="12A7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37A900D7">
            <w:pPr>
              <w:pStyle w:val="19"/>
              <w:jc w:val="center"/>
              <w:rPr>
                <w:rFonts w:hint="eastAsia"/>
                <w:color w:val="000000"/>
                <w:sz w:val="23"/>
                <w:szCs w:val="23"/>
                <w:highlight w:val="none"/>
              </w:rPr>
            </w:pPr>
          </w:p>
        </w:tc>
        <w:tc>
          <w:tcPr>
            <w:tcW w:w="1596" w:type="dxa"/>
            <w:noWrap w:val="0"/>
            <w:vAlign w:val="center"/>
          </w:tcPr>
          <w:p w14:paraId="691913CA">
            <w:pPr>
              <w:pStyle w:val="19"/>
              <w:jc w:val="center"/>
              <w:rPr>
                <w:rFonts w:hint="eastAsia"/>
                <w:color w:val="000000"/>
                <w:sz w:val="23"/>
                <w:szCs w:val="23"/>
                <w:highlight w:val="none"/>
              </w:rPr>
            </w:pPr>
          </w:p>
        </w:tc>
        <w:tc>
          <w:tcPr>
            <w:tcW w:w="1596" w:type="dxa"/>
            <w:noWrap w:val="0"/>
            <w:vAlign w:val="center"/>
          </w:tcPr>
          <w:p w14:paraId="2F1E20A1">
            <w:pPr>
              <w:pStyle w:val="19"/>
              <w:jc w:val="center"/>
              <w:rPr>
                <w:rFonts w:hint="eastAsia"/>
                <w:color w:val="000000"/>
                <w:sz w:val="23"/>
                <w:szCs w:val="23"/>
                <w:highlight w:val="none"/>
              </w:rPr>
            </w:pPr>
          </w:p>
        </w:tc>
        <w:tc>
          <w:tcPr>
            <w:tcW w:w="1596" w:type="dxa"/>
            <w:noWrap w:val="0"/>
            <w:vAlign w:val="center"/>
          </w:tcPr>
          <w:p w14:paraId="36883169">
            <w:pPr>
              <w:pStyle w:val="19"/>
              <w:jc w:val="center"/>
              <w:rPr>
                <w:rFonts w:hint="eastAsia"/>
                <w:color w:val="000000"/>
                <w:sz w:val="23"/>
                <w:szCs w:val="23"/>
                <w:highlight w:val="none"/>
              </w:rPr>
            </w:pPr>
          </w:p>
        </w:tc>
        <w:tc>
          <w:tcPr>
            <w:tcW w:w="1596" w:type="dxa"/>
            <w:noWrap w:val="0"/>
            <w:vAlign w:val="center"/>
          </w:tcPr>
          <w:p w14:paraId="640D15AB">
            <w:pPr>
              <w:pStyle w:val="19"/>
              <w:jc w:val="center"/>
              <w:rPr>
                <w:rFonts w:hint="eastAsia"/>
                <w:color w:val="000000"/>
                <w:sz w:val="23"/>
                <w:szCs w:val="23"/>
                <w:highlight w:val="none"/>
              </w:rPr>
            </w:pPr>
          </w:p>
        </w:tc>
        <w:tc>
          <w:tcPr>
            <w:tcW w:w="1596" w:type="dxa"/>
            <w:noWrap w:val="0"/>
            <w:vAlign w:val="center"/>
          </w:tcPr>
          <w:p w14:paraId="75C0DA82">
            <w:pPr>
              <w:pStyle w:val="19"/>
              <w:jc w:val="center"/>
              <w:rPr>
                <w:rFonts w:hint="eastAsia"/>
                <w:color w:val="000000"/>
                <w:sz w:val="23"/>
                <w:szCs w:val="23"/>
                <w:highlight w:val="none"/>
              </w:rPr>
            </w:pPr>
          </w:p>
        </w:tc>
      </w:tr>
      <w:tr w14:paraId="2D73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225CED98">
            <w:pPr>
              <w:pStyle w:val="19"/>
              <w:jc w:val="center"/>
              <w:rPr>
                <w:rFonts w:hint="eastAsia"/>
                <w:color w:val="000000"/>
                <w:sz w:val="23"/>
                <w:szCs w:val="23"/>
                <w:highlight w:val="none"/>
              </w:rPr>
            </w:pPr>
          </w:p>
        </w:tc>
        <w:tc>
          <w:tcPr>
            <w:tcW w:w="1596" w:type="dxa"/>
            <w:noWrap w:val="0"/>
            <w:vAlign w:val="center"/>
          </w:tcPr>
          <w:p w14:paraId="7AA9D1A6">
            <w:pPr>
              <w:pStyle w:val="19"/>
              <w:jc w:val="center"/>
              <w:rPr>
                <w:rFonts w:hint="eastAsia"/>
                <w:color w:val="000000"/>
                <w:sz w:val="23"/>
                <w:szCs w:val="23"/>
                <w:highlight w:val="none"/>
              </w:rPr>
            </w:pPr>
          </w:p>
        </w:tc>
        <w:tc>
          <w:tcPr>
            <w:tcW w:w="1596" w:type="dxa"/>
            <w:noWrap w:val="0"/>
            <w:vAlign w:val="center"/>
          </w:tcPr>
          <w:p w14:paraId="55EEE1D6">
            <w:pPr>
              <w:pStyle w:val="19"/>
              <w:jc w:val="center"/>
              <w:rPr>
                <w:rFonts w:hint="eastAsia"/>
                <w:color w:val="000000"/>
                <w:sz w:val="23"/>
                <w:szCs w:val="23"/>
                <w:highlight w:val="none"/>
              </w:rPr>
            </w:pPr>
          </w:p>
        </w:tc>
        <w:tc>
          <w:tcPr>
            <w:tcW w:w="1596" w:type="dxa"/>
            <w:noWrap w:val="0"/>
            <w:vAlign w:val="center"/>
          </w:tcPr>
          <w:p w14:paraId="7E2825EA">
            <w:pPr>
              <w:pStyle w:val="19"/>
              <w:jc w:val="center"/>
              <w:rPr>
                <w:rFonts w:hint="eastAsia"/>
                <w:color w:val="000000"/>
                <w:sz w:val="23"/>
                <w:szCs w:val="23"/>
                <w:highlight w:val="none"/>
              </w:rPr>
            </w:pPr>
          </w:p>
        </w:tc>
        <w:tc>
          <w:tcPr>
            <w:tcW w:w="1596" w:type="dxa"/>
            <w:noWrap w:val="0"/>
            <w:vAlign w:val="center"/>
          </w:tcPr>
          <w:p w14:paraId="4826622A">
            <w:pPr>
              <w:pStyle w:val="19"/>
              <w:jc w:val="center"/>
              <w:rPr>
                <w:rFonts w:hint="eastAsia"/>
                <w:color w:val="000000"/>
                <w:sz w:val="23"/>
                <w:szCs w:val="23"/>
                <w:highlight w:val="none"/>
              </w:rPr>
            </w:pPr>
          </w:p>
        </w:tc>
        <w:tc>
          <w:tcPr>
            <w:tcW w:w="1596" w:type="dxa"/>
            <w:noWrap w:val="0"/>
            <w:vAlign w:val="center"/>
          </w:tcPr>
          <w:p w14:paraId="7872D9BD">
            <w:pPr>
              <w:pStyle w:val="19"/>
              <w:jc w:val="center"/>
              <w:rPr>
                <w:rFonts w:hint="eastAsia"/>
                <w:color w:val="000000"/>
                <w:sz w:val="23"/>
                <w:szCs w:val="23"/>
                <w:highlight w:val="none"/>
              </w:rPr>
            </w:pPr>
          </w:p>
        </w:tc>
      </w:tr>
      <w:tr w14:paraId="59D8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78E75B4F">
            <w:pPr>
              <w:pStyle w:val="19"/>
              <w:jc w:val="center"/>
              <w:rPr>
                <w:rFonts w:hint="eastAsia"/>
                <w:color w:val="000000"/>
                <w:sz w:val="23"/>
                <w:szCs w:val="23"/>
                <w:highlight w:val="none"/>
              </w:rPr>
            </w:pPr>
          </w:p>
        </w:tc>
        <w:tc>
          <w:tcPr>
            <w:tcW w:w="1596" w:type="dxa"/>
            <w:noWrap w:val="0"/>
            <w:vAlign w:val="center"/>
          </w:tcPr>
          <w:p w14:paraId="7C0F2024">
            <w:pPr>
              <w:pStyle w:val="19"/>
              <w:jc w:val="center"/>
              <w:rPr>
                <w:rFonts w:hint="eastAsia"/>
                <w:color w:val="000000"/>
                <w:sz w:val="23"/>
                <w:szCs w:val="23"/>
                <w:highlight w:val="none"/>
              </w:rPr>
            </w:pPr>
          </w:p>
        </w:tc>
        <w:tc>
          <w:tcPr>
            <w:tcW w:w="1596" w:type="dxa"/>
            <w:noWrap w:val="0"/>
            <w:vAlign w:val="center"/>
          </w:tcPr>
          <w:p w14:paraId="4BFC52D6">
            <w:pPr>
              <w:pStyle w:val="19"/>
              <w:jc w:val="center"/>
              <w:rPr>
                <w:rFonts w:hint="eastAsia"/>
                <w:color w:val="000000"/>
                <w:sz w:val="23"/>
                <w:szCs w:val="23"/>
                <w:highlight w:val="none"/>
              </w:rPr>
            </w:pPr>
          </w:p>
        </w:tc>
        <w:tc>
          <w:tcPr>
            <w:tcW w:w="1596" w:type="dxa"/>
            <w:noWrap w:val="0"/>
            <w:vAlign w:val="center"/>
          </w:tcPr>
          <w:p w14:paraId="1C2FB765">
            <w:pPr>
              <w:pStyle w:val="19"/>
              <w:jc w:val="center"/>
              <w:rPr>
                <w:rFonts w:hint="eastAsia"/>
                <w:color w:val="000000"/>
                <w:sz w:val="23"/>
                <w:szCs w:val="23"/>
                <w:highlight w:val="none"/>
              </w:rPr>
            </w:pPr>
          </w:p>
        </w:tc>
        <w:tc>
          <w:tcPr>
            <w:tcW w:w="1596" w:type="dxa"/>
            <w:noWrap w:val="0"/>
            <w:vAlign w:val="center"/>
          </w:tcPr>
          <w:p w14:paraId="0CCC5F98">
            <w:pPr>
              <w:pStyle w:val="19"/>
              <w:jc w:val="center"/>
              <w:rPr>
                <w:rFonts w:hint="eastAsia"/>
                <w:color w:val="000000"/>
                <w:sz w:val="23"/>
                <w:szCs w:val="23"/>
                <w:highlight w:val="none"/>
              </w:rPr>
            </w:pPr>
          </w:p>
        </w:tc>
        <w:tc>
          <w:tcPr>
            <w:tcW w:w="1596" w:type="dxa"/>
            <w:noWrap w:val="0"/>
            <w:vAlign w:val="center"/>
          </w:tcPr>
          <w:p w14:paraId="6652B41B">
            <w:pPr>
              <w:pStyle w:val="19"/>
              <w:jc w:val="center"/>
              <w:rPr>
                <w:rFonts w:hint="eastAsia"/>
                <w:color w:val="000000"/>
                <w:sz w:val="23"/>
                <w:szCs w:val="23"/>
                <w:highlight w:val="none"/>
              </w:rPr>
            </w:pPr>
          </w:p>
        </w:tc>
      </w:tr>
      <w:tr w14:paraId="6C5D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0FF7523E">
            <w:pPr>
              <w:pStyle w:val="19"/>
              <w:jc w:val="center"/>
              <w:rPr>
                <w:rFonts w:hint="eastAsia"/>
                <w:color w:val="000000"/>
                <w:sz w:val="23"/>
                <w:szCs w:val="23"/>
                <w:highlight w:val="none"/>
              </w:rPr>
            </w:pPr>
          </w:p>
        </w:tc>
        <w:tc>
          <w:tcPr>
            <w:tcW w:w="1596" w:type="dxa"/>
            <w:noWrap w:val="0"/>
            <w:vAlign w:val="center"/>
          </w:tcPr>
          <w:p w14:paraId="4E84DBFA">
            <w:pPr>
              <w:pStyle w:val="19"/>
              <w:jc w:val="center"/>
              <w:rPr>
                <w:rFonts w:hint="eastAsia"/>
                <w:color w:val="000000"/>
                <w:sz w:val="23"/>
                <w:szCs w:val="23"/>
                <w:highlight w:val="none"/>
              </w:rPr>
            </w:pPr>
          </w:p>
        </w:tc>
        <w:tc>
          <w:tcPr>
            <w:tcW w:w="1596" w:type="dxa"/>
            <w:noWrap w:val="0"/>
            <w:vAlign w:val="center"/>
          </w:tcPr>
          <w:p w14:paraId="33DB55D4">
            <w:pPr>
              <w:pStyle w:val="19"/>
              <w:jc w:val="center"/>
              <w:rPr>
                <w:rFonts w:hint="eastAsia"/>
                <w:color w:val="000000"/>
                <w:sz w:val="23"/>
                <w:szCs w:val="23"/>
                <w:highlight w:val="none"/>
              </w:rPr>
            </w:pPr>
          </w:p>
        </w:tc>
        <w:tc>
          <w:tcPr>
            <w:tcW w:w="1596" w:type="dxa"/>
            <w:noWrap w:val="0"/>
            <w:vAlign w:val="center"/>
          </w:tcPr>
          <w:p w14:paraId="520C00D9">
            <w:pPr>
              <w:pStyle w:val="19"/>
              <w:jc w:val="center"/>
              <w:rPr>
                <w:rFonts w:hint="eastAsia"/>
                <w:color w:val="000000"/>
                <w:sz w:val="23"/>
                <w:szCs w:val="23"/>
                <w:highlight w:val="none"/>
              </w:rPr>
            </w:pPr>
          </w:p>
        </w:tc>
        <w:tc>
          <w:tcPr>
            <w:tcW w:w="1596" w:type="dxa"/>
            <w:noWrap w:val="0"/>
            <w:vAlign w:val="center"/>
          </w:tcPr>
          <w:p w14:paraId="5BE314B8">
            <w:pPr>
              <w:pStyle w:val="19"/>
              <w:jc w:val="center"/>
              <w:rPr>
                <w:rFonts w:hint="eastAsia"/>
                <w:color w:val="000000"/>
                <w:sz w:val="23"/>
                <w:szCs w:val="23"/>
                <w:highlight w:val="none"/>
              </w:rPr>
            </w:pPr>
          </w:p>
        </w:tc>
        <w:tc>
          <w:tcPr>
            <w:tcW w:w="1596" w:type="dxa"/>
            <w:noWrap w:val="0"/>
            <w:vAlign w:val="center"/>
          </w:tcPr>
          <w:p w14:paraId="55BD87F2">
            <w:pPr>
              <w:pStyle w:val="19"/>
              <w:jc w:val="center"/>
              <w:rPr>
                <w:rFonts w:hint="eastAsia"/>
                <w:color w:val="000000"/>
                <w:sz w:val="23"/>
                <w:szCs w:val="23"/>
                <w:highlight w:val="none"/>
              </w:rPr>
            </w:pPr>
          </w:p>
        </w:tc>
      </w:tr>
      <w:tr w14:paraId="4519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40D57475">
            <w:pPr>
              <w:pStyle w:val="19"/>
              <w:jc w:val="center"/>
              <w:rPr>
                <w:rFonts w:hint="eastAsia"/>
                <w:color w:val="000000"/>
                <w:sz w:val="23"/>
                <w:szCs w:val="23"/>
                <w:highlight w:val="none"/>
              </w:rPr>
            </w:pPr>
          </w:p>
        </w:tc>
        <w:tc>
          <w:tcPr>
            <w:tcW w:w="1596" w:type="dxa"/>
            <w:noWrap w:val="0"/>
            <w:vAlign w:val="center"/>
          </w:tcPr>
          <w:p w14:paraId="5B7133BF">
            <w:pPr>
              <w:pStyle w:val="19"/>
              <w:jc w:val="center"/>
              <w:rPr>
                <w:rFonts w:hint="eastAsia"/>
                <w:color w:val="000000"/>
                <w:sz w:val="23"/>
                <w:szCs w:val="23"/>
                <w:highlight w:val="none"/>
              </w:rPr>
            </w:pPr>
          </w:p>
        </w:tc>
        <w:tc>
          <w:tcPr>
            <w:tcW w:w="1596" w:type="dxa"/>
            <w:noWrap w:val="0"/>
            <w:vAlign w:val="center"/>
          </w:tcPr>
          <w:p w14:paraId="07A733EF">
            <w:pPr>
              <w:pStyle w:val="19"/>
              <w:jc w:val="center"/>
              <w:rPr>
                <w:rFonts w:hint="eastAsia"/>
                <w:color w:val="000000"/>
                <w:sz w:val="23"/>
                <w:szCs w:val="23"/>
                <w:highlight w:val="none"/>
              </w:rPr>
            </w:pPr>
          </w:p>
        </w:tc>
        <w:tc>
          <w:tcPr>
            <w:tcW w:w="1596" w:type="dxa"/>
            <w:noWrap w:val="0"/>
            <w:vAlign w:val="center"/>
          </w:tcPr>
          <w:p w14:paraId="0C546DE4">
            <w:pPr>
              <w:pStyle w:val="19"/>
              <w:jc w:val="center"/>
              <w:rPr>
                <w:rFonts w:hint="eastAsia"/>
                <w:color w:val="000000"/>
                <w:sz w:val="23"/>
                <w:szCs w:val="23"/>
                <w:highlight w:val="none"/>
              </w:rPr>
            </w:pPr>
          </w:p>
        </w:tc>
        <w:tc>
          <w:tcPr>
            <w:tcW w:w="1596" w:type="dxa"/>
            <w:noWrap w:val="0"/>
            <w:vAlign w:val="center"/>
          </w:tcPr>
          <w:p w14:paraId="72F6A837">
            <w:pPr>
              <w:pStyle w:val="19"/>
              <w:jc w:val="center"/>
              <w:rPr>
                <w:rFonts w:hint="eastAsia"/>
                <w:color w:val="000000"/>
                <w:sz w:val="23"/>
                <w:szCs w:val="23"/>
                <w:highlight w:val="none"/>
              </w:rPr>
            </w:pPr>
          </w:p>
        </w:tc>
        <w:tc>
          <w:tcPr>
            <w:tcW w:w="1596" w:type="dxa"/>
            <w:noWrap w:val="0"/>
            <w:vAlign w:val="center"/>
          </w:tcPr>
          <w:p w14:paraId="48CB40E1">
            <w:pPr>
              <w:pStyle w:val="19"/>
              <w:jc w:val="center"/>
              <w:rPr>
                <w:rFonts w:hint="eastAsia"/>
                <w:color w:val="000000"/>
                <w:sz w:val="23"/>
                <w:szCs w:val="23"/>
                <w:highlight w:val="none"/>
              </w:rPr>
            </w:pPr>
          </w:p>
        </w:tc>
      </w:tr>
      <w:tr w14:paraId="551BC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3701173F">
            <w:pPr>
              <w:pStyle w:val="19"/>
              <w:jc w:val="center"/>
              <w:rPr>
                <w:rFonts w:hint="eastAsia"/>
                <w:color w:val="000000"/>
                <w:sz w:val="23"/>
                <w:szCs w:val="23"/>
                <w:highlight w:val="none"/>
              </w:rPr>
            </w:pPr>
          </w:p>
        </w:tc>
        <w:tc>
          <w:tcPr>
            <w:tcW w:w="1596" w:type="dxa"/>
            <w:noWrap w:val="0"/>
            <w:vAlign w:val="center"/>
          </w:tcPr>
          <w:p w14:paraId="386D98F9">
            <w:pPr>
              <w:pStyle w:val="19"/>
              <w:jc w:val="center"/>
              <w:rPr>
                <w:rFonts w:hint="eastAsia"/>
                <w:color w:val="000000"/>
                <w:sz w:val="23"/>
                <w:szCs w:val="23"/>
                <w:highlight w:val="none"/>
              </w:rPr>
            </w:pPr>
          </w:p>
        </w:tc>
        <w:tc>
          <w:tcPr>
            <w:tcW w:w="1596" w:type="dxa"/>
            <w:noWrap w:val="0"/>
            <w:vAlign w:val="center"/>
          </w:tcPr>
          <w:p w14:paraId="45C21B17">
            <w:pPr>
              <w:pStyle w:val="19"/>
              <w:jc w:val="center"/>
              <w:rPr>
                <w:rFonts w:hint="eastAsia"/>
                <w:color w:val="000000"/>
                <w:sz w:val="23"/>
                <w:szCs w:val="23"/>
                <w:highlight w:val="none"/>
              </w:rPr>
            </w:pPr>
          </w:p>
        </w:tc>
        <w:tc>
          <w:tcPr>
            <w:tcW w:w="1596" w:type="dxa"/>
            <w:noWrap w:val="0"/>
            <w:vAlign w:val="center"/>
          </w:tcPr>
          <w:p w14:paraId="4937F6CC">
            <w:pPr>
              <w:pStyle w:val="19"/>
              <w:jc w:val="center"/>
              <w:rPr>
                <w:rFonts w:hint="eastAsia"/>
                <w:color w:val="000000"/>
                <w:sz w:val="23"/>
                <w:szCs w:val="23"/>
                <w:highlight w:val="none"/>
              </w:rPr>
            </w:pPr>
          </w:p>
        </w:tc>
        <w:tc>
          <w:tcPr>
            <w:tcW w:w="1596" w:type="dxa"/>
            <w:noWrap w:val="0"/>
            <w:vAlign w:val="center"/>
          </w:tcPr>
          <w:p w14:paraId="3951E749">
            <w:pPr>
              <w:pStyle w:val="19"/>
              <w:jc w:val="center"/>
              <w:rPr>
                <w:rFonts w:hint="eastAsia"/>
                <w:color w:val="000000"/>
                <w:sz w:val="23"/>
                <w:szCs w:val="23"/>
                <w:highlight w:val="none"/>
              </w:rPr>
            </w:pPr>
          </w:p>
        </w:tc>
        <w:tc>
          <w:tcPr>
            <w:tcW w:w="1596" w:type="dxa"/>
            <w:noWrap w:val="0"/>
            <w:vAlign w:val="center"/>
          </w:tcPr>
          <w:p w14:paraId="410C2B0B">
            <w:pPr>
              <w:pStyle w:val="19"/>
              <w:jc w:val="center"/>
              <w:rPr>
                <w:rFonts w:hint="eastAsia"/>
                <w:color w:val="000000"/>
                <w:sz w:val="23"/>
                <w:szCs w:val="23"/>
                <w:highlight w:val="none"/>
              </w:rPr>
            </w:pPr>
          </w:p>
        </w:tc>
      </w:tr>
      <w:tr w14:paraId="3745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46085966">
            <w:pPr>
              <w:pStyle w:val="19"/>
              <w:jc w:val="center"/>
              <w:rPr>
                <w:rFonts w:hint="eastAsia"/>
                <w:color w:val="000000"/>
                <w:sz w:val="23"/>
                <w:szCs w:val="23"/>
                <w:highlight w:val="none"/>
              </w:rPr>
            </w:pPr>
          </w:p>
        </w:tc>
        <w:tc>
          <w:tcPr>
            <w:tcW w:w="1596" w:type="dxa"/>
            <w:noWrap w:val="0"/>
            <w:vAlign w:val="center"/>
          </w:tcPr>
          <w:p w14:paraId="59EFB2B7">
            <w:pPr>
              <w:pStyle w:val="19"/>
              <w:jc w:val="center"/>
              <w:rPr>
                <w:rFonts w:hint="eastAsia"/>
                <w:color w:val="000000"/>
                <w:sz w:val="23"/>
                <w:szCs w:val="23"/>
                <w:highlight w:val="none"/>
              </w:rPr>
            </w:pPr>
          </w:p>
        </w:tc>
        <w:tc>
          <w:tcPr>
            <w:tcW w:w="1596" w:type="dxa"/>
            <w:noWrap w:val="0"/>
            <w:vAlign w:val="center"/>
          </w:tcPr>
          <w:p w14:paraId="1EEF2188">
            <w:pPr>
              <w:pStyle w:val="19"/>
              <w:jc w:val="center"/>
              <w:rPr>
                <w:rFonts w:hint="eastAsia"/>
                <w:color w:val="000000"/>
                <w:sz w:val="23"/>
                <w:szCs w:val="23"/>
                <w:highlight w:val="none"/>
              </w:rPr>
            </w:pPr>
          </w:p>
        </w:tc>
        <w:tc>
          <w:tcPr>
            <w:tcW w:w="1596" w:type="dxa"/>
            <w:noWrap w:val="0"/>
            <w:vAlign w:val="center"/>
          </w:tcPr>
          <w:p w14:paraId="6E3080ED">
            <w:pPr>
              <w:pStyle w:val="19"/>
              <w:jc w:val="center"/>
              <w:rPr>
                <w:rFonts w:hint="eastAsia"/>
                <w:color w:val="000000"/>
                <w:sz w:val="23"/>
                <w:szCs w:val="23"/>
                <w:highlight w:val="none"/>
              </w:rPr>
            </w:pPr>
          </w:p>
        </w:tc>
        <w:tc>
          <w:tcPr>
            <w:tcW w:w="1596" w:type="dxa"/>
            <w:noWrap w:val="0"/>
            <w:vAlign w:val="center"/>
          </w:tcPr>
          <w:p w14:paraId="4666FAF2">
            <w:pPr>
              <w:pStyle w:val="19"/>
              <w:jc w:val="center"/>
              <w:rPr>
                <w:rFonts w:hint="eastAsia"/>
                <w:color w:val="000000"/>
                <w:sz w:val="23"/>
                <w:szCs w:val="23"/>
                <w:highlight w:val="none"/>
              </w:rPr>
            </w:pPr>
          </w:p>
        </w:tc>
        <w:tc>
          <w:tcPr>
            <w:tcW w:w="1596" w:type="dxa"/>
            <w:noWrap w:val="0"/>
            <w:vAlign w:val="center"/>
          </w:tcPr>
          <w:p w14:paraId="3551E5C8">
            <w:pPr>
              <w:pStyle w:val="19"/>
              <w:jc w:val="center"/>
              <w:rPr>
                <w:rFonts w:hint="eastAsia"/>
                <w:color w:val="000000"/>
                <w:sz w:val="23"/>
                <w:szCs w:val="23"/>
                <w:highlight w:val="none"/>
              </w:rPr>
            </w:pPr>
          </w:p>
        </w:tc>
      </w:tr>
      <w:tr w14:paraId="4745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6" w:type="dxa"/>
            <w:noWrap w:val="0"/>
            <w:vAlign w:val="center"/>
          </w:tcPr>
          <w:p w14:paraId="312F05A0">
            <w:pPr>
              <w:pStyle w:val="19"/>
              <w:jc w:val="center"/>
              <w:rPr>
                <w:rFonts w:hint="eastAsia"/>
                <w:color w:val="000000"/>
                <w:sz w:val="23"/>
                <w:szCs w:val="23"/>
                <w:highlight w:val="none"/>
              </w:rPr>
            </w:pPr>
          </w:p>
        </w:tc>
        <w:tc>
          <w:tcPr>
            <w:tcW w:w="1596" w:type="dxa"/>
            <w:noWrap w:val="0"/>
            <w:vAlign w:val="center"/>
          </w:tcPr>
          <w:p w14:paraId="6D180716">
            <w:pPr>
              <w:pStyle w:val="19"/>
              <w:jc w:val="center"/>
              <w:rPr>
                <w:rFonts w:hint="eastAsia"/>
                <w:color w:val="000000"/>
                <w:sz w:val="23"/>
                <w:szCs w:val="23"/>
                <w:highlight w:val="none"/>
              </w:rPr>
            </w:pPr>
          </w:p>
        </w:tc>
        <w:tc>
          <w:tcPr>
            <w:tcW w:w="1596" w:type="dxa"/>
            <w:noWrap w:val="0"/>
            <w:vAlign w:val="center"/>
          </w:tcPr>
          <w:p w14:paraId="1E9853F2">
            <w:pPr>
              <w:pStyle w:val="19"/>
              <w:jc w:val="center"/>
              <w:rPr>
                <w:rFonts w:hint="eastAsia"/>
                <w:color w:val="000000"/>
                <w:sz w:val="23"/>
                <w:szCs w:val="23"/>
                <w:highlight w:val="none"/>
              </w:rPr>
            </w:pPr>
          </w:p>
        </w:tc>
        <w:tc>
          <w:tcPr>
            <w:tcW w:w="1596" w:type="dxa"/>
            <w:noWrap w:val="0"/>
            <w:vAlign w:val="center"/>
          </w:tcPr>
          <w:p w14:paraId="4EE65508">
            <w:pPr>
              <w:pStyle w:val="19"/>
              <w:jc w:val="center"/>
              <w:rPr>
                <w:rFonts w:hint="eastAsia"/>
                <w:color w:val="000000"/>
                <w:sz w:val="23"/>
                <w:szCs w:val="23"/>
                <w:highlight w:val="none"/>
              </w:rPr>
            </w:pPr>
          </w:p>
        </w:tc>
        <w:tc>
          <w:tcPr>
            <w:tcW w:w="1596" w:type="dxa"/>
            <w:noWrap w:val="0"/>
            <w:vAlign w:val="center"/>
          </w:tcPr>
          <w:p w14:paraId="63F5EC10">
            <w:pPr>
              <w:pStyle w:val="19"/>
              <w:jc w:val="center"/>
              <w:rPr>
                <w:rFonts w:hint="eastAsia"/>
                <w:color w:val="000000"/>
                <w:sz w:val="23"/>
                <w:szCs w:val="23"/>
                <w:highlight w:val="none"/>
              </w:rPr>
            </w:pPr>
          </w:p>
        </w:tc>
        <w:tc>
          <w:tcPr>
            <w:tcW w:w="1596" w:type="dxa"/>
            <w:noWrap w:val="0"/>
            <w:vAlign w:val="center"/>
          </w:tcPr>
          <w:p w14:paraId="7891D9FB">
            <w:pPr>
              <w:pStyle w:val="19"/>
              <w:jc w:val="center"/>
              <w:rPr>
                <w:rFonts w:hint="eastAsia"/>
                <w:color w:val="000000"/>
                <w:sz w:val="23"/>
                <w:szCs w:val="23"/>
                <w:highlight w:val="none"/>
              </w:rPr>
            </w:pPr>
          </w:p>
        </w:tc>
      </w:tr>
    </w:tbl>
    <w:p w14:paraId="6C698DF0">
      <w:pPr>
        <w:jc w:val="center"/>
        <w:rPr>
          <w:rFonts w:hint="eastAsia"/>
          <w:color w:val="000000"/>
          <w:sz w:val="28"/>
          <w:szCs w:val="28"/>
          <w:highlight w:val="none"/>
        </w:rPr>
      </w:pPr>
    </w:p>
    <w:p w14:paraId="0255BE0F">
      <w:pPr>
        <w:pStyle w:val="19"/>
        <w:spacing w:line="380" w:lineRule="exact"/>
        <w:rPr>
          <w:rFonts w:hint="eastAsia"/>
          <w:color w:val="000000"/>
          <w:sz w:val="21"/>
          <w:szCs w:val="21"/>
          <w:highlight w:val="none"/>
        </w:rPr>
      </w:pPr>
      <w:r>
        <w:rPr>
          <w:color w:val="000000"/>
          <w:sz w:val="21"/>
          <w:szCs w:val="21"/>
          <w:highlight w:val="none"/>
        </w:rPr>
        <w:t>注：</w:t>
      </w:r>
    </w:p>
    <w:p w14:paraId="1321DB68">
      <w:pPr>
        <w:pStyle w:val="19"/>
        <w:spacing w:line="380" w:lineRule="exact"/>
        <w:rPr>
          <w:rFonts w:hint="eastAsia" w:hAnsi="Times New Roman" w:cs="Times New Roman"/>
          <w:color w:val="000000"/>
          <w:sz w:val="21"/>
          <w:szCs w:val="21"/>
          <w:highlight w:val="none"/>
        </w:rPr>
      </w:pPr>
      <w:r>
        <w:rPr>
          <w:rFonts w:hint="eastAsia"/>
          <w:color w:val="000000"/>
          <w:sz w:val="21"/>
          <w:szCs w:val="21"/>
          <w:highlight w:val="none"/>
        </w:rPr>
        <w:t>1.</w:t>
      </w:r>
      <w:r>
        <w:rPr>
          <w:color w:val="000000"/>
          <w:sz w:val="21"/>
          <w:szCs w:val="21"/>
          <w:highlight w:val="none"/>
        </w:rPr>
        <w:t>项目按照时间先后</w:t>
      </w:r>
      <w:r>
        <w:rPr>
          <w:rFonts w:hAnsi="Times New Roman" w:cs="Times New Roman"/>
          <w:color w:val="000000"/>
          <w:sz w:val="21"/>
          <w:szCs w:val="21"/>
          <w:highlight w:val="none"/>
        </w:rPr>
        <w:t>顺序排列</w:t>
      </w:r>
      <w:r>
        <w:rPr>
          <w:rFonts w:hint="eastAsia" w:hAnsi="Times New Roman" w:cs="Times New Roman"/>
          <w:color w:val="000000"/>
          <w:sz w:val="21"/>
          <w:szCs w:val="21"/>
          <w:highlight w:val="none"/>
        </w:rPr>
        <w:t>，</w:t>
      </w:r>
      <w:r>
        <w:rPr>
          <w:rFonts w:hAnsi="Times New Roman" w:cs="Times New Roman"/>
          <w:color w:val="000000"/>
          <w:sz w:val="21"/>
          <w:szCs w:val="21"/>
          <w:highlight w:val="none"/>
        </w:rPr>
        <w:t>表格可根据实际内容进行调整及补充，但不能缺失以上表格所包含内容</w:t>
      </w:r>
      <w:r>
        <w:rPr>
          <w:rFonts w:hint="eastAsia" w:hAnsi="Times New Roman" w:cs="Times New Roman"/>
          <w:color w:val="000000"/>
          <w:sz w:val="21"/>
          <w:szCs w:val="21"/>
          <w:highlight w:val="none"/>
        </w:rPr>
        <w:t>；</w:t>
      </w:r>
    </w:p>
    <w:p w14:paraId="1DF93587">
      <w:pPr>
        <w:pStyle w:val="19"/>
        <w:spacing w:line="380" w:lineRule="exact"/>
        <w:rPr>
          <w:rFonts w:hint="eastAsia" w:hAnsi="Times New Roman" w:cs="Times New Roman"/>
          <w:color w:val="000000"/>
          <w:sz w:val="21"/>
          <w:szCs w:val="21"/>
          <w:highlight w:val="none"/>
        </w:rPr>
      </w:pPr>
      <w:r>
        <w:rPr>
          <w:rFonts w:hint="eastAsia" w:hAnsi="Times New Roman" w:cs="Times New Roman"/>
          <w:color w:val="000000"/>
          <w:sz w:val="21"/>
          <w:szCs w:val="21"/>
          <w:highlight w:val="none"/>
        </w:rPr>
        <w:t>2. 后附合同【保险合同关键页（需包含项目名称、保费规模、服务期限、用印签字等关键信息】，否则不予认可）及评价意见</w:t>
      </w:r>
    </w:p>
    <w:p w14:paraId="28E53BFE">
      <w:pPr>
        <w:pStyle w:val="19"/>
        <w:spacing w:line="380" w:lineRule="exact"/>
        <w:rPr>
          <w:rFonts w:hint="eastAsia" w:hAnsi="Times New Roman" w:cs="Times New Roman"/>
          <w:color w:val="000000"/>
          <w:sz w:val="21"/>
          <w:szCs w:val="21"/>
          <w:highlight w:val="none"/>
        </w:rPr>
      </w:pPr>
      <w:r>
        <w:rPr>
          <w:rFonts w:hAnsi="Times New Roman" w:cs="Times New Roman"/>
          <w:color w:val="000000"/>
          <w:sz w:val="21"/>
          <w:szCs w:val="21"/>
          <w:highlight w:val="none"/>
        </w:rPr>
        <w:t>3</w:t>
      </w:r>
      <w:r>
        <w:rPr>
          <w:rFonts w:hint="eastAsia" w:hAnsi="Times New Roman" w:cs="Times New Roman"/>
          <w:color w:val="000000"/>
          <w:sz w:val="21"/>
          <w:szCs w:val="21"/>
          <w:highlight w:val="none"/>
        </w:rPr>
        <w:t>、服务经验有效时间以保险合同的起保日期为准。</w:t>
      </w:r>
    </w:p>
    <w:p w14:paraId="13A9CBB7">
      <w:pPr>
        <w:pStyle w:val="19"/>
        <w:spacing w:line="380" w:lineRule="exact"/>
        <w:rPr>
          <w:rFonts w:hint="eastAsia" w:ascii="宋体" w:hAnsi="宋体" w:eastAsia="宋体" w:cs="宋体"/>
          <w:sz w:val="21"/>
          <w:szCs w:val="21"/>
        </w:rPr>
      </w:pPr>
    </w:p>
    <w:p w14:paraId="121DE0D0">
      <w:pPr>
        <w:pStyle w:val="19"/>
        <w:spacing w:line="380" w:lineRule="exact"/>
        <w:rPr>
          <w:rFonts w:ascii="宋体" w:hAnsi="宋体" w:eastAsia="宋体" w:cs="宋体"/>
          <w:color w:val="auto"/>
          <w:szCs w:val="21"/>
          <w:highlight w:val="none"/>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r>
        <w:rPr>
          <w:rFonts w:ascii="宋体" w:hAnsi="宋体" w:eastAsia="宋体" w:cs="宋体"/>
          <w:color w:val="auto"/>
          <w:szCs w:val="21"/>
          <w:highlight w:val="none"/>
        </w:rPr>
        <w:br w:type="page"/>
      </w:r>
    </w:p>
    <w:p w14:paraId="56DFC4CB">
      <w:pPr>
        <w:widowControl/>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格式</w:t>
      </w:r>
      <w:r>
        <w:rPr>
          <w:rFonts w:hint="eastAsia" w:ascii="宋体" w:hAnsi="宋体" w:eastAsia="宋体" w:cs="Times New Roman"/>
          <w:b/>
          <w:color w:val="auto"/>
          <w:sz w:val="28"/>
          <w:szCs w:val="28"/>
          <w:highlight w:val="none"/>
          <w:lang w:val="en-US" w:eastAsia="zh-CN"/>
        </w:rPr>
        <w:t>7</w:t>
      </w:r>
      <w:r>
        <w:rPr>
          <w:rFonts w:hint="eastAsia" w:ascii="宋体" w:hAnsi="宋体" w:eastAsia="宋体" w:cs="Times New Roman"/>
          <w:b/>
          <w:color w:val="auto"/>
          <w:sz w:val="28"/>
          <w:szCs w:val="28"/>
          <w:highlight w:val="none"/>
        </w:rPr>
        <w:t>：</w:t>
      </w:r>
      <w:bookmarkEnd w:id="293"/>
      <w:r>
        <w:rPr>
          <w:rFonts w:hint="eastAsia" w:ascii="宋体" w:hAnsi="宋体" w:eastAsia="宋体" w:cs="Times New Roman"/>
          <w:b/>
          <w:color w:val="auto"/>
          <w:sz w:val="28"/>
          <w:szCs w:val="28"/>
          <w:highlight w:val="none"/>
          <w:lang w:val="en-US" w:eastAsia="zh-CN"/>
        </w:rPr>
        <w:t>保险</w:t>
      </w:r>
      <w:r>
        <w:rPr>
          <w:rFonts w:hint="eastAsia" w:ascii="宋体" w:hAnsi="宋体" w:eastAsia="宋体" w:cs="Times New Roman"/>
          <w:b/>
          <w:color w:val="auto"/>
          <w:sz w:val="28"/>
          <w:szCs w:val="28"/>
          <w:highlight w:val="none"/>
        </w:rPr>
        <w:t>保障能力</w:t>
      </w:r>
    </w:p>
    <w:p w14:paraId="556E1A79">
      <w:pPr>
        <w:keepNext/>
        <w:spacing w:line="360" w:lineRule="auto"/>
        <w:ind w:firstLine="420" w:firstLineChars="200"/>
        <w:jc w:val="left"/>
        <w:rPr>
          <w:rFonts w:ascii="宋体" w:hAnsi="宋体" w:eastAsia="宋体" w:cs="宋体"/>
          <w:color w:val="auto"/>
          <w:szCs w:val="21"/>
          <w:highlight w:val="none"/>
        </w:rPr>
      </w:pPr>
    </w:p>
    <w:p w14:paraId="0F97379B">
      <w:pPr>
        <w:keepNext/>
        <w:spacing w:line="360" w:lineRule="auto"/>
        <w:ind w:firstLine="409" w:firstLineChars="195"/>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此部分内容应充分结合本项目采购需求的全部内容以及磋商程序和方法的评审要求进行综合分析后进行编制，格式由各磋商申请人自行设计</w:t>
      </w:r>
      <w:r>
        <w:rPr>
          <w:rFonts w:hint="eastAsia" w:ascii="宋体" w:hAnsi="宋体" w:eastAsia="宋体" w:cs="宋体"/>
          <w:color w:val="auto"/>
          <w:szCs w:val="21"/>
          <w:highlight w:val="none"/>
          <w:lang w:val="en-US" w:eastAsia="zh-CN"/>
        </w:rPr>
        <w:t>。</w:t>
      </w:r>
    </w:p>
    <w:p w14:paraId="2D7EF1FE">
      <w:pPr>
        <w:keepNext/>
        <w:spacing w:line="360" w:lineRule="auto"/>
        <w:ind w:firstLine="411" w:firstLineChars="195"/>
        <w:jc w:val="left"/>
        <w:rPr>
          <w:rFonts w:hint="eastAsia"/>
          <w:b/>
          <w:bCs/>
          <w:lang w:val="en-US" w:eastAsia="zh-CN"/>
        </w:rPr>
      </w:pPr>
      <w:r>
        <w:rPr>
          <w:rFonts w:hint="eastAsia" w:ascii="宋体" w:hAnsi="宋体" w:eastAsia="宋体" w:cs="宋体"/>
          <w:b/>
          <w:bCs/>
          <w:color w:val="auto"/>
          <w:szCs w:val="21"/>
          <w:highlight w:val="none"/>
        </w:rPr>
        <w:t>注：</w:t>
      </w:r>
      <w:r>
        <w:rPr>
          <w:rFonts w:hint="eastAsia" w:ascii="宋体" w:hAnsi="宋体" w:eastAsia="宋体" w:cs="宋体"/>
          <w:b/>
          <w:bCs/>
          <w:color w:val="auto"/>
          <w:szCs w:val="21"/>
          <w:highlight w:val="none"/>
          <w:lang w:eastAsia="zh-CN"/>
        </w:rPr>
        <w:t>以联合体形式参与磋商的，此材料</w:t>
      </w:r>
      <w:r>
        <w:rPr>
          <w:rFonts w:hint="eastAsia" w:ascii="宋体" w:hAnsi="宋体" w:eastAsia="宋体" w:cs="宋体"/>
          <w:b/>
          <w:bCs/>
          <w:sz w:val="21"/>
          <w:szCs w:val="21"/>
          <w:lang w:eastAsia="zh-CN"/>
        </w:rPr>
        <w:t>由联合体牵头人汇总编制后提供</w:t>
      </w:r>
      <w:r>
        <w:rPr>
          <w:rFonts w:hint="eastAsia" w:ascii="宋体" w:hAnsi="宋体" w:eastAsia="宋体" w:cs="宋体"/>
          <w:b/>
          <w:bCs/>
          <w:sz w:val="21"/>
          <w:szCs w:val="21"/>
        </w:rPr>
        <w:t>。</w:t>
      </w:r>
    </w:p>
    <w:p w14:paraId="1F47E5EE">
      <w:pPr>
        <w:keepNext/>
        <w:spacing w:line="360" w:lineRule="auto"/>
        <w:ind w:firstLine="200"/>
        <w:jc w:val="center"/>
        <w:rPr>
          <w:rFonts w:hint="eastAsia" w:ascii="宋体" w:hAnsi="宋体" w:eastAsia="宋体" w:cs="宋体"/>
          <w:color w:val="auto"/>
          <w:szCs w:val="21"/>
          <w:highlight w:val="none"/>
          <w:lang w:val="en-US" w:eastAsia="zh-CN"/>
        </w:rPr>
      </w:pPr>
    </w:p>
    <w:p w14:paraId="5407CF4B">
      <w:pPr>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br w:type="page"/>
      </w:r>
    </w:p>
    <w:p w14:paraId="5CA14A5D">
      <w:pPr>
        <w:widowControl/>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格式</w:t>
      </w:r>
      <w:r>
        <w:rPr>
          <w:rFonts w:hint="eastAsia" w:ascii="宋体" w:hAnsi="宋体" w:eastAsia="宋体" w:cs="Times New Roman"/>
          <w:b/>
          <w:color w:val="auto"/>
          <w:sz w:val="28"/>
          <w:szCs w:val="28"/>
          <w:highlight w:val="none"/>
          <w:lang w:val="en-US" w:eastAsia="zh-CN"/>
        </w:rPr>
        <w:t>8</w:t>
      </w:r>
      <w:r>
        <w:rPr>
          <w:rFonts w:hint="eastAsia" w:ascii="宋体" w:hAnsi="宋体" w:eastAsia="宋体" w:cs="Times New Roman"/>
          <w:b/>
          <w:color w:val="auto"/>
          <w:sz w:val="28"/>
          <w:szCs w:val="28"/>
          <w:highlight w:val="none"/>
        </w:rPr>
        <w:t>：</w:t>
      </w:r>
      <w:r>
        <w:rPr>
          <w:rFonts w:hint="eastAsia" w:ascii="宋体" w:hAnsi="宋体" w:eastAsia="宋体" w:cs="Times New Roman"/>
          <w:b/>
          <w:color w:val="auto"/>
          <w:sz w:val="28"/>
          <w:szCs w:val="28"/>
          <w:highlight w:val="none"/>
          <w:lang w:val="en-US" w:eastAsia="zh-CN"/>
        </w:rPr>
        <w:t>保险</w:t>
      </w:r>
      <w:r>
        <w:rPr>
          <w:rFonts w:hint="eastAsia" w:ascii="宋体" w:hAnsi="宋体" w:eastAsia="宋体" w:cs="Times New Roman"/>
          <w:b/>
          <w:color w:val="auto"/>
          <w:sz w:val="28"/>
          <w:szCs w:val="28"/>
          <w:highlight w:val="none"/>
        </w:rPr>
        <w:t>保障额度</w:t>
      </w:r>
    </w:p>
    <w:p w14:paraId="35D9760C">
      <w:pPr>
        <w:keepNext/>
        <w:spacing w:line="360" w:lineRule="auto"/>
        <w:ind w:firstLine="420" w:firstLineChars="200"/>
        <w:jc w:val="left"/>
        <w:rPr>
          <w:rFonts w:ascii="宋体" w:hAnsi="宋体" w:eastAsia="宋体" w:cs="宋体"/>
          <w:color w:val="auto"/>
          <w:szCs w:val="21"/>
          <w:highlight w:val="none"/>
        </w:rPr>
      </w:pPr>
    </w:p>
    <w:p w14:paraId="58463FAC">
      <w:pPr>
        <w:ind w:left="0" w:leftChars="0"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此部分内容应充分结合本项目采购需求的全部内容以及磋商程序和方法的评审要求进行综合分析后磋商申请依据自身实力及项目实际情况作出承诺，格式由各磋商申请人自行设计</w:t>
      </w:r>
      <w:r>
        <w:rPr>
          <w:rFonts w:hint="eastAsia" w:ascii="宋体" w:hAnsi="宋体" w:eastAsia="宋体" w:cs="宋体"/>
          <w:color w:val="auto"/>
          <w:szCs w:val="21"/>
          <w:highlight w:val="none"/>
          <w:lang w:val="en-US" w:eastAsia="zh-CN"/>
        </w:rPr>
        <w:t>。</w:t>
      </w:r>
    </w:p>
    <w:p w14:paraId="779734B6">
      <w:pPr>
        <w:ind w:left="0" w:leftChars="0" w:firstLine="420" w:firstLineChars="200"/>
        <w:jc w:val="left"/>
        <w:rPr>
          <w:rFonts w:hint="eastAsia" w:ascii="宋体" w:hAnsi="宋体" w:eastAsia="宋体" w:cs="宋体"/>
          <w:color w:val="auto"/>
          <w:szCs w:val="21"/>
          <w:highlight w:val="none"/>
          <w:lang w:val="en-US" w:eastAsia="zh-CN"/>
        </w:rPr>
      </w:pPr>
    </w:p>
    <w:p w14:paraId="232023AE">
      <w:pPr>
        <w:ind w:left="0" w:leftChars="0" w:firstLine="422" w:firstLineChars="200"/>
        <w:jc w:val="left"/>
        <w:rPr>
          <w:rFonts w:hint="default"/>
          <w:lang w:val="en-US" w:eastAsia="zh-CN"/>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r>
        <w:rPr>
          <w:rFonts w:hint="default"/>
          <w:lang w:val="en-US" w:eastAsia="zh-CN"/>
        </w:rPr>
        <w:br w:type="page"/>
      </w:r>
    </w:p>
    <w:p w14:paraId="2BEF052C">
      <w:pPr>
        <w:widowControl/>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格式</w:t>
      </w:r>
      <w:r>
        <w:rPr>
          <w:rFonts w:hint="eastAsia" w:ascii="宋体" w:hAnsi="宋体" w:eastAsia="宋体" w:cs="Times New Roman"/>
          <w:b/>
          <w:color w:val="auto"/>
          <w:sz w:val="28"/>
          <w:szCs w:val="28"/>
          <w:highlight w:val="none"/>
          <w:lang w:val="en-US" w:eastAsia="zh-CN"/>
        </w:rPr>
        <w:t>9</w:t>
      </w:r>
      <w:r>
        <w:rPr>
          <w:rFonts w:hint="eastAsia" w:ascii="宋体" w:hAnsi="宋体" w:eastAsia="宋体" w:cs="Times New Roman"/>
          <w:b/>
          <w:color w:val="auto"/>
          <w:sz w:val="28"/>
          <w:szCs w:val="28"/>
          <w:highlight w:val="none"/>
        </w:rPr>
        <w:t>：投保服务方案</w:t>
      </w:r>
    </w:p>
    <w:p w14:paraId="6FE8847F">
      <w:pPr>
        <w:keepNext/>
        <w:spacing w:line="360" w:lineRule="auto"/>
        <w:ind w:firstLine="420" w:firstLineChars="200"/>
        <w:jc w:val="left"/>
        <w:rPr>
          <w:rFonts w:ascii="宋体" w:hAnsi="宋体" w:eastAsia="宋体" w:cs="宋体"/>
          <w:color w:val="auto"/>
          <w:szCs w:val="21"/>
          <w:highlight w:val="none"/>
        </w:rPr>
      </w:pPr>
    </w:p>
    <w:p w14:paraId="17544D19">
      <w:pPr>
        <w:ind w:left="0" w:leftChars="0"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此部分内容应充分结合本项目采购需求的全部内容以及磋商程序和方法的评审要求进行综合分析后进行编制，格式由各磋商申请人自行设计</w:t>
      </w:r>
      <w:r>
        <w:rPr>
          <w:rFonts w:hint="eastAsia" w:ascii="宋体" w:hAnsi="宋体" w:eastAsia="宋体" w:cs="宋体"/>
          <w:color w:val="auto"/>
          <w:szCs w:val="21"/>
          <w:highlight w:val="none"/>
          <w:lang w:val="en-US" w:eastAsia="zh-CN"/>
        </w:rPr>
        <w:t>。</w:t>
      </w:r>
    </w:p>
    <w:p w14:paraId="6A53DDD1">
      <w:pPr>
        <w:ind w:left="0" w:leftChars="0" w:firstLine="420" w:firstLineChars="200"/>
        <w:jc w:val="left"/>
        <w:rPr>
          <w:rFonts w:hint="eastAsia" w:ascii="宋体" w:hAnsi="宋体" w:eastAsia="宋体" w:cs="宋体"/>
          <w:color w:val="auto"/>
          <w:szCs w:val="21"/>
          <w:highlight w:val="none"/>
          <w:lang w:val="en-US" w:eastAsia="zh-CN"/>
        </w:rPr>
      </w:pPr>
    </w:p>
    <w:p w14:paraId="17C3ED45">
      <w:pPr>
        <w:ind w:left="0" w:leftChars="0" w:firstLine="422" w:firstLineChars="200"/>
        <w:jc w:val="left"/>
        <w:rPr>
          <w:rFonts w:hint="default"/>
          <w:lang w:val="en-US" w:eastAsia="zh-CN"/>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r>
        <w:rPr>
          <w:rFonts w:hint="default"/>
          <w:lang w:val="en-US" w:eastAsia="zh-CN"/>
        </w:rPr>
        <w:br w:type="page"/>
      </w:r>
    </w:p>
    <w:p w14:paraId="108E2F1F">
      <w:pPr>
        <w:widowControl/>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格式</w:t>
      </w:r>
      <w:r>
        <w:rPr>
          <w:rFonts w:hint="eastAsia" w:ascii="宋体" w:hAnsi="宋体" w:eastAsia="宋体" w:cs="Times New Roman"/>
          <w:b/>
          <w:color w:val="auto"/>
          <w:sz w:val="28"/>
          <w:szCs w:val="28"/>
          <w:highlight w:val="none"/>
          <w:lang w:val="en-US" w:eastAsia="zh-CN"/>
        </w:rPr>
        <w:t>10</w:t>
      </w:r>
      <w:r>
        <w:rPr>
          <w:rFonts w:hint="eastAsia" w:ascii="宋体" w:hAnsi="宋体" w:eastAsia="宋体" w:cs="Times New Roman"/>
          <w:b/>
          <w:color w:val="auto"/>
          <w:sz w:val="28"/>
          <w:szCs w:val="28"/>
          <w:highlight w:val="none"/>
        </w:rPr>
        <w:t>：查勘理赔服务方案</w:t>
      </w:r>
    </w:p>
    <w:p w14:paraId="0D905AE5">
      <w:pPr>
        <w:keepNext/>
        <w:spacing w:line="360" w:lineRule="auto"/>
        <w:ind w:firstLine="420" w:firstLineChars="200"/>
        <w:jc w:val="left"/>
        <w:rPr>
          <w:rFonts w:ascii="宋体" w:hAnsi="宋体" w:eastAsia="宋体" w:cs="宋体"/>
          <w:color w:val="auto"/>
          <w:szCs w:val="21"/>
          <w:highlight w:val="none"/>
        </w:rPr>
      </w:pPr>
    </w:p>
    <w:p w14:paraId="440786A0">
      <w:pPr>
        <w:ind w:left="0" w:leftChars="0"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此部分内容应充分结合本项目采购需求的全部内容以及磋商程序和方法的评审要求进行综合分析后进行编制，格式由各磋商申请人自行设计</w:t>
      </w:r>
      <w:r>
        <w:rPr>
          <w:rFonts w:hint="eastAsia" w:ascii="宋体" w:hAnsi="宋体" w:eastAsia="宋体" w:cs="宋体"/>
          <w:color w:val="auto"/>
          <w:szCs w:val="21"/>
          <w:highlight w:val="none"/>
          <w:lang w:val="en-US" w:eastAsia="zh-CN"/>
        </w:rPr>
        <w:t>。</w:t>
      </w:r>
    </w:p>
    <w:p w14:paraId="2EE4D4E9">
      <w:pPr>
        <w:ind w:left="0" w:leftChars="0" w:firstLine="420" w:firstLineChars="200"/>
        <w:jc w:val="left"/>
        <w:rPr>
          <w:rFonts w:hint="eastAsia" w:ascii="宋体" w:hAnsi="宋体" w:eastAsia="宋体" w:cs="宋体"/>
          <w:color w:val="auto"/>
          <w:szCs w:val="21"/>
          <w:highlight w:val="none"/>
          <w:lang w:val="en-US" w:eastAsia="zh-CN"/>
        </w:rPr>
      </w:pPr>
    </w:p>
    <w:p w14:paraId="354E201D">
      <w:pPr>
        <w:ind w:left="0" w:leftChars="0" w:firstLine="422" w:firstLineChars="200"/>
        <w:jc w:val="left"/>
        <w:rPr>
          <w:rFonts w:hint="default"/>
          <w:lang w:val="en-US" w:eastAsia="zh-CN"/>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r>
        <w:rPr>
          <w:rFonts w:hint="default"/>
          <w:lang w:val="en-US" w:eastAsia="zh-CN"/>
        </w:rPr>
        <w:br w:type="page"/>
      </w:r>
    </w:p>
    <w:p w14:paraId="7A322B9B">
      <w:pPr>
        <w:widowControl/>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格式</w:t>
      </w:r>
      <w:r>
        <w:rPr>
          <w:rFonts w:hint="eastAsia" w:ascii="宋体" w:hAnsi="宋体" w:eastAsia="宋体" w:cs="Times New Roman"/>
          <w:b/>
          <w:color w:val="auto"/>
          <w:sz w:val="28"/>
          <w:szCs w:val="28"/>
          <w:highlight w:val="none"/>
          <w:lang w:val="en-US" w:eastAsia="zh-CN"/>
        </w:rPr>
        <w:t>11</w:t>
      </w:r>
      <w:r>
        <w:rPr>
          <w:rFonts w:hint="eastAsia" w:ascii="宋体" w:hAnsi="宋体" w:eastAsia="宋体" w:cs="Times New Roman"/>
          <w:b/>
          <w:color w:val="auto"/>
          <w:sz w:val="28"/>
          <w:szCs w:val="28"/>
          <w:highlight w:val="none"/>
        </w:rPr>
        <w:t>：应急处理预案</w:t>
      </w:r>
    </w:p>
    <w:p w14:paraId="2922166D">
      <w:pPr>
        <w:keepNext/>
        <w:spacing w:line="360" w:lineRule="auto"/>
        <w:ind w:firstLine="420" w:firstLineChars="200"/>
        <w:jc w:val="left"/>
        <w:rPr>
          <w:rFonts w:ascii="宋体" w:hAnsi="宋体" w:eastAsia="宋体" w:cs="宋体"/>
          <w:color w:val="auto"/>
          <w:szCs w:val="21"/>
          <w:highlight w:val="none"/>
        </w:rPr>
      </w:pPr>
    </w:p>
    <w:p w14:paraId="38DC0C12">
      <w:pPr>
        <w:keepNext/>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此部分内容应充分结合本项目采购需求的全部内容以及磋商程序和方法的评审要求进行综合分析后进行编制，格式由各磋商申请人自行设计</w:t>
      </w:r>
      <w:r>
        <w:rPr>
          <w:rFonts w:hint="eastAsia" w:ascii="宋体" w:hAnsi="宋体" w:eastAsia="宋体" w:cs="宋体"/>
          <w:color w:val="auto"/>
          <w:szCs w:val="21"/>
          <w:highlight w:val="none"/>
          <w:lang w:val="en-US" w:eastAsia="zh-CN"/>
        </w:rPr>
        <w:t>。</w:t>
      </w:r>
    </w:p>
    <w:p w14:paraId="0764800C">
      <w:pPr>
        <w:keepNext/>
        <w:spacing w:line="360" w:lineRule="auto"/>
        <w:ind w:firstLine="420" w:firstLineChars="200"/>
        <w:jc w:val="left"/>
        <w:rPr>
          <w:rFonts w:hint="eastAsia" w:ascii="宋体" w:hAnsi="宋体" w:eastAsia="宋体" w:cs="宋体"/>
          <w:color w:val="auto"/>
          <w:szCs w:val="21"/>
          <w:highlight w:val="none"/>
          <w:lang w:val="en-US" w:eastAsia="zh-CN"/>
        </w:rPr>
      </w:pPr>
    </w:p>
    <w:p w14:paraId="0EFA52F2">
      <w:pPr>
        <w:keepNext/>
        <w:spacing w:line="360" w:lineRule="auto"/>
        <w:ind w:firstLine="422" w:firstLineChars="200"/>
        <w:jc w:val="left"/>
        <w:rPr>
          <w:rFonts w:hint="default" w:ascii="宋体" w:hAnsi="宋体" w:eastAsia="宋体" w:cs="宋体"/>
          <w:color w:val="auto"/>
          <w:szCs w:val="21"/>
          <w:highlight w:val="none"/>
          <w:lang w:val="en-US" w:eastAsia="zh-CN"/>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p>
    <w:p w14:paraId="6677EDCC">
      <w:pPr>
        <w:keepNext/>
        <w:spacing w:line="360" w:lineRule="auto"/>
        <w:ind w:firstLine="200"/>
        <w:jc w:val="center"/>
        <w:rPr>
          <w:rFonts w:hint="eastAsia" w:ascii="宋体" w:hAnsi="宋体" w:eastAsia="宋体" w:cs="宋体"/>
          <w:color w:val="auto"/>
          <w:szCs w:val="21"/>
          <w:highlight w:val="none"/>
        </w:rPr>
      </w:pPr>
    </w:p>
    <w:p w14:paraId="12FC7ADA">
      <w:pPr>
        <w:keepNext/>
        <w:spacing w:before="60" w:after="60" w:line="480" w:lineRule="auto"/>
        <w:ind w:hanging="35"/>
        <w:rPr>
          <w:rFonts w:ascii="宋体" w:hAnsi="宋体" w:eastAsia="宋体"/>
          <w:color w:val="auto"/>
          <w:szCs w:val="21"/>
          <w:highlight w:val="none"/>
        </w:rPr>
      </w:pPr>
    </w:p>
    <w:p w14:paraId="302F98F7">
      <w:pPr>
        <w:keepNext/>
        <w:spacing w:before="60" w:after="60" w:line="340" w:lineRule="exact"/>
        <w:ind w:hanging="35"/>
        <w:rPr>
          <w:rFonts w:ascii="宋体" w:hAnsi="宋体" w:eastAsia="宋体"/>
          <w:color w:val="auto"/>
          <w:szCs w:val="21"/>
          <w:highlight w:val="none"/>
        </w:rPr>
      </w:pPr>
    </w:p>
    <w:p w14:paraId="143A8348">
      <w:pPr>
        <w:widowControl/>
        <w:jc w:val="center"/>
        <w:rPr>
          <w:rFonts w:ascii="宋体" w:hAnsi="宋体" w:eastAsia="宋体" w:cs="Times New Roman"/>
          <w:b/>
          <w:color w:val="auto"/>
          <w:sz w:val="28"/>
          <w:szCs w:val="28"/>
          <w:highlight w:val="none"/>
        </w:rPr>
      </w:pPr>
      <w:r>
        <w:rPr>
          <w:rFonts w:ascii="宋体" w:hAnsi="宋体" w:eastAsia="宋体"/>
          <w:color w:val="auto"/>
          <w:sz w:val="24"/>
          <w:highlight w:val="none"/>
        </w:rPr>
        <w:br w:type="page"/>
      </w:r>
      <w:bookmarkStart w:id="294" w:name="_Toc26814"/>
      <w:r>
        <w:rPr>
          <w:rFonts w:hint="eastAsia" w:ascii="宋体" w:hAnsi="宋体" w:eastAsia="宋体" w:cs="Times New Roman"/>
          <w:b/>
          <w:color w:val="auto"/>
          <w:sz w:val="28"/>
          <w:szCs w:val="28"/>
          <w:highlight w:val="none"/>
        </w:rPr>
        <w:t>格式</w:t>
      </w:r>
      <w:r>
        <w:rPr>
          <w:rFonts w:hint="eastAsia" w:ascii="宋体" w:hAnsi="宋体" w:eastAsia="宋体" w:cs="Times New Roman"/>
          <w:b/>
          <w:color w:val="auto"/>
          <w:sz w:val="28"/>
          <w:szCs w:val="28"/>
          <w:highlight w:val="none"/>
          <w:lang w:val="en-US" w:eastAsia="zh-CN"/>
        </w:rPr>
        <w:t>12</w:t>
      </w:r>
      <w:r>
        <w:rPr>
          <w:rFonts w:hint="eastAsia" w:ascii="宋体" w:hAnsi="宋体" w:eastAsia="宋体" w:cs="Times New Roman"/>
          <w:b/>
          <w:color w:val="auto"/>
          <w:sz w:val="28"/>
          <w:szCs w:val="28"/>
          <w:highlight w:val="none"/>
        </w:rPr>
        <w:t>：服务体系、服务承诺及保证措施</w:t>
      </w:r>
    </w:p>
    <w:p w14:paraId="52403B78">
      <w:pPr>
        <w:keepNext/>
        <w:spacing w:line="360" w:lineRule="auto"/>
        <w:ind w:firstLine="420" w:firstLineChars="200"/>
        <w:jc w:val="left"/>
        <w:rPr>
          <w:rFonts w:ascii="宋体" w:hAnsi="宋体" w:eastAsia="宋体" w:cs="宋体"/>
          <w:color w:val="auto"/>
          <w:szCs w:val="21"/>
          <w:highlight w:val="none"/>
        </w:rPr>
      </w:pPr>
    </w:p>
    <w:p w14:paraId="4CB35CD7">
      <w:pPr>
        <w:keepNext/>
        <w:spacing w:line="360" w:lineRule="auto"/>
        <w:ind w:firstLine="420" w:firstLineChars="200"/>
        <w:jc w:val="left"/>
        <w:rPr>
          <w:rFonts w:ascii="宋体" w:hAnsi="宋体" w:eastAsia="宋体" w:cs="宋体"/>
          <w:color w:val="auto"/>
          <w:sz w:val="24"/>
          <w:highlight w:val="none"/>
        </w:rPr>
      </w:pPr>
      <w:r>
        <w:rPr>
          <w:rFonts w:hint="eastAsia" w:ascii="宋体" w:hAnsi="宋体" w:eastAsia="宋体" w:cs="宋体"/>
          <w:color w:val="auto"/>
          <w:szCs w:val="21"/>
          <w:highlight w:val="none"/>
        </w:rPr>
        <w:t>此部分内容应充分结合本项目采购需求的全部内容以及磋商程序和方法的评审要求进行综合分析后进行编制，格式由各磋商申请人自行设计</w:t>
      </w:r>
      <w:r>
        <w:rPr>
          <w:rFonts w:hint="eastAsia" w:ascii="宋体" w:hAnsi="宋体" w:eastAsia="宋体" w:cs="宋体"/>
          <w:color w:val="auto"/>
          <w:szCs w:val="21"/>
          <w:highlight w:val="none"/>
          <w:lang w:val="en-US" w:eastAsia="zh-CN"/>
        </w:rPr>
        <w:t>。</w:t>
      </w:r>
    </w:p>
    <w:p w14:paraId="38AF8360">
      <w:pPr>
        <w:keepNext/>
        <w:spacing w:line="360" w:lineRule="auto"/>
        <w:ind w:firstLine="420" w:firstLineChars="200"/>
        <w:jc w:val="left"/>
        <w:rPr>
          <w:rFonts w:hint="eastAsia" w:ascii="宋体" w:hAnsi="宋体" w:eastAsia="宋体" w:cs="宋体"/>
          <w:color w:val="auto"/>
          <w:szCs w:val="21"/>
          <w:highlight w:val="none"/>
        </w:rPr>
      </w:pPr>
    </w:p>
    <w:p w14:paraId="0C6B05A5">
      <w:pPr>
        <w:keepNext/>
        <w:spacing w:line="360" w:lineRule="auto"/>
        <w:ind w:firstLine="422" w:firstLineChars="200"/>
        <w:jc w:val="left"/>
        <w:rPr>
          <w:rFonts w:hint="eastAsia" w:ascii="宋体" w:hAnsi="宋体" w:eastAsia="宋体" w:cs="宋体"/>
          <w:color w:val="auto"/>
          <w:szCs w:val="21"/>
          <w:highlight w:val="none"/>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p>
    <w:p w14:paraId="75C5ED64">
      <w:pPr>
        <w:keepNext/>
        <w:spacing w:line="360" w:lineRule="auto"/>
        <w:ind w:firstLine="420" w:firstLineChars="200"/>
        <w:jc w:val="left"/>
        <w:rPr>
          <w:rFonts w:hint="eastAsia" w:ascii="宋体" w:hAnsi="宋体" w:eastAsia="宋体" w:cs="宋体"/>
          <w:color w:val="auto"/>
          <w:szCs w:val="21"/>
          <w:highlight w:val="none"/>
        </w:rPr>
      </w:pPr>
    </w:p>
    <w:p w14:paraId="4D4928FC">
      <w:pPr>
        <w:spacing w:line="360" w:lineRule="auto"/>
        <w:ind w:firstLine="619" w:firstLineChars="295"/>
        <w:jc w:val="left"/>
        <w:rPr>
          <w:rFonts w:ascii="宋体" w:hAnsi="宋体" w:eastAsia="宋体" w:cs="宋体"/>
          <w:color w:val="auto"/>
          <w:szCs w:val="21"/>
          <w:highlight w:val="none"/>
        </w:rPr>
      </w:pPr>
    </w:p>
    <w:p w14:paraId="6FF5E866">
      <w:pPr>
        <w:spacing w:line="360" w:lineRule="auto"/>
        <w:ind w:firstLine="619" w:firstLineChars="295"/>
        <w:jc w:val="left"/>
        <w:rPr>
          <w:rFonts w:ascii="宋体" w:hAnsi="宋体" w:eastAsia="宋体" w:cs="宋体"/>
          <w:color w:val="auto"/>
          <w:szCs w:val="21"/>
          <w:highlight w:val="none"/>
        </w:rPr>
      </w:pPr>
    </w:p>
    <w:p w14:paraId="0AD4E984">
      <w:pPr>
        <w:keepNext/>
        <w:spacing w:line="360" w:lineRule="auto"/>
        <w:ind w:firstLine="200"/>
        <w:rPr>
          <w:rFonts w:ascii="宋体" w:hAnsi="宋体" w:eastAsia="宋体"/>
          <w:color w:val="auto"/>
          <w:sz w:val="24"/>
          <w:highlight w:val="none"/>
        </w:rPr>
      </w:pPr>
    </w:p>
    <w:p w14:paraId="24D26F46">
      <w:pPr>
        <w:keepNext/>
        <w:spacing w:line="360" w:lineRule="auto"/>
        <w:ind w:firstLine="200"/>
        <w:rPr>
          <w:rFonts w:ascii="宋体" w:hAnsi="宋体" w:eastAsia="宋体"/>
          <w:color w:val="auto"/>
          <w:sz w:val="24"/>
          <w:highlight w:val="none"/>
        </w:rPr>
      </w:pPr>
    </w:p>
    <w:p w14:paraId="220F15B8">
      <w:pPr>
        <w:rPr>
          <w:rFonts w:ascii="宋体" w:hAnsi="宋体" w:eastAsia="宋体" w:cs="Arial"/>
          <w:color w:val="auto"/>
          <w:sz w:val="24"/>
          <w:szCs w:val="24"/>
          <w:highlight w:val="none"/>
        </w:rPr>
      </w:pPr>
      <w:r>
        <w:rPr>
          <w:rFonts w:ascii="宋体" w:hAnsi="宋体" w:eastAsia="宋体" w:cs="Arial"/>
          <w:color w:val="auto"/>
          <w:sz w:val="24"/>
          <w:szCs w:val="24"/>
          <w:highlight w:val="none"/>
        </w:rPr>
        <w:br w:type="page"/>
      </w:r>
    </w:p>
    <w:p w14:paraId="63CD6252">
      <w:pPr>
        <w:widowControl/>
        <w:jc w:val="center"/>
        <w:rPr>
          <w:rFonts w:ascii="宋体" w:hAnsi="宋体" w:eastAsia="宋体" w:cs="Times New Roman"/>
          <w:b/>
          <w:color w:val="auto"/>
          <w:sz w:val="28"/>
          <w:szCs w:val="28"/>
          <w:highlight w:val="none"/>
        </w:rPr>
      </w:pPr>
      <w:bookmarkStart w:id="295" w:name="_Toc2512"/>
      <w:r>
        <w:rPr>
          <w:rFonts w:hint="eastAsia" w:ascii="宋体" w:hAnsi="宋体" w:eastAsia="宋体" w:cs="Times New Roman"/>
          <w:b/>
          <w:color w:val="auto"/>
          <w:sz w:val="28"/>
          <w:szCs w:val="28"/>
          <w:highlight w:val="none"/>
        </w:rPr>
        <w:t>格式</w:t>
      </w:r>
      <w:r>
        <w:rPr>
          <w:rFonts w:hint="eastAsia" w:ascii="宋体" w:hAnsi="宋体" w:eastAsia="宋体" w:cs="Times New Roman"/>
          <w:b/>
          <w:color w:val="auto"/>
          <w:sz w:val="28"/>
          <w:szCs w:val="28"/>
          <w:highlight w:val="none"/>
          <w:lang w:val="en-US" w:eastAsia="zh-CN"/>
        </w:rPr>
        <w:t>13</w:t>
      </w:r>
      <w:r>
        <w:rPr>
          <w:rFonts w:hint="eastAsia" w:ascii="宋体" w:hAnsi="宋体" w:eastAsia="宋体" w:cs="Times New Roman"/>
          <w:b/>
          <w:color w:val="auto"/>
          <w:sz w:val="28"/>
          <w:szCs w:val="28"/>
          <w:highlight w:val="none"/>
        </w:rPr>
        <w:t>：其他资料</w:t>
      </w:r>
    </w:p>
    <w:p w14:paraId="217AEE83">
      <w:pPr>
        <w:keepNext/>
        <w:spacing w:line="360" w:lineRule="auto"/>
        <w:ind w:firstLine="420" w:firstLineChars="200"/>
        <w:jc w:val="left"/>
        <w:rPr>
          <w:rFonts w:ascii="宋体" w:hAnsi="宋体" w:eastAsia="宋体" w:cs="宋体"/>
          <w:color w:val="auto"/>
          <w:szCs w:val="21"/>
          <w:highlight w:val="none"/>
        </w:rPr>
      </w:pPr>
    </w:p>
    <w:p w14:paraId="1E066F34">
      <w:pPr>
        <w:keepNext/>
        <w:spacing w:line="360" w:lineRule="auto"/>
        <w:ind w:left="0" w:leftChars="0" w:firstLine="420" w:firstLineChars="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此部分包含但不限于：磋商申请人能享受政策优惠的证明材料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磋商申请人认为需要提供的其他证明材料，</w:t>
      </w:r>
      <w:r>
        <w:rPr>
          <w:rFonts w:hint="eastAsia" w:ascii="宋体" w:hAnsi="宋体" w:eastAsia="宋体" w:cs="宋体"/>
          <w:color w:val="auto"/>
          <w:szCs w:val="21"/>
          <w:highlight w:val="none"/>
        </w:rPr>
        <w:t>格式由各磋商申请人自行设计</w:t>
      </w:r>
      <w:r>
        <w:rPr>
          <w:rFonts w:hint="eastAsia" w:ascii="宋体" w:hAnsi="宋体" w:eastAsia="宋体" w:cs="宋体"/>
          <w:color w:val="auto"/>
          <w:szCs w:val="21"/>
          <w:highlight w:val="none"/>
          <w:lang w:eastAsia="zh-CN"/>
        </w:rPr>
        <w:t>。</w:t>
      </w:r>
    </w:p>
    <w:p w14:paraId="06CC3E9E">
      <w:pPr>
        <w:keepNext/>
        <w:spacing w:line="360" w:lineRule="auto"/>
        <w:ind w:firstLine="200"/>
        <w:jc w:val="center"/>
        <w:rPr>
          <w:rFonts w:hint="eastAsia" w:ascii="宋体" w:hAnsi="宋体" w:eastAsia="宋体" w:cs="宋体"/>
          <w:color w:val="auto"/>
          <w:szCs w:val="21"/>
          <w:highlight w:val="none"/>
          <w:lang w:eastAsia="zh-CN"/>
        </w:rPr>
      </w:pPr>
    </w:p>
    <w:p w14:paraId="692886B6">
      <w:pPr>
        <w:keepNext/>
        <w:spacing w:line="360" w:lineRule="auto"/>
        <w:ind w:firstLine="200"/>
        <w:jc w:val="left"/>
        <w:rPr>
          <w:rFonts w:hint="eastAsia" w:ascii="宋体" w:hAnsi="宋体" w:eastAsia="宋体" w:cs="宋体"/>
          <w:color w:val="auto"/>
          <w:szCs w:val="21"/>
          <w:highlight w:val="none"/>
          <w:lang w:eastAsia="zh-CN"/>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p>
    <w:p w14:paraId="60660C65">
      <w:pPr>
        <w:spacing w:line="360" w:lineRule="auto"/>
        <w:ind w:firstLine="619" w:firstLineChars="295"/>
        <w:jc w:val="left"/>
        <w:rPr>
          <w:rFonts w:ascii="宋体" w:hAnsi="宋体" w:eastAsia="宋体" w:cs="宋体"/>
          <w:color w:val="auto"/>
          <w:szCs w:val="21"/>
          <w:highlight w:val="none"/>
        </w:rPr>
      </w:pPr>
    </w:p>
    <w:p w14:paraId="5CE2CFA1">
      <w:pPr>
        <w:spacing w:line="360" w:lineRule="auto"/>
        <w:ind w:firstLine="619" w:firstLineChars="295"/>
        <w:jc w:val="left"/>
        <w:rPr>
          <w:rFonts w:ascii="宋体" w:hAnsi="宋体" w:eastAsia="宋体" w:cs="宋体"/>
          <w:color w:val="auto"/>
          <w:szCs w:val="21"/>
          <w:highlight w:val="none"/>
        </w:rPr>
      </w:pPr>
    </w:p>
    <w:p w14:paraId="5E529EA1">
      <w:pPr>
        <w:keepNext/>
        <w:spacing w:line="360" w:lineRule="auto"/>
        <w:ind w:firstLine="200"/>
        <w:rPr>
          <w:rFonts w:ascii="宋体" w:hAnsi="宋体" w:eastAsia="宋体"/>
          <w:color w:val="auto"/>
          <w:sz w:val="24"/>
          <w:highlight w:val="none"/>
        </w:rPr>
      </w:pPr>
    </w:p>
    <w:p w14:paraId="6191515D">
      <w:pPr>
        <w:keepNext/>
        <w:spacing w:line="360" w:lineRule="auto"/>
        <w:rPr>
          <w:rFonts w:ascii="宋体" w:hAnsi="宋体" w:eastAsia="宋体"/>
          <w:color w:val="auto"/>
          <w:szCs w:val="21"/>
          <w:highlight w:val="none"/>
        </w:rPr>
      </w:pPr>
    </w:p>
    <w:p w14:paraId="124396BB">
      <w:pPr>
        <w:rPr>
          <w:rFonts w:ascii="宋体" w:hAnsi="宋体" w:eastAsia="宋体"/>
          <w:color w:val="auto"/>
          <w:sz w:val="24"/>
          <w:szCs w:val="24"/>
          <w:highlight w:val="none"/>
        </w:rPr>
      </w:pPr>
      <w:r>
        <w:rPr>
          <w:rFonts w:ascii="宋体" w:hAnsi="宋体" w:eastAsia="宋体"/>
          <w:color w:val="auto"/>
          <w:sz w:val="24"/>
          <w:szCs w:val="24"/>
          <w:highlight w:val="none"/>
        </w:rPr>
        <w:br w:type="page"/>
      </w:r>
    </w:p>
    <w:bookmarkEnd w:id="294"/>
    <w:bookmarkEnd w:id="295"/>
    <w:p w14:paraId="285A7B38">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14</w:t>
      </w:r>
      <w:r>
        <w:rPr>
          <w:rFonts w:hint="eastAsia" w:ascii="宋体" w:hAnsi="宋体" w:eastAsia="宋体" w:cs="宋体"/>
          <w:b/>
          <w:bCs/>
          <w:color w:val="auto"/>
          <w:sz w:val="28"/>
          <w:szCs w:val="28"/>
          <w:highlight w:val="none"/>
        </w:rPr>
        <w:t>：磋商保证金</w:t>
      </w:r>
    </w:p>
    <w:p w14:paraId="7525BDB4">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（采购人名称）：</w:t>
      </w:r>
    </w:p>
    <w:p w14:paraId="3336C23A">
      <w:pPr>
        <w:spacing w:line="440" w:lineRule="exact"/>
        <w:rPr>
          <w:rFonts w:ascii="宋体" w:hAnsi="宋体" w:eastAsia="宋体" w:cs="宋体"/>
          <w:color w:val="auto"/>
          <w:szCs w:val="21"/>
          <w:highlight w:val="none"/>
        </w:rPr>
      </w:pPr>
    </w:p>
    <w:p w14:paraId="60B74200">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我方于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（项目名称）的报价，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（磋商申请人名称，以下简称“我方”）保证：我方在规定的磋商有效期内撤销或修改其响应文件的，或者我方在收到成交通知书后无正当理由拒签合同的，我方承担相关责任。</w:t>
      </w:r>
    </w:p>
    <w:p w14:paraId="69A96DE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本承诺在磋商有效期内保持有效。</w:t>
      </w:r>
    </w:p>
    <w:p w14:paraId="60560CC0">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54A7BD8B">
      <w:pPr>
        <w:spacing w:line="440" w:lineRule="exact"/>
        <w:rPr>
          <w:rFonts w:ascii="宋体" w:hAnsi="宋体" w:eastAsia="宋体" w:cs="宋体"/>
          <w:color w:val="auto"/>
          <w:szCs w:val="21"/>
          <w:highlight w:val="none"/>
        </w:rPr>
      </w:pPr>
    </w:p>
    <w:p w14:paraId="0508FE38">
      <w:pPr>
        <w:spacing w:line="440" w:lineRule="exact"/>
        <w:rPr>
          <w:rFonts w:ascii="宋体" w:hAnsi="宋体" w:eastAsia="宋体" w:cs="宋体"/>
          <w:color w:val="auto"/>
          <w:szCs w:val="21"/>
          <w:highlight w:val="none"/>
        </w:rPr>
      </w:pPr>
    </w:p>
    <w:p w14:paraId="7A54EC96">
      <w:pPr>
        <w:spacing w:line="440" w:lineRule="exact"/>
        <w:rPr>
          <w:rFonts w:ascii="宋体" w:hAnsi="宋体" w:eastAsia="宋体" w:cs="宋体"/>
          <w:color w:val="auto"/>
          <w:szCs w:val="21"/>
          <w:highlight w:val="none"/>
        </w:rPr>
      </w:pPr>
    </w:p>
    <w:p w14:paraId="605C4CDA">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磋商申请人：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5FB942D6">
      <w:pPr>
        <w:wordWrap w:val="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法定代表人（负责人）或其授权代表：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（签字或盖章）</w:t>
      </w:r>
    </w:p>
    <w:p w14:paraId="2D7002D0">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66799DA0">
      <w:pPr>
        <w:spacing w:line="44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71228BF2">
      <w:pPr>
        <w:spacing w:line="440" w:lineRule="exact"/>
        <w:ind w:right="460"/>
        <w:rPr>
          <w:rFonts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5ECD9471">
      <w:pPr>
        <w:spacing w:line="440" w:lineRule="exact"/>
        <w:ind w:right="460"/>
        <w:rPr>
          <w:rFonts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0D0CF3CD">
      <w:pPr>
        <w:spacing w:line="440" w:lineRule="exact"/>
        <w:ind w:firstLine="2158" w:firstLineChars="1028"/>
        <w:rPr>
          <w:rFonts w:ascii="宋体" w:hAnsi="宋体" w:eastAsia="宋体" w:cs="宋体"/>
          <w:color w:val="auto"/>
          <w:szCs w:val="21"/>
          <w:highlight w:val="none"/>
        </w:rPr>
      </w:pPr>
    </w:p>
    <w:p w14:paraId="5384EFC7">
      <w:pPr>
        <w:spacing w:line="440" w:lineRule="exact"/>
        <w:jc w:val="right"/>
        <w:rPr>
          <w:rFonts w:ascii="宋体" w:hAnsi="宋体" w:eastAsia="宋体" w:cs="宋体"/>
          <w:color w:val="auto"/>
          <w:sz w:val="23"/>
          <w:szCs w:val="23"/>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04ECCFD">
      <w:pPr>
        <w:spacing w:line="440" w:lineRule="exact"/>
        <w:jc w:val="right"/>
        <w:rPr>
          <w:rFonts w:ascii="宋体" w:hAnsi="宋体" w:eastAsia="宋体" w:cs="宋体"/>
          <w:color w:val="auto"/>
          <w:sz w:val="23"/>
          <w:szCs w:val="23"/>
          <w:highlight w:val="none"/>
        </w:rPr>
      </w:pPr>
    </w:p>
    <w:p w14:paraId="0D625252">
      <w:pPr>
        <w:pStyle w:val="3"/>
        <w:jc w:val="center"/>
        <w:rPr>
          <w:rFonts w:ascii="宋体" w:hAnsi="宋体" w:eastAsia="宋体" w:cs="宋体"/>
          <w:color w:val="auto"/>
          <w:sz w:val="24"/>
          <w:highlight w:val="none"/>
        </w:rPr>
      </w:pPr>
      <w:r>
        <w:rPr>
          <w:rFonts w:hint="eastAsia" w:ascii="宋体" w:hAnsi="宋体" w:eastAsia="宋体" w:cs="宋体"/>
          <w:b/>
          <w:bCs/>
          <w:sz w:val="21"/>
          <w:szCs w:val="21"/>
        </w:rPr>
        <w:t>注：</w:t>
      </w:r>
      <w:r>
        <w:rPr>
          <w:rFonts w:hint="eastAsia" w:ascii="宋体" w:hAnsi="宋体" w:eastAsia="宋体" w:cs="宋体"/>
          <w:b/>
          <w:bCs/>
          <w:sz w:val="21"/>
          <w:szCs w:val="21"/>
          <w:lang w:eastAsia="zh-CN"/>
        </w:rPr>
        <w:t>以联合体形式参与磋商的，此材料由联合体牵头人汇总编制后提供</w:t>
      </w:r>
      <w:r>
        <w:rPr>
          <w:rFonts w:hint="eastAsia" w:ascii="宋体" w:hAnsi="宋体" w:eastAsia="宋体" w:cs="宋体"/>
          <w:b/>
          <w:bCs/>
          <w:sz w:val="21"/>
          <w:szCs w:val="21"/>
        </w:rPr>
        <w:t>。</w:t>
      </w:r>
      <w:r>
        <w:rPr>
          <w:rFonts w:hint="eastAsia" w:ascii="宋体" w:hAnsi="宋体" w:eastAsia="宋体" w:cs="宋体"/>
          <w:bCs w:val="0"/>
          <w:color w:val="auto"/>
          <w:szCs w:val="21"/>
          <w:highlight w:val="none"/>
        </w:rPr>
        <w:br w:type="page"/>
      </w:r>
      <w:r>
        <w:rPr>
          <w:rFonts w:hint="eastAsia" w:ascii="宋体" w:hAnsi="宋体" w:eastAsia="宋体" w:cs="宋体"/>
          <w:color w:val="auto"/>
          <w:sz w:val="30"/>
          <w:szCs w:val="30"/>
          <w:highlight w:val="none"/>
          <w:lang w:val="zh-CN"/>
        </w:rPr>
        <w:t>磋商保证金</w:t>
      </w:r>
      <w:r>
        <w:rPr>
          <w:rFonts w:hint="eastAsia" w:ascii="宋体" w:hAnsi="宋体" w:eastAsia="宋体" w:cs="宋体"/>
          <w:color w:val="auto"/>
          <w:sz w:val="30"/>
          <w:szCs w:val="30"/>
          <w:highlight w:val="none"/>
        </w:rPr>
        <w:t>银行回执</w:t>
      </w:r>
      <w:r>
        <w:rPr>
          <w:rFonts w:hint="eastAsia" w:ascii="宋体" w:hAnsi="宋体" w:eastAsia="宋体" w:cs="宋体"/>
          <w:color w:val="auto"/>
          <w:sz w:val="30"/>
          <w:szCs w:val="30"/>
          <w:highlight w:val="none"/>
          <w:lang w:val="en-US" w:eastAsia="zh-CN"/>
        </w:rPr>
        <w:t>或保证保险</w:t>
      </w:r>
      <w:r>
        <w:rPr>
          <w:rFonts w:hint="eastAsia" w:ascii="宋体" w:hAnsi="宋体" w:eastAsia="宋体" w:cs="宋体"/>
          <w:color w:val="auto"/>
          <w:sz w:val="30"/>
          <w:szCs w:val="30"/>
          <w:highlight w:val="none"/>
        </w:rPr>
        <w:t>凭证</w:t>
      </w:r>
    </w:p>
    <w:tbl>
      <w:tblPr>
        <w:tblStyle w:val="31"/>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0"/>
      </w:tblGrid>
      <w:tr w14:paraId="37670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8670" w:type="dxa"/>
            <w:tcBorders>
              <w:top w:val="single" w:color="auto" w:sz="4" w:space="0"/>
              <w:left w:val="single" w:color="auto" w:sz="4" w:space="0"/>
              <w:bottom w:val="single" w:color="auto" w:sz="4" w:space="0"/>
              <w:right w:val="single" w:color="auto" w:sz="4" w:space="0"/>
            </w:tcBorders>
            <w:noWrap/>
            <w:vAlign w:val="center"/>
          </w:tcPr>
          <w:p w14:paraId="0D1CC4F8">
            <w:pPr>
              <w:autoSpaceDE w:val="0"/>
              <w:autoSpaceDN w:val="0"/>
              <w:spacing w:line="360" w:lineRule="auto"/>
              <w:jc w:val="center"/>
              <w:rPr>
                <w:rFonts w:ascii="宋体" w:hAnsi="宋体" w:eastAsia="宋体" w:cs="宋体"/>
                <w:color w:val="auto"/>
                <w:sz w:val="24"/>
                <w:highlight w:val="none"/>
                <w:lang w:val="zh-CN"/>
              </w:rPr>
            </w:pPr>
            <w:r>
              <w:rPr>
                <w:rFonts w:hint="eastAsia" w:ascii="宋体" w:hAnsi="宋体" w:eastAsia="宋体" w:cs="宋体"/>
                <w:color w:val="auto"/>
                <w:szCs w:val="21"/>
                <w:highlight w:val="none"/>
                <w:lang w:val="zh-CN"/>
              </w:rPr>
              <w:t>（复印件粘贴处）</w:t>
            </w:r>
          </w:p>
        </w:tc>
      </w:tr>
    </w:tbl>
    <w:p w14:paraId="60530863">
      <w:pPr>
        <w:widowControl/>
        <w:jc w:val="left"/>
        <w:rPr>
          <w:rFonts w:ascii="宋体" w:hAnsi="宋体" w:eastAsia="宋体" w:cs="宋体"/>
          <w:b/>
          <w:color w:val="auto"/>
          <w:highlight w:val="none"/>
        </w:rPr>
      </w:pPr>
    </w:p>
    <w:p w14:paraId="0DFBB7CE">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2871584E">
      <w:pPr>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w:t>
      </w:r>
      <w:r>
        <w:rPr>
          <w:rFonts w:hint="eastAsia" w:ascii="宋体" w:hAnsi="宋体" w:eastAsia="宋体" w:cs="宋体"/>
          <w:b/>
          <w:color w:val="auto"/>
          <w:sz w:val="28"/>
          <w:szCs w:val="28"/>
          <w:highlight w:val="none"/>
          <w:lang w:val="en-US" w:eastAsia="zh-CN"/>
        </w:rPr>
        <w:t>15</w:t>
      </w:r>
      <w:r>
        <w:rPr>
          <w:rFonts w:hint="eastAsia" w:ascii="宋体" w:hAnsi="宋体" w:eastAsia="宋体" w:cs="宋体"/>
          <w:b/>
          <w:color w:val="auto"/>
          <w:sz w:val="28"/>
          <w:szCs w:val="28"/>
          <w:highlight w:val="none"/>
        </w:rPr>
        <w:t>：磋商文件中要求提供的其他资料以及磋商申请人认为有利于获得本项目成交资格的其他材料或说明</w:t>
      </w:r>
    </w:p>
    <w:p w14:paraId="03454CC8">
      <w:pPr>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szCs w:val="24"/>
          <w:highlight w:val="none"/>
        </w:rPr>
        <w:t>（格式自拟）</w:t>
      </w:r>
    </w:p>
    <w:p w14:paraId="44CB8777">
      <w:pPr>
        <w:spacing w:line="360" w:lineRule="auto"/>
        <w:jc w:val="center"/>
        <w:rPr>
          <w:rFonts w:ascii="宋体" w:hAnsi="宋体" w:eastAsia="宋体" w:cs="宋体"/>
          <w:color w:val="auto"/>
          <w:kern w:val="0"/>
          <w:sz w:val="24"/>
          <w:highlight w:val="none"/>
        </w:rPr>
      </w:pPr>
    </w:p>
    <w:p w14:paraId="520707B5">
      <w:pPr>
        <w:spacing w:line="360" w:lineRule="auto"/>
        <w:jc w:val="center"/>
        <w:rPr>
          <w:rFonts w:ascii="宋体" w:hAnsi="宋体" w:eastAsia="宋体" w:cs="宋体"/>
          <w:color w:val="auto"/>
          <w:kern w:val="0"/>
          <w:sz w:val="24"/>
          <w:szCs w:val="24"/>
          <w:highlight w:val="none"/>
        </w:rPr>
      </w:pPr>
    </w:p>
    <w:p w14:paraId="6791D87A">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458E7F1A">
      <w:pPr>
        <w:pStyle w:val="2"/>
        <w:spacing w:line="360" w:lineRule="auto"/>
        <w:jc w:val="center"/>
        <w:rPr>
          <w:rFonts w:ascii="宋体" w:hAnsi="宋体" w:eastAsia="宋体" w:cs="宋体"/>
          <w:color w:val="auto"/>
          <w:sz w:val="32"/>
          <w:szCs w:val="32"/>
          <w:highlight w:val="none"/>
        </w:rPr>
      </w:pPr>
      <w:bookmarkStart w:id="296" w:name="_Toc39092140"/>
      <w:bookmarkStart w:id="297" w:name="_Toc7252790"/>
      <w:r>
        <w:rPr>
          <w:rFonts w:hint="eastAsia" w:ascii="宋体" w:hAnsi="宋体" w:eastAsia="宋体" w:cs="宋体"/>
          <w:color w:val="auto"/>
          <w:sz w:val="32"/>
          <w:szCs w:val="32"/>
          <w:highlight w:val="none"/>
        </w:rPr>
        <w:t xml:space="preserve">第五章  </w:t>
      </w:r>
      <w:bookmarkEnd w:id="296"/>
      <w:bookmarkEnd w:id="297"/>
      <w:r>
        <w:rPr>
          <w:rFonts w:hint="eastAsia" w:ascii="宋体" w:hAnsi="宋体" w:eastAsia="宋体" w:cs="宋体"/>
          <w:color w:val="auto"/>
          <w:sz w:val="32"/>
          <w:szCs w:val="32"/>
          <w:highlight w:val="none"/>
        </w:rPr>
        <w:t>采购需求</w:t>
      </w:r>
    </w:p>
    <w:p w14:paraId="550FA85C">
      <w:pPr>
        <w:spacing w:line="440" w:lineRule="exact"/>
        <w:ind w:firstLine="420" w:firstLineChars="200"/>
        <w:rPr>
          <w:rFonts w:ascii="宋体" w:hAnsi="宋体" w:eastAsia="宋体" w:cs="宋体"/>
          <w:color w:val="auto"/>
          <w:szCs w:val="21"/>
          <w:highlight w:val="none"/>
        </w:rPr>
      </w:pPr>
    </w:p>
    <w:p w14:paraId="6A0EA45A">
      <w:pPr>
        <w:spacing w:line="440" w:lineRule="exact"/>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第一节   项目概况</w:t>
      </w:r>
    </w:p>
    <w:p w14:paraId="365191B4">
      <w:pPr>
        <w:keepNext w:val="0"/>
        <w:keepLines w:val="0"/>
        <w:pageBreakBefore w:val="0"/>
        <w:kinsoku/>
        <w:wordWrap/>
        <w:overflowPunct/>
        <w:topLinePunct w:val="0"/>
        <w:autoSpaceDE/>
        <w:autoSpaceDN/>
        <w:bidi w:val="0"/>
        <w:adjustRightInd/>
        <w:snapToGrid/>
        <w:spacing w:line="420" w:lineRule="exact"/>
        <w:ind w:firstLine="420" w:firstLineChars="200"/>
        <w:textAlignment w:val="auto"/>
        <w:rPr>
          <w:rFonts w:ascii="宋体" w:hAnsi="宋体" w:eastAsia="宋体" w:cs="宋体"/>
          <w:b/>
          <w:bCs/>
          <w:color w:val="auto"/>
          <w:kern w:val="0"/>
          <w:szCs w:val="21"/>
          <w:highlight w:val="none"/>
        </w:rPr>
      </w:pPr>
      <w:r>
        <w:rPr>
          <w:rFonts w:hint="eastAsia" w:ascii="宋体" w:hAnsi="宋体" w:eastAsia="宋体" w:cs="宋体"/>
          <w:color w:val="auto"/>
          <w:szCs w:val="21"/>
          <w:highlight w:val="none"/>
        </w:rPr>
        <w:t>一、</w:t>
      </w:r>
      <w:r>
        <w:rPr>
          <w:rFonts w:hint="eastAsia" w:ascii="宋体" w:hAnsi="宋体" w:eastAsia="宋体" w:cs="宋体"/>
          <w:b/>
          <w:bCs/>
          <w:color w:val="auto"/>
          <w:kern w:val="0"/>
          <w:szCs w:val="21"/>
          <w:highlight w:val="none"/>
        </w:rPr>
        <w:t>项目基本情况：</w:t>
      </w:r>
    </w:p>
    <w:p w14:paraId="7F395E22">
      <w:pPr>
        <w:widowControl/>
        <w:spacing w:line="440" w:lineRule="exact"/>
        <w:ind w:firstLine="424" w:firstLineChars="202"/>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1.项目编号：</w:t>
      </w:r>
      <w:r>
        <w:rPr>
          <w:rFonts w:hint="eastAsia" w:ascii="宋体" w:hAnsi="宋体" w:eastAsia="宋体" w:cs="宋体"/>
          <w:color w:val="auto"/>
          <w:kern w:val="0"/>
          <w:szCs w:val="21"/>
          <w:highlight w:val="none"/>
          <w:lang w:eastAsia="zh-CN"/>
        </w:rPr>
        <w:t>TRZBC2024-83</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政采云项目编号：BSZC2024-C3-00557-BSST-0036</w:t>
      </w:r>
      <w:r>
        <w:rPr>
          <w:rFonts w:hint="eastAsia" w:ascii="宋体" w:hAnsi="宋体" w:eastAsia="宋体" w:cs="宋体"/>
          <w:color w:val="auto"/>
          <w:kern w:val="0"/>
          <w:szCs w:val="21"/>
          <w:highlight w:val="none"/>
        </w:rPr>
        <w:t>）</w:t>
      </w:r>
    </w:p>
    <w:p w14:paraId="5E5D8353">
      <w:pPr>
        <w:widowControl/>
        <w:spacing w:line="440" w:lineRule="exact"/>
        <w:ind w:firstLine="424" w:firstLineChars="202"/>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2.项目名称：</w:t>
      </w:r>
      <w:r>
        <w:rPr>
          <w:rFonts w:hint="eastAsia" w:ascii="宋体" w:hAnsi="宋体" w:eastAsia="宋体" w:cs="宋体"/>
          <w:color w:val="auto"/>
          <w:kern w:val="0"/>
          <w:szCs w:val="21"/>
          <w:highlight w:val="none"/>
          <w:lang w:eastAsia="zh-CN"/>
        </w:rPr>
        <w:t>昌宁县教育体育局2024至2025学年校方综合防范保险采购</w:t>
      </w:r>
    </w:p>
    <w:p w14:paraId="61650BCF">
      <w:pPr>
        <w:widowControl/>
        <w:spacing w:line="440" w:lineRule="exact"/>
        <w:ind w:firstLine="424" w:firstLineChars="202"/>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3.采购方式：竞争性磋商</w:t>
      </w:r>
    </w:p>
    <w:p w14:paraId="1EF3C680">
      <w:pPr>
        <w:widowControl/>
        <w:spacing w:line="440" w:lineRule="exact"/>
        <w:ind w:firstLine="424" w:firstLineChars="202"/>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eastAsia="zh-CN"/>
        </w:rPr>
        <w:t>预算金额：¥759210.00元。</w:t>
      </w:r>
    </w:p>
    <w:p w14:paraId="1D108059">
      <w:pPr>
        <w:widowControl/>
        <w:spacing w:line="440" w:lineRule="exact"/>
        <w:ind w:firstLine="424" w:firstLineChars="202"/>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说明：本项目所公示的采购预算</w:t>
      </w:r>
      <w:r>
        <w:rPr>
          <w:rFonts w:hint="eastAsia" w:ascii="宋体" w:hAnsi="宋体" w:eastAsia="宋体" w:cs="宋体"/>
          <w:color w:val="auto"/>
          <w:kern w:val="0"/>
          <w:szCs w:val="21"/>
          <w:highlight w:val="none"/>
          <w:lang w:val="en-US" w:eastAsia="zh-CN"/>
        </w:rPr>
        <w:t>是</w:t>
      </w:r>
      <w:r>
        <w:rPr>
          <w:rFonts w:hint="eastAsia" w:ascii="宋体" w:hAnsi="宋体" w:eastAsia="宋体" w:cs="宋体"/>
          <w:color w:val="auto"/>
          <w:kern w:val="0"/>
          <w:szCs w:val="21"/>
          <w:highlight w:val="none"/>
        </w:rPr>
        <w:t>采购人</w:t>
      </w:r>
      <w:r>
        <w:rPr>
          <w:rFonts w:hint="eastAsia" w:ascii="宋体" w:hAnsi="宋体" w:eastAsia="宋体" w:cs="宋体"/>
          <w:color w:val="auto"/>
          <w:kern w:val="0"/>
          <w:szCs w:val="21"/>
          <w:highlight w:val="none"/>
          <w:lang w:val="en-US" w:eastAsia="zh-CN"/>
        </w:rPr>
        <w:t>根据初步预估参保的</w:t>
      </w:r>
      <w:r>
        <w:rPr>
          <w:rFonts w:hint="eastAsia" w:ascii="宋体" w:hAnsi="宋体" w:eastAsia="宋体" w:cs="宋体"/>
          <w:color w:val="auto"/>
          <w:kern w:val="0"/>
          <w:szCs w:val="21"/>
          <w:highlight w:val="none"/>
        </w:rPr>
        <w:t>义务教育阶段学生</w:t>
      </w:r>
      <w:r>
        <w:rPr>
          <w:rFonts w:hint="eastAsia" w:ascii="宋体" w:hAnsi="宋体" w:eastAsia="宋体" w:cs="宋体"/>
          <w:color w:val="auto"/>
          <w:kern w:val="0"/>
          <w:szCs w:val="21"/>
          <w:highlight w:val="none"/>
          <w:lang w:val="en-US" w:eastAsia="zh-CN"/>
        </w:rPr>
        <w:t>的暂定人数31214人和非</w:t>
      </w:r>
      <w:r>
        <w:rPr>
          <w:rFonts w:hint="eastAsia" w:ascii="宋体" w:hAnsi="宋体" w:eastAsia="宋体" w:cs="宋体"/>
          <w:color w:val="auto"/>
          <w:kern w:val="0"/>
          <w:szCs w:val="21"/>
          <w:highlight w:val="none"/>
        </w:rPr>
        <w:t>义务教育阶段学生</w:t>
      </w:r>
      <w:r>
        <w:rPr>
          <w:rFonts w:hint="eastAsia" w:ascii="宋体" w:hAnsi="宋体" w:eastAsia="宋体" w:cs="宋体"/>
          <w:color w:val="auto"/>
          <w:kern w:val="0"/>
          <w:szCs w:val="21"/>
          <w:highlight w:val="none"/>
          <w:lang w:val="en-US" w:eastAsia="zh-CN"/>
        </w:rPr>
        <w:t>的暂定人数14550人，以及</w:t>
      </w:r>
      <w:r>
        <w:rPr>
          <w:rFonts w:hint="eastAsia" w:ascii="宋体" w:hAnsi="宋体" w:eastAsia="宋体" w:cs="宋体"/>
          <w:color w:val="auto"/>
          <w:kern w:val="0"/>
          <w:szCs w:val="21"/>
          <w:highlight w:val="none"/>
        </w:rPr>
        <w:t>义务教育类学校每人每年</w:t>
      </w:r>
      <w:r>
        <w:rPr>
          <w:rFonts w:hint="eastAsia" w:ascii="宋体" w:hAnsi="宋体" w:eastAsia="宋体" w:cs="宋体"/>
          <w:color w:val="auto"/>
          <w:kern w:val="0"/>
          <w:szCs w:val="21"/>
          <w:highlight w:val="none"/>
          <w:lang w:val="en-US" w:eastAsia="zh-CN"/>
        </w:rPr>
        <w:t>15</w:t>
      </w:r>
      <w:r>
        <w:rPr>
          <w:rFonts w:hint="eastAsia" w:ascii="宋体" w:hAnsi="宋体" w:eastAsia="宋体" w:cs="宋体"/>
          <w:color w:val="auto"/>
          <w:kern w:val="0"/>
          <w:szCs w:val="21"/>
          <w:highlight w:val="none"/>
        </w:rPr>
        <w:t>元</w:t>
      </w:r>
      <w:r>
        <w:rPr>
          <w:rFonts w:hint="eastAsia" w:ascii="宋体" w:hAnsi="宋体" w:eastAsia="宋体" w:cs="宋体"/>
          <w:color w:val="auto"/>
          <w:kern w:val="0"/>
          <w:szCs w:val="21"/>
          <w:highlight w:val="none"/>
          <w:lang w:val="en-US" w:eastAsia="zh-CN"/>
        </w:rPr>
        <w:t>和</w:t>
      </w:r>
      <w:r>
        <w:rPr>
          <w:rFonts w:hint="eastAsia" w:ascii="宋体" w:hAnsi="宋体" w:eastAsia="宋体" w:cs="宋体"/>
          <w:color w:val="auto"/>
          <w:kern w:val="0"/>
          <w:szCs w:val="21"/>
          <w:highlight w:val="none"/>
        </w:rPr>
        <w:t>非义务教育类学校每人每年</w:t>
      </w:r>
      <w:r>
        <w:rPr>
          <w:rFonts w:hint="eastAsia" w:ascii="宋体" w:hAnsi="宋体" w:eastAsia="宋体" w:cs="宋体"/>
          <w:color w:val="auto"/>
          <w:kern w:val="0"/>
          <w:szCs w:val="21"/>
          <w:highlight w:val="none"/>
          <w:lang w:val="en-US" w:eastAsia="zh-CN"/>
        </w:rPr>
        <w:t>20</w:t>
      </w:r>
      <w:r>
        <w:rPr>
          <w:rFonts w:hint="eastAsia" w:ascii="宋体" w:hAnsi="宋体" w:eastAsia="宋体" w:cs="宋体"/>
          <w:color w:val="auto"/>
          <w:kern w:val="0"/>
          <w:szCs w:val="21"/>
          <w:highlight w:val="none"/>
        </w:rPr>
        <w:t>元</w:t>
      </w:r>
      <w:r>
        <w:rPr>
          <w:rFonts w:hint="eastAsia" w:ascii="宋体" w:hAnsi="宋体" w:eastAsia="宋体" w:cs="宋体"/>
          <w:color w:val="auto"/>
          <w:kern w:val="0"/>
          <w:szCs w:val="21"/>
          <w:highlight w:val="none"/>
          <w:lang w:val="en-US" w:eastAsia="zh-CN"/>
        </w:rPr>
        <w:t>的保费标准在一个自然年计算的</w:t>
      </w:r>
      <w:r>
        <w:rPr>
          <w:rFonts w:hint="eastAsia" w:ascii="宋体" w:hAnsi="宋体" w:eastAsia="宋体" w:cs="宋体"/>
          <w:color w:val="auto"/>
          <w:kern w:val="0"/>
          <w:szCs w:val="21"/>
          <w:highlight w:val="none"/>
        </w:rPr>
        <w:t>预计金额，</w:t>
      </w:r>
      <w:r>
        <w:rPr>
          <w:rFonts w:hint="eastAsia" w:ascii="宋体" w:hAnsi="宋体" w:eastAsia="宋体" w:cs="宋体"/>
          <w:color w:val="auto"/>
          <w:kern w:val="0"/>
          <w:szCs w:val="21"/>
          <w:highlight w:val="none"/>
          <w:lang w:val="en-US" w:eastAsia="zh-CN"/>
        </w:rPr>
        <w:t>磋商申请人</w:t>
      </w:r>
      <w:r>
        <w:rPr>
          <w:rFonts w:hint="eastAsia" w:ascii="宋体" w:hAnsi="宋体" w:eastAsia="宋体" w:cs="宋体"/>
          <w:color w:val="auto"/>
          <w:kern w:val="0"/>
          <w:szCs w:val="21"/>
          <w:highlight w:val="none"/>
        </w:rPr>
        <w:t>一旦</w:t>
      </w:r>
      <w:r>
        <w:rPr>
          <w:rFonts w:hint="eastAsia" w:ascii="宋体" w:hAnsi="宋体" w:eastAsia="宋体" w:cs="宋体"/>
          <w:color w:val="auto"/>
          <w:kern w:val="0"/>
          <w:szCs w:val="21"/>
          <w:highlight w:val="none"/>
          <w:lang w:val="en-US" w:eastAsia="zh-CN"/>
        </w:rPr>
        <w:t>成交</w:t>
      </w:r>
      <w:r>
        <w:rPr>
          <w:rFonts w:hint="eastAsia" w:ascii="宋体" w:hAnsi="宋体" w:eastAsia="宋体" w:cs="宋体"/>
          <w:color w:val="auto"/>
          <w:kern w:val="0"/>
          <w:szCs w:val="21"/>
          <w:highlight w:val="none"/>
        </w:rPr>
        <w:t>，将据实结算。</w:t>
      </w:r>
    </w:p>
    <w:p w14:paraId="2178805F">
      <w:pPr>
        <w:widowControl/>
        <w:spacing w:line="440" w:lineRule="exact"/>
        <w:ind w:firstLine="424" w:firstLineChars="202"/>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5.采购需求：</w:t>
      </w:r>
    </w:p>
    <w:p w14:paraId="4FFF06E7">
      <w:pPr>
        <w:widowControl/>
        <w:spacing w:line="440" w:lineRule="exact"/>
        <w:ind w:firstLine="424" w:firstLineChars="202"/>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5.1项目概况：本次采购通过采购服务的方式选择一家保险服务机构（保险公司或保险经纪公司</w:t>
      </w:r>
      <w:r>
        <w:rPr>
          <w:rFonts w:hint="eastAsia" w:ascii="宋体" w:hAnsi="宋体" w:eastAsia="宋体" w:cs="宋体"/>
          <w:color w:val="auto"/>
          <w:kern w:val="0"/>
          <w:szCs w:val="21"/>
          <w:highlight w:val="none"/>
          <w:lang w:val="en-US" w:eastAsia="zh-CN"/>
        </w:rPr>
        <w:t>组建的联合体</w:t>
      </w:r>
      <w:r>
        <w:rPr>
          <w:rFonts w:hint="eastAsia" w:ascii="宋体" w:hAnsi="宋体" w:eastAsia="宋体" w:cs="宋体"/>
          <w:color w:val="auto"/>
          <w:kern w:val="0"/>
          <w:szCs w:val="21"/>
          <w:highlight w:val="none"/>
        </w:rPr>
        <w:t>），承保</w:t>
      </w:r>
      <w:r>
        <w:rPr>
          <w:rFonts w:hint="eastAsia" w:ascii="宋体" w:hAnsi="宋体" w:eastAsia="宋体" w:cs="宋体"/>
          <w:color w:val="auto"/>
          <w:kern w:val="0"/>
          <w:szCs w:val="21"/>
          <w:highlight w:val="none"/>
          <w:lang w:eastAsia="zh-CN"/>
        </w:rPr>
        <w:t>昌宁县教育体育局2024至2025学年校方综合防范保险采购</w:t>
      </w:r>
      <w:r>
        <w:rPr>
          <w:rFonts w:hint="eastAsia" w:ascii="宋体" w:hAnsi="宋体" w:eastAsia="宋体" w:cs="宋体"/>
          <w:color w:val="auto"/>
          <w:kern w:val="0"/>
          <w:szCs w:val="21"/>
          <w:highlight w:val="none"/>
        </w:rPr>
        <w:t>以及涉及特定条款、其他要求，具体内容详见竞争性磋商采购文件。</w:t>
      </w:r>
    </w:p>
    <w:p w14:paraId="12823590">
      <w:pPr>
        <w:widowControl/>
        <w:spacing w:line="440" w:lineRule="exact"/>
        <w:ind w:firstLine="424" w:firstLineChars="202"/>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5.2保险险种：非义务教育校方包含四种保险：校方责任保险、校方无过失责任保险、传染病防治责任保险、食品安全责任保险</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义务教育校方包含三种保险：校方无过失责任保险、传染病防治责任保险、食品安全责任保险</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以及</w:t>
      </w:r>
      <w:r>
        <w:rPr>
          <w:rFonts w:hint="eastAsia" w:ascii="宋体" w:hAnsi="宋体" w:eastAsia="宋体" w:cs="宋体"/>
          <w:color w:val="auto"/>
          <w:kern w:val="0"/>
          <w:szCs w:val="21"/>
          <w:highlight w:val="none"/>
        </w:rPr>
        <w:t>特定条款、其他要求</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具体要求见竞争性磋商文件</w:t>
      </w:r>
      <w:r>
        <w:rPr>
          <w:rFonts w:hint="eastAsia" w:ascii="宋体" w:hAnsi="宋体" w:eastAsia="宋体" w:cs="宋体"/>
          <w:color w:val="auto"/>
          <w:kern w:val="0"/>
          <w:szCs w:val="21"/>
          <w:highlight w:val="none"/>
        </w:rPr>
        <w:t>第五章采购需求</w:t>
      </w:r>
      <w:r>
        <w:rPr>
          <w:rFonts w:hint="eastAsia" w:ascii="宋体" w:hAnsi="宋体" w:eastAsia="宋体" w:cs="宋体"/>
          <w:color w:val="auto"/>
          <w:kern w:val="0"/>
          <w:szCs w:val="21"/>
          <w:highlight w:val="none"/>
          <w:lang w:eastAsia="zh-CN"/>
        </w:rPr>
        <w:t>。</w:t>
      </w:r>
    </w:p>
    <w:p w14:paraId="7C324CFB">
      <w:pPr>
        <w:widowControl/>
        <w:spacing w:line="440" w:lineRule="exact"/>
        <w:ind w:firstLine="424" w:firstLineChars="202"/>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5.3服务地点：采购方指定区域。</w:t>
      </w:r>
    </w:p>
    <w:p w14:paraId="55B91D55">
      <w:pPr>
        <w:widowControl/>
        <w:spacing w:line="440" w:lineRule="exact"/>
        <w:ind w:firstLine="424" w:firstLineChars="202"/>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5.4保险地域范围：</w:t>
      </w:r>
      <w:r>
        <w:rPr>
          <w:rFonts w:hint="eastAsia" w:ascii="宋体" w:hAnsi="宋体" w:eastAsia="宋体" w:cs="宋体"/>
          <w:b w:val="0"/>
          <w:bCs w:val="0"/>
          <w:sz w:val="23"/>
          <w:szCs w:val="23"/>
          <w:lang w:val="en-US" w:eastAsia="zh-CN"/>
        </w:rPr>
        <w:t>昌宁县辖区内的所有公办学校。</w:t>
      </w:r>
    </w:p>
    <w:p w14:paraId="7649D35D">
      <w:pPr>
        <w:widowControl/>
        <w:spacing w:line="440" w:lineRule="exact"/>
        <w:ind w:firstLine="424" w:firstLineChars="202"/>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5.5标段划分：一个标段，磋商申请人须针对本项目整体提出磋商申请。</w:t>
      </w:r>
    </w:p>
    <w:p w14:paraId="5D082E7D">
      <w:pPr>
        <w:widowControl/>
        <w:spacing w:line="440" w:lineRule="exact"/>
        <w:ind w:firstLine="424" w:firstLineChars="202"/>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5.6选择保险服务机构数量：1家。</w:t>
      </w:r>
    </w:p>
    <w:p w14:paraId="2D0FA603">
      <w:pPr>
        <w:widowControl/>
        <w:spacing w:line="440" w:lineRule="exact"/>
        <w:ind w:firstLine="424" w:firstLineChars="202"/>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6.合同履行期限：</w:t>
      </w:r>
    </w:p>
    <w:p w14:paraId="31DB2FFD">
      <w:pPr>
        <w:widowControl/>
        <w:spacing w:line="440" w:lineRule="exact"/>
        <w:ind w:firstLine="424" w:firstLineChars="202"/>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6.1保险期限：</w:t>
      </w:r>
      <w:r>
        <w:rPr>
          <w:rFonts w:hint="eastAsia" w:ascii="宋体" w:hAnsi="宋体" w:eastAsia="宋体" w:cs="宋体"/>
          <w:color w:val="auto"/>
          <w:kern w:val="0"/>
          <w:szCs w:val="21"/>
          <w:highlight w:val="none"/>
          <w:lang w:eastAsia="zh-CN"/>
        </w:rPr>
        <w:t>1年，以合同中约定时间为准</w:t>
      </w:r>
      <w:r>
        <w:rPr>
          <w:rFonts w:hint="eastAsia" w:ascii="宋体" w:hAnsi="宋体" w:eastAsia="宋体" w:cs="宋体"/>
          <w:color w:val="auto"/>
          <w:kern w:val="0"/>
          <w:szCs w:val="21"/>
          <w:highlight w:val="none"/>
        </w:rPr>
        <w:t>。</w:t>
      </w:r>
    </w:p>
    <w:p w14:paraId="7600BCBE">
      <w:pPr>
        <w:widowControl/>
        <w:spacing w:line="440" w:lineRule="exact"/>
        <w:ind w:firstLine="424" w:firstLineChars="202"/>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6.2服务期限：自合同签订之日起在保险期限内的全部时间及保险期限终止后所有材料及档案整理并移交至采购人。</w:t>
      </w:r>
    </w:p>
    <w:p w14:paraId="3BD5CF00">
      <w:pPr>
        <w:keepNext w:val="0"/>
        <w:keepLines w:val="0"/>
        <w:pageBreakBefore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val="en-US" w:eastAsia="zh-CN"/>
        </w:rPr>
        <w:t>7.本项目接受联合体参与磋商。</w:t>
      </w:r>
    </w:p>
    <w:p w14:paraId="4343A46D">
      <w:pPr>
        <w:keepNext w:val="0"/>
        <w:keepLines w:val="0"/>
        <w:pageBreakBefore w:val="0"/>
        <w:kinsoku/>
        <w:wordWrap/>
        <w:overflowPunct/>
        <w:topLinePunct w:val="0"/>
        <w:autoSpaceDE/>
        <w:autoSpaceDN/>
        <w:bidi w:val="0"/>
        <w:adjustRightInd/>
        <w:snapToGrid/>
        <w:spacing w:line="420" w:lineRule="exact"/>
        <w:jc w:val="center"/>
        <w:textAlignment w:val="auto"/>
        <w:rPr>
          <w:rFonts w:ascii="宋体" w:hAnsi="宋体" w:eastAsia="宋体" w:cs="宋体"/>
          <w:b/>
          <w:bCs/>
          <w:color w:val="auto"/>
          <w:sz w:val="28"/>
          <w:szCs w:val="28"/>
          <w:highlight w:val="none"/>
        </w:rPr>
      </w:pPr>
    </w:p>
    <w:p w14:paraId="2293F19C">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第二节 </w:t>
      </w:r>
      <w:r>
        <w:rPr>
          <w:rFonts w:hint="eastAsia" w:ascii="宋体" w:hAnsi="宋体" w:eastAsia="宋体" w:cs="宋体"/>
          <w:b/>
          <w:bCs/>
          <w:color w:val="auto"/>
          <w:sz w:val="28"/>
          <w:szCs w:val="28"/>
          <w:highlight w:val="none"/>
          <w:lang w:eastAsia="zh-CN"/>
        </w:rPr>
        <w:t>项目基本情况</w:t>
      </w:r>
    </w:p>
    <w:p w14:paraId="39E5A4DD">
      <w:pPr>
        <w:spacing w:line="460" w:lineRule="exact"/>
        <w:ind w:firstLine="420" w:firstLineChars="200"/>
        <w:rPr>
          <w:rFonts w:hint="default" w:ascii="宋体" w:hAnsi="宋体" w:eastAsia="宋体" w:cs="宋体"/>
          <w:color w:val="auto"/>
          <w:kern w:val="0"/>
          <w:highlight w:val="none"/>
          <w:lang w:val="en-US" w:eastAsia="zh-CN"/>
        </w:rPr>
      </w:pPr>
    </w:p>
    <w:p w14:paraId="03B0B8E0">
      <w:pPr>
        <w:spacing w:line="460" w:lineRule="exact"/>
        <w:ind w:firstLine="420" w:firstLineChars="200"/>
        <w:rPr>
          <w:rFonts w:hint="default" w:ascii="宋体" w:hAnsi="宋体" w:eastAsia="宋体" w:cs="宋体"/>
          <w:color w:val="auto"/>
          <w:kern w:val="0"/>
          <w:highlight w:val="none"/>
          <w:lang w:val="en-US" w:eastAsia="zh-CN"/>
        </w:rPr>
      </w:pPr>
    </w:p>
    <w:p w14:paraId="2DF906E1">
      <w:pPr>
        <w:spacing w:line="460" w:lineRule="exact"/>
        <w:ind w:firstLine="420" w:firstLineChars="200"/>
        <w:rPr>
          <w:rFonts w:hint="eastAsia" w:ascii="宋体" w:hAnsi="宋体" w:eastAsia="宋体" w:cs="宋体"/>
          <w:color w:val="auto"/>
          <w:kern w:val="0"/>
          <w:highlight w:val="none"/>
          <w:lang w:val="en-US" w:eastAsia="zh-CN"/>
        </w:rPr>
      </w:pPr>
    </w:p>
    <w:p w14:paraId="35E84BB7">
      <w:pPr>
        <w:keepNext w:val="0"/>
        <w:keepLines w:val="0"/>
        <w:pageBreakBefore w:val="0"/>
        <w:kinsoku/>
        <w:wordWrap/>
        <w:overflowPunct/>
        <w:topLinePunct w:val="0"/>
        <w:autoSpaceDE/>
        <w:autoSpaceDN/>
        <w:bidi w:val="0"/>
        <w:adjustRightInd/>
        <w:snapToGrid/>
        <w:spacing w:line="420" w:lineRule="exact"/>
        <w:ind w:firstLine="422" w:firstLineChars="200"/>
        <w:textAlignment w:val="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lang w:val="en-US" w:eastAsia="zh-CN"/>
        </w:rPr>
        <w:t>一、</w:t>
      </w:r>
      <w:r>
        <w:rPr>
          <w:rFonts w:hint="eastAsia" w:ascii="宋体" w:hAnsi="宋体" w:eastAsia="宋体" w:cs="宋体"/>
          <w:b/>
          <w:bCs/>
          <w:color w:val="auto"/>
          <w:kern w:val="0"/>
          <w:szCs w:val="21"/>
          <w:highlight w:val="none"/>
        </w:rPr>
        <w:t>服务内容</w:t>
      </w:r>
    </w:p>
    <w:p w14:paraId="71D21769">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（一）保险险种</w:t>
      </w:r>
    </w:p>
    <w:p w14:paraId="45B62E29">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本项目保险险种为校方综合防范保障组合险，包含：</w:t>
      </w:r>
    </w:p>
    <w:p w14:paraId="7F787AE7">
      <w:pPr>
        <w:pStyle w:val="13"/>
        <w:widowControl w:val="0"/>
        <w:spacing w:line="500" w:lineRule="exact"/>
        <w:ind w:firstLine="5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非义务教育校方综合防范保障保险包含四种保险：校方责任保险、校方无过失责任保险、传染病防治责任保险、食品安全责任保险；</w:t>
      </w:r>
    </w:p>
    <w:p w14:paraId="628E4A8F">
      <w:pPr>
        <w:pStyle w:val="13"/>
        <w:widowControl w:val="0"/>
        <w:spacing w:line="500" w:lineRule="exact"/>
        <w:ind w:firstLine="5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义务教育校方综合防范保障保险包含三种保险：校方无过失责任保险、传染病防治责任保险、食品安全责任保险；</w:t>
      </w:r>
    </w:p>
    <w:p w14:paraId="56C86337">
      <w:pPr>
        <w:pStyle w:val="14"/>
        <w:rPr>
          <w:rFonts w:hint="eastAsia" w:ascii="宋体" w:hAnsi="宋体" w:eastAsia="宋体" w:cs="宋体"/>
          <w:color w:val="auto"/>
          <w:sz w:val="21"/>
          <w:szCs w:val="21"/>
          <w:highlight w:val="none"/>
        </w:rPr>
      </w:pPr>
    </w:p>
    <w:p w14:paraId="5A1B5E0D">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1、校方责任保险：校方责任保险是指以被保险人（学校）对第三者（注册学生）依法应承担的经济赔偿责任为保险标的的保险。</w:t>
      </w:r>
    </w:p>
    <w:p w14:paraId="14E05D68">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责任范围：因校方责任导致学生的人身伤害，依法应由校方承担的经济赔偿责任。具体参照教育部12号令《学生伤害事故处理办法</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云南省学校安全条例》规定的应由学校承担的事故责任类型，包括：</w:t>
      </w:r>
    </w:p>
    <w:p w14:paraId="5BF1CAAB">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（1）学校的校舍、场地、其他公共设施，以及学校提供给学生使用的学具、教育教学和生活设施、设备不符合国家规定的标准，或者有明显不安全因素的；</w:t>
      </w:r>
    </w:p>
    <w:p w14:paraId="3E7365B9">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（2）学校的安全保卫、消防、设施设备管理等安全管理制度有明显疏漏，或者管理混乱，存在重大安全隐患，而未及时采取措施的；</w:t>
      </w:r>
    </w:p>
    <w:p w14:paraId="639F069B">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（3）学校向学生提供的药品、食品、饮用水等不符合国家或者行业的有关标准、要求的；  </w:t>
      </w:r>
    </w:p>
    <w:p w14:paraId="5B3D300E">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（4）学校组织学生参加教育教学活动或者校外活动，未对学生进行相应的安全教育，并未在可预见的范围内采取必要的安全措施的；</w:t>
      </w:r>
    </w:p>
    <w:p w14:paraId="666647A5">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（5）学校知道教师或者其他工作人员患有不适宜担任教育教学工作的疾病，但未采取必要措施的；  </w:t>
      </w:r>
    </w:p>
    <w:p w14:paraId="2A182E26">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（6）学校违反有关规定，组织或者安排未成年学生从事不宜未成年人参加的劳动、体育运动或者其他活动的； </w:t>
      </w:r>
    </w:p>
    <w:p w14:paraId="4940BD75">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（7）学生有特异体质或者特定疾病，不宜参加某种教育教学活动，学校知道或者应当知道，但未予以必要的注意的； </w:t>
      </w:r>
    </w:p>
    <w:p w14:paraId="61F354F4">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（8）学生在校期间突发疾病或者受到伤害，学校发现，但未根据实际情况及时采取相应措施，导致不良后果加重的； </w:t>
      </w:r>
    </w:p>
    <w:p w14:paraId="0456A7C2">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（9）学校教师或者其他工作人员体罚或者变相体罚学生，或者在履行职责过程中违反工作要求、操作规程、职业道德或者其它有关规定的； </w:t>
      </w:r>
    </w:p>
    <w:p w14:paraId="20F9984C">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（10）学校教师或者其他工作人员在负有组织、管理未成年学生的职责期间，发现学生行为具有危险性，但未进行必要的管理、告诫或者制止的；</w:t>
      </w:r>
    </w:p>
    <w:p w14:paraId="7A831D9F">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（11）对未成年学生擅自离校等与学生人身安全直接相关的信息，学校发现或者知道，但未及时告知未成年学生的监护人，导致未成年学生因脱离监护人的保护而发生伤害的；</w:t>
      </w:r>
    </w:p>
    <w:p w14:paraId="03744E4F">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（12）火灾、爆炸、煤气中毒所造成的意外事故；</w:t>
      </w:r>
    </w:p>
    <w:p w14:paraId="62B96199">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（13）高空物体坠落所造成的意外事故；</w:t>
      </w:r>
    </w:p>
    <w:p w14:paraId="3DA4A712">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（14）事故发生后，学校未采取措施及时救护致使损害扩大的；</w:t>
      </w:r>
    </w:p>
    <w:p w14:paraId="414E0F47">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（15）学生拥挤所造成的意外事故；</w:t>
      </w:r>
    </w:p>
    <w:p w14:paraId="233B90EE">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（16）学校有未依法履行职责的其它情形的；</w:t>
      </w:r>
    </w:p>
    <w:p w14:paraId="24EBE8C4">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（17）发生依法应由学校承担责任的其他意外事故，学校事先经保险公司书面同意支付的诉讼费用及其他必要合理的费用，保险公司在每人赔偿限额内赔偿。</w:t>
      </w:r>
    </w:p>
    <w:p w14:paraId="109DD376">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校园食品安全责任保险：因学校内食堂或小卖店（有相应资质），向学生提供的与其经营性质相符合的食品所导致的学生食物中毒或其他食源性疾患；或因食物中掺有异物，造成学生人身伤亡的依法应由被保险学校承担的经济赔偿责任。</w:t>
      </w:r>
    </w:p>
    <w:p w14:paraId="75FE426F">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校方传染病防治责任保险：注册学生因在校内感染特定传染病造成依法应由投保学校承担的经济赔偿责任、投保学校为控制该传染病所产生的防预费用以及教职工在处置该传染病时感染该传染病所产生的医疗费用。</w:t>
      </w:r>
    </w:p>
    <w:p w14:paraId="3EB7984D">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4、校方无过失责任保险：</w:t>
      </w:r>
    </w:p>
    <w:p w14:paraId="59898E98">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校注册学生在校活动中或由投保学校统一组织或安排的活动过程中发生学生人身伤亡，尽管被保险人已经履行了相应职责、行为并无不当，但法院或仲裁机构仍判决或裁决被保险人需对受伤害学生给予经济补偿时，保险人按保险合同约定给予赔付。</w:t>
      </w:r>
    </w:p>
    <w:p w14:paraId="034F325A">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（2）投保学校注册学生在被保险学校的在校活动中或由被保险学校统一组织或安排的活动过程中，由于注册学生的疏忽或过失造成第三者的人身伤亡，依法应由被保险人承担的经济赔偿责任。</w:t>
      </w:r>
    </w:p>
    <w:p w14:paraId="620BA33C">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（3）在投保学校负责管理范围内，由于投保学校的疏忽或过失造成非本校的学生人身伤亡，依法应由被保险人承担的经济赔偿责任。</w:t>
      </w:r>
    </w:p>
    <w:p w14:paraId="301CE576">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（4）非校内或校方组织活动中学生因非疾病原因死亡或残疾的，政府主管部门出于人道主义考虑，给予死亡学生家庭经济上的支援，保险人在保险合同约定内给予赔偿。</w:t>
      </w:r>
    </w:p>
    <w:p w14:paraId="447F3DB9">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（5）在行政区域内注册学生因疾病死亡，如该生家庭困难，政府部门出于人道主义给予死亡学生家庭经济上的支援，保险人在保险合同约定内给予赔付。</w:t>
      </w:r>
    </w:p>
    <w:p w14:paraId="53EDC494">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（二）保费标准</w:t>
      </w:r>
    </w:p>
    <w:p w14:paraId="507049FC">
      <w:pPr>
        <w:pStyle w:val="13"/>
        <w:widowControl w:val="0"/>
        <w:spacing w:line="500" w:lineRule="exact"/>
        <w:ind w:firstLine="56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年收取保费，义务教育类学校每人每年15元，义务教育阶段学生按注册学生人数投保，磋商过程暂按31214人计，合同履行过程中根据实际注册学生人数投保并据实结算；非义务教育类学校每人每年20元，非义务教育阶段学生按注册学生人数投保，磋商过程暂按14550人计，合同履行过程中根据实际注册学生人数投保并据实结算。</w:t>
      </w:r>
    </w:p>
    <w:p w14:paraId="57D13D40">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（三）保障额度</w:t>
      </w:r>
    </w:p>
    <w:tbl>
      <w:tblPr>
        <w:tblStyle w:val="31"/>
        <w:tblW w:w="9740" w:type="dxa"/>
        <w:jc w:val="center"/>
        <w:tblLayout w:type="fixed"/>
        <w:tblCellMar>
          <w:top w:w="0" w:type="dxa"/>
          <w:left w:w="0" w:type="dxa"/>
          <w:bottom w:w="0" w:type="dxa"/>
          <w:right w:w="0" w:type="dxa"/>
        </w:tblCellMar>
      </w:tblPr>
      <w:tblGrid>
        <w:gridCol w:w="1856"/>
        <w:gridCol w:w="1710"/>
        <w:gridCol w:w="3420"/>
        <w:gridCol w:w="2754"/>
      </w:tblGrid>
      <w:tr w14:paraId="072CEA13">
        <w:tblPrEx>
          <w:tblCellMar>
            <w:top w:w="0" w:type="dxa"/>
            <w:left w:w="0" w:type="dxa"/>
            <w:bottom w:w="0" w:type="dxa"/>
            <w:right w:w="0" w:type="dxa"/>
          </w:tblCellMar>
        </w:tblPrEx>
        <w:trPr>
          <w:trHeight w:val="454" w:hRule="atLeast"/>
          <w:jc w:val="center"/>
        </w:trPr>
        <w:tc>
          <w:tcPr>
            <w:tcW w:w="9740" w:type="dxa"/>
            <w:gridSpan w:val="4"/>
            <w:tcBorders>
              <w:top w:val="nil"/>
              <w:left w:val="nil"/>
              <w:bottom w:val="nil"/>
              <w:right w:val="nil"/>
            </w:tcBorders>
            <w:noWrap w:val="0"/>
            <w:tcMar>
              <w:top w:w="15" w:type="dxa"/>
              <w:left w:w="15" w:type="dxa"/>
              <w:right w:w="15" w:type="dxa"/>
            </w:tcMar>
            <w:vAlign w:val="center"/>
          </w:tcPr>
          <w:p w14:paraId="568E1539">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昌宁县非义务教育学校综合防范保障保险保障额度</w:t>
            </w:r>
          </w:p>
        </w:tc>
      </w:tr>
      <w:tr w14:paraId="679D295A">
        <w:tblPrEx>
          <w:tblCellMar>
            <w:top w:w="0" w:type="dxa"/>
            <w:left w:w="0" w:type="dxa"/>
            <w:bottom w:w="0" w:type="dxa"/>
            <w:right w:w="0" w:type="dxa"/>
          </w:tblCellMar>
        </w:tblPrEx>
        <w:trPr>
          <w:trHeight w:val="454" w:hRule="atLeast"/>
          <w:jc w:val="center"/>
        </w:trPr>
        <w:tc>
          <w:tcPr>
            <w:tcW w:w="1856"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5BD04735">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责任类别</w:t>
            </w: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67CF2D">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限额类别</w:t>
            </w:r>
          </w:p>
        </w:tc>
        <w:tc>
          <w:tcPr>
            <w:tcW w:w="27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AA56EC">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责任限额不得低于以下标示的额度</w:t>
            </w:r>
          </w:p>
        </w:tc>
      </w:tr>
      <w:tr w14:paraId="695AD6A8">
        <w:tblPrEx>
          <w:tblCellMar>
            <w:top w:w="0" w:type="dxa"/>
            <w:left w:w="0" w:type="dxa"/>
            <w:bottom w:w="0" w:type="dxa"/>
            <w:right w:w="0" w:type="dxa"/>
          </w:tblCellMar>
        </w:tblPrEx>
        <w:trPr>
          <w:trHeight w:val="454" w:hRule="atLeast"/>
          <w:jc w:val="center"/>
        </w:trPr>
        <w:tc>
          <w:tcPr>
            <w:tcW w:w="18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DB6CD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校方责任保险</w:t>
            </w: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F59AF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每次事故每人责任限额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66BB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120万元</w:t>
            </w:r>
          </w:p>
        </w:tc>
      </w:tr>
      <w:tr w14:paraId="11B29056">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162ED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041DEB">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每校每次事故责任限额</w:t>
            </w:r>
          </w:p>
        </w:tc>
        <w:tc>
          <w:tcPr>
            <w:tcW w:w="27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311CD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无限额（</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根据自身实力承诺）</w:t>
            </w:r>
          </w:p>
        </w:tc>
      </w:tr>
      <w:tr w14:paraId="3F3D3C34">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42DEF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C85400">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每次事故每人精神损害抚慰金责任限额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8394F1">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10万元</w:t>
            </w:r>
          </w:p>
        </w:tc>
      </w:tr>
      <w:tr w14:paraId="3B5CA7DA">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E8314A">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C2311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每次事故每人抚慰金责任限额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3830FC">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5万元</w:t>
            </w:r>
          </w:p>
        </w:tc>
      </w:tr>
      <w:tr w14:paraId="181B3D57">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8771E5">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A8B670">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每次事故每人医疗费责任限额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4369A1">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120万元</w:t>
            </w:r>
          </w:p>
        </w:tc>
      </w:tr>
      <w:tr w14:paraId="42C5F3D7">
        <w:tblPrEx>
          <w:tblCellMar>
            <w:top w:w="0" w:type="dxa"/>
            <w:left w:w="0" w:type="dxa"/>
            <w:bottom w:w="0" w:type="dxa"/>
            <w:right w:w="0" w:type="dxa"/>
          </w:tblCellMar>
        </w:tblPrEx>
        <w:trPr>
          <w:trHeight w:val="454" w:hRule="atLeast"/>
          <w:jc w:val="center"/>
        </w:trPr>
        <w:tc>
          <w:tcPr>
            <w:tcW w:w="18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467738">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校方无过失</w:t>
            </w:r>
          </w:p>
          <w:p w14:paraId="521669EE">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责任险</w:t>
            </w: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5AE54A">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E4E651">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3DA550C1">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76A573">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8F644D">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1B59F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300万元</w:t>
            </w:r>
          </w:p>
        </w:tc>
      </w:tr>
      <w:tr w14:paraId="4754A02E">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681BA7">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943D8D">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第三者人身伤亡及非本校学生人身伤亡责任限额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B489AE">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20万元</w:t>
            </w:r>
          </w:p>
        </w:tc>
      </w:tr>
      <w:tr w14:paraId="5DC06C5F">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701E9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171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32FA01">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非校方、非疾病原因救助保障</w:t>
            </w:r>
          </w:p>
        </w:tc>
        <w:tc>
          <w:tcPr>
            <w:tcW w:w="34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046E64">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B8F13A">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20万元</w:t>
            </w:r>
          </w:p>
        </w:tc>
      </w:tr>
      <w:tr w14:paraId="2DAA0847">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DCDBDB">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171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C31BE3">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0B3B1E">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24F8B0">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300万元</w:t>
            </w:r>
          </w:p>
        </w:tc>
      </w:tr>
      <w:tr w14:paraId="15290820">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17008D">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171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F3ECCC">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非校方原因疾病死亡保障</w:t>
            </w:r>
          </w:p>
        </w:tc>
        <w:tc>
          <w:tcPr>
            <w:tcW w:w="34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02900C">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1D2CE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2万元</w:t>
            </w:r>
          </w:p>
        </w:tc>
      </w:tr>
      <w:tr w14:paraId="120F0973">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BE8F1">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171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7D302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F3F6A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17A42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300万元</w:t>
            </w:r>
          </w:p>
        </w:tc>
      </w:tr>
      <w:tr w14:paraId="4D23D40A">
        <w:tblPrEx>
          <w:tblCellMar>
            <w:top w:w="0" w:type="dxa"/>
            <w:left w:w="0" w:type="dxa"/>
            <w:bottom w:w="0" w:type="dxa"/>
            <w:right w:w="0" w:type="dxa"/>
          </w:tblCellMar>
        </w:tblPrEx>
        <w:trPr>
          <w:trHeight w:val="454" w:hRule="atLeast"/>
          <w:jc w:val="center"/>
        </w:trPr>
        <w:tc>
          <w:tcPr>
            <w:tcW w:w="18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7FEF1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校园食品卫生责任险</w:t>
            </w: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EB127C">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58E9A4">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306CAEA3">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BD09E1">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D13A05">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每人每次事故医疗费用限额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D440A4">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445375C0">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3A8271">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9F650A">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EC7FEC">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3000万元</w:t>
            </w:r>
          </w:p>
        </w:tc>
      </w:tr>
      <w:tr w14:paraId="58B0A052">
        <w:tblPrEx>
          <w:tblCellMar>
            <w:top w:w="0" w:type="dxa"/>
            <w:left w:w="0" w:type="dxa"/>
            <w:bottom w:w="0" w:type="dxa"/>
            <w:right w:w="0" w:type="dxa"/>
          </w:tblCellMar>
        </w:tblPrEx>
        <w:trPr>
          <w:trHeight w:val="454" w:hRule="atLeast"/>
          <w:jc w:val="center"/>
        </w:trPr>
        <w:tc>
          <w:tcPr>
            <w:tcW w:w="18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ADD9A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校方传染病</w:t>
            </w:r>
          </w:p>
          <w:p w14:paraId="25B8D97D">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责任险</w:t>
            </w: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95326B">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47004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715E596A">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70B280">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BE7E4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每人每次事故医疗费用限额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06E025">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2DC1EC12">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10A11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C4A4EE">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7DA76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1000万元</w:t>
            </w:r>
          </w:p>
        </w:tc>
      </w:tr>
      <w:tr w14:paraId="4DF86523">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5ACB47">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129BA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每次事故传染病控制限额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8A8C9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5万元</w:t>
            </w:r>
          </w:p>
        </w:tc>
      </w:tr>
      <w:tr w14:paraId="5E08EA6E">
        <w:tblPrEx>
          <w:tblCellMar>
            <w:top w:w="0" w:type="dxa"/>
            <w:left w:w="0" w:type="dxa"/>
            <w:bottom w:w="0" w:type="dxa"/>
            <w:right w:w="0" w:type="dxa"/>
          </w:tblCellMar>
        </w:tblPrEx>
        <w:trPr>
          <w:trHeight w:val="454" w:hRule="atLeast"/>
          <w:jc w:val="center"/>
        </w:trPr>
        <w:tc>
          <w:tcPr>
            <w:tcW w:w="18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A5E8B4">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416D93">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教职工感染医疗费用限额</w:t>
            </w:r>
          </w:p>
        </w:tc>
        <w:tc>
          <w:tcPr>
            <w:tcW w:w="27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D02B23">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3万元</w:t>
            </w:r>
          </w:p>
        </w:tc>
      </w:tr>
    </w:tbl>
    <w:p w14:paraId="4662E100">
      <w:pPr>
        <w:spacing w:line="500" w:lineRule="exact"/>
        <w:ind w:firstLine="420"/>
        <w:rPr>
          <w:rFonts w:hint="eastAsia" w:ascii="宋体" w:hAnsi="宋体" w:eastAsia="宋体" w:cs="宋体"/>
          <w:color w:val="auto"/>
          <w:sz w:val="21"/>
          <w:szCs w:val="21"/>
          <w:highlight w:val="none"/>
        </w:rPr>
      </w:pPr>
    </w:p>
    <w:p w14:paraId="183C4E88">
      <w:pPr>
        <w:spacing w:line="500" w:lineRule="exact"/>
        <w:ind w:firstLine="420"/>
        <w:rPr>
          <w:rFonts w:hint="eastAsia" w:ascii="宋体" w:hAnsi="宋体" w:eastAsia="宋体" w:cs="宋体"/>
          <w:color w:val="auto"/>
          <w:sz w:val="21"/>
          <w:szCs w:val="21"/>
          <w:highlight w:val="none"/>
        </w:rPr>
      </w:pPr>
    </w:p>
    <w:tbl>
      <w:tblPr>
        <w:tblStyle w:val="31"/>
        <w:tblW w:w="9540" w:type="dxa"/>
        <w:jc w:val="center"/>
        <w:tblLayout w:type="fixed"/>
        <w:tblCellMar>
          <w:top w:w="0" w:type="dxa"/>
          <w:left w:w="0" w:type="dxa"/>
          <w:bottom w:w="0" w:type="dxa"/>
          <w:right w:w="0" w:type="dxa"/>
        </w:tblCellMar>
      </w:tblPr>
      <w:tblGrid>
        <w:gridCol w:w="1771"/>
        <w:gridCol w:w="1415"/>
        <w:gridCol w:w="3700"/>
        <w:gridCol w:w="2654"/>
      </w:tblGrid>
      <w:tr w14:paraId="72D795DF">
        <w:tblPrEx>
          <w:tblCellMar>
            <w:top w:w="0" w:type="dxa"/>
            <w:left w:w="0" w:type="dxa"/>
            <w:bottom w:w="0" w:type="dxa"/>
            <w:right w:w="0" w:type="dxa"/>
          </w:tblCellMar>
        </w:tblPrEx>
        <w:trPr>
          <w:trHeight w:val="454" w:hRule="atLeast"/>
          <w:jc w:val="center"/>
        </w:trPr>
        <w:tc>
          <w:tcPr>
            <w:tcW w:w="9540" w:type="dxa"/>
            <w:gridSpan w:val="4"/>
            <w:tcBorders>
              <w:top w:val="nil"/>
              <w:left w:val="nil"/>
              <w:bottom w:val="nil"/>
              <w:right w:val="nil"/>
            </w:tcBorders>
            <w:noWrap w:val="0"/>
            <w:tcMar>
              <w:top w:w="15" w:type="dxa"/>
              <w:left w:w="15" w:type="dxa"/>
              <w:right w:w="15" w:type="dxa"/>
            </w:tcMar>
            <w:vAlign w:val="center"/>
          </w:tcPr>
          <w:p w14:paraId="394C402E">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昌宁县义务教育学校综合防范保障保险保障额度</w:t>
            </w:r>
          </w:p>
        </w:tc>
      </w:tr>
      <w:tr w14:paraId="5B4A7684">
        <w:tblPrEx>
          <w:tblCellMar>
            <w:top w:w="0" w:type="dxa"/>
            <w:left w:w="0" w:type="dxa"/>
            <w:bottom w:w="0" w:type="dxa"/>
            <w:right w:w="0" w:type="dxa"/>
          </w:tblCellMar>
        </w:tblPrEx>
        <w:trPr>
          <w:trHeight w:val="454" w:hRule="atLeast"/>
          <w:jc w:val="center"/>
        </w:trPr>
        <w:tc>
          <w:tcPr>
            <w:tcW w:w="177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2E346D78">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责任类别</w:t>
            </w: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D893D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限额类别</w:t>
            </w:r>
          </w:p>
        </w:tc>
        <w:tc>
          <w:tcPr>
            <w:tcW w:w="26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05A9A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服务保障</w:t>
            </w:r>
          </w:p>
        </w:tc>
      </w:tr>
      <w:tr w14:paraId="25BB676C">
        <w:tblPrEx>
          <w:tblCellMar>
            <w:top w:w="0" w:type="dxa"/>
            <w:left w:w="0" w:type="dxa"/>
            <w:bottom w:w="0" w:type="dxa"/>
            <w:right w:w="0" w:type="dxa"/>
          </w:tblCellMar>
        </w:tblPrEx>
        <w:trPr>
          <w:trHeight w:val="454" w:hRule="atLeast"/>
          <w:jc w:val="center"/>
        </w:trPr>
        <w:tc>
          <w:tcPr>
            <w:tcW w:w="177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09399D">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校方无过失</w:t>
            </w:r>
          </w:p>
          <w:p w14:paraId="1CAEA1A8">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责任险</w:t>
            </w: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D6213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1D1453">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71332928">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968D37">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827193">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440E6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300万元</w:t>
            </w:r>
          </w:p>
        </w:tc>
      </w:tr>
      <w:tr w14:paraId="3BA938C8">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A9D958">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6F2CB0">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第三者人身伤亡及非本校学生人身伤亡责任限额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2E95FB">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20万元</w:t>
            </w:r>
          </w:p>
        </w:tc>
      </w:tr>
      <w:tr w14:paraId="045A0869">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C9C885">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141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D9738C">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非校方、非疾病原因救助保障</w:t>
            </w:r>
          </w:p>
        </w:tc>
        <w:tc>
          <w:tcPr>
            <w:tcW w:w="3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D1E5C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B60B08">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20万元</w:t>
            </w:r>
          </w:p>
        </w:tc>
      </w:tr>
      <w:tr w14:paraId="0DF1A6D2">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A07DB4">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141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49D11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3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7DED0F">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48AB7A">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300万元</w:t>
            </w:r>
          </w:p>
        </w:tc>
      </w:tr>
      <w:tr w14:paraId="69BE37CF">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6D6047">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141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0B3540">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非校方原因疾病死亡保障</w:t>
            </w:r>
          </w:p>
        </w:tc>
        <w:tc>
          <w:tcPr>
            <w:tcW w:w="3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C40163">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E084FA">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2万元</w:t>
            </w:r>
          </w:p>
        </w:tc>
      </w:tr>
      <w:tr w14:paraId="3C1C43EB">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713358">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141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549930">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37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242985">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1EC0E8">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300万元</w:t>
            </w:r>
          </w:p>
        </w:tc>
      </w:tr>
      <w:tr w14:paraId="74BDAC8A">
        <w:tblPrEx>
          <w:tblCellMar>
            <w:top w:w="0" w:type="dxa"/>
            <w:left w:w="0" w:type="dxa"/>
            <w:bottom w:w="0" w:type="dxa"/>
            <w:right w:w="0" w:type="dxa"/>
          </w:tblCellMar>
        </w:tblPrEx>
        <w:trPr>
          <w:trHeight w:val="454" w:hRule="atLeast"/>
          <w:jc w:val="center"/>
        </w:trPr>
        <w:tc>
          <w:tcPr>
            <w:tcW w:w="177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A67ED0">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校园食品卫生责任险</w:t>
            </w: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68193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D8437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0C29C6C8">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9A2387">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9B4D95">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每人每次事故医疗费用限额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BFD25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52156238">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599C24">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EA4A64">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FE6A67">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3000万元</w:t>
            </w:r>
          </w:p>
        </w:tc>
      </w:tr>
      <w:tr w14:paraId="292086FF">
        <w:tblPrEx>
          <w:tblCellMar>
            <w:top w:w="0" w:type="dxa"/>
            <w:left w:w="0" w:type="dxa"/>
            <w:bottom w:w="0" w:type="dxa"/>
            <w:right w:w="0" w:type="dxa"/>
          </w:tblCellMar>
        </w:tblPrEx>
        <w:trPr>
          <w:trHeight w:val="454" w:hRule="atLeast"/>
          <w:jc w:val="center"/>
        </w:trPr>
        <w:tc>
          <w:tcPr>
            <w:tcW w:w="177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B60EB1">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校方传染病责任险</w:t>
            </w: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29A06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每生每年限额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20E44B">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708F3CE8">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597F8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0B47F8">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每人每次事故医疗费用限额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AF4AB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352E38EC">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C68EB9">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415C5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每校每年责任限额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5A9D5D">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1000万元</w:t>
            </w:r>
          </w:p>
        </w:tc>
      </w:tr>
      <w:tr w14:paraId="7019F23D">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2BBF2B">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F0488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每次事故传染病控制限额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5F71D2">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5万元</w:t>
            </w:r>
          </w:p>
        </w:tc>
      </w:tr>
      <w:tr w14:paraId="4A878DED">
        <w:tblPrEx>
          <w:tblCellMar>
            <w:top w:w="0" w:type="dxa"/>
            <w:left w:w="0" w:type="dxa"/>
            <w:bottom w:w="0" w:type="dxa"/>
            <w:right w:w="0" w:type="dxa"/>
          </w:tblCellMar>
        </w:tblPrEx>
        <w:trPr>
          <w:trHeight w:val="454" w:hRule="atLeast"/>
          <w:jc w:val="center"/>
        </w:trPr>
        <w:tc>
          <w:tcPr>
            <w:tcW w:w="17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5ED9ED">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p>
        </w:tc>
        <w:tc>
          <w:tcPr>
            <w:tcW w:w="511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AD13C6">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教职工感染医疗费用限额</w:t>
            </w:r>
          </w:p>
        </w:tc>
        <w:tc>
          <w:tcPr>
            <w:tcW w:w="265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45639E">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3万元</w:t>
            </w:r>
          </w:p>
        </w:tc>
      </w:tr>
    </w:tbl>
    <w:p w14:paraId="3F103F33">
      <w:pPr>
        <w:spacing w:line="500" w:lineRule="exact"/>
        <w:ind w:firstLine="420"/>
        <w:rPr>
          <w:rFonts w:hint="eastAsia" w:ascii="宋体" w:hAnsi="宋体" w:eastAsia="宋体" w:cs="宋体"/>
          <w:color w:val="auto"/>
          <w:sz w:val="21"/>
          <w:szCs w:val="21"/>
          <w:highlight w:val="none"/>
        </w:rPr>
      </w:pPr>
    </w:p>
    <w:p w14:paraId="43106413">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昌宁县非义务教育学校及义务教育学校综合防范保障保险相关要求</w:t>
      </w:r>
    </w:p>
    <w:tbl>
      <w:tblPr>
        <w:tblStyle w:val="31"/>
        <w:tblW w:w="9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5718"/>
        <w:gridCol w:w="1905"/>
      </w:tblGrid>
      <w:tr w14:paraId="2A24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0" w:type="dxa"/>
            <w:tcBorders>
              <w:top w:val="single" w:color="auto" w:sz="4" w:space="0"/>
              <w:left w:val="single" w:color="auto" w:sz="4" w:space="0"/>
              <w:bottom w:val="single" w:color="auto" w:sz="4" w:space="0"/>
              <w:right w:val="single" w:color="auto" w:sz="4" w:space="0"/>
            </w:tcBorders>
            <w:noWrap/>
            <w:vAlign w:val="center"/>
          </w:tcPr>
          <w:p w14:paraId="084DAB1A">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特定</w:t>
            </w:r>
          </w:p>
          <w:p w14:paraId="16663640">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w:t>
            </w:r>
          </w:p>
        </w:tc>
        <w:tc>
          <w:tcPr>
            <w:tcW w:w="5718" w:type="dxa"/>
            <w:tcBorders>
              <w:top w:val="single" w:color="auto" w:sz="4" w:space="0"/>
              <w:left w:val="single" w:color="auto" w:sz="4" w:space="0"/>
              <w:bottom w:val="single" w:color="auto" w:sz="4" w:space="0"/>
              <w:right w:val="single" w:color="auto" w:sz="4" w:space="0"/>
            </w:tcBorders>
            <w:noWrap/>
            <w:vAlign w:val="center"/>
          </w:tcPr>
          <w:p w14:paraId="1697A248">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期限内，非校园或校方组织活动中学生因非疾病原因死亡或残疾情况，给予死亡或残疾学生家庭经济上补偿，保险人根据保险合同的约定在每次事故非校方、非疾病原因救助限额内负责赔偿。每次责任事故20万元以内。</w:t>
            </w:r>
          </w:p>
        </w:tc>
        <w:tc>
          <w:tcPr>
            <w:tcW w:w="1905" w:type="dxa"/>
            <w:tcBorders>
              <w:top w:val="single" w:color="auto" w:sz="4" w:space="0"/>
              <w:left w:val="single" w:color="auto" w:sz="4" w:space="0"/>
              <w:bottom w:val="single" w:color="auto" w:sz="4" w:space="0"/>
              <w:right w:val="single" w:color="auto" w:sz="4" w:space="0"/>
            </w:tcBorders>
            <w:noWrap/>
            <w:vAlign w:val="center"/>
          </w:tcPr>
          <w:p w14:paraId="560CCF56">
            <w:pPr>
              <w:spacing w:line="500" w:lineRule="exact"/>
              <w:ind w:firstLine="420"/>
              <w:rPr>
                <w:rFonts w:hint="eastAsia" w:ascii="宋体" w:hAnsi="宋体" w:eastAsia="宋体" w:cs="宋体"/>
                <w:color w:val="auto"/>
                <w:sz w:val="21"/>
                <w:szCs w:val="21"/>
                <w:highlight w:val="none"/>
              </w:rPr>
            </w:pPr>
          </w:p>
        </w:tc>
      </w:tr>
      <w:tr w14:paraId="20C5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800" w:type="dxa"/>
            <w:tcBorders>
              <w:top w:val="single" w:color="auto" w:sz="4" w:space="0"/>
              <w:left w:val="single" w:color="auto" w:sz="4" w:space="0"/>
              <w:bottom w:val="single" w:color="auto" w:sz="4" w:space="0"/>
              <w:right w:val="single" w:color="auto" w:sz="4" w:space="0"/>
            </w:tcBorders>
            <w:noWrap/>
            <w:vAlign w:val="center"/>
          </w:tcPr>
          <w:p w14:paraId="58446489">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p w14:paraId="279C97BF">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w:t>
            </w:r>
          </w:p>
        </w:tc>
        <w:tc>
          <w:tcPr>
            <w:tcW w:w="5718" w:type="dxa"/>
            <w:tcBorders>
              <w:top w:val="single" w:color="auto" w:sz="4" w:space="0"/>
              <w:left w:val="single" w:color="auto" w:sz="4" w:space="0"/>
              <w:bottom w:val="single" w:color="auto" w:sz="4" w:space="0"/>
              <w:right w:val="single" w:color="auto" w:sz="4" w:space="0"/>
            </w:tcBorders>
            <w:noWrap/>
            <w:vAlign w:val="center"/>
          </w:tcPr>
          <w:p w14:paraId="4CAAFEC8">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根据学校招生情况，如有学生补录或复学情况，提供的学生名册中没有该学生信息的发生与校方综合防范险相关的事件时，必须列入理赔范围。</w:t>
            </w:r>
          </w:p>
        </w:tc>
        <w:tc>
          <w:tcPr>
            <w:tcW w:w="1905" w:type="dxa"/>
            <w:tcBorders>
              <w:top w:val="single" w:color="auto" w:sz="4" w:space="0"/>
              <w:left w:val="single" w:color="auto" w:sz="4" w:space="0"/>
              <w:bottom w:val="single" w:color="auto" w:sz="4" w:space="0"/>
              <w:right w:val="single" w:color="auto" w:sz="4" w:space="0"/>
            </w:tcBorders>
            <w:noWrap/>
            <w:vAlign w:val="center"/>
          </w:tcPr>
          <w:p w14:paraId="2EA34362">
            <w:pPr>
              <w:spacing w:line="500" w:lineRule="exact"/>
              <w:ind w:firstLine="420"/>
              <w:rPr>
                <w:rFonts w:hint="eastAsia" w:ascii="宋体" w:hAnsi="宋体" w:eastAsia="宋体" w:cs="宋体"/>
                <w:color w:val="auto"/>
                <w:sz w:val="21"/>
                <w:szCs w:val="21"/>
                <w:highlight w:val="none"/>
              </w:rPr>
            </w:pPr>
          </w:p>
        </w:tc>
      </w:tr>
    </w:tbl>
    <w:p w14:paraId="0EDBCDC7">
      <w:pPr>
        <w:spacing w:line="500" w:lineRule="exact"/>
        <w:ind w:firstLine="420"/>
        <w:rPr>
          <w:rFonts w:hint="eastAsia" w:ascii="宋体" w:hAnsi="宋体" w:eastAsia="宋体" w:cs="宋体"/>
          <w:color w:val="auto"/>
          <w:sz w:val="21"/>
          <w:szCs w:val="21"/>
          <w:highlight w:val="none"/>
        </w:rPr>
      </w:pPr>
    </w:p>
    <w:p w14:paraId="3F6EA35B">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（四）保险期限：</w:t>
      </w:r>
      <w:r>
        <w:rPr>
          <w:rFonts w:hint="eastAsia" w:ascii="宋体" w:hAnsi="宋体" w:eastAsia="宋体" w:cs="宋体"/>
          <w:color w:val="auto"/>
          <w:sz w:val="21"/>
          <w:szCs w:val="21"/>
          <w:highlight w:val="none"/>
          <w:lang w:eastAsia="zh-CN"/>
        </w:rPr>
        <w:t>1年，以合同中约定时间为准。</w:t>
      </w:r>
    </w:p>
    <w:p w14:paraId="2BF95955">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保险地域范围：昌宁县辖区内的公办学校。</w:t>
      </w:r>
    </w:p>
    <w:p w14:paraId="57B95FE9">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（五）特别约定</w:t>
      </w:r>
    </w:p>
    <w:p w14:paraId="2C3518B1">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保险责任无纯疾病医疗责任。</w:t>
      </w:r>
    </w:p>
    <w:p w14:paraId="6A4B71F6">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学生责任范围内的伤亡事故造成的随身财产损失责任（有发票等证明材料并经公安机关等相关机构确认）。</w:t>
      </w:r>
    </w:p>
    <w:p w14:paraId="37851C62">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校方仅以投保时在册学生人数投保，承保期间内入学的新生及休学返校、学籍恢复、学籍转入的学生纳入承保范围，毕业离校的学生自离校手续办结之日起不再承保；承保期间内，若因其它原因致使学生人数增加的，学生增加5％内免费承保。</w:t>
      </w:r>
    </w:p>
    <w:p w14:paraId="0B4ED854">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跨校交流学生免费承保，赔偿标准以本项目所在地为准。</w:t>
      </w:r>
    </w:p>
    <w:p w14:paraId="6E8BFA92">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对在校生的赔偿金不区分户籍，一律以城镇居民年人均可支配收入为基准计算。</w:t>
      </w:r>
    </w:p>
    <w:p w14:paraId="61C4CD17">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如从事食品生产、食品销售、餐饮服务的经营者，在经营活动中，涉及违反中华人民共和国食品安全法有关内容，而责任险的赔偿前提是依法应承担的赔偿责任，违法行为无法依法进行赔偿。</w:t>
      </w:r>
    </w:p>
    <w:p w14:paraId="0BB1775C">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校方无过失责任保险扩展承保以下内容：在保险期间内，投保学校注册学生在校外发生意外事故导致其遭受人身伤亡，依照法院判决或由学校上级主管部门确定应由被保险人承担的经济补偿责任，保险人在每次事故每人补偿金责任限额内负责赔偿。在保险期间内，在投保学校负责管理的范围内由于注册学生的过错造成第三者的人身伤亡，依照法院判决或由学校上级主管部门确定应由被保险人承担的经济补偿责任，保险人在第三者人身伤亡及非本校学生人身伤亡责任限额内负责赔偿。在保险期间内，在投保学校负责管理范围内，由于投保学校的疏忽或过失造成非本校的学生人身伤亡依照法院判决或由学校上级主管部门确定应由被保险人承担的经济补偿责任，保险人在第三者人身伤亡及非本校学生人身伤亡责任限额内负责赔偿。在保险期间内，非校（园）内或校方</w:t>
      </w:r>
      <w:r>
        <w:rPr>
          <w:rFonts w:hint="eastAsia" w:ascii="宋体" w:hAnsi="宋体" w:eastAsia="宋体" w:cs="宋体"/>
          <w:color w:val="auto"/>
          <w:sz w:val="21"/>
          <w:szCs w:val="21"/>
          <w:highlight w:val="none"/>
          <w:lang w:eastAsia="zh-CN"/>
        </w:rPr>
        <w:t>组</w:t>
      </w:r>
      <w:r>
        <w:rPr>
          <w:rFonts w:hint="eastAsia" w:ascii="宋体" w:hAnsi="宋体" w:eastAsia="宋体" w:cs="宋体"/>
          <w:color w:val="auto"/>
          <w:sz w:val="21"/>
          <w:szCs w:val="21"/>
          <w:highlight w:val="none"/>
        </w:rPr>
        <w:t>活动中学生因非疾病原因死亡或残疾的，依照法院判决或由学校上级主管部门商定应由被保险人承担的经济补偿责任，给予死亡学生家庭经济上的补偿，保险人在每次事故每人非校方、非疾病原因救助限额内负责赔偿。在保险期间内，在被保险人管理范围内注册学生因医病死亡，如该生家庭困难，依照法院判决或由学校上级主管部门确定应由被保险人承担的经济补偿责任，保险人在每次事故每人非校方原因疾病死亡保障限额内给予赔付。</w:t>
      </w:r>
    </w:p>
    <w:p w14:paraId="62709213">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校方只提供具体参保学生的数量，不提供具体的学生名册。</w:t>
      </w:r>
    </w:p>
    <w:p w14:paraId="54096D67">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签订保险合同时，将上述条款列入“特别约定”部分。特别约定效力高于特别条款和基本条款的效力，特别条款的效力高于基本条款的效力。</w:t>
      </w:r>
    </w:p>
    <w:p w14:paraId="0B623C54">
      <w:pPr>
        <w:spacing w:line="500" w:lineRule="exact"/>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二、服务要求</w:t>
      </w:r>
    </w:p>
    <w:p w14:paraId="36A4270E">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1.磋商申请人须遵守《保险法》的有关规定，切实履行保险人的各项职责以及所做出的承保、理赔及其他服务承诺，为采购人提供优质服务。</w:t>
      </w:r>
    </w:p>
    <w:p w14:paraId="5E6A1F0A">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磋商申请人应制定科学合理的投保服务方案，配备业务熟悉、经验丰富的保险经纪人员，根据本项目采购需求为采购人办理投保手续，并提供风险咨询、风险培训等服务，同时就本项目建立专门的业务档案，实行专项管理，开展跟踪服务。</w:t>
      </w:r>
    </w:p>
    <w:p w14:paraId="32EEC033">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3.磋商申请人应制定周密的应急处理方案，全面</w:t>
      </w:r>
      <w:r>
        <w:rPr>
          <w:rFonts w:hint="eastAsia" w:ascii="宋体" w:hAnsi="宋体" w:eastAsia="宋体" w:cs="宋体"/>
          <w:color w:val="auto"/>
          <w:sz w:val="21"/>
          <w:szCs w:val="21"/>
          <w:highlight w:val="none"/>
          <w:lang w:eastAsia="zh-CN"/>
        </w:rPr>
        <w:t>分析</w:t>
      </w:r>
      <w:r>
        <w:rPr>
          <w:rFonts w:hint="eastAsia" w:ascii="宋体" w:hAnsi="宋体" w:eastAsia="宋体" w:cs="宋体"/>
          <w:color w:val="auto"/>
          <w:sz w:val="21"/>
          <w:szCs w:val="21"/>
          <w:highlight w:val="none"/>
        </w:rPr>
        <w:t>研判可能发生的各种风险、事故，提出遇到各类事故时拟采取的应急处理措施，并在遇到相关情况时及时启动应急预案。</w:t>
      </w:r>
    </w:p>
    <w:p w14:paraId="53853549">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4.磋商申请人应按以下要求制定科学合理的理赔服务方案并严格执行：</w:t>
      </w:r>
    </w:p>
    <w:p w14:paraId="10C0BB41">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（1）明确报案、现场查勘、定损、索赔资料提交、预付赔款、保险公估、赔款等方面的方法、流程、措施、规则、时效。</w:t>
      </w:r>
    </w:p>
    <w:p w14:paraId="48131161">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（2）配备业务熟悉、经验丰富的保险经纪人员和法律服务人员，在采购人有需求时，及时赶赴现场处理事故、整理索赔材料、办理索赔手续、提供法律援助等。</w:t>
      </w:r>
    </w:p>
    <w:p w14:paraId="4073B094">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（3）理赔时效：在收到理赔所需的相关单证后，赔款支付时效不低于以下标准：</w:t>
      </w:r>
    </w:p>
    <w:tbl>
      <w:tblPr>
        <w:tblStyle w:val="31"/>
        <w:tblW w:w="9854" w:type="dxa"/>
        <w:jc w:val="center"/>
        <w:tblLayout w:type="fixed"/>
        <w:tblCellMar>
          <w:top w:w="0" w:type="dxa"/>
          <w:left w:w="108" w:type="dxa"/>
          <w:bottom w:w="0" w:type="dxa"/>
          <w:right w:w="108" w:type="dxa"/>
        </w:tblCellMar>
      </w:tblPr>
      <w:tblGrid>
        <w:gridCol w:w="1257"/>
        <w:gridCol w:w="5463"/>
        <w:gridCol w:w="3134"/>
      </w:tblGrid>
      <w:tr w14:paraId="21F1A2D6">
        <w:tblPrEx>
          <w:tblCellMar>
            <w:top w:w="0" w:type="dxa"/>
            <w:left w:w="108" w:type="dxa"/>
            <w:bottom w:w="0" w:type="dxa"/>
            <w:right w:w="108" w:type="dxa"/>
          </w:tblCellMar>
        </w:tblPrEx>
        <w:trPr>
          <w:trHeight w:val="580" w:hRule="atLeast"/>
          <w:jc w:val="center"/>
        </w:trPr>
        <w:tc>
          <w:tcPr>
            <w:tcW w:w="1257" w:type="dxa"/>
            <w:tcBorders>
              <w:top w:val="single" w:color="000000" w:sz="4" w:space="0"/>
              <w:left w:val="single" w:color="000000" w:sz="4" w:space="0"/>
              <w:bottom w:val="single" w:color="000000" w:sz="4" w:space="0"/>
              <w:right w:val="single" w:color="000000" w:sz="4" w:space="0"/>
            </w:tcBorders>
            <w:noWrap/>
            <w:vAlign w:val="center"/>
          </w:tcPr>
          <w:p w14:paraId="08CAE910">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5463" w:type="dxa"/>
            <w:tcBorders>
              <w:top w:val="single" w:color="000000" w:sz="4" w:space="0"/>
              <w:left w:val="single" w:color="000000" w:sz="4" w:space="0"/>
              <w:bottom w:val="single" w:color="000000" w:sz="4" w:space="0"/>
              <w:right w:val="single" w:color="000000" w:sz="4" w:space="0"/>
            </w:tcBorders>
            <w:noWrap/>
            <w:vAlign w:val="center"/>
          </w:tcPr>
          <w:p w14:paraId="7A462591">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赔款金额</w:t>
            </w:r>
          </w:p>
        </w:tc>
        <w:tc>
          <w:tcPr>
            <w:tcW w:w="3134" w:type="dxa"/>
            <w:tcBorders>
              <w:top w:val="single" w:color="000000" w:sz="4" w:space="0"/>
              <w:left w:val="single" w:color="000000" w:sz="4" w:space="0"/>
              <w:bottom w:val="single" w:color="000000" w:sz="4" w:space="0"/>
              <w:right w:val="single" w:color="000000" w:sz="4" w:space="0"/>
            </w:tcBorders>
            <w:noWrap/>
            <w:vAlign w:val="center"/>
          </w:tcPr>
          <w:p w14:paraId="5E3868E5">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赔付时效</w:t>
            </w:r>
          </w:p>
        </w:tc>
      </w:tr>
      <w:tr w14:paraId="62C7101F">
        <w:tblPrEx>
          <w:tblCellMar>
            <w:top w:w="0" w:type="dxa"/>
            <w:left w:w="108" w:type="dxa"/>
            <w:bottom w:w="0" w:type="dxa"/>
            <w:right w:w="108" w:type="dxa"/>
          </w:tblCellMar>
        </w:tblPrEx>
        <w:trPr>
          <w:trHeight w:val="480" w:hRule="atLeast"/>
          <w:jc w:val="center"/>
        </w:trPr>
        <w:tc>
          <w:tcPr>
            <w:tcW w:w="1257" w:type="dxa"/>
            <w:tcBorders>
              <w:top w:val="single" w:color="000000" w:sz="4" w:space="0"/>
              <w:left w:val="single" w:color="000000" w:sz="4" w:space="0"/>
              <w:bottom w:val="single" w:color="000000" w:sz="4" w:space="0"/>
              <w:right w:val="single" w:color="000000" w:sz="4" w:space="0"/>
            </w:tcBorders>
            <w:noWrap/>
            <w:vAlign w:val="center"/>
          </w:tcPr>
          <w:p w14:paraId="0F96EF0A">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463" w:type="dxa"/>
            <w:tcBorders>
              <w:top w:val="single" w:color="000000" w:sz="4" w:space="0"/>
              <w:left w:val="single" w:color="000000" w:sz="4" w:space="0"/>
              <w:bottom w:val="single" w:color="000000" w:sz="4" w:space="0"/>
              <w:right w:val="single" w:color="000000" w:sz="4" w:space="0"/>
            </w:tcBorders>
            <w:noWrap/>
            <w:vAlign w:val="center"/>
          </w:tcPr>
          <w:p w14:paraId="2A94426F">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赔款金额≤RMB5000元</w:t>
            </w:r>
          </w:p>
        </w:tc>
        <w:tc>
          <w:tcPr>
            <w:tcW w:w="3134" w:type="dxa"/>
            <w:tcBorders>
              <w:top w:val="single" w:color="000000" w:sz="4" w:space="0"/>
              <w:left w:val="single" w:color="000000" w:sz="4" w:space="0"/>
              <w:bottom w:val="single" w:color="000000" w:sz="4" w:space="0"/>
              <w:right w:val="single" w:color="000000" w:sz="4" w:space="0"/>
            </w:tcBorders>
            <w:noWrap/>
            <w:vAlign w:val="center"/>
          </w:tcPr>
          <w:p w14:paraId="57A8089E">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5个工作日内支付</w:t>
            </w:r>
          </w:p>
        </w:tc>
      </w:tr>
      <w:tr w14:paraId="3BEBB98F">
        <w:tblPrEx>
          <w:tblCellMar>
            <w:top w:w="0" w:type="dxa"/>
            <w:left w:w="108" w:type="dxa"/>
            <w:bottom w:w="0" w:type="dxa"/>
            <w:right w:w="108" w:type="dxa"/>
          </w:tblCellMar>
        </w:tblPrEx>
        <w:trPr>
          <w:trHeight w:val="480" w:hRule="atLeast"/>
          <w:jc w:val="center"/>
        </w:trPr>
        <w:tc>
          <w:tcPr>
            <w:tcW w:w="1257" w:type="dxa"/>
            <w:tcBorders>
              <w:top w:val="single" w:color="000000" w:sz="4" w:space="0"/>
              <w:left w:val="single" w:color="000000" w:sz="4" w:space="0"/>
              <w:bottom w:val="single" w:color="000000" w:sz="4" w:space="0"/>
              <w:right w:val="single" w:color="000000" w:sz="4" w:space="0"/>
            </w:tcBorders>
            <w:noWrap/>
            <w:vAlign w:val="center"/>
          </w:tcPr>
          <w:p w14:paraId="4E06C237">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463" w:type="dxa"/>
            <w:tcBorders>
              <w:top w:val="single" w:color="000000" w:sz="4" w:space="0"/>
              <w:left w:val="single" w:color="000000" w:sz="4" w:space="0"/>
              <w:bottom w:val="single" w:color="000000" w:sz="4" w:space="0"/>
              <w:right w:val="single" w:color="000000" w:sz="4" w:space="0"/>
            </w:tcBorders>
            <w:noWrap/>
            <w:vAlign w:val="center"/>
          </w:tcPr>
          <w:p w14:paraId="1CD74BB4">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RMB5000元＜赔款金额≤RMB50000元</w:t>
            </w:r>
          </w:p>
        </w:tc>
        <w:tc>
          <w:tcPr>
            <w:tcW w:w="3134" w:type="dxa"/>
            <w:tcBorders>
              <w:top w:val="single" w:color="000000" w:sz="4" w:space="0"/>
              <w:left w:val="single" w:color="000000" w:sz="4" w:space="0"/>
              <w:bottom w:val="single" w:color="000000" w:sz="4" w:space="0"/>
              <w:right w:val="single" w:color="000000" w:sz="4" w:space="0"/>
            </w:tcBorders>
            <w:noWrap/>
            <w:vAlign w:val="center"/>
          </w:tcPr>
          <w:p w14:paraId="22CEBE52">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7个工作日内支付</w:t>
            </w:r>
          </w:p>
        </w:tc>
      </w:tr>
      <w:tr w14:paraId="25F12428">
        <w:tblPrEx>
          <w:tblCellMar>
            <w:top w:w="0" w:type="dxa"/>
            <w:left w:w="108" w:type="dxa"/>
            <w:bottom w:w="0" w:type="dxa"/>
            <w:right w:w="108" w:type="dxa"/>
          </w:tblCellMar>
        </w:tblPrEx>
        <w:trPr>
          <w:trHeight w:val="480" w:hRule="atLeast"/>
          <w:jc w:val="center"/>
        </w:trPr>
        <w:tc>
          <w:tcPr>
            <w:tcW w:w="1257" w:type="dxa"/>
            <w:tcBorders>
              <w:top w:val="single" w:color="000000" w:sz="4" w:space="0"/>
              <w:left w:val="single" w:color="000000" w:sz="4" w:space="0"/>
              <w:bottom w:val="single" w:color="000000" w:sz="4" w:space="0"/>
              <w:right w:val="single" w:color="000000" w:sz="4" w:space="0"/>
            </w:tcBorders>
            <w:noWrap/>
            <w:vAlign w:val="center"/>
          </w:tcPr>
          <w:p w14:paraId="79DE3660">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463" w:type="dxa"/>
            <w:tcBorders>
              <w:top w:val="single" w:color="000000" w:sz="4" w:space="0"/>
              <w:left w:val="single" w:color="000000" w:sz="4" w:space="0"/>
              <w:bottom w:val="single" w:color="000000" w:sz="4" w:space="0"/>
              <w:right w:val="single" w:color="000000" w:sz="4" w:space="0"/>
            </w:tcBorders>
            <w:noWrap/>
            <w:vAlign w:val="center"/>
          </w:tcPr>
          <w:p w14:paraId="455A41CB">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RMB50000元＜赔款金额</w:t>
            </w:r>
          </w:p>
        </w:tc>
        <w:tc>
          <w:tcPr>
            <w:tcW w:w="3134" w:type="dxa"/>
            <w:tcBorders>
              <w:top w:val="single" w:color="000000" w:sz="4" w:space="0"/>
              <w:left w:val="single" w:color="000000" w:sz="4" w:space="0"/>
              <w:bottom w:val="single" w:color="000000" w:sz="4" w:space="0"/>
              <w:right w:val="single" w:color="000000" w:sz="4" w:space="0"/>
            </w:tcBorders>
            <w:noWrap/>
            <w:vAlign w:val="center"/>
          </w:tcPr>
          <w:p w14:paraId="356A5561">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10个工作日内支付</w:t>
            </w:r>
          </w:p>
        </w:tc>
      </w:tr>
    </w:tbl>
    <w:p w14:paraId="1237769C">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（4）提供小额案件免单证赔付服务：为最大程度地简化小额案件的理赔处理程序，提高工作效率，针对损失金额25000元以下案件，免纸质单证，只需提供电子单证即可。</w:t>
      </w:r>
    </w:p>
    <w:p w14:paraId="7E71AEAF">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（5）提供预付赔款服务：如发生保险事故，在保险责任明确但最终损失金额尚不能确定的情况下，提供50％的预付赔款，以帮助困难学生得到及时救治。</w:t>
      </w:r>
    </w:p>
    <w:p w14:paraId="6461421C">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5.磋商申请人若未能达到下列要求，将按相应比例扣减履约保证金不予退还。履约保证金不够扣除时，由磋商申请人另行支付违约金：</w:t>
      </w:r>
    </w:p>
    <w:p w14:paraId="56A0FCFE">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（1）査勘人员未在承诺时间到达，而在赔案处理中对被保险人提供的索赔资料不认可，导致保险双方就索赔无法达成一致意见，按最终赔付金额的5％扣除履约保证金。</w:t>
      </w:r>
    </w:p>
    <w:p w14:paraId="0FBA75C2">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（2）保险人在确认接到索赔资料后，约定时限内未提出有关审核意见，此后又要求补充材料的，按最终赔付金额的5％扣除履约保证金。</w:t>
      </w:r>
    </w:p>
    <w:p w14:paraId="550F22C4">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（3）被保险人发生保险事故时，保险人未在约定时限内完成定损，按最终赔付金额的5％扣除履约保证金。</w:t>
      </w:r>
    </w:p>
    <w:p w14:paraId="137B8A0E">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（4）双方就赔偿结果达成一致后，保险人未在约定时限内支付赔款，除按约定支付违约罚息外，还将按最终赔付金额的1％扣除履约保证金。</w:t>
      </w:r>
    </w:p>
    <w:p w14:paraId="753950BE">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（5）被保险人或保险经纪人提出预付赔款书面申请后，保险人未按照约定的时限及金额预付赔款，按预付赔款金额的5％扣除履约保证金。</w:t>
      </w:r>
    </w:p>
    <w:p w14:paraId="7DBA3F1A">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（6）引入保险公估人时，保险人如违背关于引入保险公估人的相关约定，按最终赔付金额的10％扣除履约保证金。</w:t>
      </w:r>
    </w:p>
    <w:p w14:paraId="237E33BC">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（7）未按约定按要求准时提供各类数据、报表的，每次按履约保证金的1％扣除。</w:t>
      </w:r>
    </w:p>
    <w:p w14:paraId="52231B06">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（8）保险年度结束时，结案率未达85％的，按履约保证金的10％扣除。</w:t>
      </w:r>
    </w:p>
    <w:p w14:paraId="7FA644E2">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（9）保险年度结束后1个月内，结案率未达到95％的，按履约保证金的20％扣除。</w:t>
      </w:r>
    </w:p>
    <w:p w14:paraId="2C1F538F">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（10）保险年度结束后6个月内，结案率未达100％的，按履约保证金的50％扣除。</w:t>
      </w:r>
    </w:p>
    <w:p w14:paraId="7D236DDB">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（11）履约保证金的扣除不影响保险人履行保险合同规定的各项义务。</w:t>
      </w:r>
    </w:p>
    <w:p w14:paraId="15D19B10">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（12）承保人需在履约保证金扣除后五个工作日内，对履约保证金进行补充，若未进行补充视为承保人违约，采购人有权单方面解除合同，造成的一切损失由承保人承担。</w:t>
      </w:r>
    </w:p>
    <w:p w14:paraId="12F91880">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（13）履约保证金在此保险责任期内各项遗留事宜处理完毕后30日内无息退还。</w:t>
      </w:r>
    </w:p>
    <w:p w14:paraId="754C1AAD">
      <w:pPr>
        <w:spacing w:line="500" w:lineRule="exact"/>
        <w:ind w:firstLine="420"/>
        <w:rPr>
          <w:rFonts w:hint="eastAsia" w:ascii="宋体" w:hAnsi="宋体" w:eastAsia="宋体" w:cs="宋体"/>
          <w:color w:val="auto"/>
          <w:sz w:val="21"/>
          <w:szCs w:val="21"/>
          <w:highlight w:val="none"/>
        </w:rPr>
      </w:pPr>
      <w:bookmarkStart w:id="298" w:name="_Toc25883"/>
      <w:bookmarkStart w:id="299" w:name="_Toc26702"/>
      <w:bookmarkStart w:id="300" w:name="_Toc10882"/>
      <w:bookmarkStart w:id="301" w:name="_Toc531338943"/>
      <w:bookmarkStart w:id="302" w:name="_Toc2617"/>
      <w:bookmarkStart w:id="303" w:name="_Toc106565202"/>
      <w:r>
        <w:rPr>
          <w:rFonts w:hint="eastAsia" w:ascii="宋体" w:hAnsi="宋体" w:eastAsia="宋体" w:cs="宋体"/>
          <w:color w:val="auto"/>
          <w:sz w:val="21"/>
          <w:szCs w:val="21"/>
          <w:highlight w:val="none"/>
        </w:rPr>
        <w:t>三、服务期限</w:t>
      </w:r>
      <w:bookmarkEnd w:id="298"/>
      <w:bookmarkEnd w:id="299"/>
      <w:bookmarkEnd w:id="300"/>
      <w:bookmarkEnd w:id="301"/>
      <w:bookmarkEnd w:id="302"/>
      <w:bookmarkEnd w:id="303"/>
    </w:p>
    <w:p w14:paraId="59EE9F5D">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服务期限：包括保险期限在内的全部时间及保险期限终止后所有材料及档案整理并移交至采购人。　</w:t>
      </w:r>
    </w:p>
    <w:p w14:paraId="46447727">
      <w:pPr>
        <w:spacing w:line="500" w:lineRule="exact"/>
        <w:ind w:firstLine="1050" w:firstLineChars="5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服务地点：采购方指定区域。</w:t>
      </w:r>
    </w:p>
    <w:p w14:paraId="6E320B1C">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四、履约担保：</w:t>
      </w:r>
      <w:r>
        <w:rPr>
          <w:rFonts w:hint="eastAsia" w:ascii="宋体" w:hAnsi="宋体" w:eastAsia="宋体" w:cs="宋体"/>
          <w:color w:val="auto"/>
          <w:sz w:val="21"/>
          <w:szCs w:val="21"/>
          <w:highlight w:val="none"/>
        </w:rPr>
        <w:t>本项目实行履约担保，担保额度及形式在合同中约定。</w:t>
      </w:r>
    </w:p>
    <w:p w14:paraId="0CBCB277">
      <w:pPr>
        <w:spacing w:line="500" w:lineRule="exact"/>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五、报价要求</w:t>
      </w:r>
    </w:p>
    <w:p w14:paraId="69C3A29E">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为固定保费单价合同，即分年收取保费，义务教育类学校每人每年15元固定不变，义务教育阶段学生按注册学生人数投保，磋商过程暂按31287人计，合同履行过程中根据实际注册学生人数投保并据实结算）；非义务教育类学校每人每年 20元固定不变，非义务教育阶段学生按注册学生人数投保，磋商过程暂按16810人计，合同履行过程中根据实际注册学生人数投保并据实结算。承保期间内，若因其它原因致使学生人数增加的，学生增加5％内免费承保。</w:t>
      </w:r>
    </w:p>
    <w:p w14:paraId="72FB2F03">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报价时保费不作为竞争性费用。</w:t>
      </w:r>
    </w:p>
    <w:p w14:paraId="5550DDAF">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费须包含保险费、经纪服务费（若发生）、人工费及为完成本项目须发生的全部费用、税费等全部费用及合理利润的总和，并充分考虑可能发生的各种风险。合同履行过程中，除投保学生人数发生增减变动外，不得以任何理由调整合同价款。</w:t>
      </w:r>
    </w:p>
    <w:p w14:paraId="7E7C4DB1">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3.磋商申请人可针对不同责任险保障额度作出实质性的承诺。</w:t>
      </w:r>
    </w:p>
    <w:p w14:paraId="28FD3774">
      <w:pPr>
        <w:spacing w:line="500" w:lineRule="exact"/>
        <w:ind w:firstLine="420"/>
        <w:rPr>
          <w:rFonts w:hint="eastAsia" w:ascii="宋体" w:hAnsi="宋体" w:eastAsia="宋体" w:cs="宋体"/>
          <w:b/>
          <w:bCs/>
          <w:color w:val="auto"/>
          <w:sz w:val="21"/>
          <w:szCs w:val="21"/>
          <w:highlight w:val="none"/>
        </w:rPr>
      </w:pPr>
      <w:bookmarkStart w:id="304" w:name="_Toc24455"/>
      <w:bookmarkStart w:id="305" w:name="_Toc8129"/>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w:t>
      </w:r>
      <w:bookmarkStart w:id="306" w:name="_Toc15232"/>
      <w:bookmarkStart w:id="307" w:name="_Toc106565203"/>
      <w:bookmarkStart w:id="308" w:name="_Toc11839"/>
      <w:r>
        <w:rPr>
          <w:rFonts w:hint="eastAsia" w:ascii="宋体" w:hAnsi="宋体" w:eastAsia="宋体" w:cs="宋体"/>
          <w:b/>
          <w:bCs/>
          <w:color w:val="auto"/>
          <w:sz w:val="21"/>
          <w:szCs w:val="21"/>
          <w:highlight w:val="none"/>
        </w:rPr>
        <w:t>履约验收</w:t>
      </w:r>
      <w:bookmarkEnd w:id="304"/>
      <w:bookmarkEnd w:id="305"/>
      <w:bookmarkEnd w:id="306"/>
      <w:bookmarkEnd w:id="307"/>
      <w:bookmarkEnd w:id="308"/>
    </w:p>
    <w:p w14:paraId="27211896">
      <w:pPr>
        <w:spacing w:line="500" w:lineRule="exact"/>
        <w:ind w:firstLine="420"/>
        <w:rPr>
          <w:rFonts w:hint="eastAsia" w:ascii="宋体" w:hAnsi="宋体" w:eastAsia="宋体" w:cs="宋体"/>
          <w:color w:val="auto"/>
          <w:sz w:val="21"/>
          <w:szCs w:val="21"/>
          <w:highlight w:val="none"/>
        </w:rPr>
      </w:pPr>
      <w:bookmarkStart w:id="309" w:name="_Toc23515"/>
      <w:bookmarkStart w:id="310" w:name="_Toc106565204"/>
      <w:bookmarkStart w:id="311" w:name="_Toc22400"/>
      <w:bookmarkStart w:id="312" w:name="_Toc23803"/>
      <w:bookmarkStart w:id="313" w:name="_Toc18508"/>
      <w:r>
        <w:rPr>
          <w:rFonts w:hint="eastAsia" w:ascii="宋体" w:hAnsi="宋体" w:eastAsia="宋体" w:cs="宋体"/>
          <w:color w:val="auto"/>
          <w:sz w:val="21"/>
          <w:szCs w:val="21"/>
          <w:highlight w:val="none"/>
        </w:rPr>
        <w:t>采取平时考核与定期考核相结合的方式进行。考核工作由甲方项目管理部门负责组织实施。对乙方的考核标准按照本项目的服务要求、服务承诺及其行业相关规范执行。</w:t>
      </w:r>
      <w:bookmarkEnd w:id="309"/>
      <w:bookmarkEnd w:id="310"/>
      <w:bookmarkEnd w:id="311"/>
      <w:bookmarkEnd w:id="312"/>
      <w:bookmarkEnd w:id="313"/>
    </w:p>
    <w:p w14:paraId="5DCDD562">
      <w:pPr>
        <w:spacing w:line="500" w:lineRule="exact"/>
        <w:ind w:firstLine="420"/>
        <w:rPr>
          <w:rFonts w:hint="eastAsia" w:ascii="宋体" w:hAnsi="宋体" w:eastAsia="宋体" w:cs="宋体"/>
          <w:b/>
          <w:bCs/>
          <w:color w:val="auto"/>
          <w:sz w:val="21"/>
          <w:szCs w:val="21"/>
          <w:highlight w:val="none"/>
        </w:rPr>
      </w:pPr>
      <w:bookmarkStart w:id="314" w:name="_Toc4393"/>
      <w:bookmarkStart w:id="315" w:name="_Toc3161"/>
      <w:bookmarkStart w:id="316" w:name="_Toc16220"/>
      <w:bookmarkStart w:id="317" w:name="_Toc4399"/>
      <w:bookmarkStart w:id="318" w:name="_Toc106565205"/>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、费用结算</w:t>
      </w:r>
      <w:bookmarkEnd w:id="314"/>
      <w:bookmarkEnd w:id="315"/>
      <w:bookmarkEnd w:id="316"/>
      <w:bookmarkEnd w:id="317"/>
      <w:bookmarkEnd w:id="318"/>
    </w:p>
    <w:p w14:paraId="762C2BB8">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磋商申请人应在签订合同时按照合同总价款（年度服务费）10％向采购人缴纳履约保证金。履约保证金在服务期满后根据服务期考核结果及服务情况无息退还，服务期考核不合格或磋商申请人拒绝提供服务的，将不予退还履约保证金。</w:t>
      </w:r>
    </w:p>
    <w:p w14:paraId="41F72E9E">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2.服务过程中，按照实际投保学生人数据实结算。若出现实际投保学生人数超过本次采购时的暂估人数需增加服务费用时，年度服务费增幅不得超过10%，且须按照政府采购有关规定办理合同追加手续。</w:t>
      </w:r>
    </w:p>
    <w:p w14:paraId="34ACDCC2">
      <w:pPr>
        <w:spacing w:line="500" w:lineRule="exact"/>
        <w:ind w:firstLine="420"/>
        <w:rPr>
          <w:rFonts w:hint="eastAsia" w:ascii="宋体" w:hAnsi="宋体" w:eastAsia="宋体" w:cs="宋体"/>
          <w:color w:val="auto"/>
          <w:sz w:val="21"/>
          <w:szCs w:val="21"/>
          <w:highlight w:val="none"/>
        </w:rPr>
        <w:sectPr>
          <w:footerReference r:id="rId8" w:type="default"/>
          <w:pgSz w:w="11906" w:h="16838"/>
          <w:pgMar w:top="936" w:right="1134" w:bottom="1089" w:left="1134" w:header="851" w:footer="992" w:gutter="0"/>
          <w:cols w:space="425" w:num="1"/>
          <w:docGrid w:type="lines" w:linePitch="312" w:charSpace="0"/>
        </w:sectPr>
      </w:pPr>
      <w:r>
        <w:rPr>
          <w:rFonts w:hint="eastAsia" w:ascii="宋体" w:hAnsi="宋体" w:eastAsia="宋体" w:cs="宋体"/>
          <w:color w:val="auto"/>
          <w:sz w:val="21"/>
          <w:szCs w:val="21"/>
          <w:highlight w:val="none"/>
        </w:rPr>
        <w:t>3.保险费用由采购人一次性支付到磋商申请人指定账户。磋商申请人在申请支付保险费时，应开具相应金额的增值税普通发票。</w:t>
      </w:r>
    </w:p>
    <w:p w14:paraId="5F6293B9">
      <w:pPr>
        <w:pStyle w:val="2"/>
        <w:spacing w:line="360" w:lineRule="auto"/>
        <w:jc w:val="center"/>
        <w:rPr>
          <w:rFonts w:ascii="宋体" w:hAnsi="宋体" w:eastAsia="宋体" w:cs="宋体"/>
          <w:color w:val="auto"/>
          <w:sz w:val="32"/>
          <w:szCs w:val="32"/>
          <w:highlight w:val="none"/>
        </w:rPr>
      </w:pPr>
      <w:bookmarkStart w:id="319" w:name="_Toc39092142"/>
      <w:r>
        <w:rPr>
          <w:rFonts w:hint="eastAsia" w:ascii="宋体" w:hAnsi="宋体" w:eastAsia="宋体" w:cs="宋体"/>
          <w:color w:val="auto"/>
          <w:sz w:val="32"/>
          <w:szCs w:val="32"/>
          <w:highlight w:val="none"/>
        </w:rPr>
        <w:t>第六章  磋商程序和方法</w:t>
      </w:r>
      <w:bookmarkEnd w:id="319"/>
    </w:p>
    <w:p w14:paraId="53699F8E">
      <w:pPr>
        <w:pStyle w:val="3"/>
        <w:spacing w:before="0" w:after="0" w:line="360" w:lineRule="auto"/>
        <w:jc w:val="center"/>
        <w:rPr>
          <w:rFonts w:ascii="宋体" w:hAnsi="宋体" w:eastAsia="宋体" w:cs="宋体"/>
          <w:color w:val="auto"/>
          <w:sz w:val="28"/>
          <w:szCs w:val="28"/>
          <w:highlight w:val="none"/>
        </w:rPr>
      </w:pPr>
      <w:bookmarkStart w:id="320" w:name="_Toc37797043"/>
      <w:bookmarkStart w:id="321" w:name="_Toc191374457"/>
      <w:bookmarkStart w:id="322" w:name="_Toc7284545"/>
      <w:bookmarkStart w:id="323" w:name="_Toc86124093"/>
      <w:bookmarkStart w:id="324" w:name="_Toc7252791"/>
      <w:bookmarkStart w:id="325" w:name="_Toc39092143"/>
      <w:r>
        <w:rPr>
          <w:rFonts w:hint="eastAsia" w:ascii="宋体" w:hAnsi="宋体" w:eastAsia="宋体" w:cs="宋体"/>
          <w:color w:val="auto"/>
          <w:sz w:val="28"/>
          <w:szCs w:val="28"/>
          <w:highlight w:val="none"/>
          <w:lang w:val="zh-CN"/>
        </w:rPr>
        <w:t>磋商程序和方法前附表</w:t>
      </w:r>
      <w:bookmarkEnd w:id="320"/>
      <w:bookmarkEnd w:id="321"/>
      <w:bookmarkEnd w:id="322"/>
      <w:bookmarkEnd w:id="323"/>
      <w:bookmarkEnd w:id="324"/>
      <w:bookmarkEnd w:id="325"/>
    </w:p>
    <w:p w14:paraId="139F8B33">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一、资格审查表</w:t>
      </w:r>
    </w:p>
    <w:tbl>
      <w:tblPr>
        <w:tblStyle w:val="31"/>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9"/>
        <w:gridCol w:w="6278"/>
        <w:gridCol w:w="2348"/>
      </w:tblGrid>
      <w:tr w14:paraId="6674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blHeader/>
          <w:jc w:val="center"/>
        </w:trPr>
        <w:tc>
          <w:tcPr>
            <w:tcW w:w="10385" w:type="dxa"/>
            <w:gridSpan w:val="3"/>
            <w:noWrap/>
            <w:vAlign w:val="center"/>
          </w:tcPr>
          <w:p w14:paraId="7AD7ADFF">
            <w:pPr>
              <w:spacing w:line="38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磋商申请人资格审查内容及相关因素</w:t>
            </w:r>
          </w:p>
        </w:tc>
      </w:tr>
      <w:tr w14:paraId="04B4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blHeader/>
          <w:jc w:val="center"/>
        </w:trPr>
        <w:tc>
          <w:tcPr>
            <w:tcW w:w="1759" w:type="dxa"/>
            <w:noWrap/>
            <w:vAlign w:val="center"/>
          </w:tcPr>
          <w:p w14:paraId="09811EBE">
            <w:pPr>
              <w:spacing w:line="38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评 审 内容</w:t>
            </w:r>
          </w:p>
        </w:tc>
        <w:tc>
          <w:tcPr>
            <w:tcW w:w="8626" w:type="dxa"/>
            <w:gridSpan w:val="2"/>
            <w:noWrap/>
            <w:vAlign w:val="center"/>
          </w:tcPr>
          <w:p w14:paraId="70EA4964">
            <w:pPr>
              <w:spacing w:line="38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r>
      <w:tr w14:paraId="2F8B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759" w:type="dxa"/>
            <w:vMerge w:val="restart"/>
            <w:noWrap/>
            <w:vAlign w:val="center"/>
          </w:tcPr>
          <w:p w14:paraId="2794D8AE">
            <w:pPr>
              <w:widowControl/>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磋商申请人应具有独立承担民事责任的能力</w:t>
            </w:r>
          </w:p>
        </w:tc>
        <w:tc>
          <w:tcPr>
            <w:tcW w:w="6278" w:type="dxa"/>
            <w:noWrap/>
            <w:vAlign w:val="center"/>
          </w:tcPr>
          <w:p w14:paraId="4D18B85B">
            <w:pPr>
              <w:spacing w:line="380" w:lineRule="exact"/>
              <w:rPr>
                <w:rFonts w:ascii="宋体" w:hAnsi="宋体" w:eastAsia="宋体" w:cs="宋体"/>
                <w:color w:val="auto"/>
                <w:szCs w:val="21"/>
                <w:highlight w:val="none"/>
              </w:rPr>
            </w:pPr>
            <w:r>
              <w:rPr>
                <w:rFonts w:hint="eastAsia" w:ascii="宋体" w:hAnsi="宋体" w:eastAsia="宋体" w:cs="宋体"/>
                <w:b/>
                <w:color w:val="auto"/>
                <w:szCs w:val="21"/>
                <w:highlight w:val="none"/>
              </w:rPr>
              <w:t>有效营业执照：</w:t>
            </w:r>
            <w:r>
              <w:rPr>
                <w:rFonts w:hint="eastAsia" w:ascii="宋体" w:hAnsi="宋体" w:eastAsia="宋体" w:cs="宋体"/>
                <w:b w:val="0"/>
                <w:bCs/>
                <w:color w:val="auto"/>
                <w:szCs w:val="21"/>
                <w:highlight w:val="none"/>
              </w:rPr>
              <w:t>磋商申请人须具有合法有效的《营业执照》或统一社会信用代码证或其他组织证件或自然人身份证件；保险机构分支机构参与本项目的还需须提供自保险机构总部（总公司）至磋商申请人的各级营业执照等有效证件材料。</w:t>
            </w:r>
          </w:p>
        </w:tc>
        <w:tc>
          <w:tcPr>
            <w:tcW w:w="2348" w:type="dxa"/>
            <w:noWrap/>
            <w:vAlign w:val="center"/>
          </w:tcPr>
          <w:p w14:paraId="48B36FF6">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175DA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759" w:type="dxa"/>
            <w:vMerge w:val="continue"/>
            <w:noWrap/>
            <w:vAlign w:val="center"/>
          </w:tcPr>
          <w:p w14:paraId="74C020E7">
            <w:pPr>
              <w:rPr>
                <w:rFonts w:ascii="宋体" w:hAnsi="宋体" w:eastAsia="宋体" w:cs="宋体"/>
                <w:color w:val="auto"/>
                <w:highlight w:val="none"/>
              </w:rPr>
            </w:pPr>
          </w:p>
        </w:tc>
        <w:tc>
          <w:tcPr>
            <w:tcW w:w="6278" w:type="dxa"/>
            <w:noWrap/>
            <w:vAlign w:val="center"/>
          </w:tcPr>
          <w:p w14:paraId="4A1E9998">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法定代表人（负责人）及其身份证明。</w:t>
            </w:r>
          </w:p>
        </w:tc>
        <w:tc>
          <w:tcPr>
            <w:tcW w:w="2348" w:type="dxa"/>
            <w:noWrap/>
            <w:vAlign w:val="center"/>
          </w:tcPr>
          <w:p w14:paraId="225D6E1E">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审查法定代表人（负责人）是否与提供的营业执照载明事项保持一致及身份证有效期限</w:t>
            </w:r>
          </w:p>
        </w:tc>
      </w:tr>
      <w:tr w14:paraId="7164D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759" w:type="dxa"/>
            <w:vMerge w:val="continue"/>
            <w:noWrap/>
            <w:vAlign w:val="center"/>
          </w:tcPr>
          <w:p w14:paraId="70CD5A9B">
            <w:pPr>
              <w:rPr>
                <w:rFonts w:ascii="宋体" w:hAnsi="宋体" w:eastAsia="宋体" w:cs="宋体"/>
                <w:color w:val="auto"/>
                <w:highlight w:val="none"/>
              </w:rPr>
            </w:pPr>
          </w:p>
        </w:tc>
        <w:tc>
          <w:tcPr>
            <w:tcW w:w="6278" w:type="dxa"/>
            <w:noWrap/>
            <w:vAlign w:val="center"/>
          </w:tcPr>
          <w:p w14:paraId="21AD458F">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逐级授权：磋商申请人必须是经</w:t>
            </w:r>
            <w:r>
              <w:rPr>
                <w:rFonts w:hint="eastAsia" w:ascii="宋体" w:hAnsi="宋体" w:eastAsia="宋体" w:cs="宋体"/>
                <w:color w:val="auto"/>
                <w:szCs w:val="21"/>
                <w:highlight w:val="none"/>
                <w:lang w:eastAsia="zh-CN"/>
              </w:rPr>
              <w:t>国家金融监督管理总局</w:t>
            </w:r>
            <w:r>
              <w:rPr>
                <w:rFonts w:hint="eastAsia" w:ascii="宋体" w:hAnsi="宋体" w:eastAsia="宋体" w:cs="宋体"/>
                <w:color w:val="auto"/>
                <w:szCs w:val="21"/>
                <w:highlight w:val="none"/>
              </w:rPr>
              <w:t>（原中国银行保险监督管理委员会）批准开展保险业务且具有独立承担民事责任能力的主体或授权在项目所在地的保险分支机构或授权的分公司或支公司（提供逐级授权书）。</w:t>
            </w:r>
          </w:p>
          <w:p w14:paraId="416AA75B">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保险经纪公司不接受逐级授权。</w:t>
            </w:r>
          </w:p>
        </w:tc>
        <w:tc>
          <w:tcPr>
            <w:tcW w:w="2348" w:type="dxa"/>
            <w:noWrap/>
            <w:vAlign w:val="center"/>
          </w:tcPr>
          <w:p w14:paraId="19D86FC5">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保险机构若为分支机构参与本项目的，</w:t>
            </w:r>
            <w:r>
              <w:rPr>
                <w:rFonts w:hint="eastAsia" w:ascii="宋体" w:hAnsi="宋体" w:eastAsia="宋体" w:cs="宋体"/>
                <w:color w:val="auto"/>
                <w:szCs w:val="21"/>
                <w:highlight w:val="none"/>
              </w:rPr>
              <w:t>审查其是否提供有效的逐级授权书</w:t>
            </w:r>
          </w:p>
        </w:tc>
      </w:tr>
      <w:tr w14:paraId="563B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759" w:type="dxa"/>
            <w:vMerge w:val="continue"/>
            <w:noWrap/>
            <w:vAlign w:val="center"/>
          </w:tcPr>
          <w:p w14:paraId="605405A5">
            <w:pPr>
              <w:rPr>
                <w:rFonts w:ascii="宋体" w:hAnsi="宋体" w:eastAsia="宋体" w:cs="宋体"/>
                <w:color w:val="auto"/>
                <w:highlight w:val="none"/>
              </w:rPr>
            </w:pPr>
          </w:p>
        </w:tc>
        <w:tc>
          <w:tcPr>
            <w:tcW w:w="6278" w:type="dxa"/>
            <w:noWrap/>
            <w:vAlign w:val="center"/>
          </w:tcPr>
          <w:p w14:paraId="59F4BD21">
            <w:pPr>
              <w:spacing w:line="42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联合体：本项目接受，磋商申请人须提供申明文件。</w:t>
            </w:r>
          </w:p>
        </w:tc>
        <w:tc>
          <w:tcPr>
            <w:tcW w:w="2348" w:type="dxa"/>
            <w:noWrap/>
            <w:vAlign w:val="center"/>
          </w:tcPr>
          <w:p w14:paraId="6942D425">
            <w:pPr>
              <w:spacing w:line="38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审查其是否提供，磋商申请人不是联合体的</w:t>
            </w:r>
            <w:r>
              <w:rPr>
                <w:rFonts w:hint="eastAsia" w:ascii="宋体" w:hAnsi="宋体" w:eastAsia="宋体" w:cs="宋体"/>
                <w:bCs/>
                <w:color w:val="auto"/>
                <w:szCs w:val="21"/>
                <w:highlight w:val="none"/>
                <w:lang w:val="en-US" w:eastAsia="zh-CN"/>
              </w:rPr>
              <w:t>无</w:t>
            </w:r>
            <w:r>
              <w:rPr>
                <w:rFonts w:hint="eastAsia" w:ascii="宋体" w:hAnsi="宋体" w:eastAsia="宋体" w:cs="宋体"/>
                <w:bCs/>
                <w:color w:val="auto"/>
                <w:szCs w:val="21"/>
                <w:highlight w:val="none"/>
              </w:rPr>
              <w:t>须提供联合体协议书。</w:t>
            </w:r>
          </w:p>
        </w:tc>
      </w:tr>
      <w:tr w14:paraId="38A7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759" w:type="dxa"/>
            <w:vMerge w:val="restart"/>
            <w:noWrap/>
            <w:vAlign w:val="center"/>
          </w:tcPr>
          <w:p w14:paraId="5A8DCF61">
            <w:pPr>
              <w:spacing w:line="380" w:lineRule="exac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具有良好的商业信誉和健全的财务会计制度</w:t>
            </w:r>
          </w:p>
        </w:tc>
        <w:tc>
          <w:tcPr>
            <w:tcW w:w="6278" w:type="dxa"/>
            <w:noWrap/>
            <w:vAlign w:val="center"/>
          </w:tcPr>
          <w:p w14:paraId="536433BD">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提供具有良好的商业信誉的声明函；</w:t>
            </w:r>
          </w:p>
        </w:tc>
        <w:tc>
          <w:tcPr>
            <w:tcW w:w="2348" w:type="dxa"/>
            <w:noWrap/>
            <w:vAlign w:val="center"/>
          </w:tcPr>
          <w:p w14:paraId="6E85773E">
            <w:pPr>
              <w:spacing w:line="380" w:lineRule="exact"/>
              <w:rPr>
                <w:rFonts w:ascii="宋体" w:hAnsi="宋体" w:eastAsia="宋体" w:cs="宋体"/>
                <w:b/>
                <w:bCs/>
                <w:color w:val="auto"/>
                <w:szCs w:val="21"/>
                <w:highlight w:val="none"/>
              </w:rPr>
            </w:pPr>
            <w:r>
              <w:rPr>
                <w:rFonts w:hint="eastAsia" w:ascii="宋体" w:hAnsi="宋体" w:eastAsia="宋体" w:cs="宋体"/>
                <w:color w:val="auto"/>
                <w:szCs w:val="21"/>
                <w:highlight w:val="none"/>
              </w:rPr>
              <w:t>审查其是否提供，若存在不良记录的视为不合格。</w:t>
            </w:r>
          </w:p>
        </w:tc>
      </w:tr>
      <w:tr w14:paraId="349A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759" w:type="dxa"/>
            <w:vMerge w:val="continue"/>
            <w:noWrap/>
            <w:vAlign w:val="center"/>
          </w:tcPr>
          <w:p w14:paraId="25DB6ACC">
            <w:pPr>
              <w:rPr>
                <w:rFonts w:ascii="宋体" w:hAnsi="宋体" w:eastAsia="宋体" w:cs="宋体"/>
                <w:color w:val="auto"/>
                <w:highlight w:val="none"/>
              </w:rPr>
            </w:pPr>
          </w:p>
        </w:tc>
        <w:tc>
          <w:tcPr>
            <w:tcW w:w="6278" w:type="dxa"/>
            <w:noWrap/>
            <w:vAlign w:val="center"/>
          </w:tcPr>
          <w:p w14:paraId="6BCD4D5F">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提供磋商申请人2022年度或2023年度（提供最新年度的）经审计的财务报告；磋商申请人（含新成立的单位）无法提供2022年度或2023年度（提供最新年度的）经审计的财务报告的，提供银行出具的资信证明或担保机构出具的投标担保函等能证明具有健全的财务会计制度的证明材料。</w:t>
            </w:r>
          </w:p>
        </w:tc>
        <w:tc>
          <w:tcPr>
            <w:tcW w:w="2348" w:type="dxa"/>
            <w:noWrap/>
            <w:vAlign w:val="center"/>
          </w:tcPr>
          <w:p w14:paraId="28C6F30C">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5BC6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759" w:type="dxa"/>
            <w:noWrap/>
            <w:vAlign w:val="center"/>
          </w:tcPr>
          <w:p w14:paraId="214BCBCB">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w:t>
            </w:r>
          </w:p>
        </w:tc>
        <w:tc>
          <w:tcPr>
            <w:tcW w:w="6278" w:type="dxa"/>
            <w:noWrap/>
            <w:vAlign w:val="center"/>
          </w:tcPr>
          <w:p w14:paraId="7CD5CB6F">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提供磋商申请人能证明其具备履行合同所必需的设备和专业技术能力的书面声明承诺函或证明材料。</w:t>
            </w:r>
          </w:p>
        </w:tc>
        <w:tc>
          <w:tcPr>
            <w:tcW w:w="2348" w:type="dxa"/>
            <w:noWrap/>
            <w:vAlign w:val="center"/>
          </w:tcPr>
          <w:p w14:paraId="3E881720">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14DE1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759" w:type="dxa"/>
            <w:noWrap/>
            <w:vAlign w:val="center"/>
          </w:tcPr>
          <w:p w14:paraId="39954E36">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有依法缴纳税收和社会保障资金的良好记录</w:t>
            </w:r>
          </w:p>
        </w:tc>
        <w:tc>
          <w:tcPr>
            <w:tcW w:w="6278" w:type="dxa"/>
            <w:noWrap/>
            <w:vAlign w:val="center"/>
          </w:tcPr>
          <w:p w14:paraId="44146593">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提供磋商申请人2023年</w:t>
            </w:r>
            <w:r>
              <w:rPr>
                <w:rFonts w:hint="eastAsia" w:ascii="宋体" w:hAnsi="宋体" w:eastAsia="宋体" w:cs="宋体"/>
                <w:color w:val="auto"/>
                <w:szCs w:val="21"/>
                <w:highlight w:val="none"/>
                <w:lang w:val="en-US" w:eastAsia="zh-CN"/>
              </w:rPr>
              <w:t>08</w:t>
            </w:r>
            <w:r>
              <w:rPr>
                <w:rFonts w:hint="eastAsia" w:ascii="宋体" w:hAnsi="宋体" w:eastAsia="宋体" w:cs="宋体"/>
                <w:color w:val="auto"/>
                <w:szCs w:val="21"/>
                <w:highlight w:val="none"/>
              </w:rPr>
              <w:t>月至今任意1个月份的依法缴纳税收凭证及社会保险证明等材料。</w:t>
            </w:r>
          </w:p>
        </w:tc>
        <w:tc>
          <w:tcPr>
            <w:tcW w:w="2348" w:type="dxa"/>
            <w:noWrap/>
            <w:vAlign w:val="center"/>
          </w:tcPr>
          <w:p w14:paraId="07CE0E00">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73B1F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759" w:type="dxa"/>
            <w:noWrap/>
            <w:vAlign w:val="center"/>
          </w:tcPr>
          <w:p w14:paraId="2B99C4F7">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无重大违法记录声明</w:t>
            </w:r>
          </w:p>
        </w:tc>
        <w:tc>
          <w:tcPr>
            <w:tcW w:w="6278" w:type="dxa"/>
            <w:noWrap/>
            <w:vAlign w:val="center"/>
          </w:tcPr>
          <w:p w14:paraId="499A76DE">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申请人必须提供“参加政府采购活动近3年内在经营活动中没有重大违法记录的书面声明”（重大违法记录是指：因违法经营受到刑事处罚或者责令停产停业、吊销许可证或者执照、较大数额罚款等行政处罚）。</w:t>
            </w:r>
          </w:p>
        </w:tc>
        <w:tc>
          <w:tcPr>
            <w:tcW w:w="2348" w:type="dxa"/>
            <w:noWrap/>
            <w:vAlign w:val="center"/>
          </w:tcPr>
          <w:p w14:paraId="00DC1389">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2CC5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1759" w:type="dxa"/>
            <w:noWrap/>
            <w:vAlign w:val="center"/>
          </w:tcPr>
          <w:p w14:paraId="4D6D2414">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磋商申请人资格要求</w:t>
            </w:r>
          </w:p>
        </w:tc>
        <w:tc>
          <w:tcPr>
            <w:tcW w:w="6278" w:type="dxa"/>
            <w:noWrap/>
            <w:vAlign w:val="center"/>
          </w:tcPr>
          <w:p w14:paraId="1B0D383D">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1.磋商申请人须具备行政主管部门颁发的有效期内的会计师事务所执业证书，请提供在有效期内的资质证书图像清晰完整扫描件并加盖公章确认；</w:t>
            </w:r>
          </w:p>
          <w:p w14:paraId="328308DD">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2.磋商申请人拟派往本项目的项目团队须配备一名工程审计项目负责人和一名财务审计负责人，工程审计项目负责人必须具有</w:t>
            </w:r>
            <w:r>
              <w:rPr>
                <w:rFonts w:hint="eastAsia" w:ascii="宋体" w:hAnsi="宋体" w:eastAsia="宋体" w:cs="宋体"/>
                <w:color w:val="auto"/>
                <w:szCs w:val="21"/>
                <w:highlight w:val="none"/>
                <w:lang w:eastAsia="zh-CN"/>
              </w:rPr>
              <w:t>一级造价工程师注册资格证书</w:t>
            </w:r>
            <w:r>
              <w:rPr>
                <w:rFonts w:hint="eastAsia" w:ascii="宋体" w:hAnsi="宋体" w:eastAsia="宋体" w:cs="宋体"/>
                <w:color w:val="auto"/>
                <w:szCs w:val="21"/>
                <w:highlight w:val="none"/>
              </w:rPr>
              <w:t>，财务审计负责人必须具有注册会计师职业资格证书。请提供清晰有效的两位项目负责人职业资格证书扫描件并加盖公章确认。</w:t>
            </w:r>
          </w:p>
        </w:tc>
        <w:tc>
          <w:tcPr>
            <w:tcW w:w="2348" w:type="dxa"/>
            <w:noWrap/>
            <w:vAlign w:val="center"/>
          </w:tcPr>
          <w:p w14:paraId="572EDFC3">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2B58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jc w:val="center"/>
        </w:trPr>
        <w:tc>
          <w:tcPr>
            <w:tcW w:w="10385" w:type="dxa"/>
            <w:gridSpan w:val="3"/>
            <w:noWrap/>
            <w:vAlign w:val="center"/>
          </w:tcPr>
          <w:p w14:paraId="58DAB1AB">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特别提示：1.本表中所列内容均提供彩色扫描件或加盖磋商申请人行政章的复印件；</w:t>
            </w:r>
          </w:p>
          <w:p w14:paraId="66410DA8">
            <w:pPr>
              <w:spacing w:line="38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2.磋商申请须按本表要求提供能充分证明其有资格投标的证明材料；</w:t>
            </w:r>
          </w:p>
          <w:p w14:paraId="1CC7D910">
            <w:pPr>
              <w:spacing w:line="38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3.磋商申请人须对所提供的全部证明材料的真实性及合法性负全部责任；</w:t>
            </w:r>
          </w:p>
          <w:p w14:paraId="2996982A">
            <w:pPr>
              <w:spacing w:line="38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4.本表所列内容任何一项缺失或不通过，其参与磋商资格将被取消，只有通过资格审查的磋商申请人提交的磋商响应文件才能进入下一阶段的评审。</w:t>
            </w:r>
          </w:p>
        </w:tc>
      </w:tr>
    </w:tbl>
    <w:p w14:paraId="5C29C211">
      <w:pPr>
        <w:pStyle w:val="7"/>
        <w:ind w:left="0" w:leftChars="0"/>
        <w:rPr>
          <w:rFonts w:ascii="宋体" w:hAnsi="宋体" w:eastAsia="宋体" w:cs="宋体"/>
          <w:color w:val="auto"/>
          <w:highlight w:val="none"/>
        </w:rPr>
      </w:pPr>
    </w:p>
    <w:p w14:paraId="4EF9F655">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二、响应性审查表</w:t>
      </w:r>
    </w:p>
    <w:p w14:paraId="11D14688">
      <w:pPr>
        <w:pStyle w:val="7"/>
        <w:ind w:left="2940"/>
        <w:rPr>
          <w:rFonts w:ascii="宋体" w:hAnsi="宋体" w:eastAsia="宋体" w:cs="宋体"/>
          <w:color w:val="auto"/>
          <w:highlight w:val="none"/>
        </w:rPr>
      </w:pPr>
    </w:p>
    <w:tbl>
      <w:tblPr>
        <w:tblStyle w:val="31"/>
        <w:tblW w:w="10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095"/>
        <w:gridCol w:w="1876"/>
        <w:gridCol w:w="6662"/>
      </w:tblGrid>
      <w:tr w14:paraId="4C25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blHeader/>
          <w:jc w:val="center"/>
        </w:trPr>
        <w:tc>
          <w:tcPr>
            <w:tcW w:w="2060" w:type="dxa"/>
            <w:gridSpan w:val="2"/>
            <w:noWrap/>
            <w:vAlign w:val="center"/>
          </w:tcPr>
          <w:p w14:paraId="32A5B32F">
            <w:pPr>
              <w:spacing w:line="400" w:lineRule="exact"/>
              <w:jc w:val="center"/>
              <w:rPr>
                <w:rFonts w:ascii="宋体" w:hAnsi="宋体" w:eastAsia="宋体" w:cs="宋体"/>
                <w:b/>
                <w:bCs/>
                <w:color w:val="auto"/>
                <w:highlight w:val="none"/>
              </w:rPr>
            </w:pPr>
            <w:r>
              <w:rPr>
                <w:rFonts w:hint="eastAsia" w:ascii="宋体" w:hAnsi="宋体" w:eastAsia="宋体" w:cs="宋体"/>
                <w:b/>
                <w:bCs/>
                <w:color w:val="auto"/>
                <w:highlight w:val="none"/>
              </w:rPr>
              <w:t>条款号</w:t>
            </w:r>
          </w:p>
        </w:tc>
        <w:tc>
          <w:tcPr>
            <w:tcW w:w="1876" w:type="dxa"/>
            <w:noWrap/>
            <w:vAlign w:val="center"/>
          </w:tcPr>
          <w:p w14:paraId="0CC7189C">
            <w:pPr>
              <w:spacing w:line="400" w:lineRule="exact"/>
              <w:jc w:val="center"/>
              <w:rPr>
                <w:rFonts w:ascii="宋体" w:hAnsi="宋体" w:eastAsia="宋体" w:cs="宋体"/>
                <w:b/>
                <w:bCs/>
                <w:color w:val="auto"/>
                <w:highlight w:val="none"/>
              </w:rPr>
            </w:pPr>
            <w:r>
              <w:rPr>
                <w:rFonts w:hint="eastAsia" w:ascii="宋体" w:hAnsi="宋体" w:eastAsia="宋体" w:cs="宋体"/>
                <w:b/>
                <w:bCs/>
                <w:color w:val="auto"/>
                <w:highlight w:val="none"/>
              </w:rPr>
              <w:t>审 查 内 容</w:t>
            </w:r>
          </w:p>
        </w:tc>
        <w:tc>
          <w:tcPr>
            <w:tcW w:w="6662" w:type="dxa"/>
            <w:noWrap/>
            <w:vAlign w:val="center"/>
          </w:tcPr>
          <w:p w14:paraId="5663F7B4">
            <w:pPr>
              <w:spacing w:line="400" w:lineRule="exact"/>
              <w:jc w:val="center"/>
              <w:rPr>
                <w:rFonts w:ascii="宋体" w:hAnsi="宋体" w:eastAsia="宋体" w:cs="宋体"/>
                <w:b/>
                <w:bCs/>
                <w:color w:val="auto"/>
                <w:highlight w:val="none"/>
              </w:rPr>
            </w:pPr>
            <w:r>
              <w:rPr>
                <w:rFonts w:hint="eastAsia" w:ascii="宋体" w:hAnsi="宋体" w:eastAsia="宋体" w:cs="宋体"/>
                <w:b/>
                <w:bCs/>
                <w:color w:val="auto"/>
                <w:highlight w:val="none"/>
              </w:rPr>
              <w:t>审 查 标 准</w:t>
            </w:r>
          </w:p>
        </w:tc>
      </w:tr>
      <w:tr w14:paraId="6396A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965" w:type="dxa"/>
            <w:vMerge w:val="restart"/>
            <w:noWrap/>
            <w:vAlign w:val="center"/>
          </w:tcPr>
          <w:p w14:paraId="156E8A21">
            <w:pPr>
              <w:spacing w:line="400" w:lineRule="exact"/>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1095" w:type="dxa"/>
            <w:vMerge w:val="restart"/>
            <w:noWrap/>
            <w:vAlign w:val="center"/>
          </w:tcPr>
          <w:p w14:paraId="5885A5CD">
            <w:pPr>
              <w:spacing w:line="400" w:lineRule="exact"/>
              <w:jc w:val="center"/>
              <w:rPr>
                <w:rFonts w:ascii="宋体" w:hAnsi="宋体" w:eastAsia="宋体" w:cs="宋体"/>
                <w:color w:val="auto"/>
                <w:highlight w:val="none"/>
              </w:rPr>
            </w:pPr>
            <w:r>
              <w:rPr>
                <w:rFonts w:hint="eastAsia" w:ascii="宋体" w:hAnsi="宋体" w:eastAsia="宋体" w:cs="宋体"/>
                <w:color w:val="auto"/>
                <w:highlight w:val="none"/>
              </w:rPr>
              <w:t>响应文件的响应性评审</w:t>
            </w:r>
          </w:p>
        </w:tc>
        <w:tc>
          <w:tcPr>
            <w:tcW w:w="1876" w:type="dxa"/>
            <w:noWrap/>
            <w:vAlign w:val="center"/>
          </w:tcPr>
          <w:p w14:paraId="7F5E2D1F">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保证金</w:t>
            </w:r>
          </w:p>
        </w:tc>
        <w:tc>
          <w:tcPr>
            <w:tcW w:w="6662" w:type="dxa"/>
            <w:noWrap/>
            <w:vAlign w:val="center"/>
          </w:tcPr>
          <w:p w14:paraId="378CD420">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必须按竞争性磋商文件第二章“磋商申请人须知”规定提交磋商保证金；保证金有效期与竞争性磋商文件有效期保持一致。</w:t>
            </w:r>
          </w:p>
        </w:tc>
      </w:tr>
      <w:tr w14:paraId="54598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65" w:type="dxa"/>
            <w:vMerge w:val="continue"/>
            <w:noWrap/>
            <w:vAlign w:val="center"/>
          </w:tcPr>
          <w:p w14:paraId="1FC811E9">
            <w:pPr>
              <w:spacing w:line="400" w:lineRule="exact"/>
              <w:jc w:val="center"/>
              <w:rPr>
                <w:rFonts w:ascii="宋体" w:hAnsi="宋体" w:eastAsia="宋体" w:cs="宋体"/>
                <w:color w:val="auto"/>
                <w:highlight w:val="none"/>
              </w:rPr>
            </w:pPr>
          </w:p>
        </w:tc>
        <w:tc>
          <w:tcPr>
            <w:tcW w:w="1095" w:type="dxa"/>
            <w:vMerge w:val="continue"/>
            <w:noWrap/>
            <w:vAlign w:val="center"/>
          </w:tcPr>
          <w:p w14:paraId="67F869FA">
            <w:pPr>
              <w:spacing w:line="400" w:lineRule="exact"/>
              <w:jc w:val="center"/>
              <w:rPr>
                <w:rFonts w:ascii="宋体" w:hAnsi="宋体" w:eastAsia="宋体" w:cs="宋体"/>
                <w:color w:val="auto"/>
                <w:highlight w:val="none"/>
              </w:rPr>
            </w:pPr>
          </w:p>
        </w:tc>
        <w:tc>
          <w:tcPr>
            <w:tcW w:w="1876" w:type="dxa"/>
            <w:noWrap/>
            <w:vAlign w:val="center"/>
          </w:tcPr>
          <w:p w14:paraId="7E07DDBC">
            <w:pPr>
              <w:spacing w:line="420" w:lineRule="exact"/>
              <w:jc w:val="center"/>
              <w:rPr>
                <w:rFonts w:ascii="宋体" w:hAnsi="宋体" w:eastAsia="宋体" w:cs="宋体"/>
                <w:color w:val="auto"/>
                <w:szCs w:val="21"/>
                <w:highlight w:val="none"/>
              </w:rPr>
            </w:pPr>
            <w:r>
              <w:rPr>
                <w:rFonts w:hint="eastAsia" w:ascii="宋体" w:hAnsi="宋体" w:eastAsia="宋体" w:cs="宋体"/>
                <w:bCs/>
                <w:color w:val="auto"/>
                <w:kern w:val="0"/>
                <w:szCs w:val="21"/>
                <w:highlight w:val="none"/>
              </w:rPr>
              <w:t>签字盖章</w:t>
            </w:r>
          </w:p>
        </w:tc>
        <w:tc>
          <w:tcPr>
            <w:tcW w:w="6662" w:type="dxa"/>
            <w:noWrap/>
            <w:vAlign w:val="center"/>
          </w:tcPr>
          <w:p w14:paraId="5B849142">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磋商响应文件完全按照竞争性磋商文件要求进行单位盖章、法定代表人（负责人）或法定代表人（负责人）授权的代理人进行签字或盖章的，竞争性磋商文件未作要求的，不作为评审内容。</w:t>
            </w:r>
          </w:p>
        </w:tc>
      </w:tr>
      <w:tr w14:paraId="40C1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65" w:type="dxa"/>
            <w:vMerge w:val="continue"/>
            <w:noWrap/>
            <w:vAlign w:val="center"/>
          </w:tcPr>
          <w:p w14:paraId="6449B27C">
            <w:pPr>
              <w:spacing w:line="400" w:lineRule="exact"/>
              <w:jc w:val="center"/>
              <w:rPr>
                <w:rFonts w:ascii="宋体" w:hAnsi="宋体" w:eastAsia="宋体" w:cs="宋体"/>
                <w:color w:val="auto"/>
                <w:highlight w:val="none"/>
              </w:rPr>
            </w:pPr>
          </w:p>
        </w:tc>
        <w:tc>
          <w:tcPr>
            <w:tcW w:w="1095" w:type="dxa"/>
            <w:vMerge w:val="continue"/>
            <w:noWrap/>
            <w:vAlign w:val="center"/>
          </w:tcPr>
          <w:p w14:paraId="4E2EBD45">
            <w:pPr>
              <w:spacing w:line="400" w:lineRule="exact"/>
              <w:jc w:val="center"/>
              <w:rPr>
                <w:rFonts w:ascii="宋体" w:hAnsi="宋体" w:eastAsia="宋体" w:cs="宋体"/>
                <w:color w:val="auto"/>
                <w:highlight w:val="none"/>
              </w:rPr>
            </w:pPr>
          </w:p>
        </w:tc>
        <w:tc>
          <w:tcPr>
            <w:tcW w:w="1876" w:type="dxa"/>
            <w:noWrap/>
            <w:vAlign w:val="center"/>
          </w:tcPr>
          <w:p w14:paraId="65FA74F9">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响应文件编制</w:t>
            </w:r>
          </w:p>
        </w:tc>
        <w:tc>
          <w:tcPr>
            <w:tcW w:w="6662" w:type="dxa"/>
            <w:noWrap/>
            <w:vAlign w:val="center"/>
          </w:tcPr>
          <w:p w14:paraId="34BEE614">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符合磋商文件格式及资料提供的要求</w:t>
            </w:r>
          </w:p>
        </w:tc>
      </w:tr>
      <w:tr w14:paraId="2C56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65" w:type="dxa"/>
            <w:vMerge w:val="continue"/>
            <w:noWrap/>
            <w:vAlign w:val="center"/>
          </w:tcPr>
          <w:p w14:paraId="507E3C8C">
            <w:pPr>
              <w:spacing w:line="400" w:lineRule="exact"/>
              <w:jc w:val="center"/>
              <w:rPr>
                <w:rFonts w:ascii="宋体" w:hAnsi="宋体" w:eastAsia="宋体" w:cs="宋体"/>
                <w:color w:val="auto"/>
                <w:highlight w:val="none"/>
              </w:rPr>
            </w:pPr>
          </w:p>
        </w:tc>
        <w:tc>
          <w:tcPr>
            <w:tcW w:w="1095" w:type="dxa"/>
            <w:vMerge w:val="continue"/>
            <w:noWrap/>
            <w:vAlign w:val="center"/>
          </w:tcPr>
          <w:p w14:paraId="019C5036">
            <w:pPr>
              <w:spacing w:line="400" w:lineRule="exact"/>
              <w:jc w:val="center"/>
              <w:rPr>
                <w:rFonts w:ascii="宋体" w:hAnsi="宋体" w:eastAsia="宋体" w:cs="宋体"/>
                <w:color w:val="auto"/>
                <w:highlight w:val="none"/>
              </w:rPr>
            </w:pPr>
          </w:p>
        </w:tc>
        <w:tc>
          <w:tcPr>
            <w:tcW w:w="1876" w:type="dxa"/>
            <w:noWrap/>
            <w:vAlign w:val="center"/>
          </w:tcPr>
          <w:p w14:paraId="6A049D71">
            <w:pPr>
              <w:spacing w:line="440" w:lineRule="exact"/>
              <w:jc w:val="center"/>
              <w:rPr>
                <w:rFonts w:ascii="宋体" w:hAnsi="宋体" w:eastAsia="宋体" w:cs="宋体"/>
                <w:color w:val="auto"/>
                <w:szCs w:val="21"/>
                <w:highlight w:val="none"/>
              </w:rPr>
            </w:pPr>
            <w:r>
              <w:rPr>
                <w:rFonts w:hint="eastAsia" w:ascii="宋体" w:hAnsi="宋体" w:eastAsia="宋体" w:cs="宋体"/>
                <w:color w:val="auto"/>
                <w:highlight w:val="none"/>
              </w:rPr>
              <w:t>磋商报价</w:t>
            </w:r>
          </w:p>
        </w:tc>
        <w:tc>
          <w:tcPr>
            <w:tcW w:w="6662" w:type="dxa"/>
            <w:noWrap/>
            <w:vAlign w:val="center"/>
          </w:tcPr>
          <w:p w14:paraId="13DC95FD">
            <w:pPr>
              <w:spacing w:line="440" w:lineRule="exact"/>
              <w:rPr>
                <w:rFonts w:ascii="宋体" w:hAnsi="宋体" w:eastAsia="宋体" w:cs="宋体"/>
                <w:color w:val="auto"/>
                <w:szCs w:val="21"/>
                <w:highlight w:val="none"/>
              </w:rPr>
            </w:pPr>
            <w:r>
              <w:rPr>
                <w:rFonts w:hint="eastAsia" w:ascii="宋体" w:hAnsi="宋体" w:eastAsia="宋体" w:cs="宋体"/>
                <w:color w:val="auto"/>
                <w:highlight w:val="none"/>
              </w:rPr>
              <w:t>磋商申请</w:t>
            </w:r>
            <w:r>
              <w:rPr>
                <w:rFonts w:ascii="宋体" w:hAnsi="宋体" w:eastAsia="宋体" w:cs="宋体"/>
                <w:color w:val="auto"/>
                <w:highlight w:val="none"/>
              </w:rPr>
              <w:t>人出现不按要求填报</w:t>
            </w:r>
            <w:r>
              <w:rPr>
                <w:rFonts w:hint="eastAsia" w:ascii="宋体" w:hAnsi="宋体" w:eastAsia="宋体" w:cs="宋体"/>
                <w:color w:val="auto"/>
                <w:highlight w:val="none"/>
              </w:rPr>
              <w:t>各项磋商</w:t>
            </w:r>
            <w:r>
              <w:rPr>
                <w:rFonts w:ascii="宋体" w:hAnsi="宋体" w:eastAsia="宋体" w:cs="宋体"/>
                <w:color w:val="auto"/>
                <w:highlight w:val="none"/>
              </w:rPr>
              <w:t>报价的</w:t>
            </w:r>
            <w:r>
              <w:rPr>
                <w:rFonts w:hint="eastAsia" w:ascii="宋体" w:hAnsi="宋体" w:eastAsia="宋体" w:cs="宋体"/>
                <w:color w:val="auto"/>
                <w:highlight w:val="none"/>
              </w:rPr>
              <w:t>，其磋商响应文件将被否决。</w:t>
            </w:r>
          </w:p>
        </w:tc>
      </w:tr>
      <w:tr w14:paraId="01D1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965" w:type="dxa"/>
            <w:vMerge w:val="continue"/>
            <w:noWrap/>
            <w:vAlign w:val="center"/>
          </w:tcPr>
          <w:p w14:paraId="5824B4CF">
            <w:pPr>
              <w:spacing w:line="400" w:lineRule="exact"/>
              <w:jc w:val="center"/>
              <w:rPr>
                <w:rFonts w:ascii="宋体" w:hAnsi="宋体" w:eastAsia="宋体" w:cs="宋体"/>
                <w:color w:val="auto"/>
                <w:highlight w:val="none"/>
              </w:rPr>
            </w:pPr>
          </w:p>
        </w:tc>
        <w:tc>
          <w:tcPr>
            <w:tcW w:w="1095" w:type="dxa"/>
            <w:vMerge w:val="continue"/>
            <w:noWrap/>
            <w:vAlign w:val="center"/>
          </w:tcPr>
          <w:p w14:paraId="4A842617">
            <w:pPr>
              <w:spacing w:line="400" w:lineRule="exact"/>
              <w:jc w:val="center"/>
              <w:rPr>
                <w:rFonts w:ascii="宋体" w:hAnsi="宋体" w:eastAsia="宋体" w:cs="宋体"/>
                <w:color w:val="auto"/>
                <w:highlight w:val="none"/>
              </w:rPr>
            </w:pPr>
          </w:p>
        </w:tc>
        <w:tc>
          <w:tcPr>
            <w:tcW w:w="1876" w:type="dxa"/>
            <w:noWrap/>
            <w:vAlign w:val="center"/>
          </w:tcPr>
          <w:p w14:paraId="3C113395">
            <w:pPr>
              <w:spacing w:line="400" w:lineRule="exact"/>
              <w:jc w:val="center"/>
              <w:rPr>
                <w:rFonts w:ascii="宋体" w:hAnsi="宋体" w:eastAsia="宋体" w:cs="宋体"/>
                <w:color w:val="auto"/>
                <w:highlight w:val="none"/>
              </w:rPr>
            </w:pPr>
            <w:r>
              <w:rPr>
                <w:rFonts w:hint="eastAsia" w:ascii="宋体" w:hAnsi="宋体" w:eastAsia="宋体" w:cs="宋体"/>
                <w:color w:val="auto"/>
                <w:highlight w:val="none"/>
              </w:rPr>
              <w:t>实质性响应</w:t>
            </w:r>
          </w:p>
        </w:tc>
        <w:tc>
          <w:tcPr>
            <w:tcW w:w="6662" w:type="dxa"/>
            <w:noWrap/>
            <w:vAlign w:val="center"/>
          </w:tcPr>
          <w:p w14:paraId="1091EFC7">
            <w:pPr>
              <w:spacing w:line="400" w:lineRule="exact"/>
              <w:rPr>
                <w:rFonts w:ascii="宋体" w:hAnsi="宋体" w:eastAsia="宋体" w:cs="宋体"/>
                <w:color w:val="auto"/>
                <w:highlight w:val="none"/>
              </w:rPr>
            </w:pPr>
            <w:r>
              <w:rPr>
                <w:rFonts w:hint="eastAsia" w:ascii="宋体" w:hAnsi="宋体" w:eastAsia="宋体" w:cs="宋体"/>
                <w:color w:val="auto"/>
                <w:highlight w:val="none"/>
              </w:rPr>
              <w:t>磋商响应文件必须满足本项目实质性要求，实质性要求详见竞争性磋商文件“磋商申请人须知前附表：25.1条（5）款”。</w:t>
            </w:r>
          </w:p>
        </w:tc>
      </w:tr>
      <w:tr w14:paraId="5AE5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65" w:type="dxa"/>
            <w:vMerge w:val="continue"/>
            <w:noWrap/>
            <w:vAlign w:val="center"/>
          </w:tcPr>
          <w:p w14:paraId="1B2E71FB">
            <w:pPr>
              <w:widowControl/>
              <w:spacing w:line="400" w:lineRule="exact"/>
              <w:jc w:val="left"/>
              <w:rPr>
                <w:rFonts w:ascii="宋体" w:hAnsi="宋体" w:eastAsia="宋体" w:cs="宋体"/>
                <w:color w:val="auto"/>
                <w:highlight w:val="none"/>
              </w:rPr>
            </w:pPr>
          </w:p>
        </w:tc>
        <w:tc>
          <w:tcPr>
            <w:tcW w:w="1095" w:type="dxa"/>
            <w:vMerge w:val="continue"/>
            <w:noWrap/>
            <w:vAlign w:val="center"/>
          </w:tcPr>
          <w:p w14:paraId="1693B53E">
            <w:pPr>
              <w:widowControl/>
              <w:spacing w:line="400" w:lineRule="exact"/>
              <w:jc w:val="left"/>
              <w:rPr>
                <w:rFonts w:ascii="宋体" w:hAnsi="宋体" w:eastAsia="宋体" w:cs="宋体"/>
                <w:color w:val="auto"/>
                <w:highlight w:val="none"/>
              </w:rPr>
            </w:pPr>
          </w:p>
        </w:tc>
        <w:tc>
          <w:tcPr>
            <w:tcW w:w="1876" w:type="dxa"/>
            <w:noWrap/>
            <w:vAlign w:val="center"/>
          </w:tcPr>
          <w:p w14:paraId="28390C80">
            <w:pPr>
              <w:spacing w:line="400" w:lineRule="exact"/>
              <w:jc w:val="center"/>
              <w:rPr>
                <w:rFonts w:ascii="宋体" w:hAnsi="宋体" w:eastAsia="宋体" w:cs="宋体"/>
                <w:color w:val="auto"/>
                <w:highlight w:val="none"/>
              </w:rPr>
            </w:pPr>
            <w:r>
              <w:rPr>
                <w:rFonts w:hint="eastAsia" w:ascii="宋体" w:hAnsi="宋体" w:eastAsia="宋体" w:cs="宋体"/>
                <w:color w:val="auto"/>
                <w:highlight w:val="none"/>
              </w:rPr>
              <w:t>其他要求</w:t>
            </w:r>
          </w:p>
        </w:tc>
        <w:tc>
          <w:tcPr>
            <w:tcW w:w="6662" w:type="dxa"/>
            <w:noWrap/>
            <w:vAlign w:val="center"/>
          </w:tcPr>
          <w:p w14:paraId="46C698E3">
            <w:pPr>
              <w:spacing w:line="400" w:lineRule="exact"/>
              <w:rPr>
                <w:rFonts w:ascii="宋体" w:hAnsi="宋体" w:eastAsia="宋体" w:cs="宋体"/>
                <w:color w:val="auto"/>
                <w:kern w:val="0"/>
                <w:highlight w:val="none"/>
              </w:rPr>
            </w:pPr>
            <w:r>
              <w:rPr>
                <w:rFonts w:hint="eastAsia" w:ascii="宋体" w:hAnsi="宋体" w:eastAsia="宋体" w:cs="宋体"/>
                <w:color w:val="auto"/>
                <w:kern w:val="0"/>
                <w:highlight w:val="none"/>
              </w:rPr>
              <w:t>1.竞争性磋商响应文件没有采购人不能接受的条件；</w:t>
            </w:r>
          </w:p>
          <w:p w14:paraId="7E6051F2">
            <w:pPr>
              <w:spacing w:line="400" w:lineRule="exact"/>
              <w:rPr>
                <w:rFonts w:ascii="宋体" w:hAnsi="宋体" w:eastAsia="宋体" w:cs="宋体"/>
                <w:color w:val="auto"/>
                <w:highlight w:val="none"/>
              </w:rPr>
            </w:pPr>
            <w:r>
              <w:rPr>
                <w:rFonts w:hint="eastAsia" w:ascii="宋体" w:hAnsi="宋体" w:eastAsia="宋体" w:cs="宋体"/>
                <w:color w:val="auto"/>
                <w:kern w:val="0"/>
                <w:highlight w:val="none"/>
              </w:rPr>
              <w:t>2.不符合法律法规和竞争性磋商文件中规定的其他要求的。</w:t>
            </w:r>
          </w:p>
        </w:tc>
      </w:tr>
    </w:tbl>
    <w:p w14:paraId="30F2EB83">
      <w:pPr>
        <w:keepNext/>
        <w:rPr>
          <w:rFonts w:ascii="宋体" w:hAnsi="宋体" w:eastAsia="宋体" w:cs="宋体"/>
          <w:color w:val="auto"/>
          <w:highlight w:val="none"/>
        </w:rPr>
      </w:pPr>
    </w:p>
    <w:p w14:paraId="1DECD163">
      <w:pPr>
        <w:rPr>
          <w:rFonts w:ascii="宋体" w:hAnsi="宋体" w:eastAsia="宋体" w:cs="宋体"/>
          <w:color w:val="auto"/>
          <w:sz w:val="28"/>
          <w:szCs w:val="28"/>
          <w:highlight w:val="none"/>
          <w:lang w:val="zh-CN"/>
        </w:rPr>
      </w:pPr>
      <w:r>
        <w:rPr>
          <w:rFonts w:hint="eastAsia" w:ascii="宋体" w:hAnsi="宋体" w:eastAsia="宋体" w:cs="宋体"/>
          <w:b/>
          <w:bCs/>
          <w:color w:val="auto"/>
          <w:sz w:val="24"/>
          <w:szCs w:val="24"/>
          <w:highlight w:val="none"/>
        </w:rPr>
        <w:t>三、详细评审表</w:t>
      </w:r>
    </w:p>
    <w:tbl>
      <w:tblPr>
        <w:tblStyle w:val="31"/>
        <w:tblW w:w="10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005"/>
        <w:gridCol w:w="1346"/>
        <w:gridCol w:w="7336"/>
      </w:tblGrid>
      <w:tr w14:paraId="44FF7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709" w:type="dxa"/>
            <w:gridSpan w:val="2"/>
            <w:noWrap/>
            <w:vAlign w:val="center"/>
          </w:tcPr>
          <w:p w14:paraId="16696258">
            <w:pPr>
              <w:spacing w:line="420" w:lineRule="exact"/>
              <w:jc w:val="center"/>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条款号</w:t>
            </w:r>
          </w:p>
        </w:tc>
        <w:tc>
          <w:tcPr>
            <w:tcW w:w="1346" w:type="dxa"/>
            <w:noWrap/>
            <w:vAlign w:val="center"/>
          </w:tcPr>
          <w:p w14:paraId="765A0DCF">
            <w:pPr>
              <w:spacing w:line="420" w:lineRule="exact"/>
              <w:jc w:val="center"/>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审 查 内 容</w:t>
            </w:r>
          </w:p>
        </w:tc>
        <w:tc>
          <w:tcPr>
            <w:tcW w:w="7336" w:type="dxa"/>
            <w:noWrap/>
            <w:vAlign w:val="center"/>
          </w:tcPr>
          <w:p w14:paraId="4B92D56B">
            <w:pPr>
              <w:spacing w:line="420" w:lineRule="exact"/>
              <w:jc w:val="center"/>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审 查 标 准</w:t>
            </w:r>
          </w:p>
        </w:tc>
      </w:tr>
      <w:tr w14:paraId="73FF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1709" w:type="dxa"/>
            <w:gridSpan w:val="2"/>
            <w:noWrap/>
            <w:vAlign w:val="center"/>
          </w:tcPr>
          <w:p w14:paraId="1AA6A401">
            <w:pPr>
              <w:spacing w:line="42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8682" w:type="dxa"/>
            <w:gridSpan w:val="2"/>
            <w:noWrap/>
            <w:vAlign w:val="center"/>
          </w:tcPr>
          <w:p w14:paraId="1B374E3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综合评分法：是指响应文件满足磋商文件全部实质性要求且按评审因素的量化指标评审得分最高的磋商申请人为成交候选磋商申请人的评审方法。</w:t>
            </w:r>
          </w:p>
          <w:p w14:paraId="5EC75F5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本项目评审细则详见下表：</w:t>
            </w:r>
          </w:p>
          <w:p w14:paraId="77365F4E">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评分因素权重： 综合技术实力部分F1：</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0分；</w:t>
            </w:r>
          </w:p>
          <w:p w14:paraId="012DAFD9">
            <w:pPr>
              <w:spacing w:line="42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报价分：本项目的保险金额为固定价格，根据《政府采购货物和服务招标投标管理办法》（财政部令第87号）的规定“执行国家统一定价标准和采用固定价格采购的项目，其价格不列为评审因素”，无报价分。</w:t>
            </w:r>
          </w:p>
        </w:tc>
      </w:tr>
      <w:tr w14:paraId="29CB0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restart"/>
            <w:noWrap/>
            <w:vAlign w:val="center"/>
          </w:tcPr>
          <w:p w14:paraId="72A1FAFE">
            <w:pPr>
              <w:spacing w:line="42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1005" w:type="dxa"/>
            <w:vMerge w:val="restart"/>
            <w:noWrap/>
            <w:vAlign w:val="center"/>
          </w:tcPr>
          <w:p w14:paraId="006B900A">
            <w:pPr>
              <w:spacing w:line="42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综合技术实力部分F1</w:t>
            </w:r>
          </w:p>
          <w:p w14:paraId="0ED2564F">
            <w:pPr>
              <w:spacing w:line="42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c>
          <w:tcPr>
            <w:tcW w:w="8682" w:type="dxa"/>
            <w:gridSpan w:val="2"/>
            <w:noWrap/>
            <w:vAlign w:val="center"/>
          </w:tcPr>
          <w:p w14:paraId="03BD502F">
            <w:pPr>
              <w:pStyle w:val="1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一、商务评审评分标准（满30分）</w:t>
            </w:r>
          </w:p>
        </w:tc>
      </w:tr>
      <w:tr w14:paraId="3D037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1F584311">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5873A6C6">
            <w:pPr>
              <w:spacing w:line="420" w:lineRule="exact"/>
              <w:jc w:val="center"/>
              <w:rPr>
                <w:rFonts w:ascii="宋体" w:hAnsi="宋体" w:eastAsia="宋体" w:cs="宋体"/>
                <w:color w:val="auto"/>
                <w:sz w:val="21"/>
                <w:szCs w:val="21"/>
                <w:highlight w:val="none"/>
              </w:rPr>
            </w:pPr>
          </w:p>
        </w:tc>
        <w:tc>
          <w:tcPr>
            <w:tcW w:w="1346" w:type="dxa"/>
            <w:noWrap/>
            <w:vAlign w:val="center"/>
          </w:tcPr>
          <w:p w14:paraId="0757325B">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项目服务经验（</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tc>
        <w:tc>
          <w:tcPr>
            <w:tcW w:w="7336" w:type="dxa"/>
            <w:noWrap/>
            <w:vAlign w:val="center"/>
          </w:tcPr>
          <w:p w14:paraId="046DE4C2">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2021</w:t>
            </w:r>
            <w:r>
              <w:rPr>
                <w:rFonts w:hint="eastAsia" w:ascii="宋体" w:hAnsi="宋体" w:eastAsia="宋体" w:cs="宋体"/>
                <w:color w:val="000000"/>
                <w:sz w:val="21"/>
                <w:szCs w:val="21"/>
                <w:highlight w:val="none"/>
              </w:rPr>
              <w:t>年1月1日至今：</w:t>
            </w:r>
          </w:p>
          <w:p w14:paraId="1E1DC3AF">
            <w:pPr>
              <w:numPr>
                <w:ilvl w:val="0"/>
                <w:numId w:val="11"/>
              </w:num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磋商申请人具备与本次采购项目内容相当的实施经验：</w:t>
            </w:r>
          </w:p>
          <w:p w14:paraId="5E96B485">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同时提供合同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或协议或证明文件）</w:t>
            </w:r>
            <w:r>
              <w:rPr>
                <w:rFonts w:hint="eastAsia" w:ascii="宋体" w:hAnsi="宋体" w:eastAsia="宋体" w:cs="宋体"/>
                <w:color w:val="000000"/>
                <w:sz w:val="21"/>
                <w:szCs w:val="21"/>
                <w:highlight w:val="none"/>
                <w:lang w:val="en-US" w:eastAsia="zh-CN"/>
              </w:rPr>
              <w:t>和</w:t>
            </w:r>
            <w:r>
              <w:rPr>
                <w:rFonts w:hint="eastAsia" w:ascii="宋体" w:hAnsi="宋体" w:eastAsia="宋体" w:cs="宋体"/>
                <w:color w:val="000000"/>
                <w:sz w:val="21"/>
                <w:szCs w:val="21"/>
                <w:highlight w:val="none"/>
                <w:lang w:eastAsia="zh-CN"/>
              </w:rPr>
              <w:t>业主评价意见</w:t>
            </w:r>
            <w:r>
              <w:rPr>
                <w:rFonts w:hint="eastAsia" w:ascii="宋体" w:hAnsi="宋体" w:eastAsia="宋体" w:cs="宋体"/>
                <w:color w:val="000000"/>
                <w:sz w:val="21"/>
                <w:szCs w:val="21"/>
                <w:highlight w:val="none"/>
              </w:rPr>
              <w:t>的，每提供1项得2.0分，只提供合同（或协议或证明文件）或</w:t>
            </w:r>
            <w:r>
              <w:rPr>
                <w:rFonts w:hint="eastAsia" w:ascii="宋体" w:hAnsi="宋体" w:eastAsia="宋体" w:cs="宋体"/>
                <w:color w:val="000000"/>
                <w:sz w:val="21"/>
                <w:szCs w:val="21"/>
                <w:highlight w:val="none"/>
                <w:lang w:eastAsia="zh-CN"/>
              </w:rPr>
              <w:t>业主评价意见</w:t>
            </w:r>
            <w:r>
              <w:rPr>
                <w:rFonts w:hint="eastAsia" w:ascii="宋体" w:hAnsi="宋体" w:eastAsia="宋体" w:cs="宋体"/>
                <w:color w:val="000000"/>
                <w:sz w:val="21"/>
                <w:szCs w:val="21"/>
                <w:highlight w:val="none"/>
              </w:rPr>
              <w:t>其中</w:t>
            </w:r>
            <w:r>
              <w:rPr>
                <w:rFonts w:hint="eastAsia" w:ascii="宋体" w:hAnsi="宋体" w:eastAsia="宋体" w:cs="宋体"/>
                <w:color w:val="000000"/>
                <w:sz w:val="21"/>
                <w:szCs w:val="21"/>
                <w:highlight w:val="none"/>
                <w:lang w:val="en-US" w:eastAsia="zh-CN"/>
              </w:rPr>
              <w:t>任意</w:t>
            </w:r>
            <w:r>
              <w:rPr>
                <w:rFonts w:hint="eastAsia" w:ascii="宋体" w:hAnsi="宋体" w:eastAsia="宋体" w:cs="宋体"/>
                <w:color w:val="000000"/>
                <w:sz w:val="21"/>
                <w:szCs w:val="21"/>
                <w:highlight w:val="none"/>
              </w:rPr>
              <w:t>一类的，每提供1项得1.0分，本项最高得分</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p w14:paraId="0C404E2F">
            <w:pPr>
              <w:numPr>
                <w:ilvl w:val="0"/>
                <w:numId w:val="11"/>
              </w:num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磋商申请人具备与本次采购项目类似的项目实施经验：</w:t>
            </w:r>
          </w:p>
          <w:p w14:paraId="65D4949C">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同时提供合同（或协议或证明文件）</w:t>
            </w:r>
            <w:r>
              <w:rPr>
                <w:rFonts w:hint="eastAsia" w:ascii="宋体" w:hAnsi="宋体" w:eastAsia="宋体" w:cs="宋体"/>
                <w:color w:val="000000"/>
                <w:sz w:val="21"/>
                <w:szCs w:val="21"/>
                <w:highlight w:val="none"/>
                <w:lang w:val="en-US" w:eastAsia="zh-CN"/>
              </w:rPr>
              <w:t>和</w:t>
            </w:r>
            <w:r>
              <w:rPr>
                <w:rFonts w:hint="eastAsia" w:ascii="宋体" w:hAnsi="宋体" w:eastAsia="宋体" w:cs="宋体"/>
                <w:color w:val="000000"/>
                <w:sz w:val="21"/>
                <w:szCs w:val="21"/>
                <w:highlight w:val="none"/>
                <w:lang w:eastAsia="zh-CN"/>
              </w:rPr>
              <w:t>业主评价意见</w:t>
            </w:r>
            <w:r>
              <w:rPr>
                <w:rFonts w:hint="eastAsia" w:ascii="宋体" w:hAnsi="宋体" w:eastAsia="宋体" w:cs="宋体"/>
                <w:color w:val="000000"/>
                <w:sz w:val="21"/>
                <w:szCs w:val="21"/>
                <w:highlight w:val="none"/>
              </w:rPr>
              <w:t>的，每提供1项得1分，只提供合同（或协议或证明文件）或</w:t>
            </w:r>
            <w:r>
              <w:rPr>
                <w:rFonts w:hint="eastAsia" w:ascii="宋体" w:hAnsi="宋体" w:eastAsia="宋体" w:cs="宋体"/>
                <w:color w:val="000000"/>
                <w:sz w:val="21"/>
                <w:szCs w:val="21"/>
                <w:highlight w:val="none"/>
                <w:lang w:eastAsia="zh-CN"/>
              </w:rPr>
              <w:t>业主评价意见</w:t>
            </w:r>
            <w:r>
              <w:rPr>
                <w:rFonts w:hint="eastAsia" w:ascii="宋体" w:hAnsi="宋体" w:eastAsia="宋体" w:cs="宋体"/>
                <w:color w:val="000000"/>
                <w:sz w:val="21"/>
                <w:szCs w:val="21"/>
                <w:highlight w:val="none"/>
              </w:rPr>
              <w:t>其中</w:t>
            </w:r>
            <w:r>
              <w:rPr>
                <w:rFonts w:hint="eastAsia" w:ascii="宋体" w:hAnsi="宋体" w:eastAsia="宋体" w:cs="宋体"/>
                <w:color w:val="000000"/>
                <w:sz w:val="21"/>
                <w:szCs w:val="21"/>
                <w:highlight w:val="none"/>
                <w:lang w:val="en-US" w:eastAsia="zh-CN"/>
              </w:rPr>
              <w:t>任意</w:t>
            </w:r>
            <w:r>
              <w:rPr>
                <w:rFonts w:hint="eastAsia" w:ascii="宋体" w:hAnsi="宋体" w:eastAsia="宋体" w:cs="宋体"/>
                <w:color w:val="000000"/>
                <w:sz w:val="21"/>
                <w:szCs w:val="21"/>
                <w:highlight w:val="none"/>
              </w:rPr>
              <w:t>一类的，每提供1项得0.5分，本项最高得分6分。</w:t>
            </w:r>
          </w:p>
          <w:p w14:paraId="14D907D6">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w:t>
            </w:r>
          </w:p>
          <w:p w14:paraId="789C97E2">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■与本次采购项目内容相当的实施经验：指与本次采购内容其中一项或全部一致的服务经验；</w:t>
            </w:r>
          </w:p>
          <w:p w14:paraId="68841BF8">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■类似项目实施经验：指具备除上述与本次采购项目相当的项目实施经验外的其它综合防范保障保险项目服务经验；</w:t>
            </w:r>
          </w:p>
          <w:p w14:paraId="365AB255">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■同类和类似项目实施经验得分可累计计分，但总得分不得超过8分，实施经验证明材料不齐全的不得分。</w:t>
            </w:r>
          </w:p>
          <w:p w14:paraId="59CA095D">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■若同一合同下有多个保单的，只能按1个合同计入计分，若磋商申请人提供的服务合同有总合同及分项合同的，只能按其中一种计入计分（按数量多的合同计入计分）。</w:t>
            </w:r>
          </w:p>
          <w:p w14:paraId="71E32B77">
            <w:pPr>
              <w:pStyle w:val="19"/>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■联合本参与磋商的成员中任一方具备的均可参与评分。</w:t>
            </w:r>
          </w:p>
        </w:tc>
      </w:tr>
      <w:tr w14:paraId="687DE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7B5CB55C">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5CAD01C7">
            <w:pPr>
              <w:spacing w:line="420" w:lineRule="exact"/>
              <w:jc w:val="center"/>
              <w:rPr>
                <w:rFonts w:ascii="宋体" w:hAnsi="宋体" w:eastAsia="宋体" w:cs="宋体"/>
                <w:color w:val="auto"/>
                <w:sz w:val="21"/>
                <w:szCs w:val="21"/>
                <w:highlight w:val="none"/>
              </w:rPr>
            </w:pPr>
          </w:p>
        </w:tc>
        <w:tc>
          <w:tcPr>
            <w:tcW w:w="1346" w:type="dxa"/>
            <w:noWrap/>
            <w:vAlign w:val="center"/>
          </w:tcPr>
          <w:p w14:paraId="459FC8C6">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经营评价（3分）</w:t>
            </w:r>
          </w:p>
        </w:tc>
        <w:tc>
          <w:tcPr>
            <w:tcW w:w="7336" w:type="dxa"/>
            <w:noWrap/>
            <w:vAlign w:val="center"/>
          </w:tcPr>
          <w:p w14:paraId="2AD71598">
            <w:pPr>
              <w:spacing w:line="3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根据中国保险行业协会公布的</w:t>
            </w:r>
            <w:r>
              <w:rPr>
                <w:rFonts w:hint="eastAsia" w:ascii="宋体" w:hAnsi="宋体" w:eastAsia="宋体" w:cs="宋体"/>
                <w:bCs/>
                <w:color w:val="000000"/>
                <w:sz w:val="21"/>
                <w:szCs w:val="21"/>
                <w:highlight w:val="none"/>
                <w:lang w:val="en-US" w:eastAsia="zh-CN"/>
              </w:rPr>
              <w:t>2022</w:t>
            </w:r>
            <w:r>
              <w:rPr>
                <w:rFonts w:hint="eastAsia" w:ascii="宋体" w:hAnsi="宋体" w:eastAsia="宋体" w:cs="宋体"/>
                <w:bCs/>
                <w:color w:val="000000"/>
                <w:sz w:val="21"/>
                <w:szCs w:val="21"/>
                <w:highlight w:val="none"/>
              </w:rPr>
              <w:t>年（或最新发布的）保险公司经营评价结果：</w:t>
            </w:r>
          </w:p>
          <w:p w14:paraId="5E29FFAF">
            <w:pPr>
              <w:spacing w:line="3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磋商申请人总公司经营评价结果A类的得3分；经营评价结果B类的得2.5分；经营评价结果C类的得2分；经营评价结果D类的得1.0分；未参与评价的不得分。</w:t>
            </w:r>
          </w:p>
          <w:p w14:paraId="20C2ACAE">
            <w:pPr>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000000"/>
                <w:sz w:val="21"/>
                <w:szCs w:val="21"/>
                <w:highlight w:val="none"/>
              </w:rPr>
              <w:t>注：以中国保险行业协会公布的</w:t>
            </w:r>
            <w:r>
              <w:rPr>
                <w:rFonts w:hint="eastAsia" w:ascii="宋体" w:hAnsi="宋体" w:eastAsia="宋体" w:cs="宋体"/>
                <w:bCs/>
                <w:color w:val="000000"/>
                <w:sz w:val="21"/>
                <w:szCs w:val="21"/>
                <w:highlight w:val="none"/>
                <w:lang w:val="en-US" w:eastAsia="zh-CN"/>
              </w:rPr>
              <w:t>2022</w:t>
            </w:r>
            <w:r>
              <w:rPr>
                <w:rFonts w:hint="eastAsia" w:ascii="宋体" w:hAnsi="宋体" w:eastAsia="宋体" w:cs="宋体"/>
                <w:bCs/>
                <w:color w:val="000000"/>
                <w:sz w:val="21"/>
                <w:szCs w:val="21"/>
                <w:highlight w:val="none"/>
              </w:rPr>
              <w:t>年经营评价结果为评审依据（以最新公布的为准）</w:t>
            </w:r>
          </w:p>
        </w:tc>
      </w:tr>
      <w:tr w14:paraId="47DD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2B787316">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399C1689">
            <w:pPr>
              <w:spacing w:line="420" w:lineRule="exact"/>
              <w:jc w:val="center"/>
              <w:rPr>
                <w:rFonts w:ascii="宋体" w:hAnsi="宋体" w:eastAsia="宋体" w:cs="宋体"/>
                <w:color w:val="auto"/>
                <w:sz w:val="21"/>
                <w:szCs w:val="21"/>
                <w:highlight w:val="none"/>
              </w:rPr>
            </w:pPr>
          </w:p>
        </w:tc>
        <w:tc>
          <w:tcPr>
            <w:tcW w:w="1346" w:type="dxa"/>
            <w:noWrap/>
            <w:vAlign w:val="center"/>
          </w:tcPr>
          <w:p w14:paraId="7040ED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出险专用车辆配备情况（2分）</w:t>
            </w:r>
          </w:p>
        </w:tc>
        <w:tc>
          <w:tcPr>
            <w:tcW w:w="7336" w:type="dxa"/>
            <w:noWrap/>
            <w:vAlign w:val="center"/>
          </w:tcPr>
          <w:p w14:paraId="1E6CF24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针对本项目投标人或其分支机构出险专用车辆配备进行打分：</w:t>
            </w:r>
          </w:p>
          <w:p w14:paraId="2B03227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拟配备的出险专用车辆每配备1辆得0.5分，最高分得2分。</w:t>
            </w:r>
          </w:p>
          <w:p w14:paraId="6E22A2A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注：以提供车辆机动车登记证书和车辆行驶证扫描件以及车辆实物图片扫描件作为评审依据。</w:t>
            </w:r>
          </w:p>
        </w:tc>
      </w:tr>
      <w:tr w14:paraId="3CEA5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13D398E2">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15C2D7D9">
            <w:pPr>
              <w:spacing w:line="420" w:lineRule="exact"/>
              <w:jc w:val="center"/>
              <w:rPr>
                <w:rFonts w:ascii="宋体" w:hAnsi="宋体" w:eastAsia="宋体" w:cs="宋体"/>
                <w:color w:val="auto"/>
                <w:sz w:val="21"/>
                <w:szCs w:val="21"/>
                <w:highlight w:val="none"/>
              </w:rPr>
            </w:pPr>
          </w:p>
        </w:tc>
        <w:tc>
          <w:tcPr>
            <w:tcW w:w="1346" w:type="dxa"/>
            <w:noWrap/>
            <w:vAlign w:val="center"/>
          </w:tcPr>
          <w:p w14:paraId="2ECEC6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信息化建设和运用程度、查勘装备情况（2分）</w:t>
            </w:r>
          </w:p>
        </w:tc>
        <w:tc>
          <w:tcPr>
            <w:tcW w:w="7336" w:type="dxa"/>
            <w:noWrap/>
            <w:vAlign w:val="center"/>
          </w:tcPr>
          <w:p w14:paraId="606FF73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根据磋商申请人</w:t>
            </w:r>
            <w:bookmarkStart w:id="343" w:name="_GoBack"/>
            <w:bookmarkEnd w:id="343"/>
            <w:r>
              <w:rPr>
                <w:rFonts w:hint="eastAsia" w:ascii="宋体" w:hAnsi="宋体" w:eastAsia="宋体" w:cs="宋体"/>
                <w:i w:val="0"/>
                <w:iCs w:val="0"/>
                <w:color w:val="auto"/>
                <w:kern w:val="0"/>
                <w:sz w:val="21"/>
                <w:szCs w:val="21"/>
                <w:highlight w:val="none"/>
                <w:u w:val="none"/>
                <w:lang w:val="en-US" w:eastAsia="zh-CN" w:bidi="ar"/>
              </w:rPr>
              <w:t>开展校方综合防范保险服务工作的信息化建设和运用程度、查勘装备情况进行评审：</w:t>
            </w:r>
          </w:p>
          <w:p w14:paraId="53E8ADC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第一档次：磋商申请人科技应用能力强、信息化建设情况优秀，配备开展校方综合防范保险服务工作的软硬件种类齐全、数量配置合理的得2分；</w:t>
            </w:r>
          </w:p>
          <w:p w14:paraId="1246386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第二档次：磋商申请人科技应用能力一般、信息化建设情况一般，配备开展校方综合防范保险服务工作的软硬件种类齐全但数量配备较少的得1分；</w:t>
            </w:r>
          </w:p>
          <w:p w14:paraId="60DBFEF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第三档次：磋商申请人科技应用能力、信息化建设情况基本满足保险服务工作，但配备开展校方综合防范保险服务工作的软硬件种类不齐全或仪器设备数量配备不明确的得0.5分；</w:t>
            </w:r>
          </w:p>
          <w:p w14:paraId="21B638B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第四档次：未提供相关证明材料的此项得0分。信息化建设和运用程度、查勘装备情况进行评审，依据投入的软硬件产品介绍说明及实物图片等证明材料，证明材料内容必须清晰可见，证明材料模糊造成无法辨别者或未提供相应证明材料的对应评审项视为未提供证明材料。</w:t>
            </w:r>
          </w:p>
        </w:tc>
      </w:tr>
      <w:tr w14:paraId="6FAA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16FACC81">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37A785F7">
            <w:pPr>
              <w:spacing w:line="420" w:lineRule="exact"/>
              <w:jc w:val="center"/>
              <w:rPr>
                <w:rFonts w:ascii="宋体" w:hAnsi="宋体" w:eastAsia="宋体" w:cs="宋体"/>
                <w:color w:val="auto"/>
                <w:sz w:val="21"/>
                <w:szCs w:val="21"/>
                <w:highlight w:val="none"/>
              </w:rPr>
            </w:pPr>
          </w:p>
        </w:tc>
        <w:tc>
          <w:tcPr>
            <w:tcW w:w="1346" w:type="dxa"/>
            <w:vMerge w:val="restart"/>
            <w:noWrap/>
            <w:vAlign w:val="center"/>
          </w:tcPr>
          <w:p w14:paraId="6590D4C5">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服务团队人员评价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13分</w:t>
            </w:r>
            <w:r>
              <w:rPr>
                <w:rFonts w:hint="eastAsia" w:ascii="宋体" w:hAnsi="宋体" w:eastAsia="宋体" w:cs="宋体"/>
                <w:color w:val="auto"/>
                <w:sz w:val="21"/>
                <w:szCs w:val="21"/>
                <w:highlight w:val="none"/>
                <w:lang w:eastAsia="zh-CN"/>
              </w:rPr>
              <w:t>）</w:t>
            </w:r>
          </w:p>
        </w:tc>
        <w:tc>
          <w:tcPr>
            <w:tcW w:w="7336" w:type="dxa"/>
            <w:noWrap/>
            <w:vAlign w:val="center"/>
          </w:tcPr>
          <w:p w14:paraId="4EF85B8F">
            <w:pPr>
              <w:pStyle w:val="62"/>
              <w:spacing w:line="400" w:lineRule="exact"/>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拟投入的项目负责人从业经验</w:t>
            </w:r>
          </w:p>
          <w:p w14:paraId="6A29FA14">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（1）具有5年及以上从业经验的得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分；</w:t>
            </w:r>
          </w:p>
          <w:p w14:paraId="16F94B70">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（2）具有3年（含3年）-4（不含4年）从业经验的得</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分；</w:t>
            </w:r>
          </w:p>
          <w:p w14:paraId="6B454815">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（3）具有2年从业经验的得2分；</w:t>
            </w:r>
          </w:p>
          <w:p w14:paraId="59D28C33">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（4）具有2年（不含2年）以下从业经验的得1分；</w:t>
            </w:r>
          </w:p>
          <w:p w14:paraId="4A7AF582">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（5）无从业经验情形的得0分。</w:t>
            </w:r>
          </w:p>
          <w:p w14:paraId="19060BAB">
            <w:pPr>
              <w:spacing w:line="400" w:lineRule="exact"/>
              <w:rPr>
                <w:rFonts w:hint="eastAsia" w:ascii="宋体" w:hAnsi="宋体" w:eastAsia="宋体" w:cs="宋体"/>
                <w:color w:val="auto"/>
                <w:sz w:val="21"/>
                <w:szCs w:val="21"/>
                <w:highlight w:val="none"/>
              </w:rPr>
            </w:pPr>
            <w:r>
              <w:rPr>
                <w:rFonts w:hint="eastAsia" w:ascii="宋体" w:hAnsi="宋体" w:eastAsia="宋体" w:cs="宋体"/>
                <w:b/>
                <w:color w:val="000000"/>
                <w:highlight w:val="none"/>
              </w:rPr>
              <w:t>注：以提供项目负责人与企业签订的劳动合同、社保缴纳（连续性）及相关从业经验证明资料扫描件作为评审依据。</w:t>
            </w:r>
          </w:p>
        </w:tc>
      </w:tr>
      <w:tr w14:paraId="6D45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73235EDE">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646343F3">
            <w:pPr>
              <w:spacing w:line="420" w:lineRule="exact"/>
              <w:jc w:val="center"/>
              <w:rPr>
                <w:rFonts w:ascii="宋体" w:hAnsi="宋体" w:eastAsia="宋体" w:cs="宋体"/>
                <w:color w:val="auto"/>
                <w:sz w:val="21"/>
                <w:szCs w:val="21"/>
                <w:highlight w:val="none"/>
              </w:rPr>
            </w:pPr>
          </w:p>
        </w:tc>
        <w:tc>
          <w:tcPr>
            <w:tcW w:w="1346" w:type="dxa"/>
            <w:vMerge w:val="continue"/>
            <w:noWrap/>
            <w:vAlign w:val="center"/>
          </w:tcPr>
          <w:p w14:paraId="0FD03D5D">
            <w:pPr>
              <w:spacing w:line="420" w:lineRule="exact"/>
              <w:jc w:val="center"/>
              <w:rPr>
                <w:rFonts w:ascii="宋体" w:hAnsi="宋体" w:eastAsia="宋体" w:cs="宋体"/>
                <w:color w:val="auto"/>
                <w:sz w:val="21"/>
                <w:szCs w:val="21"/>
                <w:highlight w:val="none"/>
              </w:rPr>
            </w:pPr>
          </w:p>
        </w:tc>
        <w:tc>
          <w:tcPr>
            <w:tcW w:w="7336" w:type="dxa"/>
            <w:noWrap/>
            <w:vAlign w:val="center"/>
          </w:tcPr>
          <w:p w14:paraId="2DC4C113">
            <w:pPr>
              <w:pStyle w:val="62"/>
              <w:spacing w:line="400" w:lineRule="exact"/>
              <w:ind w:left="0" w:leftChars="0"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拟投入本项目的服务人员配置评审：</w:t>
            </w:r>
          </w:p>
          <w:p w14:paraId="538E030D">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从磋商申请人提供的项目服务团队人员配置—项目服务小组组成、分工、职责。</w:t>
            </w:r>
          </w:p>
          <w:p w14:paraId="48341046">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对项目服务人员的资格（持证情况）、工作经历等综合素质以及人员专业配置的合理性等方面进行综合评价。</w:t>
            </w:r>
          </w:p>
          <w:p w14:paraId="32ED44B8">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第一档次 人员配置合理、综合素质优、相关人员岗位职责明确、服务经验好、持证上岗的</w:t>
            </w:r>
            <w:r>
              <w:rPr>
                <w:rFonts w:hint="eastAsia" w:ascii="宋体" w:hAnsi="宋体" w:eastAsia="宋体" w:cs="宋体"/>
                <w:color w:val="000000"/>
                <w:szCs w:val="21"/>
                <w:highlight w:val="none"/>
                <w:lang w:val="en-US" w:eastAsia="zh-CN"/>
              </w:rPr>
              <w:t>得</w:t>
            </w:r>
            <w:r>
              <w:rPr>
                <w:rFonts w:hint="eastAsia" w:ascii="宋体" w:hAnsi="宋体" w:eastAsia="宋体" w:cs="宋体"/>
                <w:color w:val="000000"/>
                <w:szCs w:val="21"/>
                <w:highlight w:val="none"/>
              </w:rPr>
              <w:t>9分；</w:t>
            </w:r>
          </w:p>
          <w:p w14:paraId="2FF0267E">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第二档次 人员配置基本合理、综合素质良好、相关人员岗位职责基本明确、服务经验一般的，持证上岗的</w:t>
            </w:r>
            <w:r>
              <w:rPr>
                <w:rFonts w:hint="eastAsia" w:ascii="宋体" w:hAnsi="宋体" w:eastAsia="宋体" w:cs="宋体"/>
                <w:color w:val="000000"/>
                <w:szCs w:val="21"/>
                <w:highlight w:val="none"/>
                <w:lang w:val="en-US" w:eastAsia="zh-CN"/>
              </w:rPr>
              <w:t>得</w:t>
            </w:r>
            <w:r>
              <w:rPr>
                <w:rFonts w:hint="eastAsia" w:ascii="宋体" w:hAnsi="宋体" w:eastAsia="宋体" w:cs="宋体"/>
                <w:color w:val="000000"/>
                <w:szCs w:val="21"/>
                <w:highlight w:val="none"/>
              </w:rPr>
              <w:t>7分；</w:t>
            </w:r>
          </w:p>
          <w:p w14:paraId="7A45ED04">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第三档次 人员配置基本合理、综合素质一般、相关人员岗位职责基本明确、服务经验一般的，持证上岗的</w:t>
            </w:r>
            <w:r>
              <w:rPr>
                <w:rFonts w:hint="eastAsia" w:ascii="宋体" w:hAnsi="宋体" w:eastAsia="宋体" w:cs="宋体"/>
                <w:color w:val="000000"/>
                <w:szCs w:val="21"/>
                <w:highlight w:val="none"/>
                <w:lang w:val="en-US" w:eastAsia="zh-CN"/>
              </w:rPr>
              <w:t>得5</w:t>
            </w:r>
            <w:r>
              <w:rPr>
                <w:rFonts w:hint="eastAsia" w:ascii="宋体" w:hAnsi="宋体" w:eastAsia="宋体" w:cs="宋体"/>
                <w:color w:val="000000"/>
                <w:szCs w:val="21"/>
                <w:highlight w:val="none"/>
              </w:rPr>
              <w:t>分；</w:t>
            </w:r>
          </w:p>
          <w:p w14:paraId="5D86ABB5">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第四档次 人员配置基本合理、综合素质差、相关人员岗位职责明确性差、服务经验差的，持证上岗的：在3分之间评分；</w:t>
            </w:r>
          </w:p>
          <w:p w14:paraId="6217AD8B">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第五档次 人员配置合理性较差，综合素质较差、相关人员岗位职责不明确、服务经验较差、但持证上岗的</w:t>
            </w:r>
            <w:r>
              <w:rPr>
                <w:rFonts w:hint="eastAsia" w:ascii="宋体" w:hAnsi="宋体" w:eastAsia="宋体" w:cs="宋体"/>
                <w:color w:val="000000"/>
                <w:szCs w:val="21"/>
                <w:highlight w:val="none"/>
                <w:lang w:val="en-US" w:eastAsia="zh-CN"/>
              </w:rPr>
              <w:t>得1</w:t>
            </w:r>
            <w:r>
              <w:rPr>
                <w:rFonts w:hint="eastAsia" w:ascii="宋体" w:hAnsi="宋体" w:eastAsia="宋体" w:cs="宋体"/>
                <w:color w:val="000000"/>
                <w:szCs w:val="21"/>
                <w:highlight w:val="none"/>
              </w:rPr>
              <w:t>分；</w:t>
            </w:r>
          </w:p>
          <w:p w14:paraId="1ACF50FC">
            <w:pPr>
              <w:pStyle w:val="6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第六档次  未持证上岗的不得分。</w:t>
            </w:r>
          </w:p>
          <w:p w14:paraId="321C8FB0">
            <w:pPr>
              <w:pStyle w:val="62"/>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000000"/>
                <w:szCs w:val="21"/>
                <w:highlight w:val="none"/>
              </w:rPr>
              <w:t>注：服务</w:t>
            </w:r>
            <w:r>
              <w:rPr>
                <w:rFonts w:hint="eastAsia" w:ascii="宋体" w:hAnsi="宋体" w:eastAsia="宋体" w:cs="宋体"/>
                <w:color w:val="000000"/>
                <w:szCs w:val="21"/>
                <w:highlight w:val="none"/>
                <w:lang w:val="en-US" w:eastAsia="zh-CN"/>
              </w:rPr>
              <w:t>团队</w:t>
            </w:r>
            <w:r>
              <w:rPr>
                <w:rFonts w:hint="eastAsia" w:ascii="宋体" w:hAnsi="宋体" w:eastAsia="宋体" w:cs="宋体"/>
                <w:color w:val="000000"/>
                <w:szCs w:val="21"/>
                <w:highlight w:val="none"/>
              </w:rPr>
              <w:t>人员须为本</w:t>
            </w:r>
            <w:r>
              <w:rPr>
                <w:rFonts w:hint="eastAsia" w:ascii="宋体" w:hAnsi="宋体" w:eastAsia="宋体" w:cs="宋体"/>
                <w:color w:val="000000"/>
                <w:szCs w:val="21"/>
                <w:highlight w:val="none"/>
                <w:lang w:val="en-US" w:eastAsia="zh-CN"/>
              </w:rPr>
              <w:t>单位</w:t>
            </w:r>
            <w:r>
              <w:rPr>
                <w:rFonts w:hint="eastAsia" w:ascii="宋体" w:hAnsi="宋体" w:eastAsia="宋体" w:cs="宋体"/>
                <w:color w:val="000000"/>
                <w:szCs w:val="21"/>
                <w:highlight w:val="none"/>
              </w:rPr>
              <w:t>或联合体成员各方的人员，以提供服务</w:t>
            </w:r>
            <w:r>
              <w:rPr>
                <w:rFonts w:hint="eastAsia" w:ascii="宋体" w:hAnsi="宋体" w:eastAsia="宋体" w:cs="宋体"/>
                <w:color w:val="000000"/>
                <w:szCs w:val="21"/>
                <w:highlight w:val="none"/>
                <w:lang w:val="en-US" w:eastAsia="zh-CN"/>
              </w:rPr>
              <w:t>团队</w:t>
            </w:r>
            <w:r>
              <w:rPr>
                <w:rFonts w:hint="eastAsia" w:ascii="宋体" w:hAnsi="宋体" w:eastAsia="宋体" w:cs="宋体"/>
                <w:color w:val="000000"/>
                <w:szCs w:val="21"/>
                <w:highlight w:val="none"/>
              </w:rPr>
              <w:t>人员与</w:t>
            </w:r>
            <w:r>
              <w:rPr>
                <w:rFonts w:hint="eastAsia" w:ascii="宋体" w:hAnsi="宋体" w:eastAsia="宋体" w:cs="宋体"/>
                <w:color w:val="000000"/>
                <w:szCs w:val="21"/>
                <w:highlight w:val="none"/>
                <w:lang w:val="en-US" w:eastAsia="zh-CN"/>
              </w:rPr>
              <w:t>本单位</w:t>
            </w:r>
            <w:r>
              <w:rPr>
                <w:rFonts w:hint="eastAsia" w:ascii="宋体" w:hAnsi="宋体" w:eastAsia="宋体" w:cs="宋体"/>
                <w:color w:val="000000"/>
                <w:szCs w:val="21"/>
                <w:highlight w:val="none"/>
              </w:rPr>
              <w:t>自签订的劳动合同、社保缴纳、证件、及相关从业经验证明等相关证明资料扫描件作为评审依据。</w:t>
            </w:r>
          </w:p>
        </w:tc>
      </w:tr>
      <w:tr w14:paraId="4B5D2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29B2A53C">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30838739">
            <w:pPr>
              <w:spacing w:line="420" w:lineRule="exact"/>
              <w:jc w:val="center"/>
              <w:rPr>
                <w:rFonts w:ascii="宋体" w:hAnsi="宋体" w:eastAsia="宋体" w:cs="宋体"/>
                <w:color w:val="auto"/>
                <w:sz w:val="21"/>
                <w:szCs w:val="21"/>
                <w:highlight w:val="none"/>
              </w:rPr>
            </w:pPr>
          </w:p>
        </w:tc>
        <w:tc>
          <w:tcPr>
            <w:tcW w:w="8682" w:type="dxa"/>
            <w:gridSpan w:val="2"/>
            <w:noWrap/>
            <w:vAlign w:val="center"/>
          </w:tcPr>
          <w:p w14:paraId="54A8902B">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技术评审评分标准（满</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0分）</w:t>
            </w:r>
          </w:p>
        </w:tc>
      </w:tr>
      <w:tr w14:paraId="2ECD7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62A52210">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1BFC5950">
            <w:pPr>
              <w:spacing w:line="420" w:lineRule="exact"/>
              <w:jc w:val="center"/>
              <w:rPr>
                <w:rFonts w:ascii="宋体" w:hAnsi="宋体" w:eastAsia="宋体" w:cs="宋体"/>
                <w:color w:val="auto"/>
                <w:sz w:val="21"/>
                <w:szCs w:val="21"/>
                <w:highlight w:val="none"/>
              </w:rPr>
            </w:pPr>
          </w:p>
        </w:tc>
        <w:tc>
          <w:tcPr>
            <w:tcW w:w="1346" w:type="dxa"/>
            <w:noWrap/>
            <w:vAlign w:val="center"/>
          </w:tcPr>
          <w:p w14:paraId="4D1E505A">
            <w:pPr>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保险保障能力（满分10分）</w:t>
            </w:r>
          </w:p>
          <w:p w14:paraId="78D0F263">
            <w:pPr>
              <w:spacing w:line="420" w:lineRule="exact"/>
              <w:rPr>
                <w:rFonts w:hint="eastAsia" w:ascii="宋体" w:hAnsi="宋体" w:eastAsia="宋体" w:cs="宋体"/>
                <w:color w:val="auto"/>
                <w:sz w:val="21"/>
                <w:szCs w:val="21"/>
                <w:highlight w:val="none"/>
                <w:lang w:val="en-US" w:eastAsia="zh-CN"/>
              </w:rPr>
            </w:pPr>
          </w:p>
        </w:tc>
        <w:tc>
          <w:tcPr>
            <w:tcW w:w="7336" w:type="dxa"/>
            <w:noWrap/>
            <w:vAlign w:val="top"/>
          </w:tcPr>
          <w:p w14:paraId="0CBF26D8">
            <w:pP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第一档次 抗风险能力及偿付能力强，能满足竞争性磋商文件要求且优于磋商需求的，得10分；</w:t>
            </w:r>
          </w:p>
          <w:p w14:paraId="5CDF603B">
            <w:pPr>
              <w:pStyle w:val="1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第二档次 抗风险能力及偿付能力强，能满足竞争性磋商文件要求的，得8分；</w:t>
            </w:r>
          </w:p>
          <w:p w14:paraId="6DA2E3BE">
            <w:pPr>
              <w:pStyle w:val="14"/>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第三档次  抗风险能力及偿付能力较强，能满足竞争性磋商文件要求的得6分；</w:t>
            </w:r>
          </w:p>
          <w:p w14:paraId="4943C8AA">
            <w:pPr>
              <w:pStyle w:val="14"/>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第四档次 抗风险能力及偿付能力能基本满足竞争性磋商文件要求的得4分</w:t>
            </w:r>
          </w:p>
          <w:p w14:paraId="71783028">
            <w:pPr>
              <w:pStyle w:val="14"/>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第五档次 抗风险能力及偿付能力较弱，不能满足竞争性磋商文件要求的得1分；</w:t>
            </w:r>
          </w:p>
          <w:p w14:paraId="1946B1E7">
            <w:pPr>
              <w:pStyle w:val="14"/>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第六档次 没有保障能力或未做相关说明的不得分。</w:t>
            </w:r>
          </w:p>
          <w:p w14:paraId="1E2887EB">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000000"/>
                <w:highlight w:val="none"/>
              </w:rPr>
              <w:t>注：根据磋商申请人提供的保障能力说明（包括但不限于证明材料）或方案等进行评审。</w:t>
            </w:r>
          </w:p>
        </w:tc>
      </w:tr>
      <w:tr w14:paraId="41D0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2E34AC72">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174AF2AC">
            <w:pPr>
              <w:spacing w:line="420" w:lineRule="exact"/>
              <w:jc w:val="center"/>
              <w:rPr>
                <w:rFonts w:ascii="宋体" w:hAnsi="宋体" w:eastAsia="宋体" w:cs="宋体"/>
                <w:color w:val="auto"/>
                <w:sz w:val="21"/>
                <w:szCs w:val="21"/>
                <w:highlight w:val="none"/>
              </w:rPr>
            </w:pPr>
          </w:p>
        </w:tc>
        <w:tc>
          <w:tcPr>
            <w:tcW w:w="1346" w:type="dxa"/>
            <w:noWrap/>
            <w:vAlign w:val="center"/>
          </w:tcPr>
          <w:p w14:paraId="1A53CC41">
            <w:pPr>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保险保障额度（满分15分）</w:t>
            </w:r>
          </w:p>
          <w:p w14:paraId="09776665">
            <w:pPr>
              <w:spacing w:line="420" w:lineRule="exact"/>
              <w:rPr>
                <w:rFonts w:hint="eastAsia" w:ascii="宋体" w:hAnsi="宋体" w:eastAsia="宋体" w:cs="宋体"/>
                <w:color w:val="auto"/>
                <w:sz w:val="21"/>
                <w:szCs w:val="21"/>
                <w:highlight w:val="none"/>
                <w:lang w:val="en-US" w:eastAsia="zh-CN"/>
              </w:rPr>
            </w:pPr>
          </w:p>
        </w:tc>
        <w:tc>
          <w:tcPr>
            <w:tcW w:w="7336" w:type="dxa"/>
            <w:noWrap/>
            <w:vAlign w:val="top"/>
          </w:tcPr>
          <w:p w14:paraId="2A68E158">
            <w:pP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（1）磋商申请人填报的</w:t>
            </w:r>
            <w:r>
              <w:rPr>
                <w:rFonts w:hint="eastAsia" w:ascii="宋体" w:hAnsi="宋体" w:eastAsia="宋体" w:cs="宋体"/>
                <w:color w:val="000000"/>
                <w:highlight w:val="none"/>
                <w:lang w:val="en-US" w:eastAsia="zh-CN"/>
              </w:rPr>
              <w:t>保险</w:t>
            </w:r>
            <w:r>
              <w:rPr>
                <w:rFonts w:hint="eastAsia" w:ascii="宋体" w:hAnsi="宋体" w:eastAsia="宋体" w:cs="宋体"/>
                <w:color w:val="000000"/>
                <w:highlight w:val="none"/>
              </w:rPr>
              <w:t>保障额度（即最高赔偿限额）完全满足磋商文件要求的得基本分5分。</w:t>
            </w:r>
          </w:p>
          <w:p w14:paraId="25AD9773">
            <w:pP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（2）磋商申请人填报的</w:t>
            </w:r>
            <w:r>
              <w:rPr>
                <w:rFonts w:hint="eastAsia" w:ascii="宋体" w:hAnsi="宋体" w:eastAsia="宋体" w:cs="宋体"/>
                <w:color w:val="000000"/>
                <w:highlight w:val="none"/>
                <w:lang w:val="en-US" w:eastAsia="zh-CN"/>
              </w:rPr>
              <w:t>保险</w:t>
            </w:r>
            <w:r>
              <w:rPr>
                <w:rFonts w:hint="eastAsia" w:ascii="宋体" w:hAnsi="宋体" w:eastAsia="宋体" w:cs="宋体"/>
                <w:color w:val="000000"/>
                <w:highlight w:val="none"/>
              </w:rPr>
              <w:t>保障额度（即最高赔偿限额）中，每有1项不满足磋商文件要求或每额外增加一条限制条件，在前款规定的基础上扣2分，扣完为止。</w:t>
            </w:r>
          </w:p>
          <w:p w14:paraId="55F4774A">
            <w:pPr>
              <w:spacing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（3）磋商申请人填报的</w:t>
            </w:r>
            <w:r>
              <w:rPr>
                <w:rFonts w:hint="eastAsia" w:ascii="宋体" w:hAnsi="宋体" w:eastAsia="宋体" w:cs="宋体"/>
                <w:color w:val="000000"/>
                <w:highlight w:val="none"/>
                <w:lang w:val="en-US" w:eastAsia="zh-CN"/>
              </w:rPr>
              <w:t>保险</w:t>
            </w:r>
            <w:r>
              <w:rPr>
                <w:rFonts w:hint="eastAsia" w:ascii="宋体" w:hAnsi="宋体" w:eastAsia="宋体" w:cs="宋体"/>
                <w:color w:val="000000"/>
                <w:highlight w:val="none"/>
              </w:rPr>
              <w:t>保障额度（即最高赔偿限额）中，每有1项达到以下标准的正偏离的，在前两款基础上加分，每1项每增10%加0.2（不足10%的采用插入法计算），加满0.5分为止：①磋商文件规定的</w:t>
            </w:r>
            <w:r>
              <w:rPr>
                <w:rFonts w:hint="eastAsia" w:ascii="宋体" w:hAnsi="宋体" w:eastAsia="宋体" w:cs="宋体"/>
                <w:color w:val="000000"/>
                <w:highlight w:val="none"/>
                <w:lang w:val="en-US" w:eastAsia="zh-CN"/>
              </w:rPr>
              <w:t>保险</w:t>
            </w:r>
            <w:r>
              <w:rPr>
                <w:rFonts w:hint="eastAsia" w:ascii="宋体" w:hAnsi="宋体" w:eastAsia="宋体" w:cs="宋体"/>
                <w:color w:val="000000"/>
                <w:highlight w:val="none"/>
              </w:rPr>
              <w:t>保障额度在100万元及以下的限额条款，磋商申请人填报的</w:t>
            </w:r>
            <w:r>
              <w:rPr>
                <w:rFonts w:hint="eastAsia" w:ascii="宋体" w:hAnsi="宋体" w:eastAsia="宋体" w:cs="宋体"/>
                <w:color w:val="000000"/>
                <w:highlight w:val="none"/>
                <w:lang w:val="en-US" w:eastAsia="zh-CN"/>
              </w:rPr>
              <w:t>保险</w:t>
            </w:r>
            <w:r>
              <w:rPr>
                <w:rFonts w:hint="eastAsia" w:ascii="宋体" w:hAnsi="宋体" w:eastAsia="宋体" w:cs="宋体"/>
                <w:color w:val="000000"/>
                <w:highlight w:val="none"/>
              </w:rPr>
              <w:t>保障额度正偏离10%以上（含10%）的；②磋商文件规定的</w:t>
            </w:r>
            <w:r>
              <w:rPr>
                <w:rFonts w:hint="eastAsia" w:ascii="宋体" w:hAnsi="宋体" w:eastAsia="宋体" w:cs="宋体"/>
                <w:color w:val="000000"/>
                <w:highlight w:val="none"/>
                <w:lang w:val="en-US" w:eastAsia="zh-CN"/>
              </w:rPr>
              <w:t>保险</w:t>
            </w:r>
            <w:r>
              <w:rPr>
                <w:rFonts w:hint="eastAsia" w:ascii="宋体" w:hAnsi="宋体" w:eastAsia="宋体" w:cs="宋体"/>
                <w:color w:val="000000"/>
                <w:highlight w:val="none"/>
              </w:rPr>
              <w:t>保障额度在100万元以上的限额条款，磋商申请人填报的保障额度正偏离10%以上（含10%）的。</w:t>
            </w:r>
            <w:r>
              <w:rPr>
                <w:rFonts w:hint="eastAsia" w:ascii="宋体" w:hAnsi="宋体" w:eastAsia="宋体" w:cs="宋体"/>
                <w:color w:val="000000"/>
                <w:highlight w:val="none"/>
                <w:lang w:val="en-US" w:eastAsia="zh-CN"/>
              </w:rPr>
              <w:t>此项累计加分不得超过10分。</w:t>
            </w:r>
          </w:p>
          <w:p w14:paraId="2E0D2F8C">
            <w:pPr>
              <w:pStyle w:val="13"/>
              <w:spacing w:line="400" w:lineRule="exact"/>
              <w:rPr>
                <w:rFonts w:hint="eastAsia" w:ascii="宋体" w:hAnsi="宋体" w:eastAsia="宋体" w:cs="宋体"/>
                <w:color w:val="auto"/>
                <w:sz w:val="21"/>
                <w:szCs w:val="21"/>
                <w:highlight w:val="none"/>
              </w:rPr>
            </w:pPr>
            <w:r>
              <w:rPr>
                <w:rFonts w:hint="eastAsia" w:ascii="宋体" w:hAnsi="宋体" w:eastAsia="宋体" w:cs="宋体"/>
                <w:color w:val="000000"/>
                <w:szCs w:val="21"/>
                <w:highlight w:val="none"/>
              </w:rPr>
              <w:t>注：依据磋商申请人针对本项目的责任保障额度作出的最终承诺（承诺须具体、明确、清楚且可计算出费用的承诺方可进行评分）。</w:t>
            </w:r>
          </w:p>
        </w:tc>
      </w:tr>
      <w:tr w14:paraId="1E17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07038A54">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155E8CFE">
            <w:pPr>
              <w:spacing w:line="420" w:lineRule="exact"/>
              <w:jc w:val="center"/>
              <w:rPr>
                <w:rFonts w:ascii="宋体" w:hAnsi="宋体" w:eastAsia="宋体" w:cs="宋体"/>
                <w:color w:val="auto"/>
                <w:sz w:val="21"/>
                <w:szCs w:val="21"/>
                <w:highlight w:val="none"/>
              </w:rPr>
            </w:pPr>
          </w:p>
        </w:tc>
        <w:tc>
          <w:tcPr>
            <w:tcW w:w="1346" w:type="dxa"/>
            <w:noWrap/>
            <w:vAlign w:val="center"/>
          </w:tcPr>
          <w:p w14:paraId="5522105E">
            <w:pPr>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投保服务方案（满分10分）</w:t>
            </w:r>
          </w:p>
        </w:tc>
        <w:tc>
          <w:tcPr>
            <w:tcW w:w="7336" w:type="dxa"/>
            <w:noWrap/>
            <w:vAlign w:val="top"/>
          </w:tcPr>
          <w:p w14:paraId="39CCF865">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根据磋商申请人提供的投保服务方案进行评审，包括但不限于设立的投保服务机构、配备的保险服务人员（保险经纪人员），投保手续（含保费收取）、风险咨询、风险培训、档案管理、跟踪服务等方面的安排。</w:t>
            </w:r>
          </w:p>
          <w:p w14:paraId="400630D2">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第一档次  投保服务方案详细具体、科学合理、针对性强，且配备的保险服务人员（保险经纪人员）业务熟悉、经验丰富，投保服务方案符合且优于竞争性磋商文件要求的得</w:t>
            </w:r>
            <w:r>
              <w:rPr>
                <w:rFonts w:hint="eastAsia" w:ascii="宋体" w:hAnsi="宋体" w:eastAsia="宋体" w:cs="宋体"/>
                <w:color w:val="000000"/>
                <w:highlight w:val="none"/>
                <w:lang w:val="en-US" w:eastAsia="zh-CN"/>
              </w:rPr>
              <w:t>10</w:t>
            </w:r>
            <w:r>
              <w:rPr>
                <w:rFonts w:hint="eastAsia" w:ascii="宋体" w:hAnsi="宋体" w:eastAsia="宋体" w:cs="宋体"/>
                <w:color w:val="000000"/>
                <w:highlight w:val="none"/>
              </w:rPr>
              <w:t>分；</w:t>
            </w:r>
          </w:p>
          <w:p w14:paraId="317A7C45">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第二档次 投保服务方案详细具体、科学合理、针对性强，且配备的保险服务人员（保险经纪人员）业务熟悉、经验丰富，投保服务方案符合竞争性磋商文件要求的得</w:t>
            </w: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分；</w:t>
            </w:r>
          </w:p>
          <w:p w14:paraId="53F4B656">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第三档次 投保服务方案的科学性、合理性、针对性一般，配备的保险服务人员（保险经纪人员）业务熟悉、有经验，投保服务方案基本符合竞争性磋商文件要求的得</w:t>
            </w:r>
            <w:r>
              <w:rPr>
                <w:rFonts w:hint="eastAsia" w:ascii="宋体" w:hAnsi="宋体" w:eastAsia="宋体" w:cs="宋体"/>
                <w:color w:val="000000"/>
                <w:highlight w:val="none"/>
                <w:lang w:val="en-US" w:eastAsia="zh-CN"/>
              </w:rPr>
              <w:t>+</w:t>
            </w:r>
            <w:r>
              <w:rPr>
                <w:rFonts w:hint="eastAsia" w:ascii="宋体" w:hAnsi="宋体" w:eastAsia="宋体" w:cs="宋体"/>
                <w:color w:val="000000"/>
                <w:highlight w:val="none"/>
              </w:rPr>
              <w:t>分；</w:t>
            </w:r>
          </w:p>
          <w:p w14:paraId="6E010767">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第四档次 投保服务方案简单、针对性不强，且配备的保险服务人员（保险经纪人员）缺乏经验，业务不够熟悉，投保服务方案基本满足竞争性磋商文件要求的得</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分；</w:t>
            </w:r>
          </w:p>
          <w:p w14:paraId="56CE6464">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第五档次  投保服务方案较简单、缺乏针对性，方案有瑕疵，且配备的保险服务人员（保险经纪人员）较少，不能满足竞争性磋商文件要求的得</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分；</w:t>
            </w:r>
          </w:p>
          <w:p w14:paraId="678758A3">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000000"/>
                <w:highlight w:val="none"/>
              </w:rPr>
              <w:t>第六档次  未提供投保服务方案的不得分。</w:t>
            </w:r>
          </w:p>
        </w:tc>
      </w:tr>
      <w:tr w14:paraId="3D841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56DB0660">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60778FDB">
            <w:pPr>
              <w:spacing w:line="420" w:lineRule="exact"/>
              <w:jc w:val="center"/>
              <w:rPr>
                <w:rFonts w:ascii="宋体" w:hAnsi="宋体" w:eastAsia="宋体" w:cs="宋体"/>
                <w:color w:val="auto"/>
                <w:sz w:val="21"/>
                <w:szCs w:val="21"/>
                <w:highlight w:val="none"/>
              </w:rPr>
            </w:pPr>
          </w:p>
        </w:tc>
        <w:tc>
          <w:tcPr>
            <w:tcW w:w="1346" w:type="dxa"/>
            <w:noWrap/>
            <w:vAlign w:val="center"/>
          </w:tcPr>
          <w:p w14:paraId="63CDCB98">
            <w:pPr>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查勘理赔服务方案（满分15分）</w:t>
            </w:r>
          </w:p>
        </w:tc>
        <w:tc>
          <w:tcPr>
            <w:tcW w:w="7336" w:type="dxa"/>
            <w:noWrap/>
            <w:vAlign w:val="top"/>
          </w:tcPr>
          <w:p w14:paraId="314B54FE">
            <w:pPr>
              <w:spacing w:line="400" w:lineRule="exact"/>
              <w:ind w:firstLine="415" w:firstLineChars="198"/>
              <w:rPr>
                <w:rFonts w:hint="eastAsia" w:ascii="宋体" w:hAnsi="宋体" w:eastAsia="宋体" w:cs="宋体"/>
                <w:color w:val="000000"/>
                <w:highlight w:val="none"/>
              </w:rPr>
            </w:pPr>
            <w:r>
              <w:rPr>
                <w:rFonts w:hint="eastAsia" w:ascii="宋体" w:hAnsi="宋体" w:eastAsia="宋体" w:cs="宋体"/>
                <w:color w:val="000000"/>
                <w:highlight w:val="none"/>
              </w:rPr>
              <w:t>根据磋商申请人提供的</w:t>
            </w:r>
            <w:r>
              <w:rPr>
                <w:rFonts w:hint="eastAsia" w:ascii="宋体" w:hAnsi="宋体" w:eastAsia="宋体" w:cs="宋体"/>
                <w:color w:val="auto"/>
                <w:sz w:val="21"/>
                <w:szCs w:val="21"/>
                <w:highlight w:val="none"/>
                <w:lang w:val="en-US" w:eastAsia="zh-CN"/>
              </w:rPr>
              <w:t>查勘理赔服务方案</w:t>
            </w:r>
            <w:r>
              <w:rPr>
                <w:rFonts w:hint="eastAsia" w:ascii="宋体" w:hAnsi="宋体" w:eastAsia="宋体" w:cs="宋体"/>
                <w:color w:val="000000"/>
                <w:highlight w:val="none"/>
              </w:rPr>
              <w:t>进行评审，包括但不限于接报案、查勘、定损、赔款等内容。</w:t>
            </w:r>
          </w:p>
          <w:p w14:paraId="3911A0BA">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第一档次 根据项目要求，制定完善的查勘理赔方案，方案里较好的结合实际，能从接报案后反应速度快，并配有专人受理、出现场快、定损时效短、赔付快，并且操作性强的得 15分；</w:t>
            </w:r>
          </w:p>
          <w:p w14:paraId="2D05FF23">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第二档次  根据项目要求，制定了较完善的查勘理赔方案，方案很好的结合实际，能从接报案后反应速度较快，并配有专人受理、出现场较快、定损时效短、赔付较快，具有操作性的得 13分；</w:t>
            </w:r>
          </w:p>
          <w:p w14:paraId="088809D2">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第三档次  根据项目要求，制定了基本符合的查勘理赔方案，方案结合实际，能从接报案后反应速度较快，并配有专人受理、出现场较快、定损时效较短、赔付较快，具有操作性的得 10分；</w:t>
            </w:r>
          </w:p>
          <w:p w14:paraId="4CCAC32A">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第四档次  根据项目要求，制定了基本符合的查勘理赔方案，方案基本符合实际，能从接报案后反应速度一般，并配有专人受理、出现场速度一般、定损时效一般、赔付时间一般，具有一定操作性的得 7分；</w:t>
            </w:r>
          </w:p>
          <w:p w14:paraId="594914AB">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第五档次 根据项目要求，制定理赔方案一般，理赔方案设计不连贯，理赔服务时效承诺相对较慢，并且操作性一般的得 5分；</w:t>
            </w:r>
          </w:p>
          <w:p w14:paraId="3C612018">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第六档次  根据项目要求，制定的理赔方案不合理，理赔服务跟不上，可操作性较差的得 2分；</w:t>
            </w:r>
          </w:p>
          <w:p w14:paraId="6C958A4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000000"/>
                <w:highlight w:val="none"/>
              </w:rPr>
              <w:t>第七档次  无理赔方案的得0分。</w:t>
            </w:r>
          </w:p>
        </w:tc>
      </w:tr>
      <w:tr w14:paraId="5B04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1845EA68">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31FEBF17">
            <w:pPr>
              <w:spacing w:line="420" w:lineRule="exact"/>
              <w:jc w:val="center"/>
              <w:rPr>
                <w:rFonts w:ascii="宋体" w:hAnsi="宋体" w:eastAsia="宋体" w:cs="宋体"/>
                <w:color w:val="auto"/>
                <w:sz w:val="21"/>
                <w:szCs w:val="21"/>
                <w:highlight w:val="none"/>
              </w:rPr>
            </w:pPr>
          </w:p>
        </w:tc>
        <w:tc>
          <w:tcPr>
            <w:tcW w:w="1346" w:type="dxa"/>
            <w:noWrap/>
            <w:vAlign w:val="center"/>
          </w:tcPr>
          <w:p w14:paraId="3DA05C50">
            <w:pPr>
              <w:spacing w:line="42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应急处理预案（满分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7336" w:type="dxa"/>
            <w:noWrap/>
            <w:vAlign w:val="top"/>
          </w:tcPr>
          <w:p w14:paraId="11C10CBD">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根据磋商申请人提供的应急处理预案进行评审，包括但不限于对可能发生的各种风险、事故的分析研判，对各类事故拟采取的应急处理措施等。</w:t>
            </w:r>
          </w:p>
          <w:p w14:paraId="23809FF6">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第一档次  应急处理预案完整、详细，对风险点的分析研判全面、周到，应急处理措施及方案科学、合理，针对性、可行性强，完全满足且优于采购人实际需求的，得</w:t>
            </w:r>
            <w:r>
              <w:rPr>
                <w:rFonts w:hint="eastAsia" w:ascii="宋体" w:hAnsi="宋体" w:eastAsia="宋体" w:cs="宋体"/>
                <w:color w:val="000000"/>
                <w:highlight w:val="none"/>
                <w:lang w:val="en-US" w:eastAsia="zh-CN"/>
              </w:rPr>
              <w:t>10</w:t>
            </w:r>
            <w:r>
              <w:rPr>
                <w:rFonts w:hint="eastAsia" w:ascii="宋体" w:hAnsi="宋体" w:eastAsia="宋体" w:cs="宋体"/>
                <w:color w:val="000000"/>
                <w:highlight w:val="none"/>
              </w:rPr>
              <w:t>分；</w:t>
            </w:r>
          </w:p>
          <w:p w14:paraId="61C2B882">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第二档次  应急处理预案较完整、详细，对风险点的分析研判较全面，应急处理措施及方案较科学、合理，针对性、可行性较强，满足采购人实际需求的，得</w:t>
            </w: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分；</w:t>
            </w:r>
          </w:p>
          <w:p w14:paraId="34EF54F0">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第三档次  应急处理预案基本完整，对风险点的分析研判基本到位，应急处理措施及方案基本合理，有一定针对性及可行性，基本满足采购人实际需求的，得</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分；</w:t>
            </w:r>
          </w:p>
          <w:p w14:paraId="50282155">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第四档次  应急处理预案不够完整，对风险点的分析研判不够到位，应急处理措施及方案仅少部分合理，少部分具有针对性及可行性，少部分满足采购人实际需求的，得</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分；</w:t>
            </w:r>
          </w:p>
          <w:p w14:paraId="7EA67D77">
            <w:pPr>
              <w:spacing w:line="40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第五档次  应急处理预案有重大瑕疵，对风险点的分析研判不到位，应急处理措施及方案不合理，针对性及可行性差，难以满足采购人实际需求的，得</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分；</w:t>
            </w:r>
          </w:p>
          <w:p w14:paraId="6CFA8DD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000000"/>
                <w:highlight w:val="none"/>
              </w:rPr>
              <w:t>第六档次 未提供应急保障措施及方案的不得分。</w:t>
            </w:r>
          </w:p>
        </w:tc>
      </w:tr>
      <w:tr w14:paraId="56AD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20651119">
            <w:pPr>
              <w:spacing w:line="420" w:lineRule="exact"/>
              <w:jc w:val="center"/>
              <w:rPr>
                <w:rFonts w:ascii="宋体" w:hAnsi="宋体" w:eastAsia="宋体" w:cs="宋体"/>
                <w:color w:val="auto"/>
                <w:sz w:val="21"/>
                <w:szCs w:val="21"/>
                <w:highlight w:val="none"/>
              </w:rPr>
            </w:pPr>
          </w:p>
        </w:tc>
        <w:tc>
          <w:tcPr>
            <w:tcW w:w="1005" w:type="dxa"/>
            <w:vMerge w:val="continue"/>
            <w:noWrap/>
            <w:vAlign w:val="center"/>
          </w:tcPr>
          <w:p w14:paraId="27094B49">
            <w:pPr>
              <w:spacing w:line="420" w:lineRule="exact"/>
              <w:jc w:val="center"/>
              <w:rPr>
                <w:rFonts w:ascii="宋体" w:hAnsi="宋体" w:eastAsia="宋体" w:cs="宋体"/>
                <w:color w:val="auto"/>
                <w:sz w:val="21"/>
                <w:szCs w:val="21"/>
                <w:highlight w:val="none"/>
              </w:rPr>
            </w:pPr>
          </w:p>
        </w:tc>
        <w:tc>
          <w:tcPr>
            <w:tcW w:w="1346" w:type="dxa"/>
            <w:noWrap/>
            <w:vAlign w:val="center"/>
          </w:tcPr>
          <w:p w14:paraId="08782A25">
            <w:pPr>
              <w:spacing w:line="42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服务体系、服务承诺及保证措施（满分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7336" w:type="dxa"/>
            <w:noWrap/>
            <w:vAlign w:val="center"/>
          </w:tcPr>
          <w:p w14:paraId="791C84B8">
            <w:pPr>
              <w:spacing w:line="400" w:lineRule="exact"/>
              <w:ind w:firstLine="411" w:firstLineChars="196"/>
              <w:rPr>
                <w:rFonts w:hint="eastAsia" w:ascii="宋体" w:hAnsi="宋体" w:eastAsia="宋体" w:cs="宋体"/>
                <w:color w:val="000000"/>
                <w:highlight w:val="none"/>
              </w:rPr>
            </w:pPr>
            <w:r>
              <w:rPr>
                <w:rFonts w:hint="eastAsia" w:ascii="宋体" w:hAnsi="宋体" w:eastAsia="宋体" w:cs="宋体"/>
                <w:color w:val="000000"/>
                <w:highlight w:val="none"/>
              </w:rPr>
              <w:t>根据磋商申请人提供的针对本项目的服务体系、服务承诺及保证措施进行评审。</w:t>
            </w:r>
          </w:p>
          <w:p w14:paraId="2F53AB37">
            <w:pPr>
              <w:kinsoku w:val="0"/>
              <w:overflowPunct w:val="0"/>
              <w:autoSpaceDE w:val="0"/>
              <w:autoSpaceDN w:val="0"/>
              <w:adjustRightInd w:val="0"/>
              <w:snapToGrid w:val="0"/>
              <w:spacing w:line="400" w:lineRule="exact"/>
              <w:ind w:firstLine="210" w:firstLineChars="100"/>
              <w:rPr>
                <w:rFonts w:hint="eastAsia" w:ascii="宋体" w:hAnsi="宋体" w:eastAsia="宋体" w:cs="宋体"/>
                <w:color w:val="000000"/>
                <w:highlight w:val="none"/>
              </w:rPr>
            </w:pPr>
            <w:r>
              <w:rPr>
                <w:rFonts w:hint="eastAsia" w:ascii="宋体" w:hAnsi="宋体" w:eastAsia="宋体" w:cs="宋体"/>
                <w:color w:val="000000"/>
                <w:highlight w:val="none"/>
              </w:rPr>
              <w:t>第一档次  根据本项目的特点提出针对项目管理服务质量、项目服务数据安全保障，各类服务工作满意度达标、服务质量反馈工作安排等方面的控制措施和承诺以及保险体系建设，各项控制措施及承诺详细合理、针对性强，可行性高的得</w:t>
            </w:r>
            <w:r>
              <w:rPr>
                <w:rFonts w:hint="eastAsia" w:ascii="宋体" w:hAnsi="宋体" w:eastAsia="宋体" w:cs="宋体"/>
                <w:color w:val="000000"/>
                <w:highlight w:val="none"/>
                <w:lang w:val="en-US" w:eastAsia="zh-CN"/>
              </w:rPr>
              <w:t>10</w:t>
            </w:r>
            <w:r>
              <w:rPr>
                <w:rFonts w:hint="eastAsia" w:ascii="宋体" w:hAnsi="宋体" w:eastAsia="宋体" w:cs="宋体"/>
                <w:color w:val="000000"/>
                <w:highlight w:val="none"/>
              </w:rPr>
              <w:t>分。</w:t>
            </w:r>
          </w:p>
          <w:p w14:paraId="5199AEE0">
            <w:pPr>
              <w:kinsoku w:val="0"/>
              <w:overflowPunct w:val="0"/>
              <w:autoSpaceDE w:val="0"/>
              <w:autoSpaceDN w:val="0"/>
              <w:adjustRightInd w:val="0"/>
              <w:snapToGrid w:val="0"/>
              <w:spacing w:line="400" w:lineRule="exact"/>
              <w:ind w:firstLine="210" w:firstLineChars="100"/>
              <w:rPr>
                <w:rFonts w:hint="eastAsia" w:ascii="宋体" w:hAnsi="宋体" w:eastAsia="宋体" w:cs="宋体"/>
                <w:color w:val="000000"/>
                <w:highlight w:val="none"/>
              </w:rPr>
            </w:pPr>
            <w:r>
              <w:rPr>
                <w:rFonts w:hint="eastAsia" w:ascii="宋体" w:hAnsi="宋体" w:eastAsia="宋体" w:cs="宋体"/>
                <w:color w:val="000000"/>
                <w:highlight w:val="none"/>
              </w:rPr>
              <w:t>第二档次 根据本项目的特点提出针对项目管理服务质量、项目服务数据安全保障，各类服务工作满意度达标、服务质量反馈工作安排等方面的控制措施和承诺以及保险体系建设，各项控制措施及承诺基本齐全、针对性一般，有可行性的得</w:t>
            </w: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分。</w:t>
            </w:r>
          </w:p>
          <w:p w14:paraId="1A411897">
            <w:pPr>
              <w:kinsoku w:val="0"/>
              <w:overflowPunct w:val="0"/>
              <w:autoSpaceDE w:val="0"/>
              <w:autoSpaceDN w:val="0"/>
              <w:adjustRightInd w:val="0"/>
              <w:snapToGrid w:val="0"/>
              <w:spacing w:line="400" w:lineRule="exact"/>
              <w:ind w:firstLine="210" w:firstLineChars="100"/>
              <w:rPr>
                <w:rFonts w:hint="eastAsia" w:ascii="宋体" w:hAnsi="宋体" w:eastAsia="宋体" w:cs="宋体"/>
                <w:color w:val="000000"/>
                <w:highlight w:val="none"/>
              </w:rPr>
            </w:pPr>
            <w:r>
              <w:rPr>
                <w:rFonts w:hint="eastAsia" w:ascii="宋体" w:hAnsi="宋体" w:eastAsia="宋体" w:cs="宋体"/>
                <w:color w:val="000000"/>
                <w:highlight w:val="none"/>
              </w:rPr>
              <w:t>第三档次 根据本项目的特点提出针对项目管理服务质量、项目服务数据安全保障，各类服务工作满意度达标、服务质量反馈工作安排等方面的控制措施和承诺以及保险体系建设，各项控制措施及承诺基本齐全、有一定的针对性，有一定的可行性的得</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分。</w:t>
            </w:r>
          </w:p>
          <w:p w14:paraId="2A1A259F">
            <w:pPr>
              <w:kinsoku w:val="0"/>
              <w:overflowPunct w:val="0"/>
              <w:autoSpaceDE w:val="0"/>
              <w:autoSpaceDN w:val="0"/>
              <w:adjustRightInd w:val="0"/>
              <w:snapToGrid w:val="0"/>
              <w:spacing w:line="400" w:lineRule="exact"/>
              <w:ind w:firstLine="210" w:firstLineChars="100"/>
              <w:rPr>
                <w:rFonts w:hint="eastAsia" w:ascii="宋体" w:hAnsi="宋体" w:eastAsia="宋体" w:cs="宋体"/>
                <w:color w:val="000000"/>
                <w:highlight w:val="none"/>
              </w:rPr>
            </w:pPr>
            <w:r>
              <w:rPr>
                <w:rFonts w:hint="eastAsia" w:ascii="宋体" w:hAnsi="宋体" w:eastAsia="宋体" w:cs="宋体"/>
                <w:color w:val="000000"/>
                <w:highlight w:val="none"/>
              </w:rPr>
              <w:t>第四档次 根据本项目的特点提出针对项目管理服务质量、项目服务数据安全保障，各类服务工作满意度达标、服务质量反馈工作安排等方面的控制措施和承诺以及保险体系建设，内容存在不合理，针对性较弱，保证措施较弱的得</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分评分。</w:t>
            </w:r>
          </w:p>
          <w:p w14:paraId="3EBDC3AF">
            <w:pPr>
              <w:kinsoku w:val="0"/>
              <w:overflowPunct w:val="0"/>
              <w:autoSpaceDE w:val="0"/>
              <w:autoSpaceDN w:val="0"/>
              <w:adjustRightInd w:val="0"/>
              <w:snapToGrid w:val="0"/>
              <w:spacing w:line="400" w:lineRule="exact"/>
              <w:ind w:firstLine="210" w:firstLineChars="100"/>
              <w:rPr>
                <w:rFonts w:hint="eastAsia" w:ascii="宋体" w:hAnsi="宋体" w:eastAsia="宋体" w:cs="宋体"/>
                <w:color w:val="000000"/>
                <w:highlight w:val="none"/>
              </w:rPr>
            </w:pPr>
            <w:r>
              <w:rPr>
                <w:rFonts w:hint="eastAsia" w:ascii="宋体" w:hAnsi="宋体" w:eastAsia="宋体" w:cs="宋体"/>
                <w:color w:val="000000"/>
                <w:highlight w:val="none"/>
              </w:rPr>
              <w:t>第五档次 根据本项目的特点提出针对项目管理服务质量、项目服务数据安全保障，各类服务工作满意度达标、服务质量反馈工作安排等方面的控制措施和承诺以及保险体系建设，内容不全或存在不合理，无针对性，没有相应的保证措施的在</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分评分。</w:t>
            </w:r>
          </w:p>
          <w:p w14:paraId="3135A900">
            <w:pPr>
              <w:spacing w:line="40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000000"/>
                <w:highlight w:val="none"/>
              </w:rPr>
              <w:t>第六档次 无服务质量控制措施及承诺的得0分。</w:t>
            </w:r>
          </w:p>
        </w:tc>
      </w:tr>
      <w:tr w14:paraId="3F71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vMerge w:val="continue"/>
            <w:noWrap/>
            <w:vAlign w:val="center"/>
          </w:tcPr>
          <w:p w14:paraId="55837A45">
            <w:pPr>
              <w:widowControl/>
              <w:spacing w:line="420" w:lineRule="exact"/>
              <w:jc w:val="left"/>
              <w:rPr>
                <w:rFonts w:ascii="宋体" w:hAnsi="宋体" w:eastAsia="宋体" w:cs="宋体"/>
                <w:color w:val="auto"/>
                <w:sz w:val="21"/>
                <w:szCs w:val="21"/>
                <w:highlight w:val="none"/>
              </w:rPr>
            </w:pPr>
          </w:p>
        </w:tc>
        <w:tc>
          <w:tcPr>
            <w:tcW w:w="1005" w:type="dxa"/>
            <w:vMerge w:val="continue"/>
            <w:noWrap/>
            <w:vAlign w:val="center"/>
          </w:tcPr>
          <w:p w14:paraId="27E94758">
            <w:pPr>
              <w:widowControl/>
              <w:spacing w:line="420" w:lineRule="exact"/>
              <w:jc w:val="left"/>
              <w:rPr>
                <w:rFonts w:ascii="宋体" w:hAnsi="宋体" w:eastAsia="宋体" w:cs="宋体"/>
                <w:color w:val="auto"/>
                <w:sz w:val="21"/>
                <w:szCs w:val="21"/>
                <w:highlight w:val="none"/>
              </w:rPr>
            </w:pPr>
          </w:p>
        </w:tc>
        <w:tc>
          <w:tcPr>
            <w:tcW w:w="8682" w:type="dxa"/>
            <w:gridSpan w:val="2"/>
            <w:noWrap/>
            <w:vAlign w:val="center"/>
          </w:tcPr>
          <w:p w14:paraId="727BE022">
            <w:pPr>
              <w:spacing w:line="42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说明：1.</w:t>
            </w:r>
            <w:r>
              <w:rPr>
                <w:rFonts w:hint="eastAsia" w:ascii="宋体" w:hAnsi="宋体" w:eastAsia="宋体" w:cs="宋体"/>
                <w:color w:val="auto"/>
                <w:kern w:val="0"/>
                <w:sz w:val="21"/>
                <w:szCs w:val="21"/>
                <w:highlight w:val="none"/>
                <w:u w:val="single"/>
              </w:rPr>
              <w:t>对各磋商申请人响应文件的综合技术实力部分独立进行分档评分。</w:t>
            </w:r>
          </w:p>
          <w:p w14:paraId="4D06AD32">
            <w:pPr>
              <w:spacing w:line="420" w:lineRule="exact"/>
              <w:ind w:firstLine="630" w:firstLineChars="3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u w:val="single"/>
              </w:rPr>
              <w:t>各磋商申请人须根据上述评分因素提供相应证明材料，以便磋商小组进行审查及评分。如上述资料提供不全或来源不明确，以致磋商小组无法核实的或判定的，则对应评分项应为最后一个档次。</w:t>
            </w:r>
          </w:p>
        </w:tc>
      </w:tr>
    </w:tbl>
    <w:p w14:paraId="5C34CD53">
      <w:pPr>
        <w:pStyle w:val="62"/>
        <w:spacing w:line="460" w:lineRule="exact"/>
        <w:ind w:firstLine="0" w:firstLineChars="0"/>
        <w:rPr>
          <w:rFonts w:ascii="宋体" w:hAnsi="宋体" w:eastAsia="宋体" w:cs="宋体"/>
          <w:b/>
          <w:bCs/>
          <w:color w:val="auto"/>
          <w:kern w:val="0"/>
          <w:sz w:val="24"/>
          <w:szCs w:val="24"/>
          <w:highlight w:val="none"/>
        </w:rPr>
      </w:pPr>
    </w:p>
    <w:p w14:paraId="1947CF1D">
      <w:pPr>
        <w:pStyle w:val="62"/>
        <w:spacing w:line="460" w:lineRule="exact"/>
        <w:ind w:firstLine="0" w:firstLineChars="0"/>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四、磋商方法</w:t>
      </w:r>
    </w:p>
    <w:p w14:paraId="646BECB2">
      <w:pPr>
        <w:widowControl/>
        <w:spacing w:line="460" w:lineRule="exact"/>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（一）综合评分法。磋商小组将根据评审办法计算出各磋商申请人的综合得分，按得分由高到低推荐成交候选人排序；得分相同的，按</w:t>
      </w:r>
      <w:r>
        <w:rPr>
          <w:rFonts w:hint="eastAsia" w:ascii="宋体" w:hAnsi="宋体" w:eastAsia="宋体" w:cs="宋体"/>
          <w:color w:val="auto"/>
          <w:kern w:val="0"/>
          <w:szCs w:val="21"/>
          <w:highlight w:val="none"/>
          <w:lang w:val="en-US" w:eastAsia="zh-CN"/>
        </w:rPr>
        <w:t>保险</w:t>
      </w:r>
      <w:r>
        <w:rPr>
          <w:rFonts w:hint="eastAsia" w:ascii="宋体" w:hAnsi="宋体" w:eastAsia="宋体" w:cs="宋体"/>
          <w:color w:val="auto"/>
          <w:sz w:val="21"/>
          <w:szCs w:val="21"/>
          <w:highlight w:val="none"/>
          <w:lang w:val="en-US" w:eastAsia="zh-CN"/>
        </w:rPr>
        <w:t>保障额度部分评分</w:t>
      </w:r>
      <w:r>
        <w:rPr>
          <w:rFonts w:hint="eastAsia" w:ascii="宋体" w:hAnsi="宋体" w:eastAsia="宋体" w:cs="宋体"/>
          <w:color w:val="auto"/>
          <w:kern w:val="0"/>
          <w:szCs w:val="21"/>
          <w:highlight w:val="none"/>
        </w:rPr>
        <w:t>由</w:t>
      </w:r>
      <w:r>
        <w:rPr>
          <w:rFonts w:hint="eastAsia" w:ascii="宋体" w:hAnsi="宋体" w:eastAsia="宋体" w:cs="宋体"/>
          <w:color w:val="auto"/>
          <w:kern w:val="0"/>
          <w:szCs w:val="21"/>
          <w:highlight w:val="none"/>
          <w:lang w:val="en-US" w:eastAsia="zh-CN"/>
        </w:rPr>
        <w:t>高</w:t>
      </w:r>
      <w:r>
        <w:rPr>
          <w:rFonts w:hint="eastAsia" w:ascii="宋体" w:hAnsi="宋体" w:eastAsia="宋体" w:cs="宋体"/>
          <w:color w:val="auto"/>
          <w:kern w:val="0"/>
          <w:szCs w:val="21"/>
          <w:highlight w:val="none"/>
        </w:rPr>
        <w:t>到</w:t>
      </w:r>
      <w:r>
        <w:rPr>
          <w:rFonts w:hint="eastAsia" w:ascii="宋体" w:hAnsi="宋体" w:eastAsia="宋体" w:cs="宋体"/>
          <w:color w:val="auto"/>
          <w:kern w:val="0"/>
          <w:szCs w:val="21"/>
          <w:highlight w:val="none"/>
          <w:lang w:val="en-US" w:eastAsia="zh-CN"/>
        </w:rPr>
        <w:t>低</w:t>
      </w:r>
      <w:r>
        <w:rPr>
          <w:rFonts w:hint="eastAsia" w:ascii="宋体" w:hAnsi="宋体" w:eastAsia="宋体" w:cs="宋体"/>
          <w:color w:val="auto"/>
          <w:kern w:val="0"/>
          <w:szCs w:val="21"/>
          <w:highlight w:val="none"/>
        </w:rPr>
        <w:t>顺序排列；</w:t>
      </w:r>
      <w:r>
        <w:rPr>
          <w:rFonts w:hint="eastAsia" w:ascii="宋体" w:hAnsi="宋体" w:eastAsia="宋体" w:cs="宋体"/>
          <w:color w:val="auto"/>
          <w:kern w:val="0"/>
          <w:szCs w:val="21"/>
          <w:highlight w:val="none"/>
          <w:lang w:val="en-US" w:eastAsia="zh-CN"/>
        </w:rPr>
        <w:t>总得分及保险</w:t>
      </w:r>
      <w:r>
        <w:rPr>
          <w:rFonts w:hint="eastAsia" w:ascii="宋体" w:hAnsi="宋体" w:eastAsia="宋体" w:cs="宋体"/>
          <w:color w:val="auto"/>
          <w:sz w:val="21"/>
          <w:szCs w:val="21"/>
          <w:highlight w:val="none"/>
          <w:lang w:val="en-US" w:eastAsia="zh-CN"/>
        </w:rPr>
        <w:t>保障额度部分评分</w:t>
      </w:r>
      <w:r>
        <w:rPr>
          <w:rFonts w:hint="eastAsia" w:ascii="宋体" w:hAnsi="宋体" w:eastAsia="宋体" w:cs="宋体"/>
          <w:color w:val="auto"/>
          <w:kern w:val="0"/>
          <w:szCs w:val="21"/>
          <w:highlight w:val="none"/>
        </w:rPr>
        <w:t>相同的，按</w:t>
      </w:r>
      <w:r>
        <w:rPr>
          <w:rFonts w:hint="eastAsia" w:ascii="宋体" w:hAnsi="宋体" w:eastAsia="宋体" w:cs="宋体"/>
          <w:color w:val="auto"/>
          <w:sz w:val="21"/>
          <w:szCs w:val="21"/>
          <w:highlight w:val="none"/>
          <w:lang w:val="en-US" w:eastAsia="zh-CN"/>
        </w:rPr>
        <w:t>查勘理赔服务方案</w:t>
      </w:r>
      <w:r>
        <w:rPr>
          <w:rFonts w:hint="eastAsia" w:ascii="宋体" w:hAnsi="宋体" w:eastAsia="宋体" w:cs="宋体"/>
          <w:color w:val="auto"/>
          <w:szCs w:val="21"/>
          <w:highlight w:val="none"/>
          <w:lang w:val="en-US" w:eastAsia="zh-CN"/>
        </w:rPr>
        <w:t>部分</w:t>
      </w:r>
      <w:r>
        <w:rPr>
          <w:rFonts w:hint="eastAsia" w:ascii="宋体" w:hAnsi="宋体" w:eastAsia="宋体" w:cs="宋体"/>
          <w:color w:val="auto"/>
          <w:kern w:val="0"/>
          <w:szCs w:val="21"/>
          <w:highlight w:val="none"/>
        </w:rPr>
        <w:t>得分高低顺序排列。最终磋商小组将根据评审后的总得分由高到低顺序排列推荐1—3个成交候选人。</w:t>
      </w:r>
    </w:p>
    <w:p w14:paraId="747A358A">
      <w:pPr>
        <w:widowControl/>
        <w:spacing w:line="460" w:lineRule="exact"/>
        <w:ind w:firstLine="42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Cs w:val="21"/>
          <w:highlight w:val="none"/>
        </w:rPr>
        <w:t>（二）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3441D61E">
      <w:pPr>
        <w:pStyle w:val="62"/>
        <w:spacing w:line="460" w:lineRule="exact"/>
        <w:ind w:left="420" w:leftChars="200" w:firstLine="0" w:firstLineChars="0"/>
        <w:rPr>
          <w:rFonts w:ascii="宋体" w:hAnsi="宋体" w:eastAsia="宋体" w:cs="宋体"/>
          <w:b/>
          <w:bCs/>
          <w:color w:val="auto"/>
          <w:kern w:val="0"/>
          <w:sz w:val="24"/>
          <w:szCs w:val="24"/>
          <w:highlight w:val="none"/>
        </w:rPr>
      </w:pPr>
      <w:bookmarkStart w:id="326" w:name="_Toc378499754"/>
      <w:bookmarkStart w:id="327" w:name="_Toc191374451"/>
      <w:bookmarkStart w:id="328" w:name="_Toc86124098"/>
      <w:bookmarkStart w:id="329" w:name="_Toc383175535"/>
      <w:bookmarkStart w:id="330" w:name="_Toc347849273"/>
      <w:r>
        <w:rPr>
          <w:rFonts w:hint="eastAsia" w:ascii="宋体" w:hAnsi="宋体" w:eastAsia="宋体" w:cs="宋体"/>
          <w:b/>
          <w:bCs/>
          <w:color w:val="auto"/>
          <w:kern w:val="0"/>
          <w:sz w:val="24"/>
          <w:szCs w:val="24"/>
          <w:highlight w:val="none"/>
        </w:rPr>
        <w:t>五、磋商程序</w:t>
      </w:r>
      <w:bookmarkEnd w:id="326"/>
      <w:bookmarkEnd w:id="327"/>
      <w:bookmarkEnd w:id="328"/>
      <w:bookmarkEnd w:id="329"/>
      <w:bookmarkEnd w:id="330"/>
    </w:p>
    <w:p w14:paraId="273CDF13">
      <w:pPr>
        <w:widowControl/>
        <w:spacing w:line="460" w:lineRule="exact"/>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资格审查→磋商过程</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在规定的时间内提交最终报价</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承诺</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响应文件的编制符合性审查→响应文件的响应性评审→综合评估评分。</w:t>
      </w:r>
    </w:p>
    <w:p w14:paraId="7129FF47">
      <w:pPr>
        <w:pStyle w:val="62"/>
        <w:widowControl/>
        <w:numPr>
          <w:ilvl w:val="0"/>
          <w:numId w:val="12"/>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依据本章规定的标准对磋商申请人提交的资格部分文件进行审查。只要有一项不符合磋商标准的，就不能通过审查，不再参与磋商。当资格审查通过的磋商申请人少于3家时，将终止本次竞争性磋商采购活动。</w:t>
      </w:r>
    </w:p>
    <w:p w14:paraId="7A54A4CB">
      <w:pPr>
        <w:pStyle w:val="62"/>
        <w:widowControl/>
        <w:numPr>
          <w:ilvl w:val="0"/>
          <w:numId w:val="12"/>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采购需求的审查以响应文件中所提供的相应技术证明材料中技术参数进行审查；响应文件中未提供相应资料的，按不实质性响应磋商文件处理。</w:t>
      </w:r>
    </w:p>
    <w:p w14:paraId="04BA7DB2">
      <w:pPr>
        <w:pStyle w:val="62"/>
        <w:spacing w:line="460" w:lineRule="exact"/>
        <w:ind w:left="420" w:leftChars="200" w:firstLine="0" w:firstLineChars="0"/>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六、磋商标准</w:t>
      </w:r>
    </w:p>
    <w:p w14:paraId="55205BFD">
      <w:pPr>
        <w:pStyle w:val="62"/>
        <w:widowControl/>
        <w:numPr>
          <w:ilvl w:val="0"/>
          <w:numId w:val="13"/>
        </w:numPr>
        <w:spacing w:line="460" w:lineRule="exact"/>
        <w:ind w:firstLineChars="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审查标准</w:t>
      </w:r>
    </w:p>
    <w:p w14:paraId="07F339AA">
      <w:pPr>
        <w:widowControl/>
        <w:spacing w:line="460" w:lineRule="exact"/>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审查标准：依据法律法规和磋商文件的规定，对响应文件中的资格证明、技术及服务要求等实质性要求审查标准进行审查，见“磋商程序和方法前附表”。</w:t>
      </w:r>
    </w:p>
    <w:p w14:paraId="5F56DA4B">
      <w:pPr>
        <w:pStyle w:val="62"/>
        <w:widowControl/>
        <w:numPr>
          <w:ilvl w:val="0"/>
          <w:numId w:val="13"/>
        </w:numPr>
        <w:spacing w:line="460" w:lineRule="exact"/>
        <w:ind w:firstLineChars="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磋商标准</w:t>
      </w:r>
    </w:p>
    <w:p w14:paraId="3A3405F9">
      <w:pPr>
        <w:pStyle w:val="62"/>
        <w:widowControl/>
        <w:numPr>
          <w:ilvl w:val="0"/>
          <w:numId w:val="14"/>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磋商申请人只有通过资格审查才能进行磋商过程及提交最终报价（第二轮磋商报价）及详细评审。</w:t>
      </w:r>
    </w:p>
    <w:p w14:paraId="764FBAF6">
      <w:pPr>
        <w:pStyle w:val="62"/>
        <w:widowControl/>
        <w:numPr>
          <w:ilvl w:val="0"/>
          <w:numId w:val="14"/>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通过审查的各磋商申请人将按照上传磋商响应文件的顺序并根据政采云平台的流程依次与磋商小组进行单一独立磋商，由磋商小组开启相应磋商流程。磋商申请人可对拟供应的服务进行述标（</w:t>
      </w:r>
      <w:r>
        <w:rPr>
          <w:rFonts w:hint="eastAsia" w:ascii="宋体" w:hAnsi="宋体" w:eastAsia="宋体" w:cs="宋体"/>
          <w:b/>
          <w:bCs/>
          <w:color w:val="auto"/>
          <w:kern w:val="0"/>
          <w:szCs w:val="21"/>
          <w:highlight w:val="none"/>
        </w:rPr>
        <w:t>开展</w:t>
      </w:r>
      <w:r>
        <w:rPr>
          <w:rFonts w:hint="eastAsia" w:ascii="宋体" w:hAnsi="宋体" w:eastAsia="宋体" w:cs="宋体"/>
          <w:b/>
          <w:bCs/>
          <w:color w:val="auto"/>
          <w:kern w:val="0"/>
          <w:szCs w:val="21"/>
          <w:highlight w:val="none"/>
          <w:lang w:val="en-US" w:eastAsia="zh-CN"/>
        </w:rPr>
        <w:t>保险</w:t>
      </w:r>
      <w:r>
        <w:rPr>
          <w:rFonts w:hint="eastAsia" w:ascii="宋体" w:hAnsi="宋体" w:eastAsia="宋体" w:cs="宋体"/>
          <w:b/>
          <w:bCs/>
          <w:color w:val="auto"/>
          <w:kern w:val="0"/>
          <w:szCs w:val="21"/>
          <w:highlight w:val="none"/>
        </w:rPr>
        <w:t>服务质量承诺、</w:t>
      </w:r>
      <w:r>
        <w:rPr>
          <w:rFonts w:hint="eastAsia" w:ascii="宋体" w:hAnsi="宋体" w:eastAsia="宋体" w:cs="宋体"/>
          <w:b/>
          <w:bCs/>
          <w:color w:val="auto"/>
          <w:kern w:val="0"/>
          <w:szCs w:val="21"/>
          <w:highlight w:val="none"/>
          <w:lang w:val="en-US" w:eastAsia="zh-CN"/>
        </w:rPr>
        <w:t>保险保障额度、</w:t>
      </w:r>
      <w:r>
        <w:rPr>
          <w:rFonts w:hint="eastAsia" w:ascii="宋体" w:hAnsi="宋体" w:eastAsia="宋体" w:cs="宋体"/>
          <w:b/>
          <w:bCs/>
          <w:color w:val="auto"/>
          <w:kern w:val="0"/>
          <w:szCs w:val="21"/>
          <w:highlight w:val="none"/>
        </w:rPr>
        <w:t>磋商报价等进行介绍</w:t>
      </w:r>
      <w:r>
        <w:rPr>
          <w:rFonts w:hint="eastAsia" w:ascii="宋体" w:hAnsi="宋体" w:eastAsia="宋体" w:cs="宋体"/>
          <w:color w:val="auto"/>
          <w:kern w:val="0"/>
          <w:szCs w:val="21"/>
          <w:highlight w:val="none"/>
        </w:rPr>
        <w:t>）时间：不能超过10分钟。磋商小组将就项目相关质量、磋商报价等方面进行磋商</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各磋商申请人须根据政府采购云平台的系统提示在规定时间内进行填报二次报价及承诺</w:t>
      </w:r>
      <w:r>
        <w:rPr>
          <w:rFonts w:hint="eastAsia" w:ascii="宋体" w:hAnsi="宋体" w:eastAsia="宋体" w:cs="宋体"/>
          <w:color w:val="auto"/>
          <w:kern w:val="0"/>
          <w:szCs w:val="21"/>
          <w:highlight w:val="none"/>
          <w:lang w:eastAsia="zh-CN"/>
        </w:rPr>
        <w:t>（</w:t>
      </w:r>
      <w:r>
        <w:rPr>
          <w:rFonts w:hint="eastAsia" w:ascii="宋体" w:hAnsi="宋体" w:eastAsia="宋体" w:cs="宋体"/>
          <w:b/>
          <w:bCs/>
          <w:color w:val="auto"/>
          <w:kern w:val="0"/>
          <w:szCs w:val="21"/>
          <w:highlight w:val="none"/>
          <w:lang w:val="en-US" w:eastAsia="zh-CN"/>
        </w:rPr>
        <w:t>保险保障额度发生调整的必须在政府采购云平台系统中予以明确和填报，未明确的视为按上传的磋商响应文件所载明的保险保障额度执行</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w:t>
      </w:r>
    </w:p>
    <w:p w14:paraId="53E4F998">
      <w:pPr>
        <w:pStyle w:val="62"/>
        <w:widowControl/>
        <w:numPr>
          <w:ilvl w:val="0"/>
          <w:numId w:val="14"/>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第二轮磋商报价为磋商申请人的最终报价。若磋商申请人最终报价超过预算价，按无效响应文件处理。</w:t>
      </w:r>
    </w:p>
    <w:p w14:paraId="6E0F7114">
      <w:pPr>
        <w:pStyle w:val="62"/>
        <w:widowControl/>
        <w:numPr>
          <w:ilvl w:val="0"/>
          <w:numId w:val="14"/>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磋商小组对各磋商申请人的响应文件进行详细评审。磋商小组按照得分的高低推荐成交候选人，推荐成交候选人1—3人，并标明排列顺序。</w:t>
      </w:r>
    </w:p>
    <w:p w14:paraId="1D5D7FDE">
      <w:pPr>
        <w:pStyle w:val="62"/>
        <w:spacing w:line="460" w:lineRule="exact"/>
        <w:ind w:left="420" w:leftChars="200" w:firstLine="0" w:firstLineChars="0"/>
        <w:rPr>
          <w:rFonts w:ascii="宋体" w:hAnsi="宋体" w:eastAsia="宋体" w:cs="宋体"/>
          <w:b/>
          <w:bCs/>
          <w:color w:val="auto"/>
          <w:kern w:val="0"/>
          <w:sz w:val="24"/>
          <w:szCs w:val="24"/>
          <w:highlight w:val="none"/>
        </w:rPr>
      </w:pPr>
      <w:bookmarkStart w:id="331" w:name="_Toc48271433"/>
      <w:bookmarkStart w:id="332" w:name="_Toc378499756"/>
      <w:bookmarkStart w:id="333" w:name="_Toc383175537"/>
      <w:bookmarkStart w:id="334" w:name="_Toc347849275"/>
      <w:bookmarkStart w:id="335" w:name="_Toc329810241"/>
      <w:bookmarkStart w:id="336" w:name="_Toc191374454"/>
      <w:bookmarkStart w:id="337" w:name="_Toc86124101"/>
      <w:r>
        <w:rPr>
          <w:rFonts w:hint="eastAsia" w:ascii="宋体" w:hAnsi="宋体" w:eastAsia="宋体" w:cs="宋体"/>
          <w:b/>
          <w:bCs/>
          <w:color w:val="auto"/>
          <w:kern w:val="0"/>
          <w:sz w:val="24"/>
          <w:szCs w:val="24"/>
          <w:highlight w:val="none"/>
        </w:rPr>
        <w:t>七、磋商</w:t>
      </w:r>
      <w:bookmarkEnd w:id="331"/>
      <w:r>
        <w:rPr>
          <w:rFonts w:hint="eastAsia" w:ascii="宋体" w:hAnsi="宋体" w:eastAsia="宋体" w:cs="宋体"/>
          <w:b/>
          <w:bCs/>
          <w:color w:val="auto"/>
          <w:kern w:val="0"/>
          <w:sz w:val="24"/>
          <w:szCs w:val="24"/>
          <w:highlight w:val="none"/>
        </w:rPr>
        <w:t>、比较与评价</w:t>
      </w:r>
      <w:bookmarkEnd w:id="332"/>
      <w:bookmarkEnd w:id="333"/>
      <w:bookmarkEnd w:id="334"/>
      <w:bookmarkEnd w:id="335"/>
    </w:p>
    <w:p w14:paraId="481F12F7">
      <w:pPr>
        <w:pStyle w:val="62"/>
        <w:widowControl/>
        <w:numPr>
          <w:ilvl w:val="0"/>
          <w:numId w:val="15"/>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磋商小组所有成员集中与通过资格审查的单一磋商申请人分别进行磋商。在磋商中，磋商的任何一方不得透露与磋商有关的其他磋商申请人的技术资料、价格、折扣和其他商业信息和商业秘密。</w:t>
      </w:r>
    </w:p>
    <w:p w14:paraId="43BB29FA">
      <w:pPr>
        <w:pStyle w:val="62"/>
        <w:widowControl/>
        <w:numPr>
          <w:ilvl w:val="0"/>
          <w:numId w:val="15"/>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磋商文件有实质性变动的，磋商小组将经采购人代表确认后，以书面形式通知所有参加磋商的磋商申请人。但不得对涉及竞争的公平、公正性内容进行修改、变动。</w:t>
      </w:r>
    </w:p>
    <w:p w14:paraId="213F3B9F">
      <w:pPr>
        <w:pStyle w:val="62"/>
        <w:widowControl/>
        <w:numPr>
          <w:ilvl w:val="0"/>
          <w:numId w:val="15"/>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为有助于对响应文件的详细审查、评价和比较，磋商小组可要求对磋商申请人分别进行技术询问、澄清，有关要求和答复均现场进行。</w:t>
      </w:r>
    </w:p>
    <w:p w14:paraId="5D4221B6">
      <w:pPr>
        <w:pStyle w:val="62"/>
        <w:widowControl/>
        <w:numPr>
          <w:ilvl w:val="0"/>
          <w:numId w:val="15"/>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或其授权代表签字或者加盖公章。由授权代表签字的，应当附法定代表人授权书。磋商申请人为自然人的，应当由本人签字并附身份证明。</w:t>
      </w:r>
    </w:p>
    <w:p w14:paraId="2F1716DF">
      <w:pPr>
        <w:pStyle w:val="62"/>
        <w:widowControl/>
        <w:numPr>
          <w:ilvl w:val="0"/>
          <w:numId w:val="15"/>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或其授权代表签字或者加盖公章，并按照政府采购云平台的系统要求进行上传。</w:t>
      </w:r>
    </w:p>
    <w:p w14:paraId="7F7A1B05">
      <w:pPr>
        <w:pStyle w:val="62"/>
        <w:widowControl/>
        <w:numPr>
          <w:ilvl w:val="0"/>
          <w:numId w:val="15"/>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磋商结束后，磋商小组将要求所有继续参加磋商的磋商申请人在规定时间内提交最后报价，提交最后报价的磋商申请人不得少于2家。</w:t>
      </w:r>
    </w:p>
    <w:p w14:paraId="66363020">
      <w:pPr>
        <w:pStyle w:val="62"/>
        <w:widowControl/>
        <w:numPr>
          <w:ilvl w:val="0"/>
          <w:numId w:val="15"/>
        </w:numPr>
        <w:spacing w:line="460" w:lineRule="exact"/>
        <w:ind w:left="0" w:firstLine="42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磋商小组成员要依法独立审查，并对审查意见承担个人责任。磋商小组成员对需要共同认定的事项存在争议的，按照少数服从多数的原则作出结论。</w:t>
      </w:r>
    </w:p>
    <w:p w14:paraId="40582F5B">
      <w:pPr>
        <w:pStyle w:val="62"/>
        <w:widowControl/>
        <w:numPr>
          <w:ilvl w:val="0"/>
          <w:numId w:val="15"/>
        </w:numPr>
        <w:spacing w:line="460" w:lineRule="exact"/>
        <w:ind w:left="0" w:firstLine="420"/>
        <w:rPr>
          <w:rFonts w:ascii="宋体" w:hAnsi="宋体" w:eastAsia="宋体" w:cs="宋体"/>
          <w:color w:val="auto"/>
          <w:kern w:val="0"/>
          <w:sz w:val="24"/>
          <w:szCs w:val="24"/>
          <w:highlight w:val="none"/>
        </w:rPr>
      </w:pPr>
      <w:r>
        <w:rPr>
          <w:rFonts w:hint="eastAsia" w:ascii="宋体" w:hAnsi="宋体" w:eastAsia="宋体" w:cs="宋体"/>
          <w:color w:val="auto"/>
          <w:kern w:val="0"/>
          <w:szCs w:val="21"/>
          <w:highlight w:val="none"/>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9C80D9E">
      <w:pPr>
        <w:pStyle w:val="62"/>
        <w:spacing w:line="460" w:lineRule="exact"/>
        <w:ind w:left="420" w:leftChars="200" w:firstLine="0" w:firstLineChars="0"/>
        <w:rPr>
          <w:rFonts w:ascii="宋体" w:hAnsi="宋体" w:eastAsia="宋体" w:cs="宋体"/>
          <w:b/>
          <w:bCs/>
          <w:color w:val="auto"/>
          <w:kern w:val="0"/>
          <w:sz w:val="24"/>
          <w:szCs w:val="24"/>
          <w:highlight w:val="none"/>
        </w:rPr>
      </w:pPr>
      <w:bookmarkStart w:id="338" w:name="_Toc378499757"/>
      <w:bookmarkStart w:id="339" w:name="_Toc7252792"/>
      <w:bookmarkStart w:id="340" w:name="_Toc347849276"/>
      <w:bookmarkStart w:id="341" w:name="_Toc329810242"/>
      <w:bookmarkStart w:id="342" w:name="_Toc383175538"/>
      <w:r>
        <w:rPr>
          <w:rFonts w:hint="eastAsia" w:ascii="宋体" w:hAnsi="宋体" w:eastAsia="宋体" w:cs="宋体"/>
          <w:b/>
          <w:bCs/>
          <w:color w:val="auto"/>
          <w:kern w:val="0"/>
          <w:sz w:val="24"/>
          <w:szCs w:val="24"/>
          <w:highlight w:val="none"/>
        </w:rPr>
        <w:t>八、磋商结果</w:t>
      </w:r>
      <w:bookmarkEnd w:id="338"/>
      <w:bookmarkEnd w:id="339"/>
      <w:bookmarkEnd w:id="340"/>
      <w:bookmarkEnd w:id="341"/>
      <w:bookmarkEnd w:id="342"/>
    </w:p>
    <w:bookmarkEnd w:id="336"/>
    <w:bookmarkEnd w:id="337"/>
    <w:p w14:paraId="68F4C130">
      <w:pPr>
        <w:widowControl/>
        <w:spacing w:line="460" w:lineRule="exact"/>
        <w:ind w:firstLine="420" w:firstLineChars="200"/>
        <w:rPr>
          <w:rFonts w:ascii="宋体" w:hAnsi="宋体" w:eastAsia="宋体" w:cs="宋体"/>
          <w:b/>
          <w:bCs/>
          <w:color w:val="auto"/>
          <w:sz w:val="28"/>
          <w:szCs w:val="28"/>
          <w:highlight w:val="none"/>
        </w:rPr>
      </w:pPr>
      <w:r>
        <w:rPr>
          <w:rFonts w:hint="eastAsia" w:ascii="宋体" w:hAnsi="宋体" w:eastAsia="宋体" w:cs="宋体"/>
          <w:color w:val="auto"/>
          <w:kern w:val="0"/>
          <w:szCs w:val="21"/>
          <w:highlight w:val="none"/>
        </w:rPr>
        <w:t>磋商小组对各磋商申请人的响应文件进行详细评审。磋商小组按照得分的高低推荐成交候选人，推荐成交候选人1-3名，并标明排列顺序。</w:t>
      </w:r>
    </w:p>
    <w:sectPr>
      <w:pgSz w:w="11906" w:h="16838"/>
      <w:pgMar w:top="936" w:right="1134" w:bottom="1089"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embedRegular r:id="rId1" w:fontKey="{BB47B1B8-721E-4D8E-9175-EEC3F54D001C}"/>
  </w:font>
  <w:font w:name="宋体">
    <w:panose1 w:val="02010600030101010101"/>
    <w:charset w:val="81"/>
    <w:family w:val="auto"/>
    <w:pitch w:val="default"/>
    <w:sig w:usb0="00000003" w:usb1="288F0000" w:usb2="00000006" w:usb3="00000000" w:csb0="00040001" w:csb1="00000000"/>
    <w:embedRegular r:id="rId2" w:fontKey="{B86FD473-F6B2-487C-ABBE-E1D13D1BC28E}"/>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3" w:fontKey="{C8C7E3E6-E1EE-40E4-B05E-A7619B41D3C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4" w:fontKey="{E7D48083-D5BE-45B7-875A-59689FA3D04E}"/>
  </w:font>
  <w:font w:name="仿宋_GB2312">
    <w:panose1 w:val="02010609030101010101"/>
    <w:charset w:val="86"/>
    <w:family w:val="auto"/>
    <w:pitch w:val="default"/>
    <w:sig w:usb0="00000001" w:usb1="080E0000" w:usb2="00000000" w:usb3="00000000" w:csb0="00040000" w:csb1="00000000"/>
    <w:embedRegular r:id="rId5" w:fontKey="{3BE406FB-92D3-4409-B0FB-2B8C65C9B4E1}"/>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kzidenz Grotesk">
    <w:altName w:val="宋体"/>
    <w:panose1 w:val="00000000000000000000"/>
    <w:charset w:val="86"/>
    <w:family w:val="auto"/>
    <w:pitch w:val="default"/>
    <w:sig w:usb0="00000000" w:usb1="00000000" w:usb2="00000010" w:usb3="00000000" w:csb0="00040000" w:csb1="00000000"/>
    <w:embedRegular r:id="rId6" w:fontKey="{1C9BF53A-83DD-4A73-A10F-AF6A1C845D0C}"/>
  </w:font>
  <w:font w:name="仿宋">
    <w:panose1 w:val="02010609060101010101"/>
    <w:charset w:val="86"/>
    <w:family w:val="modern"/>
    <w:pitch w:val="default"/>
    <w:sig w:usb0="800002BF" w:usb1="38CF7CFA" w:usb2="00000016" w:usb3="00000000" w:csb0="00040001" w:csb1="00000000"/>
    <w:embedRegular r:id="rId7" w:fontKey="{7C95BCFE-FD1E-4EAE-98A6-1AA912419031}"/>
  </w:font>
  <w:font w:name="Microsoft Sans Serif">
    <w:panose1 w:val="020B0604020202020204"/>
    <w:charset w:val="00"/>
    <w:family w:val="swiss"/>
    <w:pitch w:val="default"/>
    <w:sig w:usb0="E5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Wingdings 2">
    <w:panose1 w:val="05020102010507070707"/>
    <w:charset w:val="02"/>
    <w:family w:val="auto"/>
    <w:pitch w:val="default"/>
    <w:sig w:usb0="00000000" w:usb1="00000000" w:usb2="00000000" w:usb3="00000000" w:csb0="80000000" w:csb1="00000000"/>
    <w:embedRegular r:id="rId8" w:fontKey="{2CAA9A21-6E76-4B9F-81C2-2D2E73B8130F}"/>
  </w:font>
  <w:font w:name="楷体_GB2312">
    <w:altName w:val="楷体"/>
    <w:panose1 w:val="02010609030101010101"/>
    <w:charset w:val="86"/>
    <w:family w:val="modern"/>
    <w:pitch w:val="default"/>
    <w:sig w:usb0="00000000" w:usb1="00000000" w:usb2="00000000" w:usb3="00000000" w:csb0="00040000" w:csb1="00000000"/>
    <w:embedRegular r:id="rId9" w:fontKey="{E4760B5F-BBB3-44D9-BE29-F7F4EDF92929}"/>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2E040">
    <w:pPr>
      <w:pStyle w:val="2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3618662"/>
                          </w:sdtPr>
                          <w:sdtContent>
                            <w:p w14:paraId="18752AE2">
                              <w:pPr>
                                <w:pStyle w:val="22"/>
                                <w:jc w:val="center"/>
                              </w:pPr>
                              <w:r>
                                <w:fldChar w:fldCharType="begin"/>
                              </w:r>
                              <w:r>
                                <w:instrText xml:space="preserve"> PAGE   \* MERGEFORMAT </w:instrText>
                              </w:r>
                              <w:r>
                                <w:fldChar w:fldCharType="separate"/>
                              </w:r>
                              <w:r>
                                <w:rPr>
                                  <w:lang w:val="zh-CN"/>
                                </w:rPr>
                                <w:t>0</w:t>
                              </w:r>
                              <w:r>
                                <w:rPr>
                                  <w:lang w:val="zh-CN"/>
                                </w:rPr>
                                <w:fldChar w:fldCharType="end"/>
                              </w:r>
                            </w:p>
                          </w:sdtContent>
                        </w:sdt>
                        <w:p w14:paraId="19D5F968">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sdt>
                    <w:sdtPr>
                      <w:id w:val="3618662"/>
                    </w:sdtPr>
                    <w:sdtContent>
                      <w:p w14:paraId="18752AE2">
                        <w:pPr>
                          <w:pStyle w:val="22"/>
                          <w:jc w:val="center"/>
                        </w:pPr>
                        <w:r>
                          <w:fldChar w:fldCharType="begin"/>
                        </w:r>
                        <w:r>
                          <w:instrText xml:space="preserve"> PAGE   \* MERGEFORMAT </w:instrText>
                        </w:r>
                        <w:r>
                          <w:fldChar w:fldCharType="separate"/>
                        </w:r>
                        <w:r>
                          <w:rPr>
                            <w:lang w:val="zh-CN"/>
                          </w:rPr>
                          <w:t>0</w:t>
                        </w:r>
                        <w:r>
                          <w:rPr>
                            <w:lang w:val="zh-CN"/>
                          </w:rPr>
                          <w:fldChar w:fldCharType="end"/>
                        </w:r>
                      </w:p>
                    </w:sdtContent>
                  </w:sdt>
                  <w:p w14:paraId="19D5F968">
                    <w:pPr>
                      <w:pStyle w:val="13"/>
                    </w:pPr>
                  </w:p>
                </w:txbxContent>
              </v:textbox>
            </v:shape>
          </w:pict>
        </mc:Fallback>
      </mc:AlternateContent>
    </w:r>
  </w:p>
  <w:p w14:paraId="5D18479E">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0486E">
    <w:pPr>
      <w:pStyle w:val="2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w="6350">
                        <a:noFill/>
                      </a:ln>
                      <a:effectLst/>
                    </wps:spPr>
                    <wps:txbx>
                      <w:txbxContent>
                        <w:p w14:paraId="48C748D8">
                          <w:pPr>
                            <w:pStyle w:val="22"/>
                            <w:jc w:val="center"/>
                          </w:pPr>
                          <w:r>
                            <w:fldChar w:fldCharType="begin"/>
                          </w:r>
                          <w:r>
                            <w:instrText xml:space="preserve">PAGE   \* MERGEFORMAT</w:instrText>
                          </w:r>
                          <w:r>
                            <w:fldChar w:fldCharType="separate"/>
                          </w:r>
                          <w:r>
                            <w:rPr>
                              <w:lang w:val="zh-CN"/>
                            </w:rPr>
                            <w:t>44</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62336;mso-width-relative:page;mso-height-relative:page;" filled="f" stroked="f" coordsize="21600,21600" o:gfxdata="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72xka9EAAAACAQAADwAAAAAAAAABACAAAAAiAAAAZHJzL2Rvd25yZXYueG1sUEsB&#10;AhQAFAAAAAgAh07iQDeV+K41AgAAYAQAAA4AAAAAAAAAAQAgAAAAIAEAAGRycy9lMm9Eb2MueG1s&#10;UEsFBgAAAAAGAAYAWQEAAMcFAAAAAA==&#10;">
              <v:fill on="f" focussize="0,0"/>
              <v:stroke on="f" weight="0.5pt"/>
              <v:imagedata o:title=""/>
              <o:lock v:ext="edit" aspectratio="f"/>
              <v:textbox inset="0mm,0mm,0mm,0mm" style="mso-fit-shape-to-text:t;">
                <w:txbxContent>
                  <w:p w14:paraId="48C748D8">
                    <w:pPr>
                      <w:pStyle w:val="22"/>
                      <w:jc w:val="center"/>
                    </w:pPr>
                    <w:r>
                      <w:fldChar w:fldCharType="begin"/>
                    </w:r>
                    <w:r>
                      <w:instrText xml:space="preserve">PAGE   \* MERGEFORMAT</w:instrText>
                    </w:r>
                    <w:r>
                      <w:fldChar w:fldCharType="separate"/>
                    </w:r>
                    <w:r>
                      <w:rPr>
                        <w:lang w:val="zh-CN"/>
                      </w:rPr>
                      <w:t>44</w:t>
                    </w:r>
                    <w:r>
                      <w:rPr>
                        <w:lang w:val="zh-CN"/>
                      </w:rPr>
                      <w:fldChar w:fldCharType="end"/>
                    </w:r>
                  </w:p>
                </w:txbxContent>
              </v:textbox>
            </v:shape>
          </w:pict>
        </mc:Fallback>
      </mc:AlternateContent>
    </w:r>
    <w:r>
      <w:drawing>
        <wp:anchor distT="0" distB="0" distL="114300" distR="114300" simplePos="0" relativeHeight="251659264" behindDoc="0" locked="0" layoutInCell="1" allowOverlap="1">
          <wp:simplePos x="0" y="0"/>
          <wp:positionH relativeFrom="column">
            <wp:posOffset>4671060</wp:posOffset>
          </wp:positionH>
          <wp:positionV relativeFrom="paragraph">
            <wp:posOffset>20320</wp:posOffset>
          </wp:positionV>
          <wp:extent cx="1447165" cy="485775"/>
          <wp:effectExtent l="0" t="0" r="635" b="9525"/>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47165" cy="485775"/>
                  </a:xfrm>
                  <a:prstGeom prst="rect">
                    <a:avLst/>
                  </a:prstGeom>
                  <a:noFill/>
                  <a:ln w="9525">
                    <a:noFill/>
                    <a:miter lim="800000"/>
                    <a:headEnd/>
                    <a:tailEnd/>
                  </a:ln>
                </pic:spPr>
              </pic:pic>
            </a:graphicData>
          </a:graphic>
        </wp:anchor>
      </w:drawing>
    </w:r>
  </w:p>
  <w:p w14:paraId="57B617D8">
    <w:pPr>
      <w:pStyle w:val="22"/>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A6EF3">
    <w:pPr>
      <w:pStyle w:val="2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FF724F3">
                          <w:pPr>
                            <w:pStyle w:val="22"/>
                            <w:jc w:val="center"/>
                          </w:pPr>
                          <w:r>
                            <w:fldChar w:fldCharType="begin"/>
                          </w:r>
                          <w:r>
                            <w:instrText xml:space="preserve">PAGE   \* MERGEFORMAT</w:instrText>
                          </w:r>
                          <w:r>
                            <w:fldChar w:fldCharType="separate"/>
                          </w:r>
                          <w:r>
                            <w:rPr>
                              <w:lang w:val="zh-CN"/>
                            </w:rPr>
                            <w:t>50</w:t>
                          </w:r>
                          <w:r>
                            <w:rPr>
                              <w:lang w:val="zh-CN"/>
                            </w:rPr>
                            <w:fldChar w:fldCharType="end"/>
                          </w:r>
                        </w:p>
                        <w:p w14:paraId="254F9F5C">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5FF724F3">
                    <w:pPr>
                      <w:pStyle w:val="22"/>
                      <w:jc w:val="center"/>
                    </w:pPr>
                    <w:r>
                      <w:fldChar w:fldCharType="begin"/>
                    </w:r>
                    <w:r>
                      <w:instrText xml:space="preserve">PAGE   \* MERGEFORMAT</w:instrText>
                    </w:r>
                    <w:r>
                      <w:fldChar w:fldCharType="separate"/>
                    </w:r>
                    <w:r>
                      <w:rPr>
                        <w:lang w:val="zh-CN"/>
                      </w:rPr>
                      <w:t>50</w:t>
                    </w:r>
                    <w:r>
                      <w:rPr>
                        <w:lang w:val="zh-CN"/>
                      </w:rPr>
                      <w:fldChar w:fldCharType="end"/>
                    </w:r>
                  </w:p>
                  <w:p w14:paraId="254F9F5C">
                    <w:pPr>
                      <w:pStyle w:val="13"/>
                    </w:pPr>
                  </w:p>
                </w:txbxContent>
              </v:textbox>
            </v:shape>
          </w:pict>
        </mc:Fallback>
      </mc:AlternateContent>
    </w:r>
  </w:p>
  <w:p w14:paraId="7E7AB517">
    <w:pPr>
      <w:pStyle w:val="22"/>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F873F">
    <w:pPr>
      <w:pStyle w:val="22"/>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813098791"/>
                          </w:sdtPr>
                          <w:sdtContent>
                            <w:p w14:paraId="79397F7C">
                              <w:pPr>
                                <w:pStyle w:val="22"/>
                                <w:jc w:val="center"/>
                              </w:pPr>
                              <w:r>
                                <w:fldChar w:fldCharType="begin"/>
                              </w:r>
                              <w:r>
                                <w:instrText xml:space="preserve">PAGE   \* MERGEFORMAT</w:instrText>
                              </w:r>
                              <w:r>
                                <w:fldChar w:fldCharType="separate"/>
                              </w:r>
                              <w:r>
                                <w:rPr>
                                  <w:lang w:val="zh-CN"/>
                                </w:rPr>
                                <w:t>80</w:t>
                              </w:r>
                              <w:r>
                                <w:rPr>
                                  <w:lang w:val="zh-CN"/>
                                </w:rPr>
                                <w:fldChar w:fldCharType="end"/>
                              </w:r>
                            </w:p>
                          </w:sdtContent>
                        </w:sdt>
                        <w:p w14:paraId="42A19163">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sdt>
                    <w:sdtPr>
                      <w:id w:val="-813098791"/>
                    </w:sdtPr>
                    <w:sdtContent>
                      <w:p w14:paraId="79397F7C">
                        <w:pPr>
                          <w:pStyle w:val="22"/>
                          <w:jc w:val="center"/>
                        </w:pPr>
                        <w:r>
                          <w:fldChar w:fldCharType="begin"/>
                        </w:r>
                        <w:r>
                          <w:instrText xml:space="preserve">PAGE   \* MERGEFORMAT</w:instrText>
                        </w:r>
                        <w:r>
                          <w:fldChar w:fldCharType="separate"/>
                        </w:r>
                        <w:r>
                          <w:rPr>
                            <w:lang w:val="zh-CN"/>
                          </w:rPr>
                          <w:t>80</w:t>
                        </w:r>
                        <w:r>
                          <w:rPr>
                            <w:lang w:val="zh-CN"/>
                          </w:rPr>
                          <w:fldChar w:fldCharType="end"/>
                        </w:r>
                      </w:p>
                    </w:sdtContent>
                  </w:sdt>
                  <w:p w14:paraId="42A19163">
                    <w:pPr>
                      <w:pStyle w:val="13"/>
                    </w:pPr>
                  </w:p>
                </w:txbxContent>
              </v:textbox>
            </v:shape>
          </w:pict>
        </mc:Fallback>
      </mc:AlternateContent>
    </w:r>
  </w:p>
  <w:p w14:paraId="001CE842">
    <w:pPr>
      <w:pStyle w:val="22"/>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EF541">
    <w:pPr>
      <w:pStyle w:val="23"/>
      <w:rPr>
        <w:rFonts w:hint="eastAsia" w:eastAsia="宋体"/>
        <w:sz w:val="15"/>
        <w:szCs w:val="15"/>
        <w:lang w:eastAsia="zh-CN"/>
      </w:rPr>
    </w:pPr>
    <w:r>
      <w:rPr>
        <w:rFonts w:hint="eastAsia" w:ascii="宋体" w:hAnsi="宋体" w:eastAsia="宋体" w:cs="宋体"/>
        <w:sz w:val="16"/>
        <w:szCs w:val="16"/>
        <w:lang w:eastAsia="zh-CN"/>
      </w:rPr>
      <w:t>昌宁县教育体育局2024至2025学年校方综合防范保险采购</w:t>
    </w:r>
    <w:r>
      <w:rPr>
        <w:rFonts w:hint="eastAsia" w:ascii="宋体" w:hAnsi="宋体" w:eastAsia="宋体" w:cs="宋体"/>
        <w:sz w:val="16"/>
        <w:szCs w:val="16"/>
      </w:rPr>
      <w:t>竞争性磋商文件</w:t>
    </w:r>
    <w:r>
      <w:rPr>
        <w:rFonts w:hint="eastAsia" w:ascii="宋体" w:hAnsi="宋体" w:eastAsia="宋体" w:cs="宋体"/>
        <w:sz w:val="16"/>
        <w:szCs w:val="16"/>
        <w:lang w:val="en-US" w:eastAsia="zh-CN"/>
      </w:rPr>
      <w:t xml:space="preserve">                         </w:t>
    </w:r>
    <w:r>
      <w:rPr>
        <w:rFonts w:hint="eastAsia" w:ascii="宋体" w:hAnsi="宋体" w:eastAsia="宋体" w:cs="宋体"/>
        <w:sz w:val="16"/>
        <w:szCs w:val="16"/>
      </w:rPr>
      <w:t xml:space="preserve">  </w:t>
    </w:r>
    <w:r>
      <w:rPr>
        <w:rFonts w:hint="eastAsia" w:ascii="宋体" w:hAnsi="宋体" w:eastAsia="宋体"/>
        <w:sz w:val="16"/>
        <w:szCs w:val="16"/>
      </w:rPr>
      <w:t>项目编号：</w:t>
    </w:r>
    <w:r>
      <w:rPr>
        <w:rFonts w:hint="eastAsia" w:ascii="宋体" w:hAnsi="宋体" w:eastAsia="宋体"/>
        <w:sz w:val="16"/>
        <w:szCs w:val="16"/>
        <w:lang w:eastAsia="zh-CN"/>
      </w:rPr>
      <w:t>TRZBC2024-83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7C314">
    <w:pPr>
      <w:pStyle w:val="23"/>
    </w:pPr>
    <w:r>
      <w:rPr>
        <w:rFonts w:hint="eastAsia" w:ascii="宋体" w:hAnsi="宋体" w:eastAsia="宋体" w:cs="宋体"/>
        <w:sz w:val="15"/>
        <w:szCs w:val="15"/>
      </w:rPr>
      <w:t>保山中医医院视频监控系统项目竞争性磋商文件</w:t>
    </w:r>
    <w:r>
      <w:rPr>
        <w:rFonts w:hint="eastAsia" w:ascii="宋体" w:hAnsi="宋体" w:eastAsia="宋体"/>
        <w:sz w:val="15"/>
        <w:szCs w:val="15"/>
      </w:rPr>
      <w:t>项目编号：TRZBC2020-07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1C98BE"/>
    <w:multiLevelType w:val="singleLevel"/>
    <w:tmpl w:val="BE1C98BE"/>
    <w:lvl w:ilvl="0" w:tentative="0">
      <w:start w:val="1"/>
      <w:numFmt w:val="decimal"/>
      <w:lvlText w:val="%1."/>
      <w:lvlJc w:val="left"/>
      <w:pPr>
        <w:tabs>
          <w:tab w:val="left" w:pos="312"/>
        </w:tabs>
      </w:pPr>
    </w:lvl>
  </w:abstractNum>
  <w:abstractNum w:abstractNumId="1">
    <w:nsid w:val="D25ECC35"/>
    <w:multiLevelType w:val="singleLevel"/>
    <w:tmpl w:val="D25ECC35"/>
    <w:lvl w:ilvl="0" w:tentative="0">
      <w:start w:val="1"/>
      <w:numFmt w:val="decimal"/>
      <w:pStyle w:val="8"/>
      <w:lvlText w:val="%1."/>
      <w:lvlJc w:val="left"/>
      <w:pPr>
        <w:tabs>
          <w:tab w:val="left" w:pos="360"/>
        </w:tabs>
        <w:ind w:left="360" w:hanging="360"/>
      </w:pPr>
    </w:lvl>
  </w:abstractNum>
  <w:abstractNum w:abstractNumId="2">
    <w:nsid w:val="04252575"/>
    <w:multiLevelType w:val="multilevel"/>
    <w:tmpl w:val="04252575"/>
    <w:lvl w:ilvl="0" w:tentative="0">
      <w:start w:val="21"/>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3">
    <w:nsid w:val="069F34F2"/>
    <w:multiLevelType w:val="multilevel"/>
    <w:tmpl w:val="069F34F2"/>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F240975"/>
    <w:multiLevelType w:val="multilevel"/>
    <w:tmpl w:val="0F240975"/>
    <w:lvl w:ilvl="0" w:tentative="0">
      <w:start w:val="1"/>
      <w:numFmt w:val="decimal"/>
      <w:lvlText w:val="%1."/>
      <w:lvlJc w:val="left"/>
      <w:pPr>
        <w:ind w:left="846"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140079A2"/>
    <w:multiLevelType w:val="multilevel"/>
    <w:tmpl w:val="140079A2"/>
    <w:lvl w:ilvl="0" w:tentative="0">
      <w:start w:val="1"/>
      <w:numFmt w:val="decimal"/>
      <w:lvlText w:val="%1."/>
      <w:lvlJc w:val="left"/>
      <w:pPr>
        <w:ind w:left="1242" w:hanging="382"/>
      </w:pPr>
      <w:rPr>
        <w:rFonts w:hint="default" w:ascii="宋体" w:hAnsi="宋体" w:eastAsia="宋体" w:cs="宋体"/>
        <w:spacing w:val="0"/>
        <w:sz w:val="21"/>
        <w:szCs w:val="21"/>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6">
    <w:nsid w:val="1ED7572B"/>
    <w:multiLevelType w:val="singleLevel"/>
    <w:tmpl w:val="1ED7572B"/>
    <w:lvl w:ilvl="0" w:tentative="0">
      <w:start w:val="3"/>
      <w:numFmt w:val="chineseCounting"/>
      <w:suff w:val="nothing"/>
      <w:lvlText w:val="%1、"/>
      <w:lvlJc w:val="left"/>
      <w:rPr>
        <w:rFonts w:hint="eastAsia"/>
      </w:rPr>
    </w:lvl>
  </w:abstractNum>
  <w:abstractNum w:abstractNumId="7">
    <w:nsid w:val="216BE14E"/>
    <w:multiLevelType w:val="singleLevel"/>
    <w:tmpl w:val="216BE14E"/>
    <w:lvl w:ilvl="0" w:tentative="0">
      <w:start w:val="1"/>
      <w:numFmt w:val="decimal"/>
      <w:lvlText w:val="%1."/>
      <w:lvlJc w:val="left"/>
      <w:pPr>
        <w:tabs>
          <w:tab w:val="left" w:pos="312"/>
        </w:tabs>
      </w:pPr>
    </w:lvl>
  </w:abstractNum>
  <w:abstractNum w:abstractNumId="8">
    <w:nsid w:val="26925BDF"/>
    <w:multiLevelType w:val="multilevel"/>
    <w:tmpl w:val="26925BDF"/>
    <w:lvl w:ilvl="0" w:tentative="0">
      <w:start w:val="1"/>
      <w:numFmt w:val="chineseCountingThousand"/>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423F26CD"/>
    <w:multiLevelType w:val="multilevel"/>
    <w:tmpl w:val="423F26CD"/>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decimal"/>
      <w:lvlText w:val="（%3）"/>
      <w:lvlJc w:val="left"/>
      <w:pPr>
        <w:ind w:left="1680" w:hanging="420"/>
      </w:pPr>
      <w:rPr>
        <w:rFonts w:hint="default"/>
      </w:r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4AEE452A"/>
    <w:multiLevelType w:val="multilevel"/>
    <w:tmpl w:val="4AEE452A"/>
    <w:lvl w:ilvl="0" w:tentative="0">
      <w:start w:val="13"/>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11">
    <w:nsid w:val="4DEC0A56"/>
    <w:multiLevelType w:val="multilevel"/>
    <w:tmpl w:val="4DEC0A56"/>
    <w:lvl w:ilvl="0" w:tentative="0">
      <w:start w:val="1"/>
      <w:numFmt w:val="decimal"/>
      <w:lvlText w:val="（%1）"/>
      <w:lvlJc w:val="left"/>
      <w:pPr>
        <w:ind w:left="1130" w:hanging="420"/>
      </w:pPr>
      <w:rPr>
        <w:rFonts w:hint="default"/>
        <w:lang w:val="en-US"/>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2">
    <w:nsid w:val="4FA37481"/>
    <w:multiLevelType w:val="multilevel"/>
    <w:tmpl w:val="4FA37481"/>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581278F3"/>
    <w:multiLevelType w:val="multilevel"/>
    <w:tmpl w:val="581278F3"/>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684E3C5D"/>
    <w:multiLevelType w:val="multilevel"/>
    <w:tmpl w:val="684E3C5D"/>
    <w:lvl w:ilvl="0" w:tentative="0">
      <w:start w:val="1"/>
      <w:numFmt w:val="decimal"/>
      <w:lvlText w:val="%1."/>
      <w:lvlJc w:val="left"/>
      <w:pPr>
        <w:ind w:left="420" w:hanging="420"/>
      </w:pPr>
    </w:lvl>
    <w:lvl w:ilvl="1" w:tentative="0">
      <w:start w:val="1"/>
      <w:numFmt w:val="decimal"/>
      <w:lvlText w:val="%2."/>
      <w:lvlJc w:val="left"/>
      <w:pPr>
        <w:ind w:left="840" w:hanging="420"/>
      </w:pPr>
      <w:rPr>
        <w:rFonts w:hint="default"/>
      </w:rPr>
    </w:lvl>
    <w:lvl w:ilvl="2" w:tentative="0">
      <w:start w:val="1"/>
      <w:numFmt w:val="decimal"/>
      <w:lvlText w:val="（%3）"/>
      <w:lvlJc w:val="left"/>
      <w:pPr>
        <w:ind w:left="1560" w:hanging="720"/>
      </w:pPr>
      <w:rPr>
        <w:rFonts w:hint="default"/>
      </w:rPr>
    </w:lvl>
    <w:lvl w:ilvl="3" w:tentative="0">
      <w:start w:val="1"/>
      <w:numFmt w:val="decimal"/>
      <w:lvlText w:val="%4、"/>
      <w:lvlJc w:val="left"/>
      <w:pPr>
        <w:ind w:left="1980" w:hanging="720"/>
      </w:pPr>
      <w:rPr>
        <w:rFonts w:hint="default"/>
      </w:rPr>
    </w:lvl>
    <w:lvl w:ilvl="4" w:tentative="0">
      <w:start w:val="1"/>
      <w:numFmt w:val="japaneseCounting"/>
      <w:lvlText w:val="（%5）"/>
      <w:lvlJc w:val="left"/>
      <w:pPr>
        <w:ind w:left="2400" w:hanging="720"/>
      </w:pPr>
      <w:rPr>
        <w:rFonts w:hint="default"/>
      </w:rPr>
    </w:lvl>
    <w:lvl w:ilvl="5" w:tentative="0">
      <w:start w:val="1"/>
      <w:numFmt w:val="japaneseCounting"/>
      <w:lvlText w:val="第%6节"/>
      <w:lvlJc w:val="left"/>
      <w:pPr>
        <w:ind w:left="4983" w:hanging="1155"/>
      </w:pPr>
      <w:rPr>
        <w:rFonts w:hint="default"/>
      </w:rPr>
    </w:lvl>
    <w:lvl w:ilvl="6" w:tentative="0">
      <w:start w:val="1"/>
      <w:numFmt w:val="japaneseCounting"/>
      <w:lvlText w:val="%7、"/>
      <w:lvlJc w:val="left"/>
      <w:pPr>
        <w:ind w:left="3030" w:hanging="510"/>
      </w:pPr>
      <w:rPr>
        <w:rFonts w:hint="default" w:cs="宋体"/>
        <w:b/>
      </w:r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14"/>
  </w:num>
  <w:num w:numId="3">
    <w:abstractNumId w:val="10"/>
  </w:num>
  <w:num w:numId="4">
    <w:abstractNumId w:val="8"/>
  </w:num>
  <w:num w:numId="5">
    <w:abstractNumId w:val="9"/>
  </w:num>
  <w:num w:numId="6">
    <w:abstractNumId w:val="2"/>
  </w:num>
  <w:num w:numId="7">
    <w:abstractNumId w:val="11"/>
  </w:num>
  <w:num w:numId="8">
    <w:abstractNumId w:val="6"/>
  </w:num>
  <w:num w:numId="9">
    <w:abstractNumId w:val="5"/>
    <w:lvlOverride w:ilvl="0">
      <w:startOverride w:val="1"/>
    </w:lvlOverride>
  </w:num>
  <w:num w:numId="10">
    <w:abstractNumId w:val="7"/>
  </w:num>
  <w:num w:numId="11">
    <w:abstractNumId w:val="0"/>
  </w:num>
  <w:num w:numId="12">
    <w:abstractNumId w:val="13"/>
  </w:num>
  <w:num w:numId="13">
    <w:abstractNumId w:val="3"/>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embedSystemFonts/>
  <w:saveSubsetFonts/>
  <w:bordersDoNotSurroundHeader w:val="0"/>
  <w:bordersDoNotSurroundFooter w:val="0"/>
  <w:hideSpellingErrors/>
  <w:documentProtection w:enforcement="0"/>
  <w:defaultTabStop w:val="105"/>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1MGFkOTliMWMxZjRlNmI3ODIxY2E1NGNhODc3MGUifQ=="/>
  </w:docVars>
  <w:rsids>
    <w:rsidRoot w:val="0023005F"/>
    <w:rsid w:val="0000017C"/>
    <w:rsid w:val="0000077C"/>
    <w:rsid w:val="000007D7"/>
    <w:rsid w:val="00000AD3"/>
    <w:rsid w:val="0000183F"/>
    <w:rsid w:val="00001940"/>
    <w:rsid w:val="00002B2B"/>
    <w:rsid w:val="00003F9A"/>
    <w:rsid w:val="000040A5"/>
    <w:rsid w:val="00004A96"/>
    <w:rsid w:val="00004AED"/>
    <w:rsid w:val="00004D32"/>
    <w:rsid w:val="000055D1"/>
    <w:rsid w:val="000069B4"/>
    <w:rsid w:val="00007299"/>
    <w:rsid w:val="00007EF0"/>
    <w:rsid w:val="00010024"/>
    <w:rsid w:val="00010ACD"/>
    <w:rsid w:val="00011E5F"/>
    <w:rsid w:val="00011F63"/>
    <w:rsid w:val="00011F6F"/>
    <w:rsid w:val="00012719"/>
    <w:rsid w:val="00013354"/>
    <w:rsid w:val="00013BB0"/>
    <w:rsid w:val="00013D62"/>
    <w:rsid w:val="00013E92"/>
    <w:rsid w:val="00014B19"/>
    <w:rsid w:val="00014DF4"/>
    <w:rsid w:val="00014FF3"/>
    <w:rsid w:val="00015671"/>
    <w:rsid w:val="00015DED"/>
    <w:rsid w:val="00016DD9"/>
    <w:rsid w:val="00017569"/>
    <w:rsid w:val="0001764D"/>
    <w:rsid w:val="00020253"/>
    <w:rsid w:val="00021184"/>
    <w:rsid w:val="00021208"/>
    <w:rsid w:val="000218E6"/>
    <w:rsid w:val="00021C4B"/>
    <w:rsid w:val="00021DFF"/>
    <w:rsid w:val="00021FB7"/>
    <w:rsid w:val="000225B7"/>
    <w:rsid w:val="000235F7"/>
    <w:rsid w:val="000242F3"/>
    <w:rsid w:val="00025C6E"/>
    <w:rsid w:val="00025FB7"/>
    <w:rsid w:val="00026543"/>
    <w:rsid w:val="0002699B"/>
    <w:rsid w:val="000271A1"/>
    <w:rsid w:val="000273CC"/>
    <w:rsid w:val="000279C8"/>
    <w:rsid w:val="00027EA0"/>
    <w:rsid w:val="000302A6"/>
    <w:rsid w:val="000302B8"/>
    <w:rsid w:val="00030C0C"/>
    <w:rsid w:val="00031332"/>
    <w:rsid w:val="00031474"/>
    <w:rsid w:val="00031649"/>
    <w:rsid w:val="0003200A"/>
    <w:rsid w:val="0003217F"/>
    <w:rsid w:val="000325B7"/>
    <w:rsid w:val="00032938"/>
    <w:rsid w:val="00032BA3"/>
    <w:rsid w:val="00032C90"/>
    <w:rsid w:val="000333E7"/>
    <w:rsid w:val="000338DE"/>
    <w:rsid w:val="00034DF0"/>
    <w:rsid w:val="000358A4"/>
    <w:rsid w:val="00036740"/>
    <w:rsid w:val="00036AA0"/>
    <w:rsid w:val="00036F7E"/>
    <w:rsid w:val="0003701C"/>
    <w:rsid w:val="00037EA9"/>
    <w:rsid w:val="000403CF"/>
    <w:rsid w:val="00040612"/>
    <w:rsid w:val="00040846"/>
    <w:rsid w:val="000410D3"/>
    <w:rsid w:val="000414B5"/>
    <w:rsid w:val="00042269"/>
    <w:rsid w:val="00042342"/>
    <w:rsid w:val="00042527"/>
    <w:rsid w:val="00042F2C"/>
    <w:rsid w:val="000444AE"/>
    <w:rsid w:val="00045CEA"/>
    <w:rsid w:val="00046CCC"/>
    <w:rsid w:val="00047326"/>
    <w:rsid w:val="00047981"/>
    <w:rsid w:val="00047B8C"/>
    <w:rsid w:val="00051136"/>
    <w:rsid w:val="0005129C"/>
    <w:rsid w:val="000518A3"/>
    <w:rsid w:val="00051BE6"/>
    <w:rsid w:val="000528C4"/>
    <w:rsid w:val="0005465F"/>
    <w:rsid w:val="0005470C"/>
    <w:rsid w:val="00054C43"/>
    <w:rsid w:val="000556DC"/>
    <w:rsid w:val="00056747"/>
    <w:rsid w:val="000568A9"/>
    <w:rsid w:val="00061A33"/>
    <w:rsid w:val="00061CD8"/>
    <w:rsid w:val="00062AEC"/>
    <w:rsid w:val="00063245"/>
    <w:rsid w:val="00063E73"/>
    <w:rsid w:val="000643C9"/>
    <w:rsid w:val="0006468D"/>
    <w:rsid w:val="0006504F"/>
    <w:rsid w:val="00065542"/>
    <w:rsid w:val="000662BA"/>
    <w:rsid w:val="00067603"/>
    <w:rsid w:val="000677F6"/>
    <w:rsid w:val="0006794C"/>
    <w:rsid w:val="00067B92"/>
    <w:rsid w:val="000710E6"/>
    <w:rsid w:val="00072537"/>
    <w:rsid w:val="00074216"/>
    <w:rsid w:val="000747A8"/>
    <w:rsid w:val="000748F8"/>
    <w:rsid w:val="00075162"/>
    <w:rsid w:val="000763B0"/>
    <w:rsid w:val="00076D51"/>
    <w:rsid w:val="000771B5"/>
    <w:rsid w:val="000776E9"/>
    <w:rsid w:val="00077DB1"/>
    <w:rsid w:val="00080507"/>
    <w:rsid w:val="00080A89"/>
    <w:rsid w:val="00080CC1"/>
    <w:rsid w:val="0008159B"/>
    <w:rsid w:val="000828E3"/>
    <w:rsid w:val="00082A81"/>
    <w:rsid w:val="00082BE3"/>
    <w:rsid w:val="00083B9B"/>
    <w:rsid w:val="000850DD"/>
    <w:rsid w:val="00085DF5"/>
    <w:rsid w:val="0008704C"/>
    <w:rsid w:val="00087349"/>
    <w:rsid w:val="000907AE"/>
    <w:rsid w:val="00090828"/>
    <w:rsid w:val="000909C7"/>
    <w:rsid w:val="00090CC2"/>
    <w:rsid w:val="00090F4E"/>
    <w:rsid w:val="0009165A"/>
    <w:rsid w:val="00091C11"/>
    <w:rsid w:val="00091F4B"/>
    <w:rsid w:val="00091F6F"/>
    <w:rsid w:val="000955D9"/>
    <w:rsid w:val="00096787"/>
    <w:rsid w:val="00096A27"/>
    <w:rsid w:val="00097F7B"/>
    <w:rsid w:val="000A0C72"/>
    <w:rsid w:val="000A1124"/>
    <w:rsid w:val="000A1A05"/>
    <w:rsid w:val="000A1BA7"/>
    <w:rsid w:val="000A21D3"/>
    <w:rsid w:val="000A3151"/>
    <w:rsid w:val="000A319C"/>
    <w:rsid w:val="000A3B96"/>
    <w:rsid w:val="000A4F88"/>
    <w:rsid w:val="000A5C72"/>
    <w:rsid w:val="000A64C5"/>
    <w:rsid w:val="000A6528"/>
    <w:rsid w:val="000B0244"/>
    <w:rsid w:val="000B02CC"/>
    <w:rsid w:val="000B059F"/>
    <w:rsid w:val="000B11B4"/>
    <w:rsid w:val="000B13E5"/>
    <w:rsid w:val="000B1716"/>
    <w:rsid w:val="000B18C7"/>
    <w:rsid w:val="000B200A"/>
    <w:rsid w:val="000B2382"/>
    <w:rsid w:val="000B2E73"/>
    <w:rsid w:val="000B49F6"/>
    <w:rsid w:val="000B6096"/>
    <w:rsid w:val="000B6227"/>
    <w:rsid w:val="000B62BA"/>
    <w:rsid w:val="000B6E95"/>
    <w:rsid w:val="000B73E7"/>
    <w:rsid w:val="000B7779"/>
    <w:rsid w:val="000B7DB7"/>
    <w:rsid w:val="000C0721"/>
    <w:rsid w:val="000C082C"/>
    <w:rsid w:val="000C0DE0"/>
    <w:rsid w:val="000C13BD"/>
    <w:rsid w:val="000C1CAB"/>
    <w:rsid w:val="000C2983"/>
    <w:rsid w:val="000C2A61"/>
    <w:rsid w:val="000C3004"/>
    <w:rsid w:val="000C3639"/>
    <w:rsid w:val="000C3D4A"/>
    <w:rsid w:val="000C47BC"/>
    <w:rsid w:val="000C48E5"/>
    <w:rsid w:val="000C4E31"/>
    <w:rsid w:val="000C56F3"/>
    <w:rsid w:val="000C610D"/>
    <w:rsid w:val="000D0149"/>
    <w:rsid w:val="000D021D"/>
    <w:rsid w:val="000D085C"/>
    <w:rsid w:val="000D0BC2"/>
    <w:rsid w:val="000D0ED0"/>
    <w:rsid w:val="000D18D9"/>
    <w:rsid w:val="000D23AE"/>
    <w:rsid w:val="000D2559"/>
    <w:rsid w:val="000D26FF"/>
    <w:rsid w:val="000D2AC0"/>
    <w:rsid w:val="000D3ABF"/>
    <w:rsid w:val="000D44D0"/>
    <w:rsid w:val="000D55C4"/>
    <w:rsid w:val="000D63D0"/>
    <w:rsid w:val="000D67A1"/>
    <w:rsid w:val="000D77CE"/>
    <w:rsid w:val="000D78A7"/>
    <w:rsid w:val="000E0DBD"/>
    <w:rsid w:val="000E15D9"/>
    <w:rsid w:val="000E2171"/>
    <w:rsid w:val="000E253E"/>
    <w:rsid w:val="000E2C82"/>
    <w:rsid w:val="000E2D9E"/>
    <w:rsid w:val="000E3365"/>
    <w:rsid w:val="000E4792"/>
    <w:rsid w:val="000E5358"/>
    <w:rsid w:val="000E5421"/>
    <w:rsid w:val="000E5D71"/>
    <w:rsid w:val="000E6120"/>
    <w:rsid w:val="000E6260"/>
    <w:rsid w:val="000E635F"/>
    <w:rsid w:val="000E67B5"/>
    <w:rsid w:val="000F001E"/>
    <w:rsid w:val="000F05D5"/>
    <w:rsid w:val="000F06C7"/>
    <w:rsid w:val="000F0C4B"/>
    <w:rsid w:val="000F143A"/>
    <w:rsid w:val="000F143F"/>
    <w:rsid w:val="000F194B"/>
    <w:rsid w:val="000F1B50"/>
    <w:rsid w:val="000F25A9"/>
    <w:rsid w:val="000F267C"/>
    <w:rsid w:val="000F2D5B"/>
    <w:rsid w:val="000F328C"/>
    <w:rsid w:val="000F36F1"/>
    <w:rsid w:val="000F3F0F"/>
    <w:rsid w:val="000F3FD0"/>
    <w:rsid w:val="000F4A97"/>
    <w:rsid w:val="000F4D36"/>
    <w:rsid w:val="000F57F1"/>
    <w:rsid w:val="000F62E9"/>
    <w:rsid w:val="000F6928"/>
    <w:rsid w:val="000F6B08"/>
    <w:rsid w:val="000F6DA0"/>
    <w:rsid w:val="00100EB9"/>
    <w:rsid w:val="0010129D"/>
    <w:rsid w:val="001014A1"/>
    <w:rsid w:val="00101D9B"/>
    <w:rsid w:val="00102124"/>
    <w:rsid w:val="00102B40"/>
    <w:rsid w:val="00106111"/>
    <w:rsid w:val="001065D8"/>
    <w:rsid w:val="00106FEC"/>
    <w:rsid w:val="001103EB"/>
    <w:rsid w:val="00110718"/>
    <w:rsid w:val="001113BD"/>
    <w:rsid w:val="001116A3"/>
    <w:rsid w:val="00112033"/>
    <w:rsid w:val="00112934"/>
    <w:rsid w:val="0011299F"/>
    <w:rsid w:val="00112DFE"/>
    <w:rsid w:val="00114104"/>
    <w:rsid w:val="001148C4"/>
    <w:rsid w:val="001163AD"/>
    <w:rsid w:val="001166E0"/>
    <w:rsid w:val="00117DAC"/>
    <w:rsid w:val="00120150"/>
    <w:rsid w:val="001207DD"/>
    <w:rsid w:val="00120BBD"/>
    <w:rsid w:val="00120C44"/>
    <w:rsid w:val="0012169E"/>
    <w:rsid w:val="00122269"/>
    <w:rsid w:val="00122328"/>
    <w:rsid w:val="00122BB0"/>
    <w:rsid w:val="00122DBA"/>
    <w:rsid w:val="001232F1"/>
    <w:rsid w:val="001233E9"/>
    <w:rsid w:val="001240FE"/>
    <w:rsid w:val="00124784"/>
    <w:rsid w:val="00124921"/>
    <w:rsid w:val="0012503D"/>
    <w:rsid w:val="00125B21"/>
    <w:rsid w:val="00125FD9"/>
    <w:rsid w:val="001260B3"/>
    <w:rsid w:val="00126441"/>
    <w:rsid w:val="00126B23"/>
    <w:rsid w:val="00126D66"/>
    <w:rsid w:val="001276CF"/>
    <w:rsid w:val="00127704"/>
    <w:rsid w:val="00127780"/>
    <w:rsid w:val="00127AE9"/>
    <w:rsid w:val="001307D8"/>
    <w:rsid w:val="00132381"/>
    <w:rsid w:val="001327FF"/>
    <w:rsid w:val="001328EB"/>
    <w:rsid w:val="00132BC7"/>
    <w:rsid w:val="0013335B"/>
    <w:rsid w:val="001347D2"/>
    <w:rsid w:val="00134D37"/>
    <w:rsid w:val="0013539C"/>
    <w:rsid w:val="00135445"/>
    <w:rsid w:val="00135879"/>
    <w:rsid w:val="001361AB"/>
    <w:rsid w:val="001368EB"/>
    <w:rsid w:val="00136C53"/>
    <w:rsid w:val="00137369"/>
    <w:rsid w:val="00137AE0"/>
    <w:rsid w:val="00137B3E"/>
    <w:rsid w:val="00137EC5"/>
    <w:rsid w:val="0014067B"/>
    <w:rsid w:val="001414D8"/>
    <w:rsid w:val="00142109"/>
    <w:rsid w:val="001441DE"/>
    <w:rsid w:val="00144630"/>
    <w:rsid w:val="00144972"/>
    <w:rsid w:val="001451AA"/>
    <w:rsid w:val="00145E19"/>
    <w:rsid w:val="00147C17"/>
    <w:rsid w:val="001500C5"/>
    <w:rsid w:val="00150253"/>
    <w:rsid w:val="00150316"/>
    <w:rsid w:val="0015091F"/>
    <w:rsid w:val="00150F6C"/>
    <w:rsid w:val="0015101B"/>
    <w:rsid w:val="001514CC"/>
    <w:rsid w:val="00151BE5"/>
    <w:rsid w:val="00151FD2"/>
    <w:rsid w:val="001523BE"/>
    <w:rsid w:val="001524B0"/>
    <w:rsid w:val="00153077"/>
    <w:rsid w:val="00154699"/>
    <w:rsid w:val="001547B7"/>
    <w:rsid w:val="00155A05"/>
    <w:rsid w:val="00156196"/>
    <w:rsid w:val="0015659E"/>
    <w:rsid w:val="00157D11"/>
    <w:rsid w:val="00157E3C"/>
    <w:rsid w:val="00160755"/>
    <w:rsid w:val="00161029"/>
    <w:rsid w:val="00161DDF"/>
    <w:rsid w:val="00162309"/>
    <w:rsid w:val="001632BF"/>
    <w:rsid w:val="00163F79"/>
    <w:rsid w:val="00164768"/>
    <w:rsid w:val="00165FEB"/>
    <w:rsid w:val="0016613E"/>
    <w:rsid w:val="001666D8"/>
    <w:rsid w:val="001668AA"/>
    <w:rsid w:val="00166C89"/>
    <w:rsid w:val="00166E13"/>
    <w:rsid w:val="00167564"/>
    <w:rsid w:val="0016793D"/>
    <w:rsid w:val="00170984"/>
    <w:rsid w:val="0017113A"/>
    <w:rsid w:val="00173C4A"/>
    <w:rsid w:val="001743ED"/>
    <w:rsid w:val="0017479A"/>
    <w:rsid w:val="00175AAA"/>
    <w:rsid w:val="001776E8"/>
    <w:rsid w:val="00177A5F"/>
    <w:rsid w:val="00177F67"/>
    <w:rsid w:val="001801AB"/>
    <w:rsid w:val="00182241"/>
    <w:rsid w:val="0018270E"/>
    <w:rsid w:val="00183737"/>
    <w:rsid w:val="00184363"/>
    <w:rsid w:val="00186578"/>
    <w:rsid w:val="0018746C"/>
    <w:rsid w:val="00187C29"/>
    <w:rsid w:val="00191E03"/>
    <w:rsid w:val="001930ED"/>
    <w:rsid w:val="00194E9A"/>
    <w:rsid w:val="00195A83"/>
    <w:rsid w:val="00196DA9"/>
    <w:rsid w:val="001A021E"/>
    <w:rsid w:val="001A12FF"/>
    <w:rsid w:val="001A19C1"/>
    <w:rsid w:val="001A3424"/>
    <w:rsid w:val="001A3603"/>
    <w:rsid w:val="001A3825"/>
    <w:rsid w:val="001A38D5"/>
    <w:rsid w:val="001A4485"/>
    <w:rsid w:val="001A4A75"/>
    <w:rsid w:val="001A4F0F"/>
    <w:rsid w:val="001A5357"/>
    <w:rsid w:val="001A58E6"/>
    <w:rsid w:val="001A5C4C"/>
    <w:rsid w:val="001A7F54"/>
    <w:rsid w:val="001B06E8"/>
    <w:rsid w:val="001B0E84"/>
    <w:rsid w:val="001B11A6"/>
    <w:rsid w:val="001B12E7"/>
    <w:rsid w:val="001B15C6"/>
    <w:rsid w:val="001B1C56"/>
    <w:rsid w:val="001B1D3C"/>
    <w:rsid w:val="001B32D7"/>
    <w:rsid w:val="001B3536"/>
    <w:rsid w:val="001B4F38"/>
    <w:rsid w:val="001B6416"/>
    <w:rsid w:val="001B7131"/>
    <w:rsid w:val="001B7C72"/>
    <w:rsid w:val="001C0330"/>
    <w:rsid w:val="001C071D"/>
    <w:rsid w:val="001C12CA"/>
    <w:rsid w:val="001C18B5"/>
    <w:rsid w:val="001C1BF0"/>
    <w:rsid w:val="001C21F3"/>
    <w:rsid w:val="001C2C21"/>
    <w:rsid w:val="001C312B"/>
    <w:rsid w:val="001C319C"/>
    <w:rsid w:val="001C36BE"/>
    <w:rsid w:val="001C42B5"/>
    <w:rsid w:val="001C486C"/>
    <w:rsid w:val="001C54E5"/>
    <w:rsid w:val="001C64E2"/>
    <w:rsid w:val="001C66C2"/>
    <w:rsid w:val="001C6731"/>
    <w:rsid w:val="001C73EE"/>
    <w:rsid w:val="001D05F7"/>
    <w:rsid w:val="001D0A6B"/>
    <w:rsid w:val="001D1843"/>
    <w:rsid w:val="001D1C1E"/>
    <w:rsid w:val="001D2532"/>
    <w:rsid w:val="001D2C19"/>
    <w:rsid w:val="001D31F5"/>
    <w:rsid w:val="001D3429"/>
    <w:rsid w:val="001D3487"/>
    <w:rsid w:val="001D3612"/>
    <w:rsid w:val="001D399D"/>
    <w:rsid w:val="001D3CCA"/>
    <w:rsid w:val="001D3E04"/>
    <w:rsid w:val="001D5404"/>
    <w:rsid w:val="001D56C5"/>
    <w:rsid w:val="001D6C88"/>
    <w:rsid w:val="001E0DD5"/>
    <w:rsid w:val="001E31F4"/>
    <w:rsid w:val="001E332E"/>
    <w:rsid w:val="001E3398"/>
    <w:rsid w:val="001E4684"/>
    <w:rsid w:val="001E4C5E"/>
    <w:rsid w:val="001E5C37"/>
    <w:rsid w:val="001E663B"/>
    <w:rsid w:val="001E69A3"/>
    <w:rsid w:val="001E70C9"/>
    <w:rsid w:val="001F07E9"/>
    <w:rsid w:val="001F1E3B"/>
    <w:rsid w:val="001F2AA2"/>
    <w:rsid w:val="001F2B65"/>
    <w:rsid w:val="001F2D03"/>
    <w:rsid w:val="001F35B0"/>
    <w:rsid w:val="001F3733"/>
    <w:rsid w:val="001F37BD"/>
    <w:rsid w:val="001F4154"/>
    <w:rsid w:val="001F4E7A"/>
    <w:rsid w:val="001F502E"/>
    <w:rsid w:val="001F6D1B"/>
    <w:rsid w:val="00200EF6"/>
    <w:rsid w:val="0020159B"/>
    <w:rsid w:val="0020251C"/>
    <w:rsid w:val="002028EF"/>
    <w:rsid w:val="00202ABC"/>
    <w:rsid w:val="002040BC"/>
    <w:rsid w:val="00204277"/>
    <w:rsid w:val="00204F28"/>
    <w:rsid w:val="00205A00"/>
    <w:rsid w:val="002064B4"/>
    <w:rsid w:val="00206F6D"/>
    <w:rsid w:val="00211455"/>
    <w:rsid w:val="00212E7A"/>
    <w:rsid w:val="002133AD"/>
    <w:rsid w:val="00213685"/>
    <w:rsid w:val="00213742"/>
    <w:rsid w:val="00213BDC"/>
    <w:rsid w:val="00213C72"/>
    <w:rsid w:val="002142CD"/>
    <w:rsid w:val="00214A52"/>
    <w:rsid w:val="00215B5D"/>
    <w:rsid w:val="00215F86"/>
    <w:rsid w:val="002174C3"/>
    <w:rsid w:val="00217562"/>
    <w:rsid w:val="00217FB0"/>
    <w:rsid w:val="002222C7"/>
    <w:rsid w:val="0022446C"/>
    <w:rsid w:val="00224921"/>
    <w:rsid w:val="00224DBD"/>
    <w:rsid w:val="00225B0E"/>
    <w:rsid w:val="00225FF2"/>
    <w:rsid w:val="00227E07"/>
    <w:rsid w:val="00227EFA"/>
    <w:rsid w:val="0023005F"/>
    <w:rsid w:val="002301FA"/>
    <w:rsid w:val="00230B3F"/>
    <w:rsid w:val="00231FC2"/>
    <w:rsid w:val="0023233D"/>
    <w:rsid w:val="00232549"/>
    <w:rsid w:val="00232B32"/>
    <w:rsid w:val="00232DCE"/>
    <w:rsid w:val="002333ED"/>
    <w:rsid w:val="0023379E"/>
    <w:rsid w:val="0023439F"/>
    <w:rsid w:val="00234A81"/>
    <w:rsid w:val="00235761"/>
    <w:rsid w:val="00235CE1"/>
    <w:rsid w:val="00236B08"/>
    <w:rsid w:val="00237B21"/>
    <w:rsid w:val="00237EB7"/>
    <w:rsid w:val="00237FBC"/>
    <w:rsid w:val="002412C7"/>
    <w:rsid w:val="0024181C"/>
    <w:rsid w:val="00242A4F"/>
    <w:rsid w:val="0024339A"/>
    <w:rsid w:val="00243C1E"/>
    <w:rsid w:val="0024487C"/>
    <w:rsid w:val="00245520"/>
    <w:rsid w:val="00245E9E"/>
    <w:rsid w:val="002467ED"/>
    <w:rsid w:val="002467EE"/>
    <w:rsid w:val="002468C3"/>
    <w:rsid w:val="00246BB2"/>
    <w:rsid w:val="00246F72"/>
    <w:rsid w:val="00247451"/>
    <w:rsid w:val="0025012B"/>
    <w:rsid w:val="00251B8A"/>
    <w:rsid w:val="0025266A"/>
    <w:rsid w:val="00252A0B"/>
    <w:rsid w:val="00253269"/>
    <w:rsid w:val="0025351F"/>
    <w:rsid w:val="00253E79"/>
    <w:rsid w:val="00254834"/>
    <w:rsid w:val="00255804"/>
    <w:rsid w:val="002601DF"/>
    <w:rsid w:val="00260F3B"/>
    <w:rsid w:val="0026105C"/>
    <w:rsid w:val="002610F6"/>
    <w:rsid w:val="00261D74"/>
    <w:rsid w:val="00262564"/>
    <w:rsid w:val="00262943"/>
    <w:rsid w:val="002643F1"/>
    <w:rsid w:val="002644A5"/>
    <w:rsid w:val="0026494C"/>
    <w:rsid w:val="0026522F"/>
    <w:rsid w:val="002653C5"/>
    <w:rsid w:val="00265D42"/>
    <w:rsid w:val="00265FC4"/>
    <w:rsid w:val="00266309"/>
    <w:rsid w:val="002670A5"/>
    <w:rsid w:val="002674A1"/>
    <w:rsid w:val="00274CB6"/>
    <w:rsid w:val="0027532E"/>
    <w:rsid w:val="00276BA0"/>
    <w:rsid w:val="00276CDB"/>
    <w:rsid w:val="00276F64"/>
    <w:rsid w:val="002776FA"/>
    <w:rsid w:val="00277B88"/>
    <w:rsid w:val="002810D1"/>
    <w:rsid w:val="002817DE"/>
    <w:rsid w:val="002818DA"/>
    <w:rsid w:val="00281B84"/>
    <w:rsid w:val="00281DBD"/>
    <w:rsid w:val="002821D9"/>
    <w:rsid w:val="00282673"/>
    <w:rsid w:val="00283279"/>
    <w:rsid w:val="0028337E"/>
    <w:rsid w:val="002835F7"/>
    <w:rsid w:val="00283D8B"/>
    <w:rsid w:val="00284357"/>
    <w:rsid w:val="00285797"/>
    <w:rsid w:val="0028798C"/>
    <w:rsid w:val="002905F1"/>
    <w:rsid w:val="002916FF"/>
    <w:rsid w:val="00291B79"/>
    <w:rsid w:val="00291E81"/>
    <w:rsid w:val="00291F54"/>
    <w:rsid w:val="00292C43"/>
    <w:rsid w:val="002940B9"/>
    <w:rsid w:val="00295452"/>
    <w:rsid w:val="00295B84"/>
    <w:rsid w:val="00296C26"/>
    <w:rsid w:val="00296EB1"/>
    <w:rsid w:val="00297B03"/>
    <w:rsid w:val="002A00C1"/>
    <w:rsid w:val="002A028C"/>
    <w:rsid w:val="002A11F8"/>
    <w:rsid w:val="002A1BEC"/>
    <w:rsid w:val="002A1C8D"/>
    <w:rsid w:val="002A3C74"/>
    <w:rsid w:val="002A46DD"/>
    <w:rsid w:val="002A479A"/>
    <w:rsid w:val="002A5577"/>
    <w:rsid w:val="002A6414"/>
    <w:rsid w:val="002A6CC1"/>
    <w:rsid w:val="002A70AF"/>
    <w:rsid w:val="002B1297"/>
    <w:rsid w:val="002B1B9C"/>
    <w:rsid w:val="002B2F8D"/>
    <w:rsid w:val="002B3BA8"/>
    <w:rsid w:val="002B3EDB"/>
    <w:rsid w:val="002B4A09"/>
    <w:rsid w:val="002B4E92"/>
    <w:rsid w:val="002B4FB4"/>
    <w:rsid w:val="002B50C1"/>
    <w:rsid w:val="002B5832"/>
    <w:rsid w:val="002B68DC"/>
    <w:rsid w:val="002B78D3"/>
    <w:rsid w:val="002B7FE8"/>
    <w:rsid w:val="002C0B0D"/>
    <w:rsid w:val="002C19D7"/>
    <w:rsid w:val="002C1C70"/>
    <w:rsid w:val="002C1DC7"/>
    <w:rsid w:val="002C225D"/>
    <w:rsid w:val="002C2A69"/>
    <w:rsid w:val="002C2DFE"/>
    <w:rsid w:val="002C404D"/>
    <w:rsid w:val="002C5033"/>
    <w:rsid w:val="002D03D6"/>
    <w:rsid w:val="002D1030"/>
    <w:rsid w:val="002D25D4"/>
    <w:rsid w:val="002D2C4F"/>
    <w:rsid w:val="002D2FDE"/>
    <w:rsid w:val="002D4AE1"/>
    <w:rsid w:val="002D5620"/>
    <w:rsid w:val="002D5FF9"/>
    <w:rsid w:val="002D6472"/>
    <w:rsid w:val="002D678A"/>
    <w:rsid w:val="002D7741"/>
    <w:rsid w:val="002D7B65"/>
    <w:rsid w:val="002D7B87"/>
    <w:rsid w:val="002D7C12"/>
    <w:rsid w:val="002D7DF9"/>
    <w:rsid w:val="002E0213"/>
    <w:rsid w:val="002E032F"/>
    <w:rsid w:val="002E0510"/>
    <w:rsid w:val="002E0606"/>
    <w:rsid w:val="002E1769"/>
    <w:rsid w:val="002E1B28"/>
    <w:rsid w:val="002E1F6F"/>
    <w:rsid w:val="002E1FEE"/>
    <w:rsid w:val="002E30CA"/>
    <w:rsid w:val="002E3A24"/>
    <w:rsid w:val="002E3EBD"/>
    <w:rsid w:val="002E4F33"/>
    <w:rsid w:val="002E5CD5"/>
    <w:rsid w:val="002E666C"/>
    <w:rsid w:val="002E687E"/>
    <w:rsid w:val="002E69BC"/>
    <w:rsid w:val="002E73F1"/>
    <w:rsid w:val="002E7649"/>
    <w:rsid w:val="002E772C"/>
    <w:rsid w:val="002E7A28"/>
    <w:rsid w:val="002E7C5D"/>
    <w:rsid w:val="002E7C93"/>
    <w:rsid w:val="002E7EE6"/>
    <w:rsid w:val="002F11B6"/>
    <w:rsid w:val="002F19CC"/>
    <w:rsid w:val="002F4AD7"/>
    <w:rsid w:val="002F5238"/>
    <w:rsid w:val="002F7382"/>
    <w:rsid w:val="00300CF8"/>
    <w:rsid w:val="00301AC3"/>
    <w:rsid w:val="003020A2"/>
    <w:rsid w:val="0030304A"/>
    <w:rsid w:val="00304081"/>
    <w:rsid w:val="00304498"/>
    <w:rsid w:val="003048A4"/>
    <w:rsid w:val="00304E67"/>
    <w:rsid w:val="003058D2"/>
    <w:rsid w:val="00305BA3"/>
    <w:rsid w:val="003060A0"/>
    <w:rsid w:val="00306800"/>
    <w:rsid w:val="0030691F"/>
    <w:rsid w:val="00307834"/>
    <w:rsid w:val="00310111"/>
    <w:rsid w:val="003103DD"/>
    <w:rsid w:val="0031066D"/>
    <w:rsid w:val="003106AA"/>
    <w:rsid w:val="00310BF9"/>
    <w:rsid w:val="00310D7B"/>
    <w:rsid w:val="00311D7A"/>
    <w:rsid w:val="00311FA3"/>
    <w:rsid w:val="00312B83"/>
    <w:rsid w:val="003130F2"/>
    <w:rsid w:val="00313262"/>
    <w:rsid w:val="003138E7"/>
    <w:rsid w:val="0031442F"/>
    <w:rsid w:val="00315188"/>
    <w:rsid w:val="00315238"/>
    <w:rsid w:val="00315A0D"/>
    <w:rsid w:val="00315A62"/>
    <w:rsid w:val="003166C0"/>
    <w:rsid w:val="00317A2E"/>
    <w:rsid w:val="00320156"/>
    <w:rsid w:val="00320990"/>
    <w:rsid w:val="00320D0D"/>
    <w:rsid w:val="00321DA8"/>
    <w:rsid w:val="003225CB"/>
    <w:rsid w:val="00322864"/>
    <w:rsid w:val="00322D5A"/>
    <w:rsid w:val="00323730"/>
    <w:rsid w:val="00323D98"/>
    <w:rsid w:val="0032436B"/>
    <w:rsid w:val="00324A09"/>
    <w:rsid w:val="003251A1"/>
    <w:rsid w:val="00325C41"/>
    <w:rsid w:val="00326C4E"/>
    <w:rsid w:val="00327019"/>
    <w:rsid w:val="00327CB1"/>
    <w:rsid w:val="00327CC2"/>
    <w:rsid w:val="00330426"/>
    <w:rsid w:val="0033242A"/>
    <w:rsid w:val="00332797"/>
    <w:rsid w:val="00332AF6"/>
    <w:rsid w:val="00332E6B"/>
    <w:rsid w:val="00333170"/>
    <w:rsid w:val="003339FB"/>
    <w:rsid w:val="00333F89"/>
    <w:rsid w:val="0033423B"/>
    <w:rsid w:val="00334862"/>
    <w:rsid w:val="00335478"/>
    <w:rsid w:val="003358E8"/>
    <w:rsid w:val="00335C06"/>
    <w:rsid w:val="00336144"/>
    <w:rsid w:val="003369BA"/>
    <w:rsid w:val="00336A29"/>
    <w:rsid w:val="0033746E"/>
    <w:rsid w:val="00340BAD"/>
    <w:rsid w:val="003413BA"/>
    <w:rsid w:val="0034178E"/>
    <w:rsid w:val="00341BB4"/>
    <w:rsid w:val="00343052"/>
    <w:rsid w:val="00343977"/>
    <w:rsid w:val="0034438E"/>
    <w:rsid w:val="00344945"/>
    <w:rsid w:val="00344BFF"/>
    <w:rsid w:val="00344CA0"/>
    <w:rsid w:val="00345193"/>
    <w:rsid w:val="00345199"/>
    <w:rsid w:val="00346153"/>
    <w:rsid w:val="003463A6"/>
    <w:rsid w:val="00346931"/>
    <w:rsid w:val="003472B2"/>
    <w:rsid w:val="00347C5E"/>
    <w:rsid w:val="00347E2F"/>
    <w:rsid w:val="00350BAB"/>
    <w:rsid w:val="00350F17"/>
    <w:rsid w:val="00351284"/>
    <w:rsid w:val="003513F7"/>
    <w:rsid w:val="00351550"/>
    <w:rsid w:val="00351E7E"/>
    <w:rsid w:val="003520A6"/>
    <w:rsid w:val="00355AB3"/>
    <w:rsid w:val="00356066"/>
    <w:rsid w:val="00356084"/>
    <w:rsid w:val="0035632F"/>
    <w:rsid w:val="00360355"/>
    <w:rsid w:val="00360AD7"/>
    <w:rsid w:val="00360D18"/>
    <w:rsid w:val="0036206A"/>
    <w:rsid w:val="00362C7E"/>
    <w:rsid w:val="00362E74"/>
    <w:rsid w:val="0036329D"/>
    <w:rsid w:val="003647F6"/>
    <w:rsid w:val="00364DAD"/>
    <w:rsid w:val="00366968"/>
    <w:rsid w:val="00366A60"/>
    <w:rsid w:val="0036729F"/>
    <w:rsid w:val="0036776D"/>
    <w:rsid w:val="00367895"/>
    <w:rsid w:val="00367B60"/>
    <w:rsid w:val="00370CDC"/>
    <w:rsid w:val="00370D35"/>
    <w:rsid w:val="0037109F"/>
    <w:rsid w:val="00371EBB"/>
    <w:rsid w:val="003722A9"/>
    <w:rsid w:val="003723B1"/>
    <w:rsid w:val="00373684"/>
    <w:rsid w:val="0037377E"/>
    <w:rsid w:val="00373FF7"/>
    <w:rsid w:val="003745EC"/>
    <w:rsid w:val="00374C97"/>
    <w:rsid w:val="0037522C"/>
    <w:rsid w:val="003752C8"/>
    <w:rsid w:val="0037649A"/>
    <w:rsid w:val="00376548"/>
    <w:rsid w:val="00376B7F"/>
    <w:rsid w:val="003776AF"/>
    <w:rsid w:val="00380CDB"/>
    <w:rsid w:val="00380DCB"/>
    <w:rsid w:val="00381029"/>
    <w:rsid w:val="00381D1B"/>
    <w:rsid w:val="00382F63"/>
    <w:rsid w:val="00383004"/>
    <w:rsid w:val="00384630"/>
    <w:rsid w:val="00384778"/>
    <w:rsid w:val="00385181"/>
    <w:rsid w:val="0038549F"/>
    <w:rsid w:val="003864C1"/>
    <w:rsid w:val="00390182"/>
    <w:rsid w:val="00390BA1"/>
    <w:rsid w:val="00392183"/>
    <w:rsid w:val="00392487"/>
    <w:rsid w:val="00392DE5"/>
    <w:rsid w:val="00393190"/>
    <w:rsid w:val="0039355A"/>
    <w:rsid w:val="003935BB"/>
    <w:rsid w:val="003947BC"/>
    <w:rsid w:val="00395373"/>
    <w:rsid w:val="0039565B"/>
    <w:rsid w:val="00395BBF"/>
    <w:rsid w:val="0039669C"/>
    <w:rsid w:val="00396AA6"/>
    <w:rsid w:val="00397875"/>
    <w:rsid w:val="00397B4F"/>
    <w:rsid w:val="00397B55"/>
    <w:rsid w:val="003A0242"/>
    <w:rsid w:val="003A06B6"/>
    <w:rsid w:val="003A06C8"/>
    <w:rsid w:val="003A1081"/>
    <w:rsid w:val="003A350C"/>
    <w:rsid w:val="003A3950"/>
    <w:rsid w:val="003A4295"/>
    <w:rsid w:val="003A5270"/>
    <w:rsid w:val="003A536E"/>
    <w:rsid w:val="003A6944"/>
    <w:rsid w:val="003A7004"/>
    <w:rsid w:val="003A7427"/>
    <w:rsid w:val="003A7EE0"/>
    <w:rsid w:val="003B01E6"/>
    <w:rsid w:val="003B0390"/>
    <w:rsid w:val="003B21CA"/>
    <w:rsid w:val="003B242B"/>
    <w:rsid w:val="003B337B"/>
    <w:rsid w:val="003B33F1"/>
    <w:rsid w:val="003B38A9"/>
    <w:rsid w:val="003B495D"/>
    <w:rsid w:val="003B56D6"/>
    <w:rsid w:val="003B58AB"/>
    <w:rsid w:val="003B67B0"/>
    <w:rsid w:val="003B754A"/>
    <w:rsid w:val="003C11D9"/>
    <w:rsid w:val="003C28DE"/>
    <w:rsid w:val="003C2A14"/>
    <w:rsid w:val="003C2E85"/>
    <w:rsid w:val="003C34B0"/>
    <w:rsid w:val="003C41F7"/>
    <w:rsid w:val="003C491D"/>
    <w:rsid w:val="003C4A2A"/>
    <w:rsid w:val="003C4F3E"/>
    <w:rsid w:val="003C514C"/>
    <w:rsid w:val="003C5B3D"/>
    <w:rsid w:val="003C5E09"/>
    <w:rsid w:val="003C6243"/>
    <w:rsid w:val="003C6AF1"/>
    <w:rsid w:val="003C74D2"/>
    <w:rsid w:val="003D010B"/>
    <w:rsid w:val="003D13E2"/>
    <w:rsid w:val="003D15E7"/>
    <w:rsid w:val="003D1D38"/>
    <w:rsid w:val="003D348A"/>
    <w:rsid w:val="003D384C"/>
    <w:rsid w:val="003D4674"/>
    <w:rsid w:val="003D51E7"/>
    <w:rsid w:val="003D58C8"/>
    <w:rsid w:val="003D5F55"/>
    <w:rsid w:val="003D6E7B"/>
    <w:rsid w:val="003D7976"/>
    <w:rsid w:val="003D7B75"/>
    <w:rsid w:val="003D7D15"/>
    <w:rsid w:val="003E17B7"/>
    <w:rsid w:val="003E1A6C"/>
    <w:rsid w:val="003E2927"/>
    <w:rsid w:val="003E2D0A"/>
    <w:rsid w:val="003E322B"/>
    <w:rsid w:val="003E33CD"/>
    <w:rsid w:val="003E3710"/>
    <w:rsid w:val="003E3DF9"/>
    <w:rsid w:val="003E54EF"/>
    <w:rsid w:val="003E5D74"/>
    <w:rsid w:val="003E63CE"/>
    <w:rsid w:val="003E75B5"/>
    <w:rsid w:val="003F06F4"/>
    <w:rsid w:val="003F0CAF"/>
    <w:rsid w:val="003F1405"/>
    <w:rsid w:val="003F2022"/>
    <w:rsid w:val="003F2285"/>
    <w:rsid w:val="003F23CD"/>
    <w:rsid w:val="003F37EB"/>
    <w:rsid w:val="003F3A59"/>
    <w:rsid w:val="003F4029"/>
    <w:rsid w:val="003F51C7"/>
    <w:rsid w:val="003F6834"/>
    <w:rsid w:val="003F7F63"/>
    <w:rsid w:val="00401CA0"/>
    <w:rsid w:val="00402469"/>
    <w:rsid w:val="004029B9"/>
    <w:rsid w:val="0040312A"/>
    <w:rsid w:val="004032F0"/>
    <w:rsid w:val="00403B71"/>
    <w:rsid w:val="0040445A"/>
    <w:rsid w:val="0040456C"/>
    <w:rsid w:val="00404B0F"/>
    <w:rsid w:val="00404EE5"/>
    <w:rsid w:val="004050D0"/>
    <w:rsid w:val="00406294"/>
    <w:rsid w:val="004062F3"/>
    <w:rsid w:val="00406300"/>
    <w:rsid w:val="00410472"/>
    <w:rsid w:val="004106C8"/>
    <w:rsid w:val="00411104"/>
    <w:rsid w:val="00412273"/>
    <w:rsid w:val="0041282F"/>
    <w:rsid w:val="00412DFA"/>
    <w:rsid w:val="004134E4"/>
    <w:rsid w:val="00413A26"/>
    <w:rsid w:val="00414E5E"/>
    <w:rsid w:val="00415180"/>
    <w:rsid w:val="00415621"/>
    <w:rsid w:val="004156FE"/>
    <w:rsid w:val="00415E3B"/>
    <w:rsid w:val="00416F1B"/>
    <w:rsid w:val="00417328"/>
    <w:rsid w:val="004200AC"/>
    <w:rsid w:val="00420610"/>
    <w:rsid w:val="00420B13"/>
    <w:rsid w:val="00421F86"/>
    <w:rsid w:val="00422140"/>
    <w:rsid w:val="00422EE8"/>
    <w:rsid w:val="00423348"/>
    <w:rsid w:val="0042348B"/>
    <w:rsid w:val="0042442A"/>
    <w:rsid w:val="004264AE"/>
    <w:rsid w:val="00430535"/>
    <w:rsid w:val="004308BC"/>
    <w:rsid w:val="00430EDF"/>
    <w:rsid w:val="004310D9"/>
    <w:rsid w:val="00432EF3"/>
    <w:rsid w:val="00433677"/>
    <w:rsid w:val="00433A85"/>
    <w:rsid w:val="00433E64"/>
    <w:rsid w:val="0043478C"/>
    <w:rsid w:val="00434C1F"/>
    <w:rsid w:val="00435D2E"/>
    <w:rsid w:val="0043613C"/>
    <w:rsid w:val="00436710"/>
    <w:rsid w:val="0043726B"/>
    <w:rsid w:val="004401A1"/>
    <w:rsid w:val="00440EE6"/>
    <w:rsid w:val="00441122"/>
    <w:rsid w:val="00442156"/>
    <w:rsid w:val="004437B0"/>
    <w:rsid w:val="00443C7B"/>
    <w:rsid w:val="00443EB8"/>
    <w:rsid w:val="004447FE"/>
    <w:rsid w:val="00444C00"/>
    <w:rsid w:val="00446D55"/>
    <w:rsid w:val="00447036"/>
    <w:rsid w:val="00447159"/>
    <w:rsid w:val="0044758F"/>
    <w:rsid w:val="004479E5"/>
    <w:rsid w:val="00450382"/>
    <w:rsid w:val="00451E15"/>
    <w:rsid w:val="004521C4"/>
    <w:rsid w:val="00452A96"/>
    <w:rsid w:val="00453EFE"/>
    <w:rsid w:val="00455693"/>
    <w:rsid w:val="00455716"/>
    <w:rsid w:val="00456CD9"/>
    <w:rsid w:val="00457983"/>
    <w:rsid w:val="0046031F"/>
    <w:rsid w:val="004622C7"/>
    <w:rsid w:val="0046255F"/>
    <w:rsid w:val="004636B9"/>
    <w:rsid w:val="004641E2"/>
    <w:rsid w:val="00464615"/>
    <w:rsid w:val="00464DAC"/>
    <w:rsid w:val="004650AB"/>
    <w:rsid w:val="004659DD"/>
    <w:rsid w:val="00466654"/>
    <w:rsid w:val="004707FA"/>
    <w:rsid w:val="00470939"/>
    <w:rsid w:val="004710D7"/>
    <w:rsid w:val="00472C34"/>
    <w:rsid w:val="004740A7"/>
    <w:rsid w:val="0047430E"/>
    <w:rsid w:val="004744B2"/>
    <w:rsid w:val="00474A89"/>
    <w:rsid w:val="00474D8E"/>
    <w:rsid w:val="0047535D"/>
    <w:rsid w:val="00475BCC"/>
    <w:rsid w:val="004764CE"/>
    <w:rsid w:val="0047714B"/>
    <w:rsid w:val="0047757F"/>
    <w:rsid w:val="004800FC"/>
    <w:rsid w:val="0048112F"/>
    <w:rsid w:val="0048158D"/>
    <w:rsid w:val="004816B6"/>
    <w:rsid w:val="00481FF5"/>
    <w:rsid w:val="004847E3"/>
    <w:rsid w:val="004862D7"/>
    <w:rsid w:val="00486944"/>
    <w:rsid w:val="00487269"/>
    <w:rsid w:val="0048731E"/>
    <w:rsid w:val="00487FD4"/>
    <w:rsid w:val="00490F20"/>
    <w:rsid w:val="00490F91"/>
    <w:rsid w:val="004910B8"/>
    <w:rsid w:val="00491C50"/>
    <w:rsid w:val="00492238"/>
    <w:rsid w:val="00493C37"/>
    <w:rsid w:val="004945C8"/>
    <w:rsid w:val="0049490B"/>
    <w:rsid w:val="00494AE9"/>
    <w:rsid w:val="00494F22"/>
    <w:rsid w:val="00495D51"/>
    <w:rsid w:val="00497D0F"/>
    <w:rsid w:val="00497FA5"/>
    <w:rsid w:val="004A0198"/>
    <w:rsid w:val="004A03DE"/>
    <w:rsid w:val="004A1891"/>
    <w:rsid w:val="004A2A6C"/>
    <w:rsid w:val="004A5309"/>
    <w:rsid w:val="004A56BF"/>
    <w:rsid w:val="004A5A39"/>
    <w:rsid w:val="004A6C1A"/>
    <w:rsid w:val="004A71BC"/>
    <w:rsid w:val="004A7415"/>
    <w:rsid w:val="004A7AFB"/>
    <w:rsid w:val="004A7E08"/>
    <w:rsid w:val="004B0839"/>
    <w:rsid w:val="004B126F"/>
    <w:rsid w:val="004B127A"/>
    <w:rsid w:val="004B1827"/>
    <w:rsid w:val="004B1C61"/>
    <w:rsid w:val="004B1DCE"/>
    <w:rsid w:val="004B29AE"/>
    <w:rsid w:val="004B4DCE"/>
    <w:rsid w:val="004B5554"/>
    <w:rsid w:val="004B5C27"/>
    <w:rsid w:val="004B5F04"/>
    <w:rsid w:val="004B609D"/>
    <w:rsid w:val="004B6260"/>
    <w:rsid w:val="004B6314"/>
    <w:rsid w:val="004B6A3D"/>
    <w:rsid w:val="004B75CB"/>
    <w:rsid w:val="004C199E"/>
    <w:rsid w:val="004C19C0"/>
    <w:rsid w:val="004C2999"/>
    <w:rsid w:val="004C3201"/>
    <w:rsid w:val="004C3912"/>
    <w:rsid w:val="004C3EB1"/>
    <w:rsid w:val="004C488E"/>
    <w:rsid w:val="004C4F12"/>
    <w:rsid w:val="004C4F73"/>
    <w:rsid w:val="004C5331"/>
    <w:rsid w:val="004C5471"/>
    <w:rsid w:val="004C6A22"/>
    <w:rsid w:val="004C6DA5"/>
    <w:rsid w:val="004C73E2"/>
    <w:rsid w:val="004C7830"/>
    <w:rsid w:val="004D0833"/>
    <w:rsid w:val="004D0B74"/>
    <w:rsid w:val="004D0B82"/>
    <w:rsid w:val="004D0F03"/>
    <w:rsid w:val="004D1E70"/>
    <w:rsid w:val="004D232A"/>
    <w:rsid w:val="004D2B9A"/>
    <w:rsid w:val="004D2D1D"/>
    <w:rsid w:val="004D406E"/>
    <w:rsid w:val="004D4BAA"/>
    <w:rsid w:val="004D50FD"/>
    <w:rsid w:val="004D6261"/>
    <w:rsid w:val="004D7923"/>
    <w:rsid w:val="004E1084"/>
    <w:rsid w:val="004E228E"/>
    <w:rsid w:val="004E3037"/>
    <w:rsid w:val="004E3913"/>
    <w:rsid w:val="004E3F40"/>
    <w:rsid w:val="004E408E"/>
    <w:rsid w:val="004E40AC"/>
    <w:rsid w:val="004E4856"/>
    <w:rsid w:val="004E4C32"/>
    <w:rsid w:val="004E4EAD"/>
    <w:rsid w:val="004E5066"/>
    <w:rsid w:val="004E5957"/>
    <w:rsid w:val="004E630E"/>
    <w:rsid w:val="004E6489"/>
    <w:rsid w:val="004E6966"/>
    <w:rsid w:val="004F0AC9"/>
    <w:rsid w:val="004F0E5F"/>
    <w:rsid w:val="004F0EDD"/>
    <w:rsid w:val="004F1BB9"/>
    <w:rsid w:val="004F24FA"/>
    <w:rsid w:val="004F2C2E"/>
    <w:rsid w:val="004F4C67"/>
    <w:rsid w:val="004F4E17"/>
    <w:rsid w:val="004F4E54"/>
    <w:rsid w:val="004F518D"/>
    <w:rsid w:val="004F5462"/>
    <w:rsid w:val="004F589D"/>
    <w:rsid w:val="004F5C91"/>
    <w:rsid w:val="004F5DD0"/>
    <w:rsid w:val="00500B9B"/>
    <w:rsid w:val="00500E7F"/>
    <w:rsid w:val="00501C97"/>
    <w:rsid w:val="00501D28"/>
    <w:rsid w:val="0050222C"/>
    <w:rsid w:val="00502B00"/>
    <w:rsid w:val="00502B0F"/>
    <w:rsid w:val="00502DF5"/>
    <w:rsid w:val="0050460A"/>
    <w:rsid w:val="00504BB0"/>
    <w:rsid w:val="0050580E"/>
    <w:rsid w:val="005068DD"/>
    <w:rsid w:val="00506E17"/>
    <w:rsid w:val="0051124E"/>
    <w:rsid w:val="00512126"/>
    <w:rsid w:val="00512274"/>
    <w:rsid w:val="00513484"/>
    <w:rsid w:val="00513AAD"/>
    <w:rsid w:val="00513CC1"/>
    <w:rsid w:val="0051428C"/>
    <w:rsid w:val="005142AE"/>
    <w:rsid w:val="00514C84"/>
    <w:rsid w:val="005152B6"/>
    <w:rsid w:val="00515B1B"/>
    <w:rsid w:val="00515D62"/>
    <w:rsid w:val="00516154"/>
    <w:rsid w:val="005165EB"/>
    <w:rsid w:val="00516BDC"/>
    <w:rsid w:val="00517819"/>
    <w:rsid w:val="00517BF4"/>
    <w:rsid w:val="0052018B"/>
    <w:rsid w:val="00520F07"/>
    <w:rsid w:val="00521862"/>
    <w:rsid w:val="0052196A"/>
    <w:rsid w:val="005220DD"/>
    <w:rsid w:val="00522389"/>
    <w:rsid w:val="005227AC"/>
    <w:rsid w:val="00522DDA"/>
    <w:rsid w:val="00523610"/>
    <w:rsid w:val="00523E87"/>
    <w:rsid w:val="00523F1B"/>
    <w:rsid w:val="00524038"/>
    <w:rsid w:val="0052689E"/>
    <w:rsid w:val="00526A97"/>
    <w:rsid w:val="005279C1"/>
    <w:rsid w:val="00530AC3"/>
    <w:rsid w:val="00530F65"/>
    <w:rsid w:val="0053154B"/>
    <w:rsid w:val="00532FF1"/>
    <w:rsid w:val="005332EB"/>
    <w:rsid w:val="00533469"/>
    <w:rsid w:val="00533CD6"/>
    <w:rsid w:val="005356AF"/>
    <w:rsid w:val="005368C2"/>
    <w:rsid w:val="00536BB7"/>
    <w:rsid w:val="00536BE3"/>
    <w:rsid w:val="00540871"/>
    <w:rsid w:val="00541E4F"/>
    <w:rsid w:val="0054276C"/>
    <w:rsid w:val="00542E61"/>
    <w:rsid w:val="005430AF"/>
    <w:rsid w:val="00544100"/>
    <w:rsid w:val="00544984"/>
    <w:rsid w:val="00544CD6"/>
    <w:rsid w:val="005452DA"/>
    <w:rsid w:val="0054563D"/>
    <w:rsid w:val="005477E1"/>
    <w:rsid w:val="005478F6"/>
    <w:rsid w:val="00550074"/>
    <w:rsid w:val="005509CF"/>
    <w:rsid w:val="00550C53"/>
    <w:rsid w:val="0055207F"/>
    <w:rsid w:val="0055219C"/>
    <w:rsid w:val="005522AA"/>
    <w:rsid w:val="005523F9"/>
    <w:rsid w:val="00552402"/>
    <w:rsid w:val="00552707"/>
    <w:rsid w:val="00552832"/>
    <w:rsid w:val="00554066"/>
    <w:rsid w:val="005545ED"/>
    <w:rsid w:val="005572FA"/>
    <w:rsid w:val="00560D3E"/>
    <w:rsid w:val="00560E77"/>
    <w:rsid w:val="005612A5"/>
    <w:rsid w:val="00564A4C"/>
    <w:rsid w:val="00565EE3"/>
    <w:rsid w:val="005660EE"/>
    <w:rsid w:val="00566BE4"/>
    <w:rsid w:val="00566F5D"/>
    <w:rsid w:val="00567943"/>
    <w:rsid w:val="00570858"/>
    <w:rsid w:val="005714E0"/>
    <w:rsid w:val="005716AE"/>
    <w:rsid w:val="005716C3"/>
    <w:rsid w:val="00571722"/>
    <w:rsid w:val="0057191E"/>
    <w:rsid w:val="00572913"/>
    <w:rsid w:val="00572A09"/>
    <w:rsid w:val="0057448B"/>
    <w:rsid w:val="00574E5F"/>
    <w:rsid w:val="00574E92"/>
    <w:rsid w:val="00574F83"/>
    <w:rsid w:val="00576028"/>
    <w:rsid w:val="00576075"/>
    <w:rsid w:val="005765E8"/>
    <w:rsid w:val="00577718"/>
    <w:rsid w:val="00580A9C"/>
    <w:rsid w:val="00580C38"/>
    <w:rsid w:val="00582FA1"/>
    <w:rsid w:val="005834FC"/>
    <w:rsid w:val="00583E2A"/>
    <w:rsid w:val="005848B1"/>
    <w:rsid w:val="0058623F"/>
    <w:rsid w:val="0058668F"/>
    <w:rsid w:val="00586797"/>
    <w:rsid w:val="005875DD"/>
    <w:rsid w:val="00591D75"/>
    <w:rsid w:val="00593C26"/>
    <w:rsid w:val="00594B1E"/>
    <w:rsid w:val="0059554E"/>
    <w:rsid w:val="00595C62"/>
    <w:rsid w:val="005961CC"/>
    <w:rsid w:val="00596AE6"/>
    <w:rsid w:val="00596C68"/>
    <w:rsid w:val="00596D79"/>
    <w:rsid w:val="00597466"/>
    <w:rsid w:val="00597A94"/>
    <w:rsid w:val="005A0CAC"/>
    <w:rsid w:val="005A12BB"/>
    <w:rsid w:val="005A18D0"/>
    <w:rsid w:val="005A2090"/>
    <w:rsid w:val="005A27CF"/>
    <w:rsid w:val="005A3671"/>
    <w:rsid w:val="005A4054"/>
    <w:rsid w:val="005A5075"/>
    <w:rsid w:val="005A57FC"/>
    <w:rsid w:val="005A6720"/>
    <w:rsid w:val="005A7074"/>
    <w:rsid w:val="005A7B87"/>
    <w:rsid w:val="005A7EF4"/>
    <w:rsid w:val="005B0718"/>
    <w:rsid w:val="005B159A"/>
    <w:rsid w:val="005B18BC"/>
    <w:rsid w:val="005B1FAB"/>
    <w:rsid w:val="005B315F"/>
    <w:rsid w:val="005B31E4"/>
    <w:rsid w:val="005B3938"/>
    <w:rsid w:val="005B5A03"/>
    <w:rsid w:val="005B5C09"/>
    <w:rsid w:val="005B5D04"/>
    <w:rsid w:val="005B6114"/>
    <w:rsid w:val="005B75CE"/>
    <w:rsid w:val="005B797A"/>
    <w:rsid w:val="005C1272"/>
    <w:rsid w:val="005C1375"/>
    <w:rsid w:val="005C16C2"/>
    <w:rsid w:val="005C1A3B"/>
    <w:rsid w:val="005C1D13"/>
    <w:rsid w:val="005C1F09"/>
    <w:rsid w:val="005C2318"/>
    <w:rsid w:val="005C34FE"/>
    <w:rsid w:val="005C3DF8"/>
    <w:rsid w:val="005C43B6"/>
    <w:rsid w:val="005C4F14"/>
    <w:rsid w:val="005C528D"/>
    <w:rsid w:val="005C74AF"/>
    <w:rsid w:val="005C773B"/>
    <w:rsid w:val="005D0C82"/>
    <w:rsid w:val="005D1005"/>
    <w:rsid w:val="005D1E38"/>
    <w:rsid w:val="005D280D"/>
    <w:rsid w:val="005D303C"/>
    <w:rsid w:val="005D657C"/>
    <w:rsid w:val="005D7CE9"/>
    <w:rsid w:val="005E0AA6"/>
    <w:rsid w:val="005E0B02"/>
    <w:rsid w:val="005E1BE4"/>
    <w:rsid w:val="005E261A"/>
    <w:rsid w:val="005E2906"/>
    <w:rsid w:val="005E4899"/>
    <w:rsid w:val="005E5278"/>
    <w:rsid w:val="005E5F6C"/>
    <w:rsid w:val="005E6CA6"/>
    <w:rsid w:val="005E7200"/>
    <w:rsid w:val="005E7B55"/>
    <w:rsid w:val="005F0378"/>
    <w:rsid w:val="005F049B"/>
    <w:rsid w:val="005F1095"/>
    <w:rsid w:val="005F1234"/>
    <w:rsid w:val="005F1826"/>
    <w:rsid w:val="005F2C8C"/>
    <w:rsid w:val="005F392F"/>
    <w:rsid w:val="005F3A39"/>
    <w:rsid w:val="005F43C5"/>
    <w:rsid w:val="005F443F"/>
    <w:rsid w:val="005F492A"/>
    <w:rsid w:val="005F4AD1"/>
    <w:rsid w:val="005F59B7"/>
    <w:rsid w:val="005F5D51"/>
    <w:rsid w:val="005F5D73"/>
    <w:rsid w:val="005F5E99"/>
    <w:rsid w:val="005F655D"/>
    <w:rsid w:val="005F7A15"/>
    <w:rsid w:val="0060091B"/>
    <w:rsid w:val="00600B85"/>
    <w:rsid w:val="00600D9E"/>
    <w:rsid w:val="00600FB6"/>
    <w:rsid w:val="006010EB"/>
    <w:rsid w:val="006011A4"/>
    <w:rsid w:val="006011BD"/>
    <w:rsid w:val="006013DA"/>
    <w:rsid w:val="00601912"/>
    <w:rsid w:val="0060288C"/>
    <w:rsid w:val="006029AB"/>
    <w:rsid w:val="00602A27"/>
    <w:rsid w:val="00604163"/>
    <w:rsid w:val="00604771"/>
    <w:rsid w:val="0060508D"/>
    <w:rsid w:val="00605778"/>
    <w:rsid w:val="006058D3"/>
    <w:rsid w:val="00605ECE"/>
    <w:rsid w:val="00606DB3"/>
    <w:rsid w:val="00606F50"/>
    <w:rsid w:val="00607464"/>
    <w:rsid w:val="0060759C"/>
    <w:rsid w:val="006105E8"/>
    <w:rsid w:val="00610A16"/>
    <w:rsid w:val="00612A40"/>
    <w:rsid w:val="00613413"/>
    <w:rsid w:val="00613C54"/>
    <w:rsid w:val="00613C5F"/>
    <w:rsid w:val="00613CA0"/>
    <w:rsid w:val="00615D7D"/>
    <w:rsid w:val="00616F81"/>
    <w:rsid w:val="006171F2"/>
    <w:rsid w:val="006174F7"/>
    <w:rsid w:val="006200B0"/>
    <w:rsid w:val="00620749"/>
    <w:rsid w:val="0062086F"/>
    <w:rsid w:val="00620E16"/>
    <w:rsid w:val="00620FB7"/>
    <w:rsid w:val="00622131"/>
    <w:rsid w:val="00622373"/>
    <w:rsid w:val="006227AE"/>
    <w:rsid w:val="00622CEE"/>
    <w:rsid w:val="00622D9D"/>
    <w:rsid w:val="00623116"/>
    <w:rsid w:val="006237D2"/>
    <w:rsid w:val="00623CED"/>
    <w:rsid w:val="00623D3F"/>
    <w:rsid w:val="006251D2"/>
    <w:rsid w:val="00625410"/>
    <w:rsid w:val="0062595E"/>
    <w:rsid w:val="00625A43"/>
    <w:rsid w:val="00625B20"/>
    <w:rsid w:val="0062624D"/>
    <w:rsid w:val="00626B66"/>
    <w:rsid w:val="00631CB5"/>
    <w:rsid w:val="00631D6F"/>
    <w:rsid w:val="0063360B"/>
    <w:rsid w:val="00633E30"/>
    <w:rsid w:val="0063467E"/>
    <w:rsid w:val="006351C8"/>
    <w:rsid w:val="00635233"/>
    <w:rsid w:val="00635C15"/>
    <w:rsid w:val="0063671D"/>
    <w:rsid w:val="00637A3B"/>
    <w:rsid w:val="00637AEA"/>
    <w:rsid w:val="0064035B"/>
    <w:rsid w:val="0064101D"/>
    <w:rsid w:val="00641A09"/>
    <w:rsid w:val="00641E35"/>
    <w:rsid w:val="00642172"/>
    <w:rsid w:val="0064220F"/>
    <w:rsid w:val="006422EC"/>
    <w:rsid w:val="006436F7"/>
    <w:rsid w:val="00643A18"/>
    <w:rsid w:val="00643C0D"/>
    <w:rsid w:val="006446E7"/>
    <w:rsid w:val="00644EA7"/>
    <w:rsid w:val="0064526E"/>
    <w:rsid w:val="006456C2"/>
    <w:rsid w:val="00645991"/>
    <w:rsid w:val="00646C86"/>
    <w:rsid w:val="006476FF"/>
    <w:rsid w:val="0064780A"/>
    <w:rsid w:val="00647B10"/>
    <w:rsid w:val="00647BF9"/>
    <w:rsid w:val="0065036A"/>
    <w:rsid w:val="00652109"/>
    <w:rsid w:val="00652CD9"/>
    <w:rsid w:val="00652F6C"/>
    <w:rsid w:val="0065300E"/>
    <w:rsid w:val="00653556"/>
    <w:rsid w:val="00653662"/>
    <w:rsid w:val="006548B2"/>
    <w:rsid w:val="00654B69"/>
    <w:rsid w:val="00655311"/>
    <w:rsid w:val="00657007"/>
    <w:rsid w:val="00657BA6"/>
    <w:rsid w:val="00660124"/>
    <w:rsid w:val="00660344"/>
    <w:rsid w:val="00660E9E"/>
    <w:rsid w:val="00661159"/>
    <w:rsid w:val="006621DA"/>
    <w:rsid w:val="006628E7"/>
    <w:rsid w:val="006629FE"/>
    <w:rsid w:val="0066351F"/>
    <w:rsid w:val="0066467F"/>
    <w:rsid w:val="006646A9"/>
    <w:rsid w:val="00664BD7"/>
    <w:rsid w:val="00665198"/>
    <w:rsid w:val="00665A17"/>
    <w:rsid w:val="00666552"/>
    <w:rsid w:val="00666874"/>
    <w:rsid w:val="00666C8F"/>
    <w:rsid w:val="00666DE9"/>
    <w:rsid w:val="006676EC"/>
    <w:rsid w:val="0066796C"/>
    <w:rsid w:val="00667ACA"/>
    <w:rsid w:val="00670017"/>
    <w:rsid w:val="006701CC"/>
    <w:rsid w:val="00670210"/>
    <w:rsid w:val="00670B02"/>
    <w:rsid w:val="00670CF8"/>
    <w:rsid w:val="0067237F"/>
    <w:rsid w:val="00672EA8"/>
    <w:rsid w:val="0067388E"/>
    <w:rsid w:val="00675552"/>
    <w:rsid w:val="0067611E"/>
    <w:rsid w:val="006763CD"/>
    <w:rsid w:val="00676E9F"/>
    <w:rsid w:val="00677208"/>
    <w:rsid w:val="0067752C"/>
    <w:rsid w:val="00677B45"/>
    <w:rsid w:val="0068028B"/>
    <w:rsid w:val="006805F5"/>
    <w:rsid w:val="00681D2B"/>
    <w:rsid w:val="00684AEB"/>
    <w:rsid w:val="0068534F"/>
    <w:rsid w:val="006854E9"/>
    <w:rsid w:val="006855A7"/>
    <w:rsid w:val="0068621E"/>
    <w:rsid w:val="00686AFD"/>
    <w:rsid w:val="00686C9A"/>
    <w:rsid w:val="006876D7"/>
    <w:rsid w:val="00687C59"/>
    <w:rsid w:val="00687E2D"/>
    <w:rsid w:val="00690042"/>
    <w:rsid w:val="00690163"/>
    <w:rsid w:val="00690777"/>
    <w:rsid w:val="00691103"/>
    <w:rsid w:val="006914AA"/>
    <w:rsid w:val="00691D83"/>
    <w:rsid w:val="00691F72"/>
    <w:rsid w:val="00692207"/>
    <w:rsid w:val="00692294"/>
    <w:rsid w:val="006931B0"/>
    <w:rsid w:val="00693E90"/>
    <w:rsid w:val="006944C9"/>
    <w:rsid w:val="00694696"/>
    <w:rsid w:val="00694FDC"/>
    <w:rsid w:val="006953BB"/>
    <w:rsid w:val="00696179"/>
    <w:rsid w:val="00696AFD"/>
    <w:rsid w:val="00697BC3"/>
    <w:rsid w:val="006A0EBD"/>
    <w:rsid w:val="006A2069"/>
    <w:rsid w:val="006A29E3"/>
    <w:rsid w:val="006A2FBF"/>
    <w:rsid w:val="006A3B53"/>
    <w:rsid w:val="006A3EFE"/>
    <w:rsid w:val="006A4994"/>
    <w:rsid w:val="006A4B3B"/>
    <w:rsid w:val="006A4D25"/>
    <w:rsid w:val="006A519D"/>
    <w:rsid w:val="006A5482"/>
    <w:rsid w:val="006A5BAB"/>
    <w:rsid w:val="006A5D1F"/>
    <w:rsid w:val="006A5F48"/>
    <w:rsid w:val="006A5FD9"/>
    <w:rsid w:val="006A6C17"/>
    <w:rsid w:val="006A7092"/>
    <w:rsid w:val="006A7719"/>
    <w:rsid w:val="006A783B"/>
    <w:rsid w:val="006A7A5A"/>
    <w:rsid w:val="006B0044"/>
    <w:rsid w:val="006B0098"/>
    <w:rsid w:val="006B057E"/>
    <w:rsid w:val="006B0653"/>
    <w:rsid w:val="006B0B80"/>
    <w:rsid w:val="006B2915"/>
    <w:rsid w:val="006B391A"/>
    <w:rsid w:val="006B3CD1"/>
    <w:rsid w:val="006B3F5C"/>
    <w:rsid w:val="006B4D76"/>
    <w:rsid w:val="006B4E75"/>
    <w:rsid w:val="006B58A5"/>
    <w:rsid w:val="006B58E1"/>
    <w:rsid w:val="006B6E08"/>
    <w:rsid w:val="006B7191"/>
    <w:rsid w:val="006C0AD8"/>
    <w:rsid w:val="006C0EC9"/>
    <w:rsid w:val="006C11D8"/>
    <w:rsid w:val="006C16F9"/>
    <w:rsid w:val="006C1955"/>
    <w:rsid w:val="006C1C91"/>
    <w:rsid w:val="006C1D16"/>
    <w:rsid w:val="006C25F3"/>
    <w:rsid w:val="006C2776"/>
    <w:rsid w:val="006C575C"/>
    <w:rsid w:val="006C57A8"/>
    <w:rsid w:val="006C583A"/>
    <w:rsid w:val="006C58D7"/>
    <w:rsid w:val="006C672E"/>
    <w:rsid w:val="006C785A"/>
    <w:rsid w:val="006D0351"/>
    <w:rsid w:val="006D0513"/>
    <w:rsid w:val="006D05FF"/>
    <w:rsid w:val="006D0B43"/>
    <w:rsid w:val="006D0C56"/>
    <w:rsid w:val="006D1515"/>
    <w:rsid w:val="006D1E7D"/>
    <w:rsid w:val="006D2231"/>
    <w:rsid w:val="006D2BF3"/>
    <w:rsid w:val="006D2E2D"/>
    <w:rsid w:val="006D35D4"/>
    <w:rsid w:val="006D3B5A"/>
    <w:rsid w:val="006D3EF0"/>
    <w:rsid w:val="006D5651"/>
    <w:rsid w:val="006D59F8"/>
    <w:rsid w:val="006D5BD3"/>
    <w:rsid w:val="006D6BFB"/>
    <w:rsid w:val="006D6E55"/>
    <w:rsid w:val="006D758A"/>
    <w:rsid w:val="006D7948"/>
    <w:rsid w:val="006E03AB"/>
    <w:rsid w:val="006E0EE1"/>
    <w:rsid w:val="006E1320"/>
    <w:rsid w:val="006E1598"/>
    <w:rsid w:val="006E23D2"/>
    <w:rsid w:val="006E2513"/>
    <w:rsid w:val="006E338D"/>
    <w:rsid w:val="006E370B"/>
    <w:rsid w:val="006E47BD"/>
    <w:rsid w:val="006E56B7"/>
    <w:rsid w:val="006E5DA4"/>
    <w:rsid w:val="006E64F4"/>
    <w:rsid w:val="006E6944"/>
    <w:rsid w:val="006E6C3D"/>
    <w:rsid w:val="006E7188"/>
    <w:rsid w:val="006F1172"/>
    <w:rsid w:val="006F1189"/>
    <w:rsid w:val="006F13A8"/>
    <w:rsid w:val="006F1E24"/>
    <w:rsid w:val="006F2BD1"/>
    <w:rsid w:val="006F2E55"/>
    <w:rsid w:val="006F3EEC"/>
    <w:rsid w:val="006F5019"/>
    <w:rsid w:val="006F520F"/>
    <w:rsid w:val="006F5D04"/>
    <w:rsid w:val="006F5E44"/>
    <w:rsid w:val="006F7197"/>
    <w:rsid w:val="006F7DCB"/>
    <w:rsid w:val="007005DC"/>
    <w:rsid w:val="00700617"/>
    <w:rsid w:val="00700A42"/>
    <w:rsid w:val="007014C6"/>
    <w:rsid w:val="007025BE"/>
    <w:rsid w:val="0070342D"/>
    <w:rsid w:val="0070438B"/>
    <w:rsid w:val="00704421"/>
    <w:rsid w:val="007045EB"/>
    <w:rsid w:val="00706BAD"/>
    <w:rsid w:val="0070745F"/>
    <w:rsid w:val="00707709"/>
    <w:rsid w:val="007114C4"/>
    <w:rsid w:val="007118B4"/>
    <w:rsid w:val="00713219"/>
    <w:rsid w:val="0071331E"/>
    <w:rsid w:val="0071351A"/>
    <w:rsid w:val="007145E0"/>
    <w:rsid w:val="00714A08"/>
    <w:rsid w:val="00714A56"/>
    <w:rsid w:val="00714C17"/>
    <w:rsid w:val="00715081"/>
    <w:rsid w:val="0071580E"/>
    <w:rsid w:val="00715A1A"/>
    <w:rsid w:val="00716A29"/>
    <w:rsid w:val="00716DC4"/>
    <w:rsid w:val="007179EE"/>
    <w:rsid w:val="007206FD"/>
    <w:rsid w:val="0072103B"/>
    <w:rsid w:val="00721357"/>
    <w:rsid w:val="007218EE"/>
    <w:rsid w:val="00721A51"/>
    <w:rsid w:val="007220B5"/>
    <w:rsid w:val="007230FB"/>
    <w:rsid w:val="007232E9"/>
    <w:rsid w:val="0072340C"/>
    <w:rsid w:val="007242B8"/>
    <w:rsid w:val="0072553B"/>
    <w:rsid w:val="007263E3"/>
    <w:rsid w:val="00726544"/>
    <w:rsid w:val="00726E86"/>
    <w:rsid w:val="00726F7E"/>
    <w:rsid w:val="00727078"/>
    <w:rsid w:val="0073020A"/>
    <w:rsid w:val="00732282"/>
    <w:rsid w:val="007324ED"/>
    <w:rsid w:val="00732AA3"/>
    <w:rsid w:val="00732C5A"/>
    <w:rsid w:val="00732F6A"/>
    <w:rsid w:val="0073324E"/>
    <w:rsid w:val="0073477F"/>
    <w:rsid w:val="007358CE"/>
    <w:rsid w:val="007368D4"/>
    <w:rsid w:val="007368E2"/>
    <w:rsid w:val="007369AA"/>
    <w:rsid w:val="0073762A"/>
    <w:rsid w:val="007378C6"/>
    <w:rsid w:val="007378C8"/>
    <w:rsid w:val="00737DD3"/>
    <w:rsid w:val="00741A4D"/>
    <w:rsid w:val="00741C4F"/>
    <w:rsid w:val="007425E5"/>
    <w:rsid w:val="007429A2"/>
    <w:rsid w:val="00742B5D"/>
    <w:rsid w:val="0074335B"/>
    <w:rsid w:val="00743407"/>
    <w:rsid w:val="00743F25"/>
    <w:rsid w:val="00745063"/>
    <w:rsid w:val="007457A9"/>
    <w:rsid w:val="00745DEE"/>
    <w:rsid w:val="0074768D"/>
    <w:rsid w:val="007477D3"/>
    <w:rsid w:val="0074787B"/>
    <w:rsid w:val="00747D17"/>
    <w:rsid w:val="00747E2F"/>
    <w:rsid w:val="00751C35"/>
    <w:rsid w:val="00752339"/>
    <w:rsid w:val="0075274C"/>
    <w:rsid w:val="00753382"/>
    <w:rsid w:val="0075353F"/>
    <w:rsid w:val="00754817"/>
    <w:rsid w:val="007558A7"/>
    <w:rsid w:val="00755F01"/>
    <w:rsid w:val="00756025"/>
    <w:rsid w:val="007564C1"/>
    <w:rsid w:val="0075696F"/>
    <w:rsid w:val="00756A71"/>
    <w:rsid w:val="00756B84"/>
    <w:rsid w:val="00756DD1"/>
    <w:rsid w:val="0075707B"/>
    <w:rsid w:val="007572CB"/>
    <w:rsid w:val="00761423"/>
    <w:rsid w:val="00761F98"/>
    <w:rsid w:val="0076222F"/>
    <w:rsid w:val="00762671"/>
    <w:rsid w:val="007627E1"/>
    <w:rsid w:val="00762CBB"/>
    <w:rsid w:val="00763967"/>
    <w:rsid w:val="00763998"/>
    <w:rsid w:val="00764804"/>
    <w:rsid w:val="00765853"/>
    <w:rsid w:val="00765A05"/>
    <w:rsid w:val="007668B9"/>
    <w:rsid w:val="00766B4F"/>
    <w:rsid w:val="00766BAB"/>
    <w:rsid w:val="0076711E"/>
    <w:rsid w:val="0076781A"/>
    <w:rsid w:val="00767C72"/>
    <w:rsid w:val="007704FE"/>
    <w:rsid w:val="00771A2C"/>
    <w:rsid w:val="00771CC4"/>
    <w:rsid w:val="00771DD3"/>
    <w:rsid w:val="00771DEF"/>
    <w:rsid w:val="00772020"/>
    <w:rsid w:val="00772E2D"/>
    <w:rsid w:val="00772FCA"/>
    <w:rsid w:val="007730DE"/>
    <w:rsid w:val="007737DC"/>
    <w:rsid w:val="00773B85"/>
    <w:rsid w:val="007746C5"/>
    <w:rsid w:val="00774888"/>
    <w:rsid w:val="00774A51"/>
    <w:rsid w:val="00775005"/>
    <w:rsid w:val="0077627A"/>
    <w:rsid w:val="0077683D"/>
    <w:rsid w:val="00777137"/>
    <w:rsid w:val="00780368"/>
    <w:rsid w:val="0078095C"/>
    <w:rsid w:val="00780C87"/>
    <w:rsid w:val="00780D84"/>
    <w:rsid w:val="0078165F"/>
    <w:rsid w:val="0078167A"/>
    <w:rsid w:val="0078261F"/>
    <w:rsid w:val="0078331B"/>
    <w:rsid w:val="007840FF"/>
    <w:rsid w:val="00784D7D"/>
    <w:rsid w:val="00785424"/>
    <w:rsid w:val="00785FAC"/>
    <w:rsid w:val="0078671A"/>
    <w:rsid w:val="00791CAD"/>
    <w:rsid w:val="00792FB5"/>
    <w:rsid w:val="007933D5"/>
    <w:rsid w:val="00793972"/>
    <w:rsid w:val="007939BF"/>
    <w:rsid w:val="00793BBB"/>
    <w:rsid w:val="00794298"/>
    <w:rsid w:val="0079495F"/>
    <w:rsid w:val="00795F92"/>
    <w:rsid w:val="007967CD"/>
    <w:rsid w:val="0079697A"/>
    <w:rsid w:val="00796C6D"/>
    <w:rsid w:val="00796DAF"/>
    <w:rsid w:val="00796F8E"/>
    <w:rsid w:val="007A0501"/>
    <w:rsid w:val="007A0C61"/>
    <w:rsid w:val="007A0C6D"/>
    <w:rsid w:val="007A0EB6"/>
    <w:rsid w:val="007A16C9"/>
    <w:rsid w:val="007A17E1"/>
    <w:rsid w:val="007A1AB2"/>
    <w:rsid w:val="007A2177"/>
    <w:rsid w:val="007A23D4"/>
    <w:rsid w:val="007A2847"/>
    <w:rsid w:val="007A3683"/>
    <w:rsid w:val="007A46AE"/>
    <w:rsid w:val="007A46F3"/>
    <w:rsid w:val="007A59EE"/>
    <w:rsid w:val="007A5D12"/>
    <w:rsid w:val="007A5D44"/>
    <w:rsid w:val="007A6515"/>
    <w:rsid w:val="007A6D7C"/>
    <w:rsid w:val="007A7567"/>
    <w:rsid w:val="007A7CF6"/>
    <w:rsid w:val="007A7FBD"/>
    <w:rsid w:val="007B03E9"/>
    <w:rsid w:val="007B0486"/>
    <w:rsid w:val="007B075C"/>
    <w:rsid w:val="007B1C3E"/>
    <w:rsid w:val="007B1E3A"/>
    <w:rsid w:val="007B206D"/>
    <w:rsid w:val="007B42B3"/>
    <w:rsid w:val="007B4633"/>
    <w:rsid w:val="007B64CB"/>
    <w:rsid w:val="007B7238"/>
    <w:rsid w:val="007B7B60"/>
    <w:rsid w:val="007C0EE3"/>
    <w:rsid w:val="007C0F84"/>
    <w:rsid w:val="007C0FEA"/>
    <w:rsid w:val="007C340A"/>
    <w:rsid w:val="007C4269"/>
    <w:rsid w:val="007C4AFE"/>
    <w:rsid w:val="007C4CA7"/>
    <w:rsid w:val="007C667C"/>
    <w:rsid w:val="007D0599"/>
    <w:rsid w:val="007D07E7"/>
    <w:rsid w:val="007D0839"/>
    <w:rsid w:val="007D0FC6"/>
    <w:rsid w:val="007D106D"/>
    <w:rsid w:val="007D32F5"/>
    <w:rsid w:val="007D3A39"/>
    <w:rsid w:val="007D3CF5"/>
    <w:rsid w:val="007D3D63"/>
    <w:rsid w:val="007D40BE"/>
    <w:rsid w:val="007D4C10"/>
    <w:rsid w:val="007D4CAE"/>
    <w:rsid w:val="007D68E9"/>
    <w:rsid w:val="007D6BBC"/>
    <w:rsid w:val="007D6E2E"/>
    <w:rsid w:val="007D70FF"/>
    <w:rsid w:val="007D72EF"/>
    <w:rsid w:val="007E05A6"/>
    <w:rsid w:val="007E1709"/>
    <w:rsid w:val="007E1AE5"/>
    <w:rsid w:val="007E2BFE"/>
    <w:rsid w:val="007E2CF8"/>
    <w:rsid w:val="007E3486"/>
    <w:rsid w:val="007E40C9"/>
    <w:rsid w:val="007E4691"/>
    <w:rsid w:val="007E4C5A"/>
    <w:rsid w:val="007E4DB3"/>
    <w:rsid w:val="007E5177"/>
    <w:rsid w:val="007E5CC6"/>
    <w:rsid w:val="007E5E79"/>
    <w:rsid w:val="007E5F4E"/>
    <w:rsid w:val="007E6B96"/>
    <w:rsid w:val="007F1C6A"/>
    <w:rsid w:val="007F1E9A"/>
    <w:rsid w:val="007F1EB6"/>
    <w:rsid w:val="007F241A"/>
    <w:rsid w:val="007F298B"/>
    <w:rsid w:val="007F29A6"/>
    <w:rsid w:val="007F3042"/>
    <w:rsid w:val="007F31B4"/>
    <w:rsid w:val="007F3C1D"/>
    <w:rsid w:val="007F3F54"/>
    <w:rsid w:val="007F44DD"/>
    <w:rsid w:val="007F46D9"/>
    <w:rsid w:val="007F4A22"/>
    <w:rsid w:val="007F4CCF"/>
    <w:rsid w:val="007F5463"/>
    <w:rsid w:val="007F5E68"/>
    <w:rsid w:val="007F5EC2"/>
    <w:rsid w:val="007F6F1B"/>
    <w:rsid w:val="007F737B"/>
    <w:rsid w:val="00801210"/>
    <w:rsid w:val="008022FD"/>
    <w:rsid w:val="0080291D"/>
    <w:rsid w:val="008031D0"/>
    <w:rsid w:val="008039A0"/>
    <w:rsid w:val="008039BA"/>
    <w:rsid w:val="00804163"/>
    <w:rsid w:val="00804493"/>
    <w:rsid w:val="00805D61"/>
    <w:rsid w:val="008069FC"/>
    <w:rsid w:val="0080704A"/>
    <w:rsid w:val="0080707F"/>
    <w:rsid w:val="00810DFC"/>
    <w:rsid w:val="00811CE5"/>
    <w:rsid w:val="00811E69"/>
    <w:rsid w:val="00813A17"/>
    <w:rsid w:val="008140BC"/>
    <w:rsid w:val="008149A1"/>
    <w:rsid w:val="00814BE3"/>
    <w:rsid w:val="008156D1"/>
    <w:rsid w:val="00815A51"/>
    <w:rsid w:val="00815CDF"/>
    <w:rsid w:val="00815D50"/>
    <w:rsid w:val="0081654E"/>
    <w:rsid w:val="00816702"/>
    <w:rsid w:val="00817156"/>
    <w:rsid w:val="00817C81"/>
    <w:rsid w:val="00820DEA"/>
    <w:rsid w:val="0082110B"/>
    <w:rsid w:val="008211D9"/>
    <w:rsid w:val="00821B4B"/>
    <w:rsid w:val="00821B50"/>
    <w:rsid w:val="00821B79"/>
    <w:rsid w:val="00821E15"/>
    <w:rsid w:val="0082373A"/>
    <w:rsid w:val="00823A6D"/>
    <w:rsid w:val="00824F9E"/>
    <w:rsid w:val="008250F4"/>
    <w:rsid w:val="00825189"/>
    <w:rsid w:val="00825809"/>
    <w:rsid w:val="00825CA9"/>
    <w:rsid w:val="0082603C"/>
    <w:rsid w:val="00826A85"/>
    <w:rsid w:val="0082748B"/>
    <w:rsid w:val="00827914"/>
    <w:rsid w:val="008300D2"/>
    <w:rsid w:val="00830AB1"/>
    <w:rsid w:val="0083269D"/>
    <w:rsid w:val="00832739"/>
    <w:rsid w:val="00833789"/>
    <w:rsid w:val="00834381"/>
    <w:rsid w:val="00834540"/>
    <w:rsid w:val="00834613"/>
    <w:rsid w:val="00834C4E"/>
    <w:rsid w:val="00834FDF"/>
    <w:rsid w:val="00840294"/>
    <w:rsid w:val="00840324"/>
    <w:rsid w:val="008412A1"/>
    <w:rsid w:val="0084156D"/>
    <w:rsid w:val="00841653"/>
    <w:rsid w:val="00841A63"/>
    <w:rsid w:val="00841D3A"/>
    <w:rsid w:val="00841F1E"/>
    <w:rsid w:val="00842431"/>
    <w:rsid w:val="00842E0B"/>
    <w:rsid w:val="00843108"/>
    <w:rsid w:val="008433D3"/>
    <w:rsid w:val="00843DA1"/>
    <w:rsid w:val="00843DFC"/>
    <w:rsid w:val="00845104"/>
    <w:rsid w:val="00845832"/>
    <w:rsid w:val="0084616F"/>
    <w:rsid w:val="00846948"/>
    <w:rsid w:val="00846BFF"/>
    <w:rsid w:val="00847338"/>
    <w:rsid w:val="0084746D"/>
    <w:rsid w:val="00850508"/>
    <w:rsid w:val="0085119C"/>
    <w:rsid w:val="008517CD"/>
    <w:rsid w:val="008522F1"/>
    <w:rsid w:val="00852BCF"/>
    <w:rsid w:val="00853698"/>
    <w:rsid w:val="00854971"/>
    <w:rsid w:val="00856AC2"/>
    <w:rsid w:val="008570C0"/>
    <w:rsid w:val="0085767D"/>
    <w:rsid w:val="008605BB"/>
    <w:rsid w:val="008606A3"/>
    <w:rsid w:val="00860B5A"/>
    <w:rsid w:val="00860EE4"/>
    <w:rsid w:val="00861AD3"/>
    <w:rsid w:val="0086293A"/>
    <w:rsid w:val="00862AF3"/>
    <w:rsid w:val="00862C67"/>
    <w:rsid w:val="0086360A"/>
    <w:rsid w:val="0086398F"/>
    <w:rsid w:val="00863F53"/>
    <w:rsid w:val="00864309"/>
    <w:rsid w:val="008651AE"/>
    <w:rsid w:val="00865497"/>
    <w:rsid w:val="00865897"/>
    <w:rsid w:val="00865D05"/>
    <w:rsid w:val="00865F27"/>
    <w:rsid w:val="008663A0"/>
    <w:rsid w:val="00866756"/>
    <w:rsid w:val="00866B6D"/>
    <w:rsid w:val="00867673"/>
    <w:rsid w:val="0086786F"/>
    <w:rsid w:val="008706EC"/>
    <w:rsid w:val="00871FFF"/>
    <w:rsid w:val="0087200E"/>
    <w:rsid w:val="008727B0"/>
    <w:rsid w:val="00874B27"/>
    <w:rsid w:val="00874F38"/>
    <w:rsid w:val="00875F21"/>
    <w:rsid w:val="00876018"/>
    <w:rsid w:val="00876867"/>
    <w:rsid w:val="008769C2"/>
    <w:rsid w:val="008777EE"/>
    <w:rsid w:val="008778DE"/>
    <w:rsid w:val="00877A1C"/>
    <w:rsid w:val="00880460"/>
    <w:rsid w:val="008806DF"/>
    <w:rsid w:val="008811EB"/>
    <w:rsid w:val="00881F5A"/>
    <w:rsid w:val="00882B3E"/>
    <w:rsid w:val="0088395D"/>
    <w:rsid w:val="00883C10"/>
    <w:rsid w:val="00884157"/>
    <w:rsid w:val="00884A0E"/>
    <w:rsid w:val="00887B03"/>
    <w:rsid w:val="00887DB7"/>
    <w:rsid w:val="00890CD5"/>
    <w:rsid w:val="00892102"/>
    <w:rsid w:val="00892596"/>
    <w:rsid w:val="0089324D"/>
    <w:rsid w:val="00893F60"/>
    <w:rsid w:val="00893FCE"/>
    <w:rsid w:val="0089470D"/>
    <w:rsid w:val="0089499A"/>
    <w:rsid w:val="008952FF"/>
    <w:rsid w:val="0089562C"/>
    <w:rsid w:val="008957BD"/>
    <w:rsid w:val="0089595D"/>
    <w:rsid w:val="0089699F"/>
    <w:rsid w:val="00897C1B"/>
    <w:rsid w:val="00897E22"/>
    <w:rsid w:val="008A0488"/>
    <w:rsid w:val="008A0BEB"/>
    <w:rsid w:val="008A2527"/>
    <w:rsid w:val="008A28DC"/>
    <w:rsid w:val="008A2C9B"/>
    <w:rsid w:val="008A30FD"/>
    <w:rsid w:val="008A36C5"/>
    <w:rsid w:val="008A3AEF"/>
    <w:rsid w:val="008A543F"/>
    <w:rsid w:val="008A5F58"/>
    <w:rsid w:val="008A76D5"/>
    <w:rsid w:val="008B0009"/>
    <w:rsid w:val="008B02FB"/>
    <w:rsid w:val="008B0650"/>
    <w:rsid w:val="008B07C6"/>
    <w:rsid w:val="008B1170"/>
    <w:rsid w:val="008B18A4"/>
    <w:rsid w:val="008B1C3F"/>
    <w:rsid w:val="008B2E49"/>
    <w:rsid w:val="008B3113"/>
    <w:rsid w:val="008B3181"/>
    <w:rsid w:val="008B3E89"/>
    <w:rsid w:val="008B4643"/>
    <w:rsid w:val="008B4D77"/>
    <w:rsid w:val="008B610F"/>
    <w:rsid w:val="008B6C25"/>
    <w:rsid w:val="008B7253"/>
    <w:rsid w:val="008B7858"/>
    <w:rsid w:val="008B7C1F"/>
    <w:rsid w:val="008C022C"/>
    <w:rsid w:val="008C1992"/>
    <w:rsid w:val="008C220E"/>
    <w:rsid w:val="008C22D2"/>
    <w:rsid w:val="008C240D"/>
    <w:rsid w:val="008C292C"/>
    <w:rsid w:val="008C3642"/>
    <w:rsid w:val="008C365F"/>
    <w:rsid w:val="008C3929"/>
    <w:rsid w:val="008C3D33"/>
    <w:rsid w:val="008C41E6"/>
    <w:rsid w:val="008C56A5"/>
    <w:rsid w:val="008C5915"/>
    <w:rsid w:val="008C616B"/>
    <w:rsid w:val="008C6179"/>
    <w:rsid w:val="008C7AA8"/>
    <w:rsid w:val="008C7EE6"/>
    <w:rsid w:val="008D0958"/>
    <w:rsid w:val="008D0F83"/>
    <w:rsid w:val="008D10A5"/>
    <w:rsid w:val="008D22DE"/>
    <w:rsid w:val="008D4C8B"/>
    <w:rsid w:val="008D4C97"/>
    <w:rsid w:val="008D4EF8"/>
    <w:rsid w:val="008D58C9"/>
    <w:rsid w:val="008D615A"/>
    <w:rsid w:val="008D6636"/>
    <w:rsid w:val="008D74F8"/>
    <w:rsid w:val="008D7A8D"/>
    <w:rsid w:val="008E0BC2"/>
    <w:rsid w:val="008E1BB5"/>
    <w:rsid w:val="008E1C05"/>
    <w:rsid w:val="008E1F19"/>
    <w:rsid w:val="008E2291"/>
    <w:rsid w:val="008E2546"/>
    <w:rsid w:val="008E28C0"/>
    <w:rsid w:val="008E309C"/>
    <w:rsid w:val="008E3C81"/>
    <w:rsid w:val="008E5512"/>
    <w:rsid w:val="008E5639"/>
    <w:rsid w:val="008E5FB8"/>
    <w:rsid w:val="008E767A"/>
    <w:rsid w:val="008F033F"/>
    <w:rsid w:val="008F1A49"/>
    <w:rsid w:val="008F1E95"/>
    <w:rsid w:val="008F2F79"/>
    <w:rsid w:val="008F36D1"/>
    <w:rsid w:val="008F370F"/>
    <w:rsid w:val="008F4AD4"/>
    <w:rsid w:val="008F4E81"/>
    <w:rsid w:val="008F5CEF"/>
    <w:rsid w:val="008F5D39"/>
    <w:rsid w:val="008F5DA4"/>
    <w:rsid w:val="008F6749"/>
    <w:rsid w:val="009008BF"/>
    <w:rsid w:val="009009BD"/>
    <w:rsid w:val="00900C4A"/>
    <w:rsid w:val="00900D23"/>
    <w:rsid w:val="00901915"/>
    <w:rsid w:val="00901C91"/>
    <w:rsid w:val="00901D14"/>
    <w:rsid w:val="00902047"/>
    <w:rsid w:val="009024C3"/>
    <w:rsid w:val="00902F56"/>
    <w:rsid w:val="009038C2"/>
    <w:rsid w:val="00904883"/>
    <w:rsid w:val="0090565A"/>
    <w:rsid w:val="00906269"/>
    <w:rsid w:val="009074A0"/>
    <w:rsid w:val="00907CCA"/>
    <w:rsid w:val="00907F82"/>
    <w:rsid w:val="00910991"/>
    <w:rsid w:val="00910D4E"/>
    <w:rsid w:val="00910EA2"/>
    <w:rsid w:val="00911064"/>
    <w:rsid w:val="00911FB2"/>
    <w:rsid w:val="0091259A"/>
    <w:rsid w:val="00913A19"/>
    <w:rsid w:val="009149D8"/>
    <w:rsid w:val="00915124"/>
    <w:rsid w:val="009153DC"/>
    <w:rsid w:val="009155E5"/>
    <w:rsid w:val="0091569F"/>
    <w:rsid w:val="00915D2B"/>
    <w:rsid w:val="00915FE9"/>
    <w:rsid w:val="009161EF"/>
    <w:rsid w:val="00916311"/>
    <w:rsid w:val="00916465"/>
    <w:rsid w:val="009164B4"/>
    <w:rsid w:val="00916A9D"/>
    <w:rsid w:val="00916AFC"/>
    <w:rsid w:val="00917168"/>
    <w:rsid w:val="009176D5"/>
    <w:rsid w:val="00920610"/>
    <w:rsid w:val="00920BEB"/>
    <w:rsid w:val="009211A6"/>
    <w:rsid w:val="009220D4"/>
    <w:rsid w:val="009221C2"/>
    <w:rsid w:val="00923A62"/>
    <w:rsid w:val="00925227"/>
    <w:rsid w:val="009264E8"/>
    <w:rsid w:val="00926820"/>
    <w:rsid w:val="00926A3D"/>
    <w:rsid w:val="00926E53"/>
    <w:rsid w:val="00926FEB"/>
    <w:rsid w:val="00927CFE"/>
    <w:rsid w:val="00927D96"/>
    <w:rsid w:val="009304B1"/>
    <w:rsid w:val="009311FB"/>
    <w:rsid w:val="0093129F"/>
    <w:rsid w:val="0093227A"/>
    <w:rsid w:val="00932D6D"/>
    <w:rsid w:val="00933DBA"/>
    <w:rsid w:val="00935CCA"/>
    <w:rsid w:val="00936126"/>
    <w:rsid w:val="00937325"/>
    <w:rsid w:val="00937424"/>
    <w:rsid w:val="00941607"/>
    <w:rsid w:val="00941C22"/>
    <w:rsid w:val="00941D5E"/>
    <w:rsid w:val="00942A3A"/>
    <w:rsid w:val="00944436"/>
    <w:rsid w:val="00944A53"/>
    <w:rsid w:val="00944D74"/>
    <w:rsid w:val="00944DFF"/>
    <w:rsid w:val="00946377"/>
    <w:rsid w:val="009475A6"/>
    <w:rsid w:val="00947B27"/>
    <w:rsid w:val="00950240"/>
    <w:rsid w:val="009503D5"/>
    <w:rsid w:val="00951C1D"/>
    <w:rsid w:val="0095251D"/>
    <w:rsid w:val="0095253F"/>
    <w:rsid w:val="00952AFD"/>
    <w:rsid w:val="00953EC4"/>
    <w:rsid w:val="00954B4F"/>
    <w:rsid w:val="00954FF8"/>
    <w:rsid w:val="009560A6"/>
    <w:rsid w:val="0095640E"/>
    <w:rsid w:val="009573EE"/>
    <w:rsid w:val="00957AC4"/>
    <w:rsid w:val="009601EF"/>
    <w:rsid w:val="009602A9"/>
    <w:rsid w:val="00960463"/>
    <w:rsid w:val="00960D3B"/>
    <w:rsid w:val="00961CA4"/>
    <w:rsid w:val="0096325C"/>
    <w:rsid w:val="00964392"/>
    <w:rsid w:val="00964869"/>
    <w:rsid w:val="00964952"/>
    <w:rsid w:val="00966097"/>
    <w:rsid w:val="00966105"/>
    <w:rsid w:val="00966B4F"/>
    <w:rsid w:val="0096724B"/>
    <w:rsid w:val="009673F8"/>
    <w:rsid w:val="009675D6"/>
    <w:rsid w:val="00967CCC"/>
    <w:rsid w:val="009707E8"/>
    <w:rsid w:val="00973461"/>
    <w:rsid w:val="00973A76"/>
    <w:rsid w:val="00976443"/>
    <w:rsid w:val="0097739B"/>
    <w:rsid w:val="00977F3D"/>
    <w:rsid w:val="009802CF"/>
    <w:rsid w:val="00980B28"/>
    <w:rsid w:val="00980D54"/>
    <w:rsid w:val="0098121F"/>
    <w:rsid w:val="009814F3"/>
    <w:rsid w:val="00982624"/>
    <w:rsid w:val="00982BC2"/>
    <w:rsid w:val="009830BB"/>
    <w:rsid w:val="009839DF"/>
    <w:rsid w:val="0098423D"/>
    <w:rsid w:val="00984B0D"/>
    <w:rsid w:val="0098506A"/>
    <w:rsid w:val="0098589F"/>
    <w:rsid w:val="009865A8"/>
    <w:rsid w:val="00986678"/>
    <w:rsid w:val="00986A6A"/>
    <w:rsid w:val="00986F59"/>
    <w:rsid w:val="00990E39"/>
    <w:rsid w:val="00992FC9"/>
    <w:rsid w:val="0099306B"/>
    <w:rsid w:val="00994713"/>
    <w:rsid w:val="00994774"/>
    <w:rsid w:val="009947F2"/>
    <w:rsid w:val="009949DE"/>
    <w:rsid w:val="009950A0"/>
    <w:rsid w:val="00995284"/>
    <w:rsid w:val="009962AD"/>
    <w:rsid w:val="009963CE"/>
    <w:rsid w:val="009964E9"/>
    <w:rsid w:val="00996CA3"/>
    <w:rsid w:val="009971E4"/>
    <w:rsid w:val="00997C47"/>
    <w:rsid w:val="009A1355"/>
    <w:rsid w:val="009A1C2D"/>
    <w:rsid w:val="009A1D65"/>
    <w:rsid w:val="009A200A"/>
    <w:rsid w:val="009A3155"/>
    <w:rsid w:val="009A3BF6"/>
    <w:rsid w:val="009A3FE8"/>
    <w:rsid w:val="009A4054"/>
    <w:rsid w:val="009A55EB"/>
    <w:rsid w:val="009A57FC"/>
    <w:rsid w:val="009A5EFE"/>
    <w:rsid w:val="009A5F57"/>
    <w:rsid w:val="009A6186"/>
    <w:rsid w:val="009A67B3"/>
    <w:rsid w:val="009A7DBF"/>
    <w:rsid w:val="009B0A3A"/>
    <w:rsid w:val="009B1F83"/>
    <w:rsid w:val="009B2F40"/>
    <w:rsid w:val="009B32E3"/>
    <w:rsid w:val="009B41A1"/>
    <w:rsid w:val="009B4383"/>
    <w:rsid w:val="009B55C0"/>
    <w:rsid w:val="009B5F16"/>
    <w:rsid w:val="009B5F64"/>
    <w:rsid w:val="009B60C3"/>
    <w:rsid w:val="009B63E7"/>
    <w:rsid w:val="009B695F"/>
    <w:rsid w:val="009B7964"/>
    <w:rsid w:val="009B7F43"/>
    <w:rsid w:val="009C0B3B"/>
    <w:rsid w:val="009C1393"/>
    <w:rsid w:val="009C202C"/>
    <w:rsid w:val="009C2B55"/>
    <w:rsid w:val="009C2F0B"/>
    <w:rsid w:val="009C36B5"/>
    <w:rsid w:val="009C534C"/>
    <w:rsid w:val="009C5F72"/>
    <w:rsid w:val="009C740C"/>
    <w:rsid w:val="009C749F"/>
    <w:rsid w:val="009D0383"/>
    <w:rsid w:val="009D05C7"/>
    <w:rsid w:val="009D0910"/>
    <w:rsid w:val="009D12EB"/>
    <w:rsid w:val="009D1505"/>
    <w:rsid w:val="009D1B39"/>
    <w:rsid w:val="009D3118"/>
    <w:rsid w:val="009D3D7E"/>
    <w:rsid w:val="009D5183"/>
    <w:rsid w:val="009D5EF9"/>
    <w:rsid w:val="009D7317"/>
    <w:rsid w:val="009D7BC1"/>
    <w:rsid w:val="009D7DE0"/>
    <w:rsid w:val="009E0CB3"/>
    <w:rsid w:val="009E0DCC"/>
    <w:rsid w:val="009E126C"/>
    <w:rsid w:val="009E206E"/>
    <w:rsid w:val="009E239D"/>
    <w:rsid w:val="009E3416"/>
    <w:rsid w:val="009E39FE"/>
    <w:rsid w:val="009E575A"/>
    <w:rsid w:val="009E6608"/>
    <w:rsid w:val="009E6D9D"/>
    <w:rsid w:val="009E746E"/>
    <w:rsid w:val="009E7D5D"/>
    <w:rsid w:val="009E7F9B"/>
    <w:rsid w:val="009F0496"/>
    <w:rsid w:val="009F0B14"/>
    <w:rsid w:val="009F10DC"/>
    <w:rsid w:val="009F12EA"/>
    <w:rsid w:val="009F17F0"/>
    <w:rsid w:val="009F2123"/>
    <w:rsid w:val="009F2695"/>
    <w:rsid w:val="009F39B1"/>
    <w:rsid w:val="009F651D"/>
    <w:rsid w:val="009F7834"/>
    <w:rsid w:val="009F7A45"/>
    <w:rsid w:val="00A014BD"/>
    <w:rsid w:val="00A02583"/>
    <w:rsid w:val="00A028A1"/>
    <w:rsid w:val="00A02CEA"/>
    <w:rsid w:val="00A03A48"/>
    <w:rsid w:val="00A0494B"/>
    <w:rsid w:val="00A04C1D"/>
    <w:rsid w:val="00A057CA"/>
    <w:rsid w:val="00A05BA7"/>
    <w:rsid w:val="00A05E56"/>
    <w:rsid w:val="00A060E0"/>
    <w:rsid w:val="00A06F6D"/>
    <w:rsid w:val="00A06F7E"/>
    <w:rsid w:val="00A1036F"/>
    <w:rsid w:val="00A103CA"/>
    <w:rsid w:val="00A10D36"/>
    <w:rsid w:val="00A11B33"/>
    <w:rsid w:val="00A11D44"/>
    <w:rsid w:val="00A136F4"/>
    <w:rsid w:val="00A13C9D"/>
    <w:rsid w:val="00A14279"/>
    <w:rsid w:val="00A144ED"/>
    <w:rsid w:val="00A14627"/>
    <w:rsid w:val="00A14748"/>
    <w:rsid w:val="00A147CA"/>
    <w:rsid w:val="00A164DA"/>
    <w:rsid w:val="00A175FE"/>
    <w:rsid w:val="00A2053F"/>
    <w:rsid w:val="00A21787"/>
    <w:rsid w:val="00A21B54"/>
    <w:rsid w:val="00A21BA0"/>
    <w:rsid w:val="00A224A2"/>
    <w:rsid w:val="00A225A0"/>
    <w:rsid w:val="00A2265B"/>
    <w:rsid w:val="00A22DEF"/>
    <w:rsid w:val="00A2392F"/>
    <w:rsid w:val="00A23C96"/>
    <w:rsid w:val="00A25BF6"/>
    <w:rsid w:val="00A26415"/>
    <w:rsid w:val="00A2695A"/>
    <w:rsid w:val="00A27DC3"/>
    <w:rsid w:val="00A30264"/>
    <w:rsid w:val="00A31319"/>
    <w:rsid w:val="00A33183"/>
    <w:rsid w:val="00A33335"/>
    <w:rsid w:val="00A33932"/>
    <w:rsid w:val="00A33AA0"/>
    <w:rsid w:val="00A345D6"/>
    <w:rsid w:val="00A3464F"/>
    <w:rsid w:val="00A34AF5"/>
    <w:rsid w:val="00A34B05"/>
    <w:rsid w:val="00A34C56"/>
    <w:rsid w:val="00A35548"/>
    <w:rsid w:val="00A35F7A"/>
    <w:rsid w:val="00A3620F"/>
    <w:rsid w:val="00A403A2"/>
    <w:rsid w:val="00A40804"/>
    <w:rsid w:val="00A409B4"/>
    <w:rsid w:val="00A410B6"/>
    <w:rsid w:val="00A4166C"/>
    <w:rsid w:val="00A41AA3"/>
    <w:rsid w:val="00A42E06"/>
    <w:rsid w:val="00A43422"/>
    <w:rsid w:val="00A43EAC"/>
    <w:rsid w:val="00A44D62"/>
    <w:rsid w:val="00A45D9C"/>
    <w:rsid w:val="00A46685"/>
    <w:rsid w:val="00A46AF1"/>
    <w:rsid w:val="00A4719A"/>
    <w:rsid w:val="00A472FA"/>
    <w:rsid w:val="00A4737F"/>
    <w:rsid w:val="00A4738B"/>
    <w:rsid w:val="00A47426"/>
    <w:rsid w:val="00A479CE"/>
    <w:rsid w:val="00A47C17"/>
    <w:rsid w:val="00A47D37"/>
    <w:rsid w:val="00A506F0"/>
    <w:rsid w:val="00A5171C"/>
    <w:rsid w:val="00A52833"/>
    <w:rsid w:val="00A528D3"/>
    <w:rsid w:val="00A52A40"/>
    <w:rsid w:val="00A52A7B"/>
    <w:rsid w:val="00A52BBB"/>
    <w:rsid w:val="00A542AC"/>
    <w:rsid w:val="00A54442"/>
    <w:rsid w:val="00A555A9"/>
    <w:rsid w:val="00A56D3B"/>
    <w:rsid w:val="00A573CF"/>
    <w:rsid w:val="00A579F3"/>
    <w:rsid w:val="00A57E08"/>
    <w:rsid w:val="00A614CF"/>
    <w:rsid w:val="00A619E5"/>
    <w:rsid w:val="00A62920"/>
    <w:rsid w:val="00A62C02"/>
    <w:rsid w:val="00A63F2E"/>
    <w:rsid w:val="00A64DDE"/>
    <w:rsid w:val="00A65507"/>
    <w:rsid w:val="00A66098"/>
    <w:rsid w:val="00A66349"/>
    <w:rsid w:val="00A667C2"/>
    <w:rsid w:val="00A67269"/>
    <w:rsid w:val="00A703B1"/>
    <w:rsid w:val="00A71C9E"/>
    <w:rsid w:val="00A734A1"/>
    <w:rsid w:val="00A7415F"/>
    <w:rsid w:val="00A74797"/>
    <w:rsid w:val="00A74C8E"/>
    <w:rsid w:val="00A75F0B"/>
    <w:rsid w:val="00A75FF2"/>
    <w:rsid w:val="00A7746B"/>
    <w:rsid w:val="00A80317"/>
    <w:rsid w:val="00A80B93"/>
    <w:rsid w:val="00A80F64"/>
    <w:rsid w:val="00A81698"/>
    <w:rsid w:val="00A817B7"/>
    <w:rsid w:val="00A83145"/>
    <w:rsid w:val="00A83A1E"/>
    <w:rsid w:val="00A83A77"/>
    <w:rsid w:val="00A83C7B"/>
    <w:rsid w:val="00A83CE3"/>
    <w:rsid w:val="00A83FE4"/>
    <w:rsid w:val="00A841EF"/>
    <w:rsid w:val="00A84BFA"/>
    <w:rsid w:val="00A855C9"/>
    <w:rsid w:val="00A867CE"/>
    <w:rsid w:val="00A868C2"/>
    <w:rsid w:val="00A86DB3"/>
    <w:rsid w:val="00A87155"/>
    <w:rsid w:val="00A875B9"/>
    <w:rsid w:val="00A87AA2"/>
    <w:rsid w:val="00A90273"/>
    <w:rsid w:val="00A91BDB"/>
    <w:rsid w:val="00A92301"/>
    <w:rsid w:val="00A92342"/>
    <w:rsid w:val="00A928DB"/>
    <w:rsid w:val="00A92B9C"/>
    <w:rsid w:val="00A92EC7"/>
    <w:rsid w:val="00A9304F"/>
    <w:rsid w:val="00A937CB"/>
    <w:rsid w:val="00A93B27"/>
    <w:rsid w:val="00A94EB7"/>
    <w:rsid w:val="00A9608D"/>
    <w:rsid w:val="00A96355"/>
    <w:rsid w:val="00A9658A"/>
    <w:rsid w:val="00A96ADF"/>
    <w:rsid w:val="00A96CA1"/>
    <w:rsid w:val="00A97686"/>
    <w:rsid w:val="00A97937"/>
    <w:rsid w:val="00AA0245"/>
    <w:rsid w:val="00AA02BA"/>
    <w:rsid w:val="00AA1899"/>
    <w:rsid w:val="00AA29D4"/>
    <w:rsid w:val="00AA2D08"/>
    <w:rsid w:val="00AA2DE1"/>
    <w:rsid w:val="00AA3183"/>
    <w:rsid w:val="00AA32C8"/>
    <w:rsid w:val="00AA37BB"/>
    <w:rsid w:val="00AA3CEC"/>
    <w:rsid w:val="00AA4202"/>
    <w:rsid w:val="00AA4314"/>
    <w:rsid w:val="00AA5167"/>
    <w:rsid w:val="00AA51CD"/>
    <w:rsid w:val="00AA5209"/>
    <w:rsid w:val="00AA5355"/>
    <w:rsid w:val="00AA6D96"/>
    <w:rsid w:val="00AA6F90"/>
    <w:rsid w:val="00AA7233"/>
    <w:rsid w:val="00AA7476"/>
    <w:rsid w:val="00AA75E5"/>
    <w:rsid w:val="00AA77F6"/>
    <w:rsid w:val="00AA7AE9"/>
    <w:rsid w:val="00AB0324"/>
    <w:rsid w:val="00AB035B"/>
    <w:rsid w:val="00AB058F"/>
    <w:rsid w:val="00AB183A"/>
    <w:rsid w:val="00AB1D64"/>
    <w:rsid w:val="00AB3563"/>
    <w:rsid w:val="00AB3DC2"/>
    <w:rsid w:val="00AB3F6B"/>
    <w:rsid w:val="00AB530B"/>
    <w:rsid w:val="00AB60D1"/>
    <w:rsid w:val="00AB7476"/>
    <w:rsid w:val="00AB74AC"/>
    <w:rsid w:val="00AC0BCF"/>
    <w:rsid w:val="00AC20B4"/>
    <w:rsid w:val="00AC446B"/>
    <w:rsid w:val="00AC4B2A"/>
    <w:rsid w:val="00AC5F65"/>
    <w:rsid w:val="00AC6952"/>
    <w:rsid w:val="00AC75B6"/>
    <w:rsid w:val="00AD012B"/>
    <w:rsid w:val="00AD0627"/>
    <w:rsid w:val="00AD1392"/>
    <w:rsid w:val="00AD195C"/>
    <w:rsid w:val="00AD1E74"/>
    <w:rsid w:val="00AD227C"/>
    <w:rsid w:val="00AD31C8"/>
    <w:rsid w:val="00AD34CF"/>
    <w:rsid w:val="00AD47A8"/>
    <w:rsid w:val="00AD5898"/>
    <w:rsid w:val="00AD5B29"/>
    <w:rsid w:val="00AD5FBD"/>
    <w:rsid w:val="00AD6472"/>
    <w:rsid w:val="00AD6D50"/>
    <w:rsid w:val="00AD7338"/>
    <w:rsid w:val="00AD77EB"/>
    <w:rsid w:val="00AE0238"/>
    <w:rsid w:val="00AE0D4C"/>
    <w:rsid w:val="00AE2485"/>
    <w:rsid w:val="00AE2BA1"/>
    <w:rsid w:val="00AE4805"/>
    <w:rsid w:val="00AE4912"/>
    <w:rsid w:val="00AE53DA"/>
    <w:rsid w:val="00AE5D74"/>
    <w:rsid w:val="00AE61C8"/>
    <w:rsid w:val="00AE6BE2"/>
    <w:rsid w:val="00AE71DA"/>
    <w:rsid w:val="00AE7A75"/>
    <w:rsid w:val="00AF1542"/>
    <w:rsid w:val="00AF2250"/>
    <w:rsid w:val="00AF29C2"/>
    <w:rsid w:val="00AF30D0"/>
    <w:rsid w:val="00AF3CEC"/>
    <w:rsid w:val="00AF4EA2"/>
    <w:rsid w:val="00AF590D"/>
    <w:rsid w:val="00AF5C1F"/>
    <w:rsid w:val="00AF6236"/>
    <w:rsid w:val="00AF681F"/>
    <w:rsid w:val="00AF6CBC"/>
    <w:rsid w:val="00AF6D65"/>
    <w:rsid w:val="00AF7E98"/>
    <w:rsid w:val="00B0114A"/>
    <w:rsid w:val="00B01701"/>
    <w:rsid w:val="00B01E7E"/>
    <w:rsid w:val="00B0253A"/>
    <w:rsid w:val="00B02E5B"/>
    <w:rsid w:val="00B03492"/>
    <w:rsid w:val="00B03ADA"/>
    <w:rsid w:val="00B05441"/>
    <w:rsid w:val="00B05764"/>
    <w:rsid w:val="00B0630F"/>
    <w:rsid w:val="00B06793"/>
    <w:rsid w:val="00B06951"/>
    <w:rsid w:val="00B06AD3"/>
    <w:rsid w:val="00B06FE2"/>
    <w:rsid w:val="00B07DC6"/>
    <w:rsid w:val="00B10381"/>
    <w:rsid w:val="00B10B67"/>
    <w:rsid w:val="00B10D57"/>
    <w:rsid w:val="00B11089"/>
    <w:rsid w:val="00B11225"/>
    <w:rsid w:val="00B11946"/>
    <w:rsid w:val="00B11F35"/>
    <w:rsid w:val="00B121AD"/>
    <w:rsid w:val="00B1246D"/>
    <w:rsid w:val="00B126E9"/>
    <w:rsid w:val="00B12865"/>
    <w:rsid w:val="00B12BCA"/>
    <w:rsid w:val="00B12D30"/>
    <w:rsid w:val="00B13507"/>
    <w:rsid w:val="00B139D7"/>
    <w:rsid w:val="00B13AE9"/>
    <w:rsid w:val="00B14089"/>
    <w:rsid w:val="00B14310"/>
    <w:rsid w:val="00B14EA7"/>
    <w:rsid w:val="00B154AD"/>
    <w:rsid w:val="00B1579A"/>
    <w:rsid w:val="00B15873"/>
    <w:rsid w:val="00B163CB"/>
    <w:rsid w:val="00B16609"/>
    <w:rsid w:val="00B166E7"/>
    <w:rsid w:val="00B17144"/>
    <w:rsid w:val="00B171B7"/>
    <w:rsid w:val="00B17D83"/>
    <w:rsid w:val="00B2002E"/>
    <w:rsid w:val="00B21BDB"/>
    <w:rsid w:val="00B22582"/>
    <w:rsid w:val="00B229C6"/>
    <w:rsid w:val="00B23389"/>
    <w:rsid w:val="00B2494E"/>
    <w:rsid w:val="00B24BE9"/>
    <w:rsid w:val="00B24FBB"/>
    <w:rsid w:val="00B25991"/>
    <w:rsid w:val="00B261D7"/>
    <w:rsid w:val="00B2753A"/>
    <w:rsid w:val="00B279DE"/>
    <w:rsid w:val="00B30015"/>
    <w:rsid w:val="00B315BB"/>
    <w:rsid w:val="00B31F3B"/>
    <w:rsid w:val="00B32745"/>
    <w:rsid w:val="00B3350E"/>
    <w:rsid w:val="00B341E2"/>
    <w:rsid w:val="00B34548"/>
    <w:rsid w:val="00B35413"/>
    <w:rsid w:val="00B3554D"/>
    <w:rsid w:val="00B35E8F"/>
    <w:rsid w:val="00B3611D"/>
    <w:rsid w:val="00B36DAE"/>
    <w:rsid w:val="00B36E4B"/>
    <w:rsid w:val="00B37A72"/>
    <w:rsid w:val="00B37E43"/>
    <w:rsid w:val="00B4000C"/>
    <w:rsid w:val="00B402E4"/>
    <w:rsid w:val="00B409D1"/>
    <w:rsid w:val="00B40B3A"/>
    <w:rsid w:val="00B4185E"/>
    <w:rsid w:val="00B41C60"/>
    <w:rsid w:val="00B42308"/>
    <w:rsid w:val="00B4257D"/>
    <w:rsid w:val="00B42690"/>
    <w:rsid w:val="00B42928"/>
    <w:rsid w:val="00B42CDD"/>
    <w:rsid w:val="00B44789"/>
    <w:rsid w:val="00B45016"/>
    <w:rsid w:val="00B46069"/>
    <w:rsid w:val="00B469F6"/>
    <w:rsid w:val="00B47795"/>
    <w:rsid w:val="00B50234"/>
    <w:rsid w:val="00B50635"/>
    <w:rsid w:val="00B5170E"/>
    <w:rsid w:val="00B51C24"/>
    <w:rsid w:val="00B52644"/>
    <w:rsid w:val="00B528FC"/>
    <w:rsid w:val="00B52937"/>
    <w:rsid w:val="00B52E97"/>
    <w:rsid w:val="00B54262"/>
    <w:rsid w:val="00B54421"/>
    <w:rsid w:val="00B54648"/>
    <w:rsid w:val="00B54C3E"/>
    <w:rsid w:val="00B55698"/>
    <w:rsid w:val="00B55D5E"/>
    <w:rsid w:val="00B55F48"/>
    <w:rsid w:val="00B55F93"/>
    <w:rsid w:val="00B56074"/>
    <w:rsid w:val="00B560A8"/>
    <w:rsid w:val="00B563C2"/>
    <w:rsid w:val="00B5648F"/>
    <w:rsid w:val="00B56841"/>
    <w:rsid w:val="00B56886"/>
    <w:rsid w:val="00B61115"/>
    <w:rsid w:val="00B616A0"/>
    <w:rsid w:val="00B61720"/>
    <w:rsid w:val="00B61E1F"/>
    <w:rsid w:val="00B62435"/>
    <w:rsid w:val="00B627BF"/>
    <w:rsid w:val="00B62FB3"/>
    <w:rsid w:val="00B635DD"/>
    <w:rsid w:val="00B637AB"/>
    <w:rsid w:val="00B638D3"/>
    <w:rsid w:val="00B64673"/>
    <w:rsid w:val="00B64792"/>
    <w:rsid w:val="00B66A2A"/>
    <w:rsid w:val="00B67F90"/>
    <w:rsid w:val="00B703E1"/>
    <w:rsid w:val="00B705E2"/>
    <w:rsid w:val="00B7071C"/>
    <w:rsid w:val="00B70A17"/>
    <w:rsid w:val="00B70DB3"/>
    <w:rsid w:val="00B70F61"/>
    <w:rsid w:val="00B71F65"/>
    <w:rsid w:val="00B723CC"/>
    <w:rsid w:val="00B72A06"/>
    <w:rsid w:val="00B7371A"/>
    <w:rsid w:val="00B74146"/>
    <w:rsid w:val="00B74748"/>
    <w:rsid w:val="00B74977"/>
    <w:rsid w:val="00B75CD3"/>
    <w:rsid w:val="00B77DC8"/>
    <w:rsid w:val="00B80B08"/>
    <w:rsid w:val="00B80D60"/>
    <w:rsid w:val="00B813B1"/>
    <w:rsid w:val="00B81B7D"/>
    <w:rsid w:val="00B835DB"/>
    <w:rsid w:val="00B83662"/>
    <w:rsid w:val="00B841BC"/>
    <w:rsid w:val="00B84346"/>
    <w:rsid w:val="00B85EEB"/>
    <w:rsid w:val="00B86524"/>
    <w:rsid w:val="00B87594"/>
    <w:rsid w:val="00B87EBA"/>
    <w:rsid w:val="00B906A5"/>
    <w:rsid w:val="00B9080B"/>
    <w:rsid w:val="00B923DE"/>
    <w:rsid w:val="00B92559"/>
    <w:rsid w:val="00B93195"/>
    <w:rsid w:val="00B936FF"/>
    <w:rsid w:val="00B939D3"/>
    <w:rsid w:val="00B93A49"/>
    <w:rsid w:val="00B93F2F"/>
    <w:rsid w:val="00B94683"/>
    <w:rsid w:val="00B948B4"/>
    <w:rsid w:val="00B94C1C"/>
    <w:rsid w:val="00B9547E"/>
    <w:rsid w:val="00B963F8"/>
    <w:rsid w:val="00B9782E"/>
    <w:rsid w:val="00BA0182"/>
    <w:rsid w:val="00BA0B28"/>
    <w:rsid w:val="00BA1309"/>
    <w:rsid w:val="00BA1A8C"/>
    <w:rsid w:val="00BA2255"/>
    <w:rsid w:val="00BA2C63"/>
    <w:rsid w:val="00BA2CC7"/>
    <w:rsid w:val="00BA302C"/>
    <w:rsid w:val="00BA3219"/>
    <w:rsid w:val="00BA396E"/>
    <w:rsid w:val="00BA3AEB"/>
    <w:rsid w:val="00BA4B52"/>
    <w:rsid w:val="00BA57A8"/>
    <w:rsid w:val="00BA58CE"/>
    <w:rsid w:val="00BA5981"/>
    <w:rsid w:val="00BA6150"/>
    <w:rsid w:val="00BA63DA"/>
    <w:rsid w:val="00BA74F7"/>
    <w:rsid w:val="00BA7852"/>
    <w:rsid w:val="00BB0444"/>
    <w:rsid w:val="00BB0589"/>
    <w:rsid w:val="00BB098C"/>
    <w:rsid w:val="00BB1355"/>
    <w:rsid w:val="00BB1722"/>
    <w:rsid w:val="00BB2624"/>
    <w:rsid w:val="00BB45FE"/>
    <w:rsid w:val="00BB4BB0"/>
    <w:rsid w:val="00BB4CCF"/>
    <w:rsid w:val="00BB631E"/>
    <w:rsid w:val="00BB690E"/>
    <w:rsid w:val="00BB74AE"/>
    <w:rsid w:val="00BB7E3B"/>
    <w:rsid w:val="00BC0727"/>
    <w:rsid w:val="00BC0E47"/>
    <w:rsid w:val="00BC1040"/>
    <w:rsid w:val="00BC2CD4"/>
    <w:rsid w:val="00BC3FA0"/>
    <w:rsid w:val="00BC49F0"/>
    <w:rsid w:val="00BC4F14"/>
    <w:rsid w:val="00BC4F90"/>
    <w:rsid w:val="00BC662D"/>
    <w:rsid w:val="00BC66EB"/>
    <w:rsid w:val="00BC68C0"/>
    <w:rsid w:val="00BC742F"/>
    <w:rsid w:val="00BC7CCA"/>
    <w:rsid w:val="00BD0579"/>
    <w:rsid w:val="00BD0817"/>
    <w:rsid w:val="00BD1ADB"/>
    <w:rsid w:val="00BD2AF3"/>
    <w:rsid w:val="00BD32B6"/>
    <w:rsid w:val="00BD4959"/>
    <w:rsid w:val="00BD552B"/>
    <w:rsid w:val="00BD5C5F"/>
    <w:rsid w:val="00BD65BA"/>
    <w:rsid w:val="00BD6F91"/>
    <w:rsid w:val="00BD7C04"/>
    <w:rsid w:val="00BE04A0"/>
    <w:rsid w:val="00BE1719"/>
    <w:rsid w:val="00BE174B"/>
    <w:rsid w:val="00BE4054"/>
    <w:rsid w:val="00BE43DF"/>
    <w:rsid w:val="00BE4865"/>
    <w:rsid w:val="00BE4C62"/>
    <w:rsid w:val="00BE649A"/>
    <w:rsid w:val="00BE6BAB"/>
    <w:rsid w:val="00BF0E8D"/>
    <w:rsid w:val="00BF10D9"/>
    <w:rsid w:val="00BF210F"/>
    <w:rsid w:val="00BF257D"/>
    <w:rsid w:val="00BF286F"/>
    <w:rsid w:val="00BF2F6A"/>
    <w:rsid w:val="00BF3465"/>
    <w:rsid w:val="00BF47D9"/>
    <w:rsid w:val="00BF4986"/>
    <w:rsid w:val="00BF5CED"/>
    <w:rsid w:val="00BF6256"/>
    <w:rsid w:val="00BF62F3"/>
    <w:rsid w:val="00BF680B"/>
    <w:rsid w:val="00BF71A3"/>
    <w:rsid w:val="00BF7E76"/>
    <w:rsid w:val="00C00A7F"/>
    <w:rsid w:val="00C01357"/>
    <w:rsid w:val="00C01D6A"/>
    <w:rsid w:val="00C03A24"/>
    <w:rsid w:val="00C03DB0"/>
    <w:rsid w:val="00C06AA6"/>
    <w:rsid w:val="00C0706E"/>
    <w:rsid w:val="00C10A39"/>
    <w:rsid w:val="00C11328"/>
    <w:rsid w:val="00C11390"/>
    <w:rsid w:val="00C119A2"/>
    <w:rsid w:val="00C11F00"/>
    <w:rsid w:val="00C135D5"/>
    <w:rsid w:val="00C14014"/>
    <w:rsid w:val="00C146DC"/>
    <w:rsid w:val="00C1477B"/>
    <w:rsid w:val="00C160F0"/>
    <w:rsid w:val="00C16957"/>
    <w:rsid w:val="00C16A40"/>
    <w:rsid w:val="00C2005D"/>
    <w:rsid w:val="00C20EBD"/>
    <w:rsid w:val="00C22307"/>
    <w:rsid w:val="00C22D8F"/>
    <w:rsid w:val="00C23030"/>
    <w:rsid w:val="00C23075"/>
    <w:rsid w:val="00C239CF"/>
    <w:rsid w:val="00C23DC2"/>
    <w:rsid w:val="00C24695"/>
    <w:rsid w:val="00C24972"/>
    <w:rsid w:val="00C250A7"/>
    <w:rsid w:val="00C26A4E"/>
    <w:rsid w:val="00C26AB7"/>
    <w:rsid w:val="00C2719A"/>
    <w:rsid w:val="00C27B8D"/>
    <w:rsid w:val="00C27CFB"/>
    <w:rsid w:val="00C27D3F"/>
    <w:rsid w:val="00C31DB9"/>
    <w:rsid w:val="00C330FE"/>
    <w:rsid w:val="00C33288"/>
    <w:rsid w:val="00C33316"/>
    <w:rsid w:val="00C3352A"/>
    <w:rsid w:val="00C3390D"/>
    <w:rsid w:val="00C3469B"/>
    <w:rsid w:val="00C34BEA"/>
    <w:rsid w:val="00C34D2F"/>
    <w:rsid w:val="00C34DAD"/>
    <w:rsid w:val="00C3638A"/>
    <w:rsid w:val="00C40571"/>
    <w:rsid w:val="00C4131F"/>
    <w:rsid w:val="00C4141D"/>
    <w:rsid w:val="00C42A46"/>
    <w:rsid w:val="00C4314E"/>
    <w:rsid w:val="00C437E0"/>
    <w:rsid w:val="00C443B2"/>
    <w:rsid w:val="00C44514"/>
    <w:rsid w:val="00C44B4C"/>
    <w:rsid w:val="00C4559B"/>
    <w:rsid w:val="00C45908"/>
    <w:rsid w:val="00C45FD9"/>
    <w:rsid w:val="00C468DA"/>
    <w:rsid w:val="00C46AFB"/>
    <w:rsid w:val="00C471CF"/>
    <w:rsid w:val="00C47569"/>
    <w:rsid w:val="00C5149B"/>
    <w:rsid w:val="00C52304"/>
    <w:rsid w:val="00C52931"/>
    <w:rsid w:val="00C538E8"/>
    <w:rsid w:val="00C5482F"/>
    <w:rsid w:val="00C54C15"/>
    <w:rsid w:val="00C57594"/>
    <w:rsid w:val="00C57658"/>
    <w:rsid w:val="00C60393"/>
    <w:rsid w:val="00C609C0"/>
    <w:rsid w:val="00C60DE4"/>
    <w:rsid w:val="00C612BA"/>
    <w:rsid w:val="00C621A8"/>
    <w:rsid w:val="00C6283E"/>
    <w:rsid w:val="00C62F9D"/>
    <w:rsid w:val="00C63DB5"/>
    <w:rsid w:val="00C645FC"/>
    <w:rsid w:val="00C65417"/>
    <w:rsid w:val="00C6650B"/>
    <w:rsid w:val="00C67809"/>
    <w:rsid w:val="00C67BBC"/>
    <w:rsid w:val="00C67E09"/>
    <w:rsid w:val="00C700E8"/>
    <w:rsid w:val="00C719D8"/>
    <w:rsid w:val="00C71D91"/>
    <w:rsid w:val="00C721D7"/>
    <w:rsid w:val="00C73A6C"/>
    <w:rsid w:val="00C7403C"/>
    <w:rsid w:val="00C757CC"/>
    <w:rsid w:val="00C75C27"/>
    <w:rsid w:val="00C75C76"/>
    <w:rsid w:val="00C75F3C"/>
    <w:rsid w:val="00C76465"/>
    <w:rsid w:val="00C77531"/>
    <w:rsid w:val="00C77DCF"/>
    <w:rsid w:val="00C8004B"/>
    <w:rsid w:val="00C811AC"/>
    <w:rsid w:val="00C81A0C"/>
    <w:rsid w:val="00C82D1D"/>
    <w:rsid w:val="00C82F96"/>
    <w:rsid w:val="00C84172"/>
    <w:rsid w:val="00C853D0"/>
    <w:rsid w:val="00C86234"/>
    <w:rsid w:val="00C864A2"/>
    <w:rsid w:val="00C87A6F"/>
    <w:rsid w:val="00C87FF7"/>
    <w:rsid w:val="00C90BB6"/>
    <w:rsid w:val="00C90DF7"/>
    <w:rsid w:val="00C920C7"/>
    <w:rsid w:val="00C937B1"/>
    <w:rsid w:val="00C944C6"/>
    <w:rsid w:val="00C94C48"/>
    <w:rsid w:val="00C95AD0"/>
    <w:rsid w:val="00C964A3"/>
    <w:rsid w:val="00C96811"/>
    <w:rsid w:val="00C96BCB"/>
    <w:rsid w:val="00C96C20"/>
    <w:rsid w:val="00C9743A"/>
    <w:rsid w:val="00CA028D"/>
    <w:rsid w:val="00CA0744"/>
    <w:rsid w:val="00CA2022"/>
    <w:rsid w:val="00CA21AB"/>
    <w:rsid w:val="00CA2B9D"/>
    <w:rsid w:val="00CA2BFF"/>
    <w:rsid w:val="00CA2D15"/>
    <w:rsid w:val="00CA3406"/>
    <w:rsid w:val="00CA378D"/>
    <w:rsid w:val="00CA39D7"/>
    <w:rsid w:val="00CA3D5B"/>
    <w:rsid w:val="00CA3F51"/>
    <w:rsid w:val="00CA443E"/>
    <w:rsid w:val="00CA50BC"/>
    <w:rsid w:val="00CA55A7"/>
    <w:rsid w:val="00CB0581"/>
    <w:rsid w:val="00CB05E0"/>
    <w:rsid w:val="00CB06E2"/>
    <w:rsid w:val="00CB1385"/>
    <w:rsid w:val="00CB1505"/>
    <w:rsid w:val="00CB1792"/>
    <w:rsid w:val="00CB2F02"/>
    <w:rsid w:val="00CB31B3"/>
    <w:rsid w:val="00CB365F"/>
    <w:rsid w:val="00CB3CB1"/>
    <w:rsid w:val="00CB45D1"/>
    <w:rsid w:val="00CB5660"/>
    <w:rsid w:val="00CB5A16"/>
    <w:rsid w:val="00CB5F48"/>
    <w:rsid w:val="00CB624D"/>
    <w:rsid w:val="00CB71B7"/>
    <w:rsid w:val="00CC0717"/>
    <w:rsid w:val="00CC1D71"/>
    <w:rsid w:val="00CC215A"/>
    <w:rsid w:val="00CC21F9"/>
    <w:rsid w:val="00CC42B9"/>
    <w:rsid w:val="00CC5C7B"/>
    <w:rsid w:val="00CC5D6D"/>
    <w:rsid w:val="00CC62E3"/>
    <w:rsid w:val="00CC6E3C"/>
    <w:rsid w:val="00CC7EC8"/>
    <w:rsid w:val="00CD03FC"/>
    <w:rsid w:val="00CD1EBC"/>
    <w:rsid w:val="00CD2097"/>
    <w:rsid w:val="00CD2B5B"/>
    <w:rsid w:val="00CD4B7A"/>
    <w:rsid w:val="00CD4E9E"/>
    <w:rsid w:val="00CD5FA7"/>
    <w:rsid w:val="00CD7BE5"/>
    <w:rsid w:val="00CE03DF"/>
    <w:rsid w:val="00CE1F7E"/>
    <w:rsid w:val="00CE268C"/>
    <w:rsid w:val="00CE390A"/>
    <w:rsid w:val="00CE4A92"/>
    <w:rsid w:val="00CE54A3"/>
    <w:rsid w:val="00CE56C3"/>
    <w:rsid w:val="00CE6DCD"/>
    <w:rsid w:val="00CE713F"/>
    <w:rsid w:val="00CE7215"/>
    <w:rsid w:val="00CE764E"/>
    <w:rsid w:val="00CF1F5C"/>
    <w:rsid w:val="00CF2771"/>
    <w:rsid w:val="00CF2C11"/>
    <w:rsid w:val="00CF3147"/>
    <w:rsid w:val="00CF36BC"/>
    <w:rsid w:val="00CF36F1"/>
    <w:rsid w:val="00CF452B"/>
    <w:rsid w:val="00CF467C"/>
    <w:rsid w:val="00CF5115"/>
    <w:rsid w:val="00CF529D"/>
    <w:rsid w:val="00CF5EAF"/>
    <w:rsid w:val="00CF5F54"/>
    <w:rsid w:val="00CF728B"/>
    <w:rsid w:val="00D004E0"/>
    <w:rsid w:val="00D026C3"/>
    <w:rsid w:val="00D02AA0"/>
    <w:rsid w:val="00D030BD"/>
    <w:rsid w:val="00D03DBE"/>
    <w:rsid w:val="00D04780"/>
    <w:rsid w:val="00D04DA6"/>
    <w:rsid w:val="00D04FD5"/>
    <w:rsid w:val="00D05149"/>
    <w:rsid w:val="00D0658E"/>
    <w:rsid w:val="00D0667B"/>
    <w:rsid w:val="00D0752D"/>
    <w:rsid w:val="00D10653"/>
    <w:rsid w:val="00D10AFD"/>
    <w:rsid w:val="00D11221"/>
    <w:rsid w:val="00D11412"/>
    <w:rsid w:val="00D1142E"/>
    <w:rsid w:val="00D12425"/>
    <w:rsid w:val="00D125EB"/>
    <w:rsid w:val="00D136EB"/>
    <w:rsid w:val="00D14991"/>
    <w:rsid w:val="00D14D58"/>
    <w:rsid w:val="00D1507D"/>
    <w:rsid w:val="00D15C5A"/>
    <w:rsid w:val="00D15DF7"/>
    <w:rsid w:val="00D17A46"/>
    <w:rsid w:val="00D20028"/>
    <w:rsid w:val="00D20BF5"/>
    <w:rsid w:val="00D21406"/>
    <w:rsid w:val="00D225D7"/>
    <w:rsid w:val="00D227DA"/>
    <w:rsid w:val="00D22EB8"/>
    <w:rsid w:val="00D23907"/>
    <w:rsid w:val="00D23987"/>
    <w:rsid w:val="00D23D4B"/>
    <w:rsid w:val="00D23EF6"/>
    <w:rsid w:val="00D2437E"/>
    <w:rsid w:val="00D2572D"/>
    <w:rsid w:val="00D261CD"/>
    <w:rsid w:val="00D27175"/>
    <w:rsid w:val="00D272BD"/>
    <w:rsid w:val="00D3034F"/>
    <w:rsid w:val="00D303E1"/>
    <w:rsid w:val="00D311B9"/>
    <w:rsid w:val="00D3175E"/>
    <w:rsid w:val="00D322F4"/>
    <w:rsid w:val="00D323C0"/>
    <w:rsid w:val="00D3448B"/>
    <w:rsid w:val="00D3711A"/>
    <w:rsid w:val="00D37406"/>
    <w:rsid w:val="00D4020D"/>
    <w:rsid w:val="00D40DAC"/>
    <w:rsid w:val="00D40DEA"/>
    <w:rsid w:val="00D41C32"/>
    <w:rsid w:val="00D451E7"/>
    <w:rsid w:val="00D45AB3"/>
    <w:rsid w:val="00D45C73"/>
    <w:rsid w:val="00D46152"/>
    <w:rsid w:val="00D477E9"/>
    <w:rsid w:val="00D508E7"/>
    <w:rsid w:val="00D508F6"/>
    <w:rsid w:val="00D508F8"/>
    <w:rsid w:val="00D51188"/>
    <w:rsid w:val="00D5127D"/>
    <w:rsid w:val="00D51710"/>
    <w:rsid w:val="00D51858"/>
    <w:rsid w:val="00D5197C"/>
    <w:rsid w:val="00D51B3C"/>
    <w:rsid w:val="00D558B4"/>
    <w:rsid w:val="00D55ED1"/>
    <w:rsid w:val="00D5654D"/>
    <w:rsid w:val="00D5796A"/>
    <w:rsid w:val="00D57E7E"/>
    <w:rsid w:val="00D60B8F"/>
    <w:rsid w:val="00D6157F"/>
    <w:rsid w:val="00D61BBF"/>
    <w:rsid w:val="00D622F3"/>
    <w:rsid w:val="00D6379D"/>
    <w:rsid w:val="00D63D37"/>
    <w:rsid w:val="00D64CB1"/>
    <w:rsid w:val="00D64F1B"/>
    <w:rsid w:val="00D650A1"/>
    <w:rsid w:val="00D6549B"/>
    <w:rsid w:val="00D65DE0"/>
    <w:rsid w:val="00D66FD2"/>
    <w:rsid w:val="00D66FD3"/>
    <w:rsid w:val="00D70BCE"/>
    <w:rsid w:val="00D72288"/>
    <w:rsid w:val="00D722C4"/>
    <w:rsid w:val="00D72AEC"/>
    <w:rsid w:val="00D73885"/>
    <w:rsid w:val="00D74E25"/>
    <w:rsid w:val="00D75364"/>
    <w:rsid w:val="00D76AC9"/>
    <w:rsid w:val="00D76B37"/>
    <w:rsid w:val="00D76CB8"/>
    <w:rsid w:val="00D76CDD"/>
    <w:rsid w:val="00D76F02"/>
    <w:rsid w:val="00D7735A"/>
    <w:rsid w:val="00D77940"/>
    <w:rsid w:val="00D77C04"/>
    <w:rsid w:val="00D8080D"/>
    <w:rsid w:val="00D8255F"/>
    <w:rsid w:val="00D8334A"/>
    <w:rsid w:val="00D83BA0"/>
    <w:rsid w:val="00D83CA6"/>
    <w:rsid w:val="00D84EB9"/>
    <w:rsid w:val="00D87D40"/>
    <w:rsid w:val="00D90201"/>
    <w:rsid w:val="00D9098D"/>
    <w:rsid w:val="00D90E96"/>
    <w:rsid w:val="00D91A8A"/>
    <w:rsid w:val="00D92476"/>
    <w:rsid w:val="00D92D5C"/>
    <w:rsid w:val="00D93275"/>
    <w:rsid w:val="00D9351C"/>
    <w:rsid w:val="00D942EC"/>
    <w:rsid w:val="00D94DCD"/>
    <w:rsid w:val="00D94EA3"/>
    <w:rsid w:val="00D9637F"/>
    <w:rsid w:val="00D96DE4"/>
    <w:rsid w:val="00DA0676"/>
    <w:rsid w:val="00DA0CF6"/>
    <w:rsid w:val="00DA0E68"/>
    <w:rsid w:val="00DA1211"/>
    <w:rsid w:val="00DA1A1F"/>
    <w:rsid w:val="00DA2073"/>
    <w:rsid w:val="00DA23B2"/>
    <w:rsid w:val="00DA2587"/>
    <w:rsid w:val="00DA2A8F"/>
    <w:rsid w:val="00DA3148"/>
    <w:rsid w:val="00DA3D89"/>
    <w:rsid w:val="00DA3EA5"/>
    <w:rsid w:val="00DA4DF4"/>
    <w:rsid w:val="00DA4EA9"/>
    <w:rsid w:val="00DA59A0"/>
    <w:rsid w:val="00DA5A19"/>
    <w:rsid w:val="00DA609D"/>
    <w:rsid w:val="00DA6E15"/>
    <w:rsid w:val="00DA6E1F"/>
    <w:rsid w:val="00DA7E83"/>
    <w:rsid w:val="00DB0160"/>
    <w:rsid w:val="00DB0256"/>
    <w:rsid w:val="00DB0312"/>
    <w:rsid w:val="00DB0F43"/>
    <w:rsid w:val="00DB1B9B"/>
    <w:rsid w:val="00DB2128"/>
    <w:rsid w:val="00DB25E2"/>
    <w:rsid w:val="00DB2702"/>
    <w:rsid w:val="00DB3AF5"/>
    <w:rsid w:val="00DB498A"/>
    <w:rsid w:val="00DB4ABA"/>
    <w:rsid w:val="00DB4AC5"/>
    <w:rsid w:val="00DB4D6F"/>
    <w:rsid w:val="00DB5085"/>
    <w:rsid w:val="00DB55EA"/>
    <w:rsid w:val="00DB60E6"/>
    <w:rsid w:val="00DB636D"/>
    <w:rsid w:val="00DB663D"/>
    <w:rsid w:val="00DB66FF"/>
    <w:rsid w:val="00DB6FB1"/>
    <w:rsid w:val="00DB7DE2"/>
    <w:rsid w:val="00DC19F3"/>
    <w:rsid w:val="00DC1E39"/>
    <w:rsid w:val="00DC2398"/>
    <w:rsid w:val="00DC3C4B"/>
    <w:rsid w:val="00DC3CBF"/>
    <w:rsid w:val="00DC5DA3"/>
    <w:rsid w:val="00DC6FB6"/>
    <w:rsid w:val="00DC765F"/>
    <w:rsid w:val="00DC7729"/>
    <w:rsid w:val="00DC7E8A"/>
    <w:rsid w:val="00DD0A9C"/>
    <w:rsid w:val="00DD0C7B"/>
    <w:rsid w:val="00DD2504"/>
    <w:rsid w:val="00DD3781"/>
    <w:rsid w:val="00DD3B27"/>
    <w:rsid w:val="00DD4CD5"/>
    <w:rsid w:val="00DD51B1"/>
    <w:rsid w:val="00DD51E2"/>
    <w:rsid w:val="00DD523E"/>
    <w:rsid w:val="00DD5799"/>
    <w:rsid w:val="00DD6215"/>
    <w:rsid w:val="00DE0E57"/>
    <w:rsid w:val="00DE13F3"/>
    <w:rsid w:val="00DE1868"/>
    <w:rsid w:val="00DE1933"/>
    <w:rsid w:val="00DE3408"/>
    <w:rsid w:val="00DE35EB"/>
    <w:rsid w:val="00DE54BF"/>
    <w:rsid w:val="00DE5743"/>
    <w:rsid w:val="00DE6A57"/>
    <w:rsid w:val="00DE7166"/>
    <w:rsid w:val="00DE75F5"/>
    <w:rsid w:val="00DF0EA8"/>
    <w:rsid w:val="00DF18C7"/>
    <w:rsid w:val="00DF2537"/>
    <w:rsid w:val="00DF274A"/>
    <w:rsid w:val="00DF3F63"/>
    <w:rsid w:val="00DF4101"/>
    <w:rsid w:val="00DF4345"/>
    <w:rsid w:val="00DF497D"/>
    <w:rsid w:val="00DF51A7"/>
    <w:rsid w:val="00DF5928"/>
    <w:rsid w:val="00DF5C3E"/>
    <w:rsid w:val="00DF660D"/>
    <w:rsid w:val="00DF66C0"/>
    <w:rsid w:val="00DF699D"/>
    <w:rsid w:val="00DF6AE7"/>
    <w:rsid w:val="00DF6DBA"/>
    <w:rsid w:val="00DF75AE"/>
    <w:rsid w:val="00DF7762"/>
    <w:rsid w:val="00DF79E1"/>
    <w:rsid w:val="00DF7BB9"/>
    <w:rsid w:val="00E00782"/>
    <w:rsid w:val="00E01437"/>
    <w:rsid w:val="00E01A79"/>
    <w:rsid w:val="00E01A8F"/>
    <w:rsid w:val="00E02574"/>
    <w:rsid w:val="00E02789"/>
    <w:rsid w:val="00E0295C"/>
    <w:rsid w:val="00E02B32"/>
    <w:rsid w:val="00E02E7F"/>
    <w:rsid w:val="00E03720"/>
    <w:rsid w:val="00E04419"/>
    <w:rsid w:val="00E056C8"/>
    <w:rsid w:val="00E05ADF"/>
    <w:rsid w:val="00E06848"/>
    <w:rsid w:val="00E06862"/>
    <w:rsid w:val="00E075C3"/>
    <w:rsid w:val="00E07920"/>
    <w:rsid w:val="00E07D22"/>
    <w:rsid w:val="00E07F0C"/>
    <w:rsid w:val="00E100AA"/>
    <w:rsid w:val="00E1018C"/>
    <w:rsid w:val="00E106DC"/>
    <w:rsid w:val="00E113B6"/>
    <w:rsid w:val="00E114CA"/>
    <w:rsid w:val="00E11A96"/>
    <w:rsid w:val="00E11E28"/>
    <w:rsid w:val="00E11E6F"/>
    <w:rsid w:val="00E12C76"/>
    <w:rsid w:val="00E12D8C"/>
    <w:rsid w:val="00E14995"/>
    <w:rsid w:val="00E14CCD"/>
    <w:rsid w:val="00E14EAA"/>
    <w:rsid w:val="00E15443"/>
    <w:rsid w:val="00E162C8"/>
    <w:rsid w:val="00E16B44"/>
    <w:rsid w:val="00E20F0E"/>
    <w:rsid w:val="00E21CE9"/>
    <w:rsid w:val="00E2223A"/>
    <w:rsid w:val="00E225E0"/>
    <w:rsid w:val="00E228DD"/>
    <w:rsid w:val="00E2311D"/>
    <w:rsid w:val="00E23AB4"/>
    <w:rsid w:val="00E23E8A"/>
    <w:rsid w:val="00E24B2D"/>
    <w:rsid w:val="00E2531E"/>
    <w:rsid w:val="00E25581"/>
    <w:rsid w:val="00E25665"/>
    <w:rsid w:val="00E25ABD"/>
    <w:rsid w:val="00E27723"/>
    <w:rsid w:val="00E277E1"/>
    <w:rsid w:val="00E30126"/>
    <w:rsid w:val="00E30186"/>
    <w:rsid w:val="00E30B41"/>
    <w:rsid w:val="00E30E98"/>
    <w:rsid w:val="00E30EDE"/>
    <w:rsid w:val="00E31C31"/>
    <w:rsid w:val="00E3244B"/>
    <w:rsid w:val="00E33444"/>
    <w:rsid w:val="00E345AC"/>
    <w:rsid w:val="00E37B41"/>
    <w:rsid w:val="00E37E20"/>
    <w:rsid w:val="00E37F6E"/>
    <w:rsid w:val="00E40047"/>
    <w:rsid w:val="00E40880"/>
    <w:rsid w:val="00E40A36"/>
    <w:rsid w:val="00E40DCD"/>
    <w:rsid w:val="00E40E25"/>
    <w:rsid w:val="00E415E4"/>
    <w:rsid w:val="00E41BB1"/>
    <w:rsid w:val="00E42EB2"/>
    <w:rsid w:val="00E44139"/>
    <w:rsid w:val="00E44145"/>
    <w:rsid w:val="00E4431B"/>
    <w:rsid w:val="00E444E5"/>
    <w:rsid w:val="00E45A42"/>
    <w:rsid w:val="00E45DF3"/>
    <w:rsid w:val="00E46185"/>
    <w:rsid w:val="00E46625"/>
    <w:rsid w:val="00E46AB5"/>
    <w:rsid w:val="00E46CF2"/>
    <w:rsid w:val="00E47AB7"/>
    <w:rsid w:val="00E47CA3"/>
    <w:rsid w:val="00E47D7C"/>
    <w:rsid w:val="00E5012B"/>
    <w:rsid w:val="00E50646"/>
    <w:rsid w:val="00E511E7"/>
    <w:rsid w:val="00E51EE6"/>
    <w:rsid w:val="00E52A1A"/>
    <w:rsid w:val="00E5471E"/>
    <w:rsid w:val="00E54E66"/>
    <w:rsid w:val="00E54EE1"/>
    <w:rsid w:val="00E55B06"/>
    <w:rsid w:val="00E5667C"/>
    <w:rsid w:val="00E56E22"/>
    <w:rsid w:val="00E56FDF"/>
    <w:rsid w:val="00E57BD7"/>
    <w:rsid w:val="00E57C4D"/>
    <w:rsid w:val="00E60520"/>
    <w:rsid w:val="00E61F49"/>
    <w:rsid w:val="00E6209B"/>
    <w:rsid w:val="00E62FEC"/>
    <w:rsid w:val="00E63D3E"/>
    <w:rsid w:val="00E65096"/>
    <w:rsid w:val="00E6538D"/>
    <w:rsid w:val="00E65B92"/>
    <w:rsid w:val="00E66805"/>
    <w:rsid w:val="00E67601"/>
    <w:rsid w:val="00E700E2"/>
    <w:rsid w:val="00E704F1"/>
    <w:rsid w:val="00E70C3F"/>
    <w:rsid w:val="00E70CA2"/>
    <w:rsid w:val="00E72677"/>
    <w:rsid w:val="00E72746"/>
    <w:rsid w:val="00E72BE0"/>
    <w:rsid w:val="00E752EC"/>
    <w:rsid w:val="00E75D53"/>
    <w:rsid w:val="00E775CF"/>
    <w:rsid w:val="00E77AE4"/>
    <w:rsid w:val="00E8059B"/>
    <w:rsid w:val="00E80A72"/>
    <w:rsid w:val="00E81299"/>
    <w:rsid w:val="00E818E0"/>
    <w:rsid w:val="00E81E13"/>
    <w:rsid w:val="00E825F1"/>
    <w:rsid w:val="00E8426E"/>
    <w:rsid w:val="00E84785"/>
    <w:rsid w:val="00E84814"/>
    <w:rsid w:val="00E84C9E"/>
    <w:rsid w:val="00E865C2"/>
    <w:rsid w:val="00E877AB"/>
    <w:rsid w:val="00E87A8A"/>
    <w:rsid w:val="00E87BC5"/>
    <w:rsid w:val="00E90DEA"/>
    <w:rsid w:val="00E91355"/>
    <w:rsid w:val="00E91C06"/>
    <w:rsid w:val="00E91C33"/>
    <w:rsid w:val="00E91CF8"/>
    <w:rsid w:val="00E91D0D"/>
    <w:rsid w:val="00E92678"/>
    <w:rsid w:val="00E92E20"/>
    <w:rsid w:val="00E93346"/>
    <w:rsid w:val="00E934ED"/>
    <w:rsid w:val="00E93623"/>
    <w:rsid w:val="00E957CE"/>
    <w:rsid w:val="00E95DBC"/>
    <w:rsid w:val="00E95F5E"/>
    <w:rsid w:val="00E96245"/>
    <w:rsid w:val="00E9677A"/>
    <w:rsid w:val="00E968DC"/>
    <w:rsid w:val="00E96D86"/>
    <w:rsid w:val="00E972C0"/>
    <w:rsid w:val="00EA03BF"/>
    <w:rsid w:val="00EA0E02"/>
    <w:rsid w:val="00EA1A4D"/>
    <w:rsid w:val="00EA1BE1"/>
    <w:rsid w:val="00EA2397"/>
    <w:rsid w:val="00EA2536"/>
    <w:rsid w:val="00EA3527"/>
    <w:rsid w:val="00EA35C7"/>
    <w:rsid w:val="00EA3C03"/>
    <w:rsid w:val="00EA3E3F"/>
    <w:rsid w:val="00EA4106"/>
    <w:rsid w:val="00EA48C8"/>
    <w:rsid w:val="00EA4CA9"/>
    <w:rsid w:val="00EA5E4E"/>
    <w:rsid w:val="00EA62E0"/>
    <w:rsid w:val="00EA65D1"/>
    <w:rsid w:val="00EA6DA8"/>
    <w:rsid w:val="00EA77A6"/>
    <w:rsid w:val="00EB0812"/>
    <w:rsid w:val="00EB186F"/>
    <w:rsid w:val="00EB2066"/>
    <w:rsid w:val="00EB2878"/>
    <w:rsid w:val="00EB3613"/>
    <w:rsid w:val="00EB3C75"/>
    <w:rsid w:val="00EB4BCE"/>
    <w:rsid w:val="00EB4E6B"/>
    <w:rsid w:val="00EB504B"/>
    <w:rsid w:val="00EB5777"/>
    <w:rsid w:val="00EB57D4"/>
    <w:rsid w:val="00EB5CB1"/>
    <w:rsid w:val="00EB5F35"/>
    <w:rsid w:val="00EB632C"/>
    <w:rsid w:val="00EB655E"/>
    <w:rsid w:val="00EB6A6E"/>
    <w:rsid w:val="00EB74C7"/>
    <w:rsid w:val="00EB74D6"/>
    <w:rsid w:val="00EC1ED5"/>
    <w:rsid w:val="00EC279E"/>
    <w:rsid w:val="00EC27FC"/>
    <w:rsid w:val="00EC2926"/>
    <w:rsid w:val="00EC415F"/>
    <w:rsid w:val="00EC4353"/>
    <w:rsid w:val="00EC4462"/>
    <w:rsid w:val="00EC44DD"/>
    <w:rsid w:val="00EC4EE1"/>
    <w:rsid w:val="00EC5134"/>
    <w:rsid w:val="00EC6A5F"/>
    <w:rsid w:val="00EC6F2D"/>
    <w:rsid w:val="00EC76BF"/>
    <w:rsid w:val="00EC7D0C"/>
    <w:rsid w:val="00ED0C9A"/>
    <w:rsid w:val="00ED0D0E"/>
    <w:rsid w:val="00ED104B"/>
    <w:rsid w:val="00ED1962"/>
    <w:rsid w:val="00ED19DF"/>
    <w:rsid w:val="00ED2388"/>
    <w:rsid w:val="00ED2C98"/>
    <w:rsid w:val="00ED2F9C"/>
    <w:rsid w:val="00ED3433"/>
    <w:rsid w:val="00ED4AF1"/>
    <w:rsid w:val="00ED5592"/>
    <w:rsid w:val="00ED59AA"/>
    <w:rsid w:val="00ED5C41"/>
    <w:rsid w:val="00ED6BEA"/>
    <w:rsid w:val="00ED7830"/>
    <w:rsid w:val="00ED78AE"/>
    <w:rsid w:val="00ED7ED3"/>
    <w:rsid w:val="00EE02CF"/>
    <w:rsid w:val="00EE1045"/>
    <w:rsid w:val="00EE1799"/>
    <w:rsid w:val="00EE20F5"/>
    <w:rsid w:val="00EE265A"/>
    <w:rsid w:val="00EE2A9E"/>
    <w:rsid w:val="00EE33E6"/>
    <w:rsid w:val="00EE3D9B"/>
    <w:rsid w:val="00EE45E0"/>
    <w:rsid w:val="00EE4BA0"/>
    <w:rsid w:val="00EE6B90"/>
    <w:rsid w:val="00EE7C2C"/>
    <w:rsid w:val="00EE7DA4"/>
    <w:rsid w:val="00EF0449"/>
    <w:rsid w:val="00EF09AC"/>
    <w:rsid w:val="00EF09E6"/>
    <w:rsid w:val="00EF0B1B"/>
    <w:rsid w:val="00EF32D5"/>
    <w:rsid w:val="00EF4EDE"/>
    <w:rsid w:val="00EF5067"/>
    <w:rsid w:val="00EF5ECF"/>
    <w:rsid w:val="00EF6CC5"/>
    <w:rsid w:val="00EF7067"/>
    <w:rsid w:val="00EF76F3"/>
    <w:rsid w:val="00EF7BC8"/>
    <w:rsid w:val="00EF7BF3"/>
    <w:rsid w:val="00EF7EF0"/>
    <w:rsid w:val="00F00219"/>
    <w:rsid w:val="00F01D8A"/>
    <w:rsid w:val="00F02F0C"/>
    <w:rsid w:val="00F033DD"/>
    <w:rsid w:val="00F03796"/>
    <w:rsid w:val="00F03B27"/>
    <w:rsid w:val="00F03C04"/>
    <w:rsid w:val="00F03D03"/>
    <w:rsid w:val="00F04288"/>
    <w:rsid w:val="00F0437C"/>
    <w:rsid w:val="00F04871"/>
    <w:rsid w:val="00F04F24"/>
    <w:rsid w:val="00F063AE"/>
    <w:rsid w:val="00F06919"/>
    <w:rsid w:val="00F06DC0"/>
    <w:rsid w:val="00F078CB"/>
    <w:rsid w:val="00F07EE1"/>
    <w:rsid w:val="00F10411"/>
    <w:rsid w:val="00F104CE"/>
    <w:rsid w:val="00F10D71"/>
    <w:rsid w:val="00F10E43"/>
    <w:rsid w:val="00F11532"/>
    <w:rsid w:val="00F1198E"/>
    <w:rsid w:val="00F122C8"/>
    <w:rsid w:val="00F132DD"/>
    <w:rsid w:val="00F13803"/>
    <w:rsid w:val="00F13C73"/>
    <w:rsid w:val="00F14285"/>
    <w:rsid w:val="00F148CA"/>
    <w:rsid w:val="00F149A6"/>
    <w:rsid w:val="00F14D3F"/>
    <w:rsid w:val="00F14E62"/>
    <w:rsid w:val="00F14F34"/>
    <w:rsid w:val="00F150A6"/>
    <w:rsid w:val="00F150B2"/>
    <w:rsid w:val="00F156C0"/>
    <w:rsid w:val="00F15A20"/>
    <w:rsid w:val="00F15BCE"/>
    <w:rsid w:val="00F15DC9"/>
    <w:rsid w:val="00F15EF8"/>
    <w:rsid w:val="00F1646C"/>
    <w:rsid w:val="00F16899"/>
    <w:rsid w:val="00F21A45"/>
    <w:rsid w:val="00F21A82"/>
    <w:rsid w:val="00F22645"/>
    <w:rsid w:val="00F22943"/>
    <w:rsid w:val="00F22A34"/>
    <w:rsid w:val="00F22F9D"/>
    <w:rsid w:val="00F23591"/>
    <w:rsid w:val="00F23A08"/>
    <w:rsid w:val="00F23DBD"/>
    <w:rsid w:val="00F24A33"/>
    <w:rsid w:val="00F24C27"/>
    <w:rsid w:val="00F25506"/>
    <w:rsid w:val="00F2597E"/>
    <w:rsid w:val="00F259EF"/>
    <w:rsid w:val="00F25A36"/>
    <w:rsid w:val="00F25E7C"/>
    <w:rsid w:val="00F25EE0"/>
    <w:rsid w:val="00F26B43"/>
    <w:rsid w:val="00F2750C"/>
    <w:rsid w:val="00F30FE0"/>
    <w:rsid w:val="00F313ED"/>
    <w:rsid w:val="00F31706"/>
    <w:rsid w:val="00F31A74"/>
    <w:rsid w:val="00F32CBB"/>
    <w:rsid w:val="00F32E41"/>
    <w:rsid w:val="00F3369C"/>
    <w:rsid w:val="00F34BD9"/>
    <w:rsid w:val="00F34E4E"/>
    <w:rsid w:val="00F353E6"/>
    <w:rsid w:val="00F36B71"/>
    <w:rsid w:val="00F36E23"/>
    <w:rsid w:val="00F370C4"/>
    <w:rsid w:val="00F37AA4"/>
    <w:rsid w:val="00F4282E"/>
    <w:rsid w:val="00F42B20"/>
    <w:rsid w:val="00F43F3C"/>
    <w:rsid w:val="00F44636"/>
    <w:rsid w:val="00F44B49"/>
    <w:rsid w:val="00F458D3"/>
    <w:rsid w:val="00F45A03"/>
    <w:rsid w:val="00F45FD9"/>
    <w:rsid w:val="00F4605F"/>
    <w:rsid w:val="00F5002A"/>
    <w:rsid w:val="00F50118"/>
    <w:rsid w:val="00F513C5"/>
    <w:rsid w:val="00F518FD"/>
    <w:rsid w:val="00F51A17"/>
    <w:rsid w:val="00F52648"/>
    <w:rsid w:val="00F52856"/>
    <w:rsid w:val="00F5391C"/>
    <w:rsid w:val="00F54574"/>
    <w:rsid w:val="00F556A7"/>
    <w:rsid w:val="00F56319"/>
    <w:rsid w:val="00F56324"/>
    <w:rsid w:val="00F56B0F"/>
    <w:rsid w:val="00F56DBB"/>
    <w:rsid w:val="00F57619"/>
    <w:rsid w:val="00F606E5"/>
    <w:rsid w:val="00F60A18"/>
    <w:rsid w:val="00F60BAE"/>
    <w:rsid w:val="00F6118B"/>
    <w:rsid w:val="00F6150D"/>
    <w:rsid w:val="00F6151E"/>
    <w:rsid w:val="00F62065"/>
    <w:rsid w:val="00F628B4"/>
    <w:rsid w:val="00F63350"/>
    <w:rsid w:val="00F63493"/>
    <w:rsid w:val="00F653F7"/>
    <w:rsid w:val="00F6589F"/>
    <w:rsid w:val="00F6595E"/>
    <w:rsid w:val="00F66FEB"/>
    <w:rsid w:val="00F671B9"/>
    <w:rsid w:val="00F673EF"/>
    <w:rsid w:val="00F67BFC"/>
    <w:rsid w:val="00F7091B"/>
    <w:rsid w:val="00F70C86"/>
    <w:rsid w:val="00F71474"/>
    <w:rsid w:val="00F71B15"/>
    <w:rsid w:val="00F726E3"/>
    <w:rsid w:val="00F72B31"/>
    <w:rsid w:val="00F7311D"/>
    <w:rsid w:val="00F73B44"/>
    <w:rsid w:val="00F73FB9"/>
    <w:rsid w:val="00F74ABA"/>
    <w:rsid w:val="00F74B69"/>
    <w:rsid w:val="00F75F80"/>
    <w:rsid w:val="00F76945"/>
    <w:rsid w:val="00F76F2C"/>
    <w:rsid w:val="00F76F55"/>
    <w:rsid w:val="00F76F8C"/>
    <w:rsid w:val="00F77B38"/>
    <w:rsid w:val="00F80FB6"/>
    <w:rsid w:val="00F80FCE"/>
    <w:rsid w:val="00F81EFD"/>
    <w:rsid w:val="00F82CF2"/>
    <w:rsid w:val="00F84B87"/>
    <w:rsid w:val="00F85453"/>
    <w:rsid w:val="00F85612"/>
    <w:rsid w:val="00F869B2"/>
    <w:rsid w:val="00F86DDD"/>
    <w:rsid w:val="00F87B57"/>
    <w:rsid w:val="00F87E30"/>
    <w:rsid w:val="00F9050F"/>
    <w:rsid w:val="00F90F1A"/>
    <w:rsid w:val="00F92442"/>
    <w:rsid w:val="00F92DAA"/>
    <w:rsid w:val="00F93B2F"/>
    <w:rsid w:val="00F93DD7"/>
    <w:rsid w:val="00F94638"/>
    <w:rsid w:val="00F959C8"/>
    <w:rsid w:val="00F96956"/>
    <w:rsid w:val="00F97AB4"/>
    <w:rsid w:val="00FA00A3"/>
    <w:rsid w:val="00FA031C"/>
    <w:rsid w:val="00FA0E81"/>
    <w:rsid w:val="00FA331F"/>
    <w:rsid w:val="00FA33D9"/>
    <w:rsid w:val="00FA3BCE"/>
    <w:rsid w:val="00FA3FC8"/>
    <w:rsid w:val="00FA53FF"/>
    <w:rsid w:val="00FA5E39"/>
    <w:rsid w:val="00FA5F6E"/>
    <w:rsid w:val="00FA627E"/>
    <w:rsid w:val="00FA6E8B"/>
    <w:rsid w:val="00FA7976"/>
    <w:rsid w:val="00FA7EB6"/>
    <w:rsid w:val="00FB0B33"/>
    <w:rsid w:val="00FB157D"/>
    <w:rsid w:val="00FB195A"/>
    <w:rsid w:val="00FB1C87"/>
    <w:rsid w:val="00FB2F36"/>
    <w:rsid w:val="00FB37B9"/>
    <w:rsid w:val="00FB3AD9"/>
    <w:rsid w:val="00FB3B72"/>
    <w:rsid w:val="00FB46CF"/>
    <w:rsid w:val="00FB4E8E"/>
    <w:rsid w:val="00FB6443"/>
    <w:rsid w:val="00FB6EF4"/>
    <w:rsid w:val="00FB7A2A"/>
    <w:rsid w:val="00FB7B3C"/>
    <w:rsid w:val="00FB7D67"/>
    <w:rsid w:val="00FC0072"/>
    <w:rsid w:val="00FC0BA8"/>
    <w:rsid w:val="00FC1B55"/>
    <w:rsid w:val="00FC2231"/>
    <w:rsid w:val="00FC2664"/>
    <w:rsid w:val="00FC27AC"/>
    <w:rsid w:val="00FC2FC3"/>
    <w:rsid w:val="00FC34E6"/>
    <w:rsid w:val="00FC3B79"/>
    <w:rsid w:val="00FC3C12"/>
    <w:rsid w:val="00FC4BB7"/>
    <w:rsid w:val="00FC5485"/>
    <w:rsid w:val="00FC580E"/>
    <w:rsid w:val="00FC6450"/>
    <w:rsid w:val="00FC653A"/>
    <w:rsid w:val="00FC7850"/>
    <w:rsid w:val="00FC7E42"/>
    <w:rsid w:val="00FD106B"/>
    <w:rsid w:val="00FD155D"/>
    <w:rsid w:val="00FD1E7D"/>
    <w:rsid w:val="00FD1FAB"/>
    <w:rsid w:val="00FD2603"/>
    <w:rsid w:val="00FD26F4"/>
    <w:rsid w:val="00FD2B26"/>
    <w:rsid w:val="00FD3472"/>
    <w:rsid w:val="00FD39CC"/>
    <w:rsid w:val="00FD3D37"/>
    <w:rsid w:val="00FD3DB2"/>
    <w:rsid w:val="00FD4A17"/>
    <w:rsid w:val="00FD5214"/>
    <w:rsid w:val="00FD576D"/>
    <w:rsid w:val="00FD6927"/>
    <w:rsid w:val="00FD6F72"/>
    <w:rsid w:val="00FD7F67"/>
    <w:rsid w:val="00FE029C"/>
    <w:rsid w:val="00FE038C"/>
    <w:rsid w:val="00FE0C34"/>
    <w:rsid w:val="00FE0F84"/>
    <w:rsid w:val="00FE138C"/>
    <w:rsid w:val="00FE14BD"/>
    <w:rsid w:val="00FE1D7F"/>
    <w:rsid w:val="00FE563F"/>
    <w:rsid w:val="00FE5E69"/>
    <w:rsid w:val="00FE64B0"/>
    <w:rsid w:val="00FE67B6"/>
    <w:rsid w:val="00FE6EC1"/>
    <w:rsid w:val="00FE7B94"/>
    <w:rsid w:val="00FE7E9E"/>
    <w:rsid w:val="00FF02DF"/>
    <w:rsid w:val="00FF0483"/>
    <w:rsid w:val="00FF0540"/>
    <w:rsid w:val="00FF1A36"/>
    <w:rsid w:val="00FF2FC7"/>
    <w:rsid w:val="00FF38AD"/>
    <w:rsid w:val="00FF3E2C"/>
    <w:rsid w:val="00FF48C1"/>
    <w:rsid w:val="00FF4C18"/>
    <w:rsid w:val="00FF534F"/>
    <w:rsid w:val="00FF54B0"/>
    <w:rsid w:val="00FF5D55"/>
    <w:rsid w:val="00FF5ED4"/>
    <w:rsid w:val="00FF60CF"/>
    <w:rsid w:val="00FF6E2B"/>
    <w:rsid w:val="00FF703C"/>
    <w:rsid w:val="01066A48"/>
    <w:rsid w:val="01080A12"/>
    <w:rsid w:val="01094808"/>
    <w:rsid w:val="010A29DC"/>
    <w:rsid w:val="010B2AF9"/>
    <w:rsid w:val="010C07D7"/>
    <w:rsid w:val="010E1780"/>
    <w:rsid w:val="01145609"/>
    <w:rsid w:val="01150CE5"/>
    <w:rsid w:val="011D2710"/>
    <w:rsid w:val="01203FAE"/>
    <w:rsid w:val="01207CA5"/>
    <w:rsid w:val="0128514C"/>
    <w:rsid w:val="012B32E7"/>
    <w:rsid w:val="012F5F9F"/>
    <w:rsid w:val="01311D17"/>
    <w:rsid w:val="01315448"/>
    <w:rsid w:val="01326F3B"/>
    <w:rsid w:val="01394D41"/>
    <w:rsid w:val="01396E1E"/>
    <w:rsid w:val="013B4944"/>
    <w:rsid w:val="01437EC0"/>
    <w:rsid w:val="01483184"/>
    <w:rsid w:val="014919C2"/>
    <w:rsid w:val="014F6641"/>
    <w:rsid w:val="01562915"/>
    <w:rsid w:val="015754F6"/>
    <w:rsid w:val="0159009C"/>
    <w:rsid w:val="0162779C"/>
    <w:rsid w:val="0163262B"/>
    <w:rsid w:val="016814B1"/>
    <w:rsid w:val="016C0FA1"/>
    <w:rsid w:val="016E2E7C"/>
    <w:rsid w:val="0179546C"/>
    <w:rsid w:val="018B1C01"/>
    <w:rsid w:val="018E1EA2"/>
    <w:rsid w:val="018E2B85"/>
    <w:rsid w:val="018F2EE2"/>
    <w:rsid w:val="01904A93"/>
    <w:rsid w:val="01933707"/>
    <w:rsid w:val="019613A1"/>
    <w:rsid w:val="0196601E"/>
    <w:rsid w:val="01995B0E"/>
    <w:rsid w:val="019F652F"/>
    <w:rsid w:val="01A26771"/>
    <w:rsid w:val="01AF5332"/>
    <w:rsid w:val="01B110AA"/>
    <w:rsid w:val="01B85F94"/>
    <w:rsid w:val="01BA1AEA"/>
    <w:rsid w:val="01BD204C"/>
    <w:rsid w:val="01C0753F"/>
    <w:rsid w:val="01C16D3B"/>
    <w:rsid w:val="01CC1A40"/>
    <w:rsid w:val="01CD7985"/>
    <w:rsid w:val="01CF1530"/>
    <w:rsid w:val="01D011C5"/>
    <w:rsid w:val="01D32DCE"/>
    <w:rsid w:val="01D709AB"/>
    <w:rsid w:val="01DD106E"/>
    <w:rsid w:val="01E0373D"/>
    <w:rsid w:val="01E626CD"/>
    <w:rsid w:val="01E925F2"/>
    <w:rsid w:val="01EE19B6"/>
    <w:rsid w:val="01EF572E"/>
    <w:rsid w:val="01F1594A"/>
    <w:rsid w:val="01F30BBC"/>
    <w:rsid w:val="01F65D1B"/>
    <w:rsid w:val="01F66931"/>
    <w:rsid w:val="01FA1688"/>
    <w:rsid w:val="01FF4D18"/>
    <w:rsid w:val="01FF7ADB"/>
    <w:rsid w:val="020411DA"/>
    <w:rsid w:val="02092C94"/>
    <w:rsid w:val="02184C85"/>
    <w:rsid w:val="021F3C5C"/>
    <w:rsid w:val="021F7DC1"/>
    <w:rsid w:val="02247ACE"/>
    <w:rsid w:val="02283016"/>
    <w:rsid w:val="022E44A8"/>
    <w:rsid w:val="02355837"/>
    <w:rsid w:val="023615AF"/>
    <w:rsid w:val="02363994"/>
    <w:rsid w:val="02385327"/>
    <w:rsid w:val="024164DA"/>
    <w:rsid w:val="02426589"/>
    <w:rsid w:val="02436F63"/>
    <w:rsid w:val="024912E2"/>
    <w:rsid w:val="02493090"/>
    <w:rsid w:val="024A0BB7"/>
    <w:rsid w:val="024B6E08"/>
    <w:rsid w:val="024C492F"/>
    <w:rsid w:val="02510197"/>
    <w:rsid w:val="025811AF"/>
    <w:rsid w:val="02587777"/>
    <w:rsid w:val="02590DEF"/>
    <w:rsid w:val="0261662C"/>
    <w:rsid w:val="0264611C"/>
    <w:rsid w:val="026B28A3"/>
    <w:rsid w:val="02743F39"/>
    <w:rsid w:val="0274685E"/>
    <w:rsid w:val="027D2D3A"/>
    <w:rsid w:val="02816CCE"/>
    <w:rsid w:val="02820350"/>
    <w:rsid w:val="028265A2"/>
    <w:rsid w:val="02895B83"/>
    <w:rsid w:val="0297204E"/>
    <w:rsid w:val="029B3ED2"/>
    <w:rsid w:val="02A156BA"/>
    <w:rsid w:val="02A62291"/>
    <w:rsid w:val="02A97FD3"/>
    <w:rsid w:val="02AE327C"/>
    <w:rsid w:val="02AF383B"/>
    <w:rsid w:val="02AF7852"/>
    <w:rsid w:val="02B20C36"/>
    <w:rsid w:val="02B26E88"/>
    <w:rsid w:val="02B56978"/>
    <w:rsid w:val="02B726F0"/>
    <w:rsid w:val="02B82D67"/>
    <w:rsid w:val="02BE75F0"/>
    <w:rsid w:val="02CB1732"/>
    <w:rsid w:val="02CE3403"/>
    <w:rsid w:val="02D50DC8"/>
    <w:rsid w:val="02D84414"/>
    <w:rsid w:val="02DA6E33"/>
    <w:rsid w:val="02DB1D53"/>
    <w:rsid w:val="02E01C47"/>
    <w:rsid w:val="02EA4873"/>
    <w:rsid w:val="02EB05EB"/>
    <w:rsid w:val="03021DBB"/>
    <w:rsid w:val="03045209"/>
    <w:rsid w:val="03077138"/>
    <w:rsid w:val="0308368E"/>
    <w:rsid w:val="032079CC"/>
    <w:rsid w:val="032558AB"/>
    <w:rsid w:val="03261624"/>
    <w:rsid w:val="0328714A"/>
    <w:rsid w:val="032F2286"/>
    <w:rsid w:val="03305FFE"/>
    <w:rsid w:val="03343D40"/>
    <w:rsid w:val="03422E78"/>
    <w:rsid w:val="034A70C0"/>
    <w:rsid w:val="034D6BB0"/>
    <w:rsid w:val="034F0B7A"/>
    <w:rsid w:val="035508BA"/>
    <w:rsid w:val="03561F09"/>
    <w:rsid w:val="03573574"/>
    <w:rsid w:val="035C4902"/>
    <w:rsid w:val="035E700F"/>
    <w:rsid w:val="03630182"/>
    <w:rsid w:val="0366488A"/>
    <w:rsid w:val="03690EAC"/>
    <w:rsid w:val="03691062"/>
    <w:rsid w:val="036D7252"/>
    <w:rsid w:val="03731012"/>
    <w:rsid w:val="037660BA"/>
    <w:rsid w:val="03782B4D"/>
    <w:rsid w:val="037B54CB"/>
    <w:rsid w:val="038502A0"/>
    <w:rsid w:val="038720C2"/>
    <w:rsid w:val="038B1487"/>
    <w:rsid w:val="039055B1"/>
    <w:rsid w:val="03916F6C"/>
    <w:rsid w:val="039447DF"/>
    <w:rsid w:val="03960557"/>
    <w:rsid w:val="0396194E"/>
    <w:rsid w:val="03977E2B"/>
    <w:rsid w:val="039B5B6E"/>
    <w:rsid w:val="039E565E"/>
    <w:rsid w:val="03A04F32"/>
    <w:rsid w:val="03A055CA"/>
    <w:rsid w:val="03A2514E"/>
    <w:rsid w:val="03A323C4"/>
    <w:rsid w:val="03A52548"/>
    <w:rsid w:val="03AA4003"/>
    <w:rsid w:val="03AD58A1"/>
    <w:rsid w:val="03B24315"/>
    <w:rsid w:val="03B7227C"/>
    <w:rsid w:val="03BC4BD4"/>
    <w:rsid w:val="03BE360A"/>
    <w:rsid w:val="03C07382"/>
    <w:rsid w:val="03C10429"/>
    <w:rsid w:val="03C129C0"/>
    <w:rsid w:val="03C50843"/>
    <w:rsid w:val="03C74647"/>
    <w:rsid w:val="03C74BB5"/>
    <w:rsid w:val="03C926DB"/>
    <w:rsid w:val="03CD109D"/>
    <w:rsid w:val="03CD1F8C"/>
    <w:rsid w:val="03D35307"/>
    <w:rsid w:val="03D712BE"/>
    <w:rsid w:val="03DA6A2E"/>
    <w:rsid w:val="03E05C76"/>
    <w:rsid w:val="03E26ED3"/>
    <w:rsid w:val="03E42333"/>
    <w:rsid w:val="03E5328D"/>
    <w:rsid w:val="03E7460F"/>
    <w:rsid w:val="03F4527E"/>
    <w:rsid w:val="03F4702C"/>
    <w:rsid w:val="03F90AE6"/>
    <w:rsid w:val="03FA199A"/>
    <w:rsid w:val="03FB485E"/>
    <w:rsid w:val="04021749"/>
    <w:rsid w:val="040E6340"/>
    <w:rsid w:val="0410290D"/>
    <w:rsid w:val="0411010C"/>
    <w:rsid w:val="04161698"/>
    <w:rsid w:val="041B2BA7"/>
    <w:rsid w:val="04221DEB"/>
    <w:rsid w:val="04226987"/>
    <w:rsid w:val="042A0CA0"/>
    <w:rsid w:val="042C2C6A"/>
    <w:rsid w:val="042E0790"/>
    <w:rsid w:val="043A064F"/>
    <w:rsid w:val="043F0BEF"/>
    <w:rsid w:val="04446205"/>
    <w:rsid w:val="044955CA"/>
    <w:rsid w:val="044A579B"/>
    <w:rsid w:val="04544215"/>
    <w:rsid w:val="04575F38"/>
    <w:rsid w:val="0458580D"/>
    <w:rsid w:val="045B44B4"/>
    <w:rsid w:val="046B100C"/>
    <w:rsid w:val="046C12B8"/>
    <w:rsid w:val="04700DA8"/>
    <w:rsid w:val="04706FFA"/>
    <w:rsid w:val="04714B20"/>
    <w:rsid w:val="047168CE"/>
    <w:rsid w:val="047F420A"/>
    <w:rsid w:val="047F723D"/>
    <w:rsid w:val="04815948"/>
    <w:rsid w:val="048B065E"/>
    <w:rsid w:val="048C3708"/>
    <w:rsid w:val="049614AC"/>
    <w:rsid w:val="049C7DEF"/>
    <w:rsid w:val="049D12CA"/>
    <w:rsid w:val="049F168E"/>
    <w:rsid w:val="04A46CA4"/>
    <w:rsid w:val="04A647CA"/>
    <w:rsid w:val="04A809B3"/>
    <w:rsid w:val="04A86794"/>
    <w:rsid w:val="04A942BA"/>
    <w:rsid w:val="04AE367F"/>
    <w:rsid w:val="04B509E1"/>
    <w:rsid w:val="04B769D7"/>
    <w:rsid w:val="04B87D94"/>
    <w:rsid w:val="04BD1B14"/>
    <w:rsid w:val="04BD7D66"/>
    <w:rsid w:val="04C44C50"/>
    <w:rsid w:val="04CE5ACF"/>
    <w:rsid w:val="04D31337"/>
    <w:rsid w:val="04D54F3B"/>
    <w:rsid w:val="04D94C69"/>
    <w:rsid w:val="04DF5FF1"/>
    <w:rsid w:val="04E377CC"/>
    <w:rsid w:val="04E419B4"/>
    <w:rsid w:val="04E43A59"/>
    <w:rsid w:val="04E452F2"/>
    <w:rsid w:val="04E6106A"/>
    <w:rsid w:val="04E83035"/>
    <w:rsid w:val="04E84DE3"/>
    <w:rsid w:val="04EC3924"/>
    <w:rsid w:val="04EE5708"/>
    <w:rsid w:val="04F93F1C"/>
    <w:rsid w:val="04FE74A3"/>
    <w:rsid w:val="051058E9"/>
    <w:rsid w:val="05107E95"/>
    <w:rsid w:val="05121E5F"/>
    <w:rsid w:val="05180DCE"/>
    <w:rsid w:val="05184F9C"/>
    <w:rsid w:val="05191440"/>
    <w:rsid w:val="051C2CDE"/>
    <w:rsid w:val="0526590B"/>
    <w:rsid w:val="0526646A"/>
    <w:rsid w:val="053011A4"/>
    <w:rsid w:val="05301830"/>
    <w:rsid w:val="05311CF3"/>
    <w:rsid w:val="05373674"/>
    <w:rsid w:val="05394859"/>
    <w:rsid w:val="053C0C8A"/>
    <w:rsid w:val="054162A1"/>
    <w:rsid w:val="0548177D"/>
    <w:rsid w:val="05533CBE"/>
    <w:rsid w:val="05543E06"/>
    <w:rsid w:val="056015FA"/>
    <w:rsid w:val="0560706F"/>
    <w:rsid w:val="05614B95"/>
    <w:rsid w:val="0561665A"/>
    <w:rsid w:val="05616943"/>
    <w:rsid w:val="05656433"/>
    <w:rsid w:val="05705DB7"/>
    <w:rsid w:val="05726DA2"/>
    <w:rsid w:val="05793C8D"/>
    <w:rsid w:val="05795E98"/>
    <w:rsid w:val="057B176B"/>
    <w:rsid w:val="05856AD5"/>
    <w:rsid w:val="0588711B"/>
    <w:rsid w:val="0589009F"/>
    <w:rsid w:val="058B20E5"/>
    <w:rsid w:val="058F1702"/>
    <w:rsid w:val="058F34B0"/>
    <w:rsid w:val="05926AFC"/>
    <w:rsid w:val="05A056BD"/>
    <w:rsid w:val="05A625A8"/>
    <w:rsid w:val="05AA02EA"/>
    <w:rsid w:val="05AF3BC6"/>
    <w:rsid w:val="05B35E4B"/>
    <w:rsid w:val="05B63373"/>
    <w:rsid w:val="05BB24F7"/>
    <w:rsid w:val="05BB42A5"/>
    <w:rsid w:val="05C56BBF"/>
    <w:rsid w:val="05CB200E"/>
    <w:rsid w:val="05CD5D86"/>
    <w:rsid w:val="05CE0012"/>
    <w:rsid w:val="05D67331"/>
    <w:rsid w:val="05DB66F5"/>
    <w:rsid w:val="05E05ABA"/>
    <w:rsid w:val="05E27A84"/>
    <w:rsid w:val="05E732EC"/>
    <w:rsid w:val="06021ED4"/>
    <w:rsid w:val="06052E78"/>
    <w:rsid w:val="06085010"/>
    <w:rsid w:val="060C4B01"/>
    <w:rsid w:val="060D4472"/>
    <w:rsid w:val="061B33AB"/>
    <w:rsid w:val="061D286A"/>
    <w:rsid w:val="06287461"/>
    <w:rsid w:val="062D71EF"/>
    <w:rsid w:val="062E0F1B"/>
    <w:rsid w:val="06304C93"/>
    <w:rsid w:val="06307FED"/>
    <w:rsid w:val="063444F1"/>
    <w:rsid w:val="063858F6"/>
    <w:rsid w:val="06420522"/>
    <w:rsid w:val="06420711"/>
    <w:rsid w:val="0645240D"/>
    <w:rsid w:val="0650515A"/>
    <w:rsid w:val="065546FA"/>
    <w:rsid w:val="065C0B2C"/>
    <w:rsid w:val="0664493D"/>
    <w:rsid w:val="06652463"/>
    <w:rsid w:val="06676029"/>
    <w:rsid w:val="066E55CF"/>
    <w:rsid w:val="06701B73"/>
    <w:rsid w:val="067539B5"/>
    <w:rsid w:val="067F3525"/>
    <w:rsid w:val="068E5516"/>
    <w:rsid w:val="0696086E"/>
    <w:rsid w:val="069A036D"/>
    <w:rsid w:val="06AB234E"/>
    <w:rsid w:val="06AB256C"/>
    <w:rsid w:val="06AB431A"/>
    <w:rsid w:val="06AB4E25"/>
    <w:rsid w:val="06AB60C8"/>
    <w:rsid w:val="06AF6DFB"/>
    <w:rsid w:val="06B71D57"/>
    <w:rsid w:val="06BA630B"/>
    <w:rsid w:val="06BE5BE4"/>
    <w:rsid w:val="06C851A0"/>
    <w:rsid w:val="06D3561E"/>
    <w:rsid w:val="06D53145"/>
    <w:rsid w:val="06D76A5A"/>
    <w:rsid w:val="06D82A04"/>
    <w:rsid w:val="06DA4BFF"/>
    <w:rsid w:val="06DE2BA7"/>
    <w:rsid w:val="06DF3FC3"/>
    <w:rsid w:val="06E11AE9"/>
    <w:rsid w:val="06EA7E84"/>
    <w:rsid w:val="06EC048E"/>
    <w:rsid w:val="06F7539A"/>
    <w:rsid w:val="06F85085"/>
    <w:rsid w:val="06FC0D31"/>
    <w:rsid w:val="07035F73"/>
    <w:rsid w:val="07047ECE"/>
    <w:rsid w:val="070954E4"/>
    <w:rsid w:val="070A023E"/>
    <w:rsid w:val="070E34A9"/>
    <w:rsid w:val="070E6657"/>
    <w:rsid w:val="07112C5B"/>
    <w:rsid w:val="07117EF5"/>
    <w:rsid w:val="07140111"/>
    <w:rsid w:val="07153E89"/>
    <w:rsid w:val="071613D7"/>
    <w:rsid w:val="071D689A"/>
    <w:rsid w:val="071E2D3E"/>
    <w:rsid w:val="07245E7A"/>
    <w:rsid w:val="072E0AA7"/>
    <w:rsid w:val="073C0184"/>
    <w:rsid w:val="073C31C4"/>
    <w:rsid w:val="07416A2C"/>
    <w:rsid w:val="07462294"/>
    <w:rsid w:val="07470275"/>
    <w:rsid w:val="074904E8"/>
    <w:rsid w:val="074D717F"/>
    <w:rsid w:val="07533584"/>
    <w:rsid w:val="075C5614"/>
    <w:rsid w:val="075F5104"/>
    <w:rsid w:val="076072C9"/>
    <w:rsid w:val="07612C2A"/>
    <w:rsid w:val="07630750"/>
    <w:rsid w:val="0777244E"/>
    <w:rsid w:val="0778608B"/>
    <w:rsid w:val="077C61EA"/>
    <w:rsid w:val="07830DF3"/>
    <w:rsid w:val="07834FAC"/>
    <w:rsid w:val="07866B35"/>
    <w:rsid w:val="078A5965"/>
    <w:rsid w:val="078B414B"/>
    <w:rsid w:val="078B7FF7"/>
    <w:rsid w:val="078D3A1F"/>
    <w:rsid w:val="078E1545"/>
    <w:rsid w:val="0790350F"/>
    <w:rsid w:val="07911C71"/>
    <w:rsid w:val="079270B3"/>
    <w:rsid w:val="079A613C"/>
    <w:rsid w:val="079C2AC1"/>
    <w:rsid w:val="079F5C06"/>
    <w:rsid w:val="07AA45D1"/>
    <w:rsid w:val="07AF3996"/>
    <w:rsid w:val="07B40395"/>
    <w:rsid w:val="07B40FAC"/>
    <w:rsid w:val="07C61D38"/>
    <w:rsid w:val="07C75183"/>
    <w:rsid w:val="07CA4C73"/>
    <w:rsid w:val="07CA6A21"/>
    <w:rsid w:val="07CC0951"/>
    <w:rsid w:val="07CD02C0"/>
    <w:rsid w:val="07E00A0F"/>
    <w:rsid w:val="07E1193E"/>
    <w:rsid w:val="07ED44BE"/>
    <w:rsid w:val="07F43A9E"/>
    <w:rsid w:val="07F65A68"/>
    <w:rsid w:val="08064057"/>
    <w:rsid w:val="08065580"/>
    <w:rsid w:val="080D2DB2"/>
    <w:rsid w:val="08144D37"/>
    <w:rsid w:val="081E4FBF"/>
    <w:rsid w:val="081E6D6D"/>
    <w:rsid w:val="08232E4A"/>
    <w:rsid w:val="08273E74"/>
    <w:rsid w:val="082962EA"/>
    <w:rsid w:val="082D0D5E"/>
    <w:rsid w:val="08395955"/>
    <w:rsid w:val="083E11BD"/>
    <w:rsid w:val="083F4F74"/>
    <w:rsid w:val="084C5688"/>
    <w:rsid w:val="084E5DED"/>
    <w:rsid w:val="0854278F"/>
    <w:rsid w:val="08566507"/>
    <w:rsid w:val="085A276B"/>
    <w:rsid w:val="086700DB"/>
    <w:rsid w:val="087066FC"/>
    <w:rsid w:val="08744BDF"/>
    <w:rsid w:val="08803584"/>
    <w:rsid w:val="08805332"/>
    <w:rsid w:val="08857BBC"/>
    <w:rsid w:val="08857D5A"/>
    <w:rsid w:val="088C017B"/>
    <w:rsid w:val="088D4DE0"/>
    <w:rsid w:val="0899227D"/>
    <w:rsid w:val="089B1EC4"/>
    <w:rsid w:val="089D5EE4"/>
    <w:rsid w:val="089E3A0A"/>
    <w:rsid w:val="08AC338A"/>
    <w:rsid w:val="08AF5C17"/>
    <w:rsid w:val="08B83EB5"/>
    <w:rsid w:val="08BB45BC"/>
    <w:rsid w:val="08BE081E"/>
    <w:rsid w:val="08C276F9"/>
    <w:rsid w:val="08C47661"/>
    <w:rsid w:val="08C93226"/>
    <w:rsid w:val="08CB0CA3"/>
    <w:rsid w:val="08D4043A"/>
    <w:rsid w:val="08D4468A"/>
    <w:rsid w:val="08D85F88"/>
    <w:rsid w:val="08D86F1C"/>
    <w:rsid w:val="08E81855"/>
    <w:rsid w:val="08EC29C7"/>
    <w:rsid w:val="08F024B8"/>
    <w:rsid w:val="08F17FDE"/>
    <w:rsid w:val="08F33D56"/>
    <w:rsid w:val="08F875BE"/>
    <w:rsid w:val="08F979E1"/>
    <w:rsid w:val="08FD1976"/>
    <w:rsid w:val="08FD4BD5"/>
    <w:rsid w:val="090221EB"/>
    <w:rsid w:val="09027FAC"/>
    <w:rsid w:val="090C33A6"/>
    <w:rsid w:val="090D62B3"/>
    <w:rsid w:val="090F7036"/>
    <w:rsid w:val="090F782C"/>
    <w:rsid w:val="09111C85"/>
    <w:rsid w:val="09121B08"/>
    <w:rsid w:val="091837BC"/>
    <w:rsid w:val="091D0DD3"/>
    <w:rsid w:val="092469AB"/>
    <w:rsid w:val="09271661"/>
    <w:rsid w:val="09381EAE"/>
    <w:rsid w:val="0938261D"/>
    <w:rsid w:val="093C031A"/>
    <w:rsid w:val="0940106F"/>
    <w:rsid w:val="09413E70"/>
    <w:rsid w:val="0944289E"/>
    <w:rsid w:val="0946032A"/>
    <w:rsid w:val="09480908"/>
    <w:rsid w:val="094C3466"/>
    <w:rsid w:val="094E7493"/>
    <w:rsid w:val="0951052A"/>
    <w:rsid w:val="095446DE"/>
    <w:rsid w:val="095A5B83"/>
    <w:rsid w:val="095A6844"/>
    <w:rsid w:val="095B0C22"/>
    <w:rsid w:val="09684744"/>
    <w:rsid w:val="096864F2"/>
    <w:rsid w:val="096B7D90"/>
    <w:rsid w:val="096D1D5A"/>
    <w:rsid w:val="09706D78"/>
    <w:rsid w:val="09795283"/>
    <w:rsid w:val="09827DCD"/>
    <w:rsid w:val="09842C00"/>
    <w:rsid w:val="0984568E"/>
    <w:rsid w:val="098552F6"/>
    <w:rsid w:val="0988684E"/>
    <w:rsid w:val="098B0432"/>
    <w:rsid w:val="098D7D07"/>
    <w:rsid w:val="09926E4D"/>
    <w:rsid w:val="09931095"/>
    <w:rsid w:val="09992B4F"/>
    <w:rsid w:val="099C7CF2"/>
    <w:rsid w:val="09AB63DF"/>
    <w:rsid w:val="09AB798B"/>
    <w:rsid w:val="09AC135B"/>
    <w:rsid w:val="09AC4634"/>
    <w:rsid w:val="09AF2373"/>
    <w:rsid w:val="09B10119"/>
    <w:rsid w:val="09B53677"/>
    <w:rsid w:val="09B83B0C"/>
    <w:rsid w:val="09BC4A90"/>
    <w:rsid w:val="09C35E1E"/>
    <w:rsid w:val="09C6146A"/>
    <w:rsid w:val="09D122E9"/>
    <w:rsid w:val="09D17584"/>
    <w:rsid w:val="09D75426"/>
    <w:rsid w:val="09D85583"/>
    <w:rsid w:val="09D9119E"/>
    <w:rsid w:val="09DB5D48"/>
    <w:rsid w:val="09DC47EA"/>
    <w:rsid w:val="09E475D8"/>
    <w:rsid w:val="09EC3A40"/>
    <w:rsid w:val="09EF276F"/>
    <w:rsid w:val="09EF451D"/>
    <w:rsid w:val="09F04D02"/>
    <w:rsid w:val="09F14739"/>
    <w:rsid w:val="09F2225F"/>
    <w:rsid w:val="09FE29B2"/>
    <w:rsid w:val="0A053D41"/>
    <w:rsid w:val="0A0A57FB"/>
    <w:rsid w:val="0A0B2D2F"/>
    <w:rsid w:val="0A0B591F"/>
    <w:rsid w:val="0A0C02E8"/>
    <w:rsid w:val="0A0D1961"/>
    <w:rsid w:val="0A1D552E"/>
    <w:rsid w:val="0A3B48B9"/>
    <w:rsid w:val="0A40121D"/>
    <w:rsid w:val="0A40746F"/>
    <w:rsid w:val="0A407D85"/>
    <w:rsid w:val="0A426D43"/>
    <w:rsid w:val="0A484412"/>
    <w:rsid w:val="0A4C0D82"/>
    <w:rsid w:val="0A4E5ABC"/>
    <w:rsid w:val="0A5F080B"/>
    <w:rsid w:val="0A601D71"/>
    <w:rsid w:val="0A607363"/>
    <w:rsid w:val="0A650C83"/>
    <w:rsid w:val="0A652A31"/>
    <w:rsid w:val="0A670558"/>
    <w:rsid w:val="0A6B77C1"/>
    <w:rsid w:val="0A747118"/>
    <w:rsid w:val="0A8455AD"/>
    <w:rsid w:val="0A863B68"/>
    <w:rsid w:val="0A8E1890"/>
    <w:rsid w:val="0A9926DB"/>
    <w:rsid w:val="0A9F70DB"/>
    <w:rsid w:val="0AA2576C"/>
    <w:rsid w:val="0AA417AC"/>
    <w:rsid w:val="0AA96DC2"/>
    <w:rsid w:val="0AAF1EFF"/>
    <w:rsid w:val="0AB063A2"/>
    <w:rsid w:val="0AB44C7D"/>
    <w:rsid w:val="0AB85257"/>
    <w:rsid w:val="0AC0160E"/>
    <w:rsid w:val="0AC05EBA"/>
    <w:rsid w:val="0AC260D6"/>
    <w:rsid w:val="0AC41E4E"/>
    <w:rsid w:val="0AC534D0"/>
    <w:rsid w:val="0ACA1B56"/>
    <w:rsid w:val="0ACA6D38"/>
    <w:rsid w:val="0AD07E92"/>
    <w:rsid w:val="0AD67BFB"/>
    <w:rsid w:val="0AD71885"/>
    <w:rsid w:val="0AE24082"/>
    <w:rsid w:val="0AE27405"/>
    <w:rsid w:val="0AEA1189"/>
    <w:rsid w:val="0AEC4F01"/>
    <w:rsid w:val="0AED49F2"/>
    <w:rsid w:val="0AF65D7F"/>
    <w:rsid w:val="0AFA761E"/>
    <w:rsid w:val="0B0A115E"/>
    <w:rsid w:val="0B0A5387"/>
    <w:rsid w:val="0B0B7473"/>
    <w:rsid w:val="0B116715"/>
    <w:rsid w:val="0B2428ED"/>
    <w:rsid w:val="0B2529AE"/>
    <w:rsid w:val="0B26038E"/>
    <w:rsid w:val="0B291CB1"/>
    <w:rsid w:val="0B2B3C7B"/>
    <w:rsid w:val="0B2B5A29"/>
    <w:rsid w:val="0B310B66"/>
    <w:rsid w:val="0B357B6B"/>
    <w:rsid w:val="0B370759"/>
    <w:rsid w:val="0B412FE6"/>
    <w:rsid w:val="0B41524D"/>
    <w:rsid w:val="0B444D3D"/>
    <w:rsid w:val="0B464611"/>
    <w:rsid w:val="0B550CF8"/>
    <w:rsid w:val="0B554854"/>
    <w:rsid w:val="0B5605CC"/>
    <w:rsid w:val="0B561090"/>
    <w:rsid w:val="0B5739B0"/>
    <w:rsid w:val="0B5F1B77"/>
    <w:rsid w:val="0B6251C3"/>
    <w:rsid w:val="0B63105D"/>
    <w:rsid w:val="0B642CE9"/>
    <w:rsid w:val="0B6B2219"/>
    <w:rsid w:val="0B6C0A84"/>
    <w:rsid w:val="0B6E6509"/>
    <w:rsid w:val="0B705B32"/>
    <w:rsid w:val="0B7078E0"/>
    <w:rsid w:val="0B7471EA"/>
    <w:rsid w:val="0B786794"/>
    <w:rsid w:val="0B7C0033"/>
    <w:rsid w:val="0B7E024F"/>
    <w:rsid w:val="0B7F5D75"/>
    <w:rsid w:val="0B837613"/>
    <w:rsid w:val="0B941820"/>
    <w:rsid w:val="0B955598"/>
    <w:rsid w:val="0B971310"/>
    <w:rsid w:val="0B9730BE"/>
    <w:rsid w:val="0B973792"/>
    <w:rsid w:val="0BA550E1"/>
    <w:rsid w:val="0BA56877"/>
    <w:rsid w:val="0BAE7951"/>
    <w:rsid w:val="0BB15CFC"/>
    <w:rsid w:val="0BB3615F"/>
    <w:rsid w:val="0BB643CC"/>
    <w:rsid w:val="0BBC48D3"/>
    <w:rsid w:val="0BC1013B"/>
    <w:rsid w:val="0BC1051B"/>
    <w:rsid w:val="0BC56019"/>
    <w:rsid w:val="0BC83278"/>
    <w:rsid w:val="0BCB0FBA"/>
    <w:rsid w:val="0BCF2CAD"/>
    <w:rsid w:val="0BDF6813"/>
    <w:rsid w:val="0BE76017"/>
    <w:rsid w:val="0BEC286B"/>
    <w:rsid w:val="0BF027CF"/>
    <w:rsid w:val="0BF70001"/>
    <w:rsid w:val="0BF978D5"/>
    <w:rsid w:val="0BFA514F"/>
    <w:rsid w:val="0BFC73C5"/>
    <w:rsid w:val="0C000C64"/>
    <w:rsid w:val="0C083FBC"/>
    <w:rsid w:val="0C097569"/>
    <w:rsid w:val="0C0A1AE2"/>
    <w:rsid w:val="0C10523E"/>
    <w:rsid w:val="0C1069CD"/>
    <w:rsid w:val="0C126BE9"/>
    <w:rsid w:val="0C160487"/>
    <w:rsid w:val="0C175FAD"/>
    <w:rsid w:val="0C186C79"/>
    <w:rsid w:val="0C1F4E62"/>
    <w:rsid w:val="0C22507E"/>
    <w:rsid w:val="0C34090D"/>
    <w:rsid w:val="0C3703FE"/>
    <w:rsid w:val="0C3D1EB8"/>
    <w:rsid w:val="0C3F7CB2"/>
    <w:rsid w:val="0C400913"/>
    <w:rsid w:val="0C41127C"/>
    <w:rsid w:val="0C427796"/>
    <w:rsid w:val="0C4A0131"/>
    <w:rsid w:val="0C4C1587"/>
    <w:rsid w:val="0C547201"/>
    <w:rsid w:val="0C5505BD"/>
    <w:rsid w:val="0C550884"/>
    <w:rsid w:val="0C594818"/>
    <w:rsid w:val="0C5E6319"/>
    <w:rsid w:val="0C641D70"/>
    <w:rsid w:val="0C674149"/>
    <w:rsid w:val="0C6E3B82"/>
    <w:rsid w:val="0C6F4DCD"/>
    <w:rsid w:val="0C741652"/>
    <w:rsid w:val="0C7D42D8"/>
    <w:rsid w:val="0C811679"/>
    <w:rsid w:val="0C8973F9"/>
    <w:rsid w:val="0C931AD8"/>
    <w:rsid w:val="0C97189C"/>
    <w:rsid w:val="0C97288C"/>
    <w:rsid w:val="0C985340"/>
    <w:rsid w:val="0C994C14"/>
    <w:rsid w:val="0C9B3A4F"/>
    <w:rsid w:val="0CA02447"/>
    <w:rsid w:val="0CA27F6D"/>
    <w:rsid w:val="0CA8616C"/>
    <w:rsid w:val="0CAA0BCF"/>
    <w:rsid w:val="0CB63A18"/>
    <w:rsid w:val="0CB90E13"/>
    <w:rsid w:val="0CB97065"/>
    <w:rsid w:val="0CC71781"/>
    <w:rsid w:val="0CC779D3"/>
    <w:rsid w:val="0CCC323C"/>
    <w:rsid w:val="0CD30126"/>
    <w:rsid w:val="0CD65E68"/>
    <w:rsid w:val="0CDD71F7"/>
    <w:rsid w:val="0CE2480D"/>
    <w:rsid w:val="0CE62A84"/>
    <w:rsid w:val="0CE71E24"/>
    <w:rsid w:val="0CE916F8"/>
    <w:rsid w:val="0CF32576"/>
    <w:rsid w:val="0CF4009D"/>
    <w:rsid w:val="0CFA1B57"/>
    <w:rsid w:val="0CFB142B"/>
    <w:rsid w:val="0D045593"/>
    <w:rsid w:val="0D076022"/>
    <w:rsid w:val="0D0D2CFE"/>
    <w:rsid w:val="0D0F4ED6"/>
    <w:rsid w:val="0D1D75F3"/>
    <w:rsid w:val="0D202E11"/>
    <w:rsid w:val="0D2167C4"/>
    <w:rsid w:val="0D246BD4"/>
    <w:rsid w:val="0D270472"/>
    <w:rsid w:val="0D277019"/>
    <w:rsid w:val="0D2B61B4"/>
    <w:rsid w:val="0D34162B"/>
    <w:rsid w:val="0D35136C"/>
    <w:rsid w:val="0D3A01A5"/>
    <w:rsid w:val="0D3F3A0E"/>
    <w:rsid w:val="0D404FEF"/>
    <w:rsid w:val="0D474670"/>
    <w:rsid w:val="0D4B23B2"/>
    <w:rsid w:val="0D4B29FE"/>
    <w:rsid w:val="0D502BB6"/>
    <w:rsid w:val="0D562B05"/>
    <w:rsid w:val="0D576FA9"/>
    <w:rsid w:val="0D5937C0"/>
    <w:rsid w:val="0D5972D7"/>
    <w:rsid w:val="0D5B011C"/>
    <w:rsid w:val="0D5C45C0"/>
    <w:rsid w:val="0D5F2CC7"/>
    <w:rsid w:val="0D605732"/>
    <w:rsid w:val="0D696DCC"/>
    <w:rsid w:val="0D6F7730"/>
    <w:rsid w:val="0D721847"/>
    <w:rsid w:val="0D750857"/>
    <w:rsid w:val="0D842293"/>
    <w:rsid w:val="0D844F76"/>
    <w:rsid w:val="0D8458C4"/>
    <w:rsid w:val="0D865CFD"/>
    <w:rsid w:val="0D8C6527"/>
    <w:rsid w:val="0D8D22EF"/>
    <w:rsid w:val="0D8D4E93"/>
    <w:rsid w:val="0D906017"/>
    <w:rsid w:val="0D992A2B"/>
    <w:rsid w:val="0D9B2C64"/>
    <w:rsid w:val="0D9E6986"/>
    <w:rsid w:val="0D9F5624"/>
    <w:rsid w:val="0DA373F7"/>
    <w:rsid w:val="0DA76D42"/>
    <w:rsid w:val="0DAB2E51"/>
    <w:rsid w:val="0DAE514D"/>
    <w:rsid w:val="0DB066B9"/>
    <w:rsid w:val="0DB75DFF"/>
    <w:rsid w:val="0DB9619A"/>
    <w:rsid w:val="0DBB7938"/>
    <w:rsid w:val="0DBC5D69"/>
    <w:rsid w:val="0DBF06AB"/>
    <w:rsid w:val="0DBF68FD"/>
    <w:rsid w:val="0DC14423"/>
    <w:rsid w:val="0DC3019B"/>
    <w:rsid w:val="0DC42165"/>
    <w:rsid w:val="0DCC3C37"/>
    <w:rsid w:val="0DD028B8"/>
    <w:rsid w:val="0DD24882"/>
    <w:rsid w:val="0DE100BF"/>
    <w:rsid w:val="0DEA03BD"/>
    <w:rsid w:val="0DF02531"/>
    <w:rsid w:val="0DF11314"/>
    <w:rsid w:val="0DF50570"/>
    <w:rsid w:val="0DFF319D"/>
    <w:rsid w:val="0DFF4F4B"/>
    <w:rsid w:val="0E0013EF"/>
    <w:rsid w:val="0E027503"/>
    <w:rsid w:val="0E0A5DCA"/>
    <w:rsid w:val="0E0B1B42"/>
    <w:rsid w:val="0E0D1416"/>
    <w:rsid w:val="0E1409F6"/>
    <w:rsid w:val="0E1924B1"/>
    <w:rsid w:val="0E1C3D4F"/>
    <w:rsid w:val="0E266744"/>
    <w:rsid w:val="0E26697C"/>
    <w:rsid w:val="0E2718C1"/>
    <w:rsid w:val="0E286250"/>
    <w:rsid w:val="0E28755C"/>
    <w:rsid w:val="0E2942EF"/>
    <w:rsid w:val="0E2C2B37"/>
    <w:rsid w:val="0E2F5830"/>
    <w:rsid w:val="0E303356"/>
    <w:rsid w:val="0E320E7D"/>
    <w:rsid w:val="0E325320"/>
    <w:rsid w:val="0E353577"/>
    <w:rsid w:val="0E3552BE"/>
    <w:rsid w:val="0E3623F7"/>
    <w:rsid w:val="0E370B89"/>
    <w:rsid w:val="0E3B5A87"/>
    <w:rsid w:val="0E425FEA"/>
    <w:rsid w:val="0E4312DC"/>
    <w:rsid w:val="0E464928"/>
    <w:rsid w:val="0E527771"/>
    <w:rsid w:val="0E5A54F6"/>
    <w:rsid w:val="0E5E105B"/>
    <w:rsid w:val="0E601E8E"/>
    <w:rsid w:val="0E7616B1"/>
    <w:rsid w:val="0E76520D"/>
    <w:rsid w:val="0E770F85"/>
    <w:rsid w:val="0E7D2A40"/>
    <w:rsid w:val="0E8C2C83"/>
    <w:rsid w:val="0E8D2557"/>
    <w:rsid w:val="0E9C279A"/>
    <w:rsid w:val="0EA16002"/>
    <w:rsid w:val="0EA248AC"/>
    <w:rsid w:val="0EA33EF7"/>
    <w:rsid w:val="0EA37FCC"/>
    <w:rsid w:val="0EAB7F23"/>
    <w:rsid w:val="0EAD041A"/>
    <w:rsid w:val="0EAE1E76"/>
    <w:rsid w:val="0EAE2BD9"/>
    <w:rsid w:val="0EB61AAE"/>
    <w:rsid w:val="0EBF36D0"/>
    <w:rsid w:val="0EC20452"/>
    <w:rsid w:val="0EC22C38"/>
    <w:rsid w:val="0EC43F85"/>
    <w:rsid w:val="0EC71F0D"/>
    <w:rsid w:val="0ECA37AB"/>
    <w:rsid w:val="0ECC12D1"/>
    <w:rsid w:val="0ED14B39"/>
    <w:rsid w:val="0ED91C40"/>
    <w:rsid w:val="0EDC2BF8"/>
    <w:rsid w:val="0EDD4F42"/>
    <w:rsid w:val="0EDF667F"/>
    <w:rsid w:val="0EDF7256"/>
    <w:rsid w:val="0EE26D46"/>
    <w:rsid w:val="0EE505E5"/>
    <w:rsid w:val="0EE72544"/>
    <w:rsid w:val="0EF2164E"/>
    <w:rsid w:val="0EF80318"/>
    <w:rsid w:val="0EF820C6"/>
    <w:rsid w:val="0EFD592E"/>
    <w:rsid w:val="0EFD746F"/>
    <w:rsid w:val="0F026AA1"/>
    <w:rsid w:val="0F052A35"/>
    <w:rsid w:val="0F0A3BA7"/>
    <w:rsid w:val="0F213A77"/>
    <w:rsid w:val="0F2410E0"/>
    <w:rsid w:val="0F2C086B"/>
    <w:rsid w:val="0F2E3D3A"/>
    <w:rsid w:val="0F2F0EC2"/>
    <w:rsid w:val="0F2F5B7D"/>
    <w:rsid w:val="0F3A26DF"/>
    <w:rsid w:val="0F437652"/>
    <w:rsid w:val="0F4948EC"/>
    <w:rsid w:val="0F5218DB"/>
    <w:rsid w:val="0F557518"/>
    <w:rsid w:val="0F5E7E3E"/>
    <w:rsid w:val="0F5F0397"/>
    <w:rsid w:val="0F601A19"/>
    <w:rsid w:val="0F64150A"/>
    <w:rsid w:val="0F681B47"/>
    <w:rsid w:val="0F6C6610"/>
    <w:rsid w:val="0F735BF1"/>
    <w:rsid w:val="0F751969"/>
    <w:rsid w:val="0F7A2ADB"/>
    <w:rsid w:val="0F80613A"/>
    <w:rsid w:val="0F875BF8"/>
    <w:rsid w:val="0F8A6A96"/>
    <w:rsid w:val="0F8C0A60"/>
    <w:rsid w:val="0F8E02F6"/>
    <w:rsid w:val="0F933B9D"/>
    <w:rsid w:val="0F9D4A1B"/>
    <w:rsid w:val="0F9E0C0B"/>
    <w:rsid w:val="0FA364D6"/>
    <w:rsid w:val="0FB75ADD"/>
    <w:rsid w:val="0FBD6E6C"/>
    <w:rsid w:val="0FC14BAE"/>
    <w:rsid w:val="0FCB77DB"/>
    <w:rsid w:val="0FCC2EE0"/>
    <w:rsid w:val="0FD04DF1"/>
    <w:rsid w:val="0FD94B70"/>
    <w:rsid w:val="0FDC3796"/>
    <w:rsid w:val="0FE73EE9"/>
    <w:rsid w:val="0FED14FF"/>
    <w:rsid w:val="0FF24D67"/>
    <w:rsid w:val="0FF46D31"/>
    <w:rsid w:val="0FFA3C1C"/>
    <w:rsid w:val="100200A7"/>
    <w:rsid w:val="100E7925"/>
    <w:rsid w:val="1016131A"/>
    <w:rsid w:val="101C64FB"/>
    <w:rsid w:val="101F18D4"/>
    <w:rsid w:val="101F3682"/>
    <w:rsid w:val="1021389E"/>
    <w:rsid w:val="10321608"/>
    <w:rsid w:val="10376C1E"/>
    <w:rsid w:val="10390BE8"/>
    <w:rsid w:val="104E26CE"/>
    <w:rsid w:val="10505145"/>
    <w:rsid w:val="10540C60"/>
    <w:rsid w:val="10594CCA"/>
    <w:rsid w:val="10594DE6"/>
    <w:rsid w:val="105A290D"/>
    <w:rsid w:val="10765998"/>
    <w:rsid w:val="107B329C"/>
    <w:rsid w:val="107C0AD5"/>
    <w:rsid w:val="107F0312"/>
    <w:rsid w:val="10832C30"/>
    <w:rsid w:val="10853E2D"/>
    <w:rsid w:val="108654B0"/>
    <w:rsid w:val="108C6F6A"/>
    <w:rsid w:val="109059C3"/>
    <w:rsid w:val="10905CD8"/>
    <w:rsid w:val="109202F8"/>
    <w:rsid w:val="10953A67"/>
    <w:rsid w:val="109745B6"/>
    <w:rsid w:val="109C2F25"/>
    <w:rsid w:val="10A04E3C"/>
    <w:rsid w:val="10A87B1C"/>
    <w:rsid w:val="10AD7440"/>
    <w:rsid w:val="10B14C22"/>
    <w:rsid w:val="10B27DBC"/>
    <w:rsid w:val="10B4260B"/>
    <w:rsid w:val="10BB33AB"/>
    <w:rsid w:val="10BC7123"/>
    <w:rsid w:val="10C02CE5"/>
    <w:rsid w:val="10C304B2"/>
    <w:rsid w:val="10C81F6C"/>
    <w:rsid w:val="10D73F5D"/>
    <w:rsid w:val="10D8131B"/>
    <w:rsid w:val="10DD4DDE"/>
    <w:rsid w:val="10DD77C5"/>
    <w:rsid w:val="10E344BC"/>
    <w:rsid w:val="10E50428"/>
    <w:rsid w:val="10EB3B5D"/>
    <w:rsid w:val="10EB7E81"/>
    <w:rsid w:val="10ED6EA5"/>
    <w:rsid w:val="10EE003C"/>
    <w:rsid w:val="10FB1780"/>
    <w:rsid w:val="10FB40F0"/>
    <w:rsid w:val="110411F6"/>
    <w:rsid w:val="110416CA"/>
    <w:rsid w:val="11114A51"/>
    <w:rsid w:val="1115115A"/>
    <w:rsid w:val="111B02EE"/>
    <w:rsid w:val="111E393A"/>
    <w:rsid w:val="111E4A8C"/>
    <w:rsid w:val="112006F6"/>
    <w:rsid w:val="112518E3"/>
    <w:rsid w:val="11254147"/>
    <w:rsid w:val="11274A63"/>
    <w:rsid w:val="112A22DF"/>
    <w:rsid w:val="112C076E"/>
    <w:rsid w:val="112E6273"/>
    <w:rsid w:val="112F3CA1"/>
    <w:rsid w:val="11386E78"/>
    <w:rsid w:val="113C092E"/>
    <w:rsid w:val="113F5831"/>
    <w:rsid w:val="1143764E"/>
    <w:rsid w:val="114C04A7"/>
    <w:rsid w:val="114D3F9C"/>
    <w:rsid w:val="114F7F97"/>
    <w:rsid w:val="11523FD6"/>
    <w:rsid w:val="1154735C"/>
    <w:rsid w:val="11567578"/>
    <w:rsid w:val="11586695"/>
    <w:rsid w:val="11635DDC"/>
    <w:rsid w:val="11644F67"/>
    <w:rsid w:val="116B3023"/>
    <w:rsid w:val="116D71F8"/>
    <w:rsid w:val="117479FE"/>
    <w:rsid w:val="117F6ACF"/>
    <w:rsid w:val="11845235"/>
    <w:rsid w:val="118C6A91"/>
    <w:rsid w:val="119423A3"/>
    <w:rsid w:val="11A402E3"/>
    <w:rsid w:val="11A4040E"/>
    <w:rsid w:val="11A77DD3"/>
    <w:rsid w:val="11AD2C95"/>
    <w:rsid w:val="11AE2F10"/>
    <w:rsid w:val="11B36778"/>
    <w:rsid w:val="11BB6C8F"/>
    <w:rsid w:val="11BD1052"/>
    <w:rsid w:val="11BD333C"/>
    <w:rsid w:val="11C368B1"/>
    <w:rsid w:val="11C95F9C"/>
    <w:rsid w:val="11CE35B2"/>
    <w:rsid w:val="11D00824"/>
    <w:rsid w:val="11D16BFE"/>
    <w:rsid w:val="11D73F28"/>
    <w:rsid w:val="11D8503F"/>
    <w:rsid w:val="11DA1F57"/>
    <w:rsid w:val="11DC0CEA"/>
    <w:rsid w:val="11DC5CCF"/>
    <w:rsid w:val="11DD55A3"/>
    <w:rsid w:val="11E2739D"/>
    <w:rsid w:val="11F254F3"/>
    <w:rsid w:val="11F31F18"/>
    <w:rsid w:val="11F528ED"/>
    <w:rsid w:val="11F954F0"/>
    <w:rsid w:val="11FF52A7"/>
    <w:rsid w:val="11FF551A"/>
    <w:rsid w:val="12024E68"/>
    <w:rsid w:val="1202500A"/>
    <w:rsid w:val="120D392E"/>
    <w:rsid w:val="12106DA0"/>
    <w:rsid w:val="121C60CC"/>
    <w:rsid w:val="12307DC9"/>
    <w:rsid w:val="12312063"/>
    <w:rsid w:val="1235718D"/>
    <w:rsid w:val="12376618"/>
    <w:rsid w:val="124949E7"/>
    <w:rsid w:val="124D097B"/>
    <w:rsid w:val="12616CD8"/>
    <w:rsid w:val="12695089"/>
    <w:rsid w:val="12747CB6"/>
    <w:rsid w:val="127777A6"/>
    <w:rsid w:val="127E6D86"/>
    <w:rsid w:val="1283614B"/>
    <w:rsid w:val="12837EF9"/>
    <w:rsid w:val="128924DC"/>
    <w:rsid w:val="128E689D"/>
    <w:rsid w:val="129640D0"/>
    <w:rsid w:val="129E2F84"/>
    <w:rsid w:val="12A21BF2"/>
    <w:rsid w:val="12A70891"/>
    <w:rsid w:val="12AA6585"/>
    <w:rsid w:val="12AD1419"/>
    <w:rsid w:val="12B0185D"/>
    <w:rsid w:val="12B10F0A"/>
    <w:rsid w:val="12B44556"/>
    <w:rsid w:val="12B878BF"/>
    <w:rsid w:val="12BE7183"/>
    <w:rsid w:val="12C573FF"/>
    <w:rsid w:val="12C64289"/>
    <w:rsid w:val="12D06EB6"/>
    <w:rsid w:val="12D1335A"/>
    <w:rsid w:val="12D31205"/>
    <w:rsid w:val="12D568D7"/>
    <w:rsid w:val="12DC3AAD"/>
    <w:rsid w:val="12E0359D"/>
    <w:rsid w:val="12E3142B"/>
    <w:rsid w:val="12E82452"/>
    <w:rsid w:val="12E869AC"/>
    <w:rsid w:val="12EF1A32"/>
    <w:rsid w:val="12F22131"/>
    <w:rsid w:val="12F86B39"/>
    <w:rsid w:val="12FA4174"/>
    <w:rsid w:val="13082AF4"/>
    <w:rsid w:val="130A23C8"/>
    <w:rsid w:val="130A36C0"/>
    <w:rsid w:val="130C25E4"/>
    <w:rsid w:val="13114A30"/>
    <w:rsid w:val="1312540B"/>
    <w:rsid w:val="13171183"/>
    <w:rsid w:val="131C6F65"/>
    <w:rsid w:val="131D659F"/>
    <w:rsid w:val="131E6360"/>
    <w:rsid w:val="13206AA2"/>
    <w:rsid w:val="13272F7A"/>
    <w:rsid w:val="132C233E"/>
    <w:rsid w:val="13330B4B"/>
    <w:rsid w:val="1336140F"/>
    <w:rsid w:val="13440AFE"/>
    <w:rsid w:val="13454A16"/>
    <w:rsid w:val="13491142"/>
    <w:rsid w:val="134933C7"/>
    <w:rsid w:val="13495C7E"/>
    <w:rsid w:val="134C0C32"/>
    <w:rsid w:val="13525B1D"/>
    <w:rsid w:val="13545D39"/>
    <w:rsid w:val="13581385"/>
    <w:rsid w:val="135B0E75"/>
    <w:rsid w:val="135D2E40"/>
    <w:rsid w:val="13637D2A"/>
    <w:rsid w:val="136C3083"/>
    <w:rsid w:val="136F66CF"/>
    <w:rsid w:val="13743CE5"/>
    <w:rsid w:val="137837D5"/>
    <w:rsid w:val="137A2642"/>
    <w:rsid w:val="137F4B64"/>
    <w:rsid w:val="13833F28"/>
    <w:rsid w:val="13873911"/>
    <w:rsid w:val="138959E3"/>
    <w:rsid w:val="138A175B"/>
    <w:rsid w:val="138E2FF9"/>
    <w:rsid w:val="13936861"/>
    <w:rsid w:val="13A02D05"/>
    <w:rsid w:val="13B00075"/>
    <w:rsid w:val="13B77A3B"/>
    <w:rsid w:val="13B862C8"/>
    <w:rsid w:val="13BB79E5"/>
    <w:rsid w:val="13BF7656"/>
    <w:rsid w:val="13C317B7"/>
    <w:rsid w:val="13D259D6"/>
    <w:rsid w:val="13D36C5E"/>
    <w:rsid w:val="13D50C28"/>
    <w:rsid w:val="13DD188A"/>
    <w:rsid w:val="13E10270"/>
    <w:rsid w:val="13E20728"/>
    <w:rsid w:val="13EE1CEA"/>
    <w:rsid w:val="13F15336"/>
    <w:rsid w:val="13F155AF"/>
    <w:rsid w:val="13F433FE"/>
    <w:rsid w:val="13F866C4"/>
    <w:rsid w:val="13FD3CDB"/>
    <w:rsid w:val="13FF0056"/>
    <w:rsid w:val="13FF5CA5"/>
    <w:rsid w:val="1404150D"/>
    <w:rsid w:val="140B355C"/>
    <w:rsid w:val="140E09E5"/>
    <w:rsid w:val="14117786"/>
    <w:rsid w:val="14164D9C"/>
    <w:rsid w:val="141A488D"/>
    <w:rsid w:val="141B24D5"/>
    <w:rsid w:val="141E0211"/>
    <w:rsid w:val="142474B9"/>
    <w:rsid w:val="1440211B"/>
    <w:rsid w:val="14445DAD"/>
    <w:rsid w:val="144722AA"/>
    <w:rsid w:val="144B722E"/>
    <w:rsid w:val="145204CA"/>
    <w:rsid w:val="14531B4D"/>
    <w:rsid w:val="14551D69"/>
    <w:rsid w:val="14586C61"/>
    <w:rsid w:val="1461426A"/>
    <w:rsid w:val="14692F06"/>
    <w:rsid w:val="146A5814"/>
    <w:rsid w:val="146F1029"/>
    <w:rsid w:val="146F2E2A"/>
    <w:rsid w:val="147026FF"/>
    <w:rsid w:val="147D6BCA"/>
    <w:rsid w:val="147D7EAE"/>
    <w:rsid w:val="147E4E1C"/>
    <w:rsid w:val="14833D50"/>
    <w:rsid w:val="14964944"/>
    <w:rsid w:val="1497412F"/>
    <w:rsid w:val="149E54BE"/>
    <w:rsid w:val="14A27D77"/>
    <w:rsid w:val="14A35840"/>
    <w:rsid w:val="14A423A8"/>
    <w:rsid w:val="14B94A0A"/>
    <w:rsid w:val="14BB6147"/>
    <w:rsid w:val="14BE346A"/>
    <w:rsid w:val="14BF2B96"/>
    <w:rsid w:val="14C111AC"/>
    <w:rsid w:val="14C33176"/>
    <w:rsid w:val="14C36CD2"/>
    <w:rsid w:val="14C45D7E"/>
    <w:rsid w:val="14C52A4A"/>
    <w:rsid w:val="14C81A92"/>
    <w:rsid w:val="14C97DF5"/>
    <w:rsid w:val="14CA037D"/>
    <w:rsid w:val="14CC4B3C"/>
    <w:rsid w:val="14D07641"/>
    <w:rsid w:val="14D44347"/>
    <w:rsid w:val="14D94748"/>
    <w:rsid w:val="14DC1B42"/>
    <w:rsid w:val="14DE0216"/>
    <w:rsid w:val="14DE58BA"/>
    <w:rsid w:val="14E31122"/>
    <w:rsid w:val="14E41113"/>
    <w:rsid w:val="14EB6229"/>
    <w:rsid w:val="14F01CFE"/>
    <w:rsid w:val="14F15EFC"/>
    <w:rsid w:val="14F72E20"/>
    <w:rsid w:val="14FD3553"/>
    <w:rsid w:val="14FE5F5C"/>
    <w:rsid w:val="15000793"/>
    <w:rsid w:val="15001CD4"/>
    <w:rsid w:val="15015A4D"/>
    <w:rsid w:val="15051099"/>
    <w:rsid w:val="150D2643"/>
    <w:rsid w:val="151237B6"/>
    <w:rsid w:val="15177431"/>
    <w:rsid w:val="151B539B"/>
    <w:rsid w:val="15237771"/>
    <w:rsid w:val="152466FE"/>
    <w:rsid w:val="1525101E"/>
    <w:rsid w:val="15270331"/>
    <w:rsid w:val="152705BC"/>
    <w:rsid w:val="152E1787"/>
    <w:rsid w:val="153100E0"/>
    <w:rsid w:val="1534372C"/>
    <w:rsid w:val="153E45AB"/>
    <w:rsid w:val="15451DDD"/>
    <w:rsid w:val="1546345F"/>
    <w:rsid w:val="154716B1"/>
    <w:rsid w:val="15475B55"/>
    <w:rsid w:val="15493F46"/>
    <w:rsid w:val="154A0C40"/>
    <w:rsid w:val="154D47EE"/>
    <w:rsid w:val="154E2DFB"/>
    <w:rsid w:val="155618F4"/>
    <w:rsid w:val="155C2C36"/>
    <w:rsid w:val="155D6F13"/>
    <w:rsid w:val="156009C5"/>
    <w:rsid w:val="15605210"/>
    <w:rsid w:val="15655FDB"/>
    <w:rsid w:val="15695ACC"/>
    <w:rsid w:val="156A0E93"/>
    <w:rsid w:val="1574621E"/>
    <w:rsid w:val="15761F97"/>
    <w:rsid w:val="157905F8"/>
    <w:rsid w:val="15791A87"/>
    <w:rsid w:val="1582093B"/>
    <w:rsid w:val="15841A39"/>
    <w:rsid w:val="1585667E"/>
    <w:rsid w:val="158A77F0"/>
    <w:rsid w:val="15932A1F"/>
    <w:rsid w:val="159F14ED"/>
    <w:rsid w:val="15A11D9D"/>
    <w:rsid w:val="15A17689"/>
    <w:rsid w:val="15AB60E4"/>
    <w:rsid w:val="15AC7766"/>
    <w:rsid w:val="15B14D7D"/>
    <w:rsid w:val="15B3484C"/>
    <w:rsid w:val="15B718AB"/>
    <w:rsid w:val="15B825AF"/>
    <w:rsid w:val="15BD5E17"/>
    <w:rsid w:val="15C86CDD"/>
    <w:rsid w:val="15CA22E2"/>
    <w:rsid w:val="15D93695"/>
    <w:rsid w:val="15E40A1B"/>
    <w:rsid w:val="15E4769E"/>
    <w:rsid w:val="15E6711C"/>
    <w:rsid w:val="15E97757"/>
    <w:rsid w:val="15EA64E1"/>
    <w:rsid w:val="15EF3AF7"/>
    <w:rsid w:val="15F86E50"/>
    <w:rsid w:val="15FC2B6A"/>
    <w:rsid w:val="15FD6214"/>
    <w:rsid w:val="15FF1F8C"/>
    <w:rsid w:val="16006C37"/>
    <w:rsid w:val="1609105D"/>
    <w:rsid w:val="16094BB9"/>
    <w:rsid w:val="160B6B83"/>
    <w:rsid w:val="16136F08"/>
    <w:rsid w:val="161A0B74"/>
    <w:rsid w:val="161D01D5"/>
    <w:rsid w:val="162714E3"/>
    <w:rsid w:val="1629525B"/>
    <w:rsid w:val="162D2CD7"/>
    <w:rsid w:val="1632088E"/>
    <w:rsid w:val="16354792"/>
    <w:rsid w:val="163D4862"/>
    <w:rsid w:val="164107F7"/>
    <w:rsid w:val="16461969"/>
    <w:rsid w:val="16491459"/>
    <w:rsid w:val="16493207"/>
    <w:rsid w:val="16526560"/>
    <w:rsid w:val="165A3A18"/>
    <w:rsid w:val="166444E5"/>
    <w:rsid w:val="16663DB9"/>
    <w:rsid w:val="16664C4C"/>
    <w:rsid w:val="166A38C9"/>
    <w:rsid w:val="166B13D0"/>
    <w:rsid w:val="166D15EC"/>
    <w:rsid w:val="166E0EC0"/>
    <w:rsid w:val="166E163C"/>
    <w:rsid w:val="166E331E"/>
    <w:rsid w:val="167026D5"/>
    <w:rsid w:val="167A7865"/>
    <w:rsid w:val="167C182F"/>
    <w:rsid w:val="167D6DB2"/>
    <w:rsid w:val="167F4057"/>
    <w:rsid w:val="16832BBD"/>
    <w:rsid w:val="16873D30"/>
    <w:rsid w:val="16881402"/>
    <w:rsid w:val="168B3A44"/>
    <w:rsid w:val="168D7598"/>
    <w:rsid w:val="16914446"/>
    <w:rsid w:val="16934DE0"/>
    <w:rsid w:val="169528F0"/>
    <w:rsid w:val="16953304"/>
    <w:rsid w:val="169F1079"/>
    <w:rsid w:val="169F551D"/>
    <w:rsid w:val="16A15948"/>
    <w:rsid w:val="16A17193"/>
    <w:rsid w:val="16A21074"/>
    <w:rsid w:val="16A24B17"/>
    <w:rsid w:val="16AA2483"/>
    <w:rsid w:val="16AD5139"/>
    <w:rsid w:val="16B32233"/>
    <w:rsid w:val="16BF171B"/>
    <w:rsid w:val="16C64858"/>
    <w:rsid w:val="16CA07EC"/>
    <w:rsid w:val="16CB627D"/>
    <w:rsid w:val="16CB6312"/>
    <w:rsid w:val="16CF0D57"/>
    <w:rsid w:val="16D1425A"/>
    <w:rsid w:val="16D231FD"/>
    <w:rsid w:val="16D36F75"/>
    <w:rsid w:val="16D93C61"/>
    <w:rsid w:val="16DA6555"/>
    <w:rsid w:val="16DE0A1B"/>
    <w:rsid w:val="16DE4297"/>
    <w:rsid w:val="16DF591A"/>
    <w:rsid w:val="16E12EBC"/>
    <w:rsid w:val="16EC0753"/>
    <w:rsid w:val="16F65AEF"/>
    <w:rsid w:val="16FB5E31"/>
    <w:rsid w:val="16FD6031"/>
    <w:rsid w:val="16FF7D6A"/>
    <w:rsid w:val="17013AE2"/>
    <w:rsid w:val="17045380"/>
    <w:rsid w:val="1706559C"/>
    <w:rsid w:val="17084E70"/>
    <w:rsid w:val="170878B8"/>
    <w:rsid w:val="170F61FF"/>
    <w:rsid w:val="17111128"/>
    <w:rsid w:val="17127A9D"/>
    <w:rsid w:val="171952CF"/>
    <w:rsid w:val="17233E03"/>
    <w:rsid w:val="172F68A1"/>
    <w:rsid w:val="17306175"/>
    <w:rsid w:val="17365BCD"/>
    <w:rsid w:val="17393D38"/>
    <w:rsid w:val="173A1680"/>
    <w:rsid w:val="173F24B1"/>
    <w:rsid w:val="17573B63"/>
    <w:rsid w:val="175B20F3"/>
    <w:rsid w:val="175C2955"/>
    <w:rsid w:val="175D5335"/>
    <w:rsid w:val="17654071"/>
    <w:rsid w:val="176779C5"/>
    <w:rsid w:val="176C7196"/>
    <w:rsid w:val="17744424"/>
    <w:rsid w:val="177469AA"/>
    <w:rsid w:val="17771E61"/>
    <w:rsid w:val="177B5642"/>
    <w:rsid w:val="17846BFD"/>
    <w:rsid w:val="17864105"/>
    <w:rsid w:val="178D35C8"/>
    <w:rsid w:val="178E66A5"/>
    <w:rsid w:val="178F2402"/>
    <w:rsid w:val="178F7340"/>
    <w:rsid w:val="17930FB9"/>
    <w:rsid w:val="179314B4"/>
    <w:rsid w:val="179606CE"/>
    <w:rsid w:val="17965CD5"/>
    <w:rsid w:val="179D1A5D"/>
    <w:rsid w:val="179D35E7"/>
    <w:rsid w:val="17A513B0"/>
    <w:rsid w:val="17A821AF"/>
    <w:rsid w:val="17A96653"/>
    <w:rsid w:val="17B6195E"/>
    <w:rsid w:val="17C0574B"/>
    <w:rsid w:val="17C214C3"/>
    <w:rsid w:val="17C52E06"/>
    <w:rsid w:val="17C96826"/>
    <w:rsid w:val="17CA0378"/>
    <w:rsid w:val="17CF598E"/>
    <w:rsid w:val="17D47448"/>
    <w:rsid w:val="17D631C0"/>
    <w:rsid w:val="17D73367"/>
    <w:rsid w:val="17E70F2A"/>
    <w:rsid w:val="17EC6CE1"/>
    <w:rsid w:val="17EE4066"/>
    <w:rsid w:val="17EF7DDE"/>
    <w:rsid w:val="17F13B56"/>
    <w:rsid w:val="17F378CF"/>
    <w:rsid w:val="17FB49D5"/>
    <w:rsid w:val="17FD4E6A"/>
    <w:rsid w:val="17FD699F"/>
    <w:rsid w:val="18045F74"/>
    <w:rsid w:val="1809529B"/>
    <w:rsid w:val="180A4C18"/>
    <w:rsid w:val="180E6167"/>
    <w:rsid w:val="18167A61"/>
    <w:rsid w:val="181A30AD"/>
    <w:rsid w:val="181B5077"/>
    <w:rsid w:val="181D488F"/>
    <w:rsid w:val="18253800"/>
    <w:rsid w:val="183D4FEE"/>
    <w:rsid w:val="18461F74"/>
    <w:rsid w:val="18502F73"/>
    <w:rsid w:val="1850765B"/>
    <w:rsid w:val="18510A99"/>
    <w:rsid w:val="18550589"/>
    <w:rsid w:val="185C1918"/>
    <w:rsid w:val="18650227"/>
    <w:rsid w:val="1869193F"/>
    <w:rsid w:val="186C142F"/>
    <w:rsid w:val="187230A6"/>
    <w:rsid w:val="18734821"/>
    <w:rsid w:val="18743B51"/>
    <w:rsid w:val="1876405C"/>
    <w:rsid w:val="188D1AD1"/>
    <w:rsid w:val="188E687B"/>
    <w:rsid w:val="188F715A"/>
    <w:rsid w:val="1890336F"/>
    <w:rsid w:val="1890511D"/>
    <w:rsid w:val="189A41EE"/>
    <w:rsid w:val="189A735D"/>
    <w:rsid w:val="189C7F66"/>
    <w:rsid w:val="18A230A3"/>
    <w:rsid w:val="18A262B3"/>
    <w:rsid w:val="18A62B93"/>
    <w:rsid w:val="18AB79B6"/>
    <w:rsid w:val="18AD3F21"/>
    <w:rsid w:val="18B0756E"/>
    <w:rsid w:val="18B143A6"/>
    <w:rsid w:val="18B54B84"/>
    <w:rsid w:val="18BC3B0A"/>
    <w:rsid w:val="18BE612E"/>
    <w:rsid w:val="18C1177B"/>
    <w:rsid w:val="18C354F3"/>
    <w:rsid w:val="18C36C68"/>
    <w:rsid w:val="18C4126B"/>
    <w:rsid w:val="18C70CEC"/>
    <w:rsid w:val="18C73EE5"/>
    <w:rsid w:val="18CD0120"/>
    <w:rsid w:val="18D936A0"/>
    <w:rsid w:val="18DB3095"/>
    <w:rsid w:val="18DE2845"/>
    <w:rsid w:val="18E02C17"/>
    <w:rsid w:val="18E13D43"/>
    <w:rsid w:val="18E544DC"/>
    <w:rsid w:val="18E96D3B"/>
    <w:rsid w:val="18EB2C9C"/>
    <w:rsid w:val="18EE7016"/>
    <w:rsid w:val="18F71640"/>
    <w:rsid w:val="18F7519C"/>
    <w:rsid w:val="18FC27B3"/>
    <w:rsid w:val="18FD70D6"/>
    <w:rsid w:val="18FE652B"/>
    <w:rsid w:val="19045B0B"/>
    <w:rsid w:val="190C670E"/>
    <w:rsid w:val="190F698A"/>
    <w:rsid w:val="19145D4E"/>
    <w:rsid w:val="19157D18"/>
    <w:rsid w:val="19164CA2"/>
    <w:rsid w:val="19287A4C"/>
    <w:rsid w:val="19313B8D"/>
    <w:rsid w:val="193261D5"/>
    <w:rsid w:val="193463F1"/>
    <w:rsid w:val="19397AAF"/>
    <w:rsid w:val="193F114A"/>
    <w:rsid w:val="19406B43"/>
    <w:rsid w:val="19472499"/>
    <w:rsid w:val="19480D61"/>
    <w:rsid w:val="194975A4"/>
    <w:rsid w:val="19533227"/>
    <w:rsid w:val="19570331"/>
    <w:rsid w:val="19573E8D"/>
    <w:rsid w:val="19581AD5"/>
    <w:rsid w:val="19611588"/>
    <w:rsid w:val="196315DB"/>
    <w:rsid w:val="196A001E"/>
    <w:rsid w:val="196D1903"/>
    <w:rsid w:val="196D545F"/>
    <w:rsid w:val="197607B7"/>
    <w:rsid w:val="197B5DCD"/>
    <w:rsid w:val="197C64BB"/>
    <w:rsid w:val="1988673C"/>
    <w:rsid w:val="199131C9"/>
    <w:rsid w:val="19946E8F"/>
    <w:rsid w:val="1997072D"/>
    <w:rsid w:val="199944A6"/>
    <w:rsid w:val="199E7931"/>
    <w:rsid w:val="19A22C52"/>
    <w:rsid w:val="19A54345"/>
    <w:rsid w:val="19A8745A"/>
    <w:rsid w:val="19B60BB4"/>
    <w:rsid w:val="19C14B13"/>
    <w:rsid w:val="19C2199A"/>
    <w:rsid w:val="19C534ED"/>
    <w:rsid w:val="19C90EF2"/>
    <w:rsid w:val="19D0105F"/>
    <w:rsid w:val="19D11E91"/>
    <w:rsid w:val="19E27BFB"/>
    <w:rsid w:val="19E971DB"/>
    <w:rsid w:val="19F142E2"/>
    <w:rsid w:val="19FA13E8"/>
    <w:rsid w:val="19FB0CBC"/>
    <w:rsid w:val="1A02204B"/>
    <w:rsid w:val="1A077661"/>
    <w:rsid w:val="1A107268"/>
    <w:rsid w:val="1A12351C"/>
    <w:rsid w:val="1A166F21"/>
    <w:rsid w:val="1A1A39CF"/>
    <w:rsid w:val="1A253F8B"/>
    <w:rsid w:val="1A2C188E"/>
    <w:rsid w:val="1A351413"/>
    <w:rsid w:val="1A3D7527"/>
    <w:rsid w:val="1A3F53E4"/>
    <w:rsid w:val="1A4227F8"/>
    <w:rsid w:val="1A4408B5"/>
    <w:rsid w:val="1A4C6DBB"/>
    <w:rsid w:val="1A4C776A"/>
    <w:rsid w:val="1A4E41D5"/>
    <w:rsid w:val="1A516B2E"/>
    <w:rsid w:val="1A543DEA"/>
    <w:rsid w:val="1A554870"/>
    <w:rsid w:val="1A58610F"/>
    <w:rsid w:val="1A617515"/>
    <w:rsid w:val="1A654388"/>
    <w:rsid w:val="1A68075F"/>
    <w:rsid w:val="1A6C3968"/>
    <w:rsid w:val="1A6C5716"/>
    <w:rsid w:val="1A6E5932"/>
    <w:rsid w:val="1A7871D0"/>
    <w:rsid w:val="1A7D5B75"/>
    <w:rsid w:val="1A7F369B"/>
    <w:rsid w:val="1A850666"/>
    <w:rsid w:val="1A907657"/>
    <w:rsid w:val="1A990BD3"/>
    <w:rsid w:val="1A9F789A"/>
    <w:rsid w:val="1AA749A0"/>
    <w:rsid w:val="1AB217D3"/>
    <w:rsid w:val="1AB53FA1"/>
    <w:rsid w:val="1AB570BD"/>
    <w:rsid w:val="1ABE298D"/>
    <w:rsid w:val="1ABF1CEA"/>
    <w:rsid w:val="1AC57B19"/>
    <w:rsid w:val="1ACD08AB"/>
    <w:rsid w:val="1ACD5330"/>
    <w:rsid w:val="1ACE017F"/>
    <w:rsid w:val="1ACF1846"/>
    <w:rsid w:val="1AD03EF7"/>
    <w:rsid w:val="1AD334D8"/>
    <w:rsid w:val="1ADA6B24"/>
    <w:rsid w:val="1AE45BF4"/>
    <w:rsid w:val="1AED4AA9"/>
    <w:rsid w:val="1AEF59D8"/>
    <w:rsid w:val="1AF20311"/>
    <w:rsid w:val="1B0167A6"/>
    <w:rsid w:val="1B052639"/>
    <w:rsid w:val="1B0911B7"/>
    <w:rsid w:val="1B1D4C62"/>
    <w:rsid w:val="1B1F6592"/>
    <w:rsid w:val="1B256925"/>
    <w:rsid w:val="1B28788F"/>
    <w:rsid w:val="1B2915DB"/>
    <w:rsid w:val="1B2942A8"/>
    <w:rsid w:val="1B2D785E"/>
    <w:rsid w:val="1B3A34BE"/>
    <w:rsid w:val="1B416BA3"/>
    <w:rsid w:val="1B430D6D"/>
    <w:rsid w:val="1B4346C9"/>
    <w:rsid w:val="1B440441"/>
    <w:rsid w:val="1B4F6E1F"/>
    <w:rsid w:val="1B522B5E"/>
    <w:rsid w:val="1B5B5EB7"/>
    <w:rsid w:val="1B617245"/>
    <w:rsid w:val="1B6805D3"/>
    <w:rsid w:val="1B69389B"/>
    <w:rsid w:val="1B6A154A"/>
    <w:rsid w:val="1B6B6A6E"/>
    <w:rsid w:val="1B713F72"/>
    <w:rsid w:val="1B7326B5"/>
    <w:rsid w:val="1B776A68"/>
    <w:rsid w:val="1B7E7DF7"/>
    <w:rsid w:val="1B84582A"/>
    <w:rsid w:val="1B8532AD"/>
    <w:rsid w:val="1B8C17F7"/>
    <w:rsid w:val="1B8D003A"/>
    <w:rsid w:val="1B8D3B96"/>
    <w:rsid w:val="1B8F3DB2"/>
    <w:rsid w:val="1B8F6F82"/>
    <w:rsid w:val="1B903686"/>
    <w:rsid w:val="1B9F38FC"/>
    <w:rsid w:val="1BA17641"/>
    <w:rsid w:val="1BA535D6"/>
    <w:rsid w:val="1BBB0703"/>
    <w:rsid w:val="1BC33A5C"/>
    <w:rsid w:val="1BCF41AF"/>
    <w:rsid w:val="1BD20669"/>
    <w:rsid w:val="1BDA61C5"/>
    <w:rsid w:val="1BE063BC"/>
    <w:rsid w:val="1BE20386"/>
    <w:rsid w:val="1BF40922"/>
    <w:rsid w:val="1BF50D63"/>
    <w:rsid w:val="1BF754B3"/>
    <w:rsid w:val="1BF7727F"/>
    <w:rsid w:val="1BFB31F6"/>
    <w:rsid w:val="1BFC5870"/>
    <w:rsid w:val="1BFD51C0"/>
    <w:rsid w:val="1BFE2CE6"/>
    <w:rsid w:val="1C006A5E"/>
    <w:rsid w:val="1C01076B"/>
    <w:rsid w:val="1C0A3439"/>
    <w:rsid w:val="1C0C71B1"/>
    <w:rsid w:val="1C0F0A4F"/>
    <w:rsid w:val="1C1153B4"/>
    <w:rsid w:val="1C16002F"/>
    <w:rsid w:val="1C197B20"/>
    <w:rsid w:val="1C200EAE"/>
    <w:rsid w:val="1C297D63"/>
    <w:rsid w:val="1C326C9E"/>
    <w:rsid w:val="1C393D1E"/>
    <w:rsid w:val="1C3D380E"/>
    <w:rsid w:val="1C3E30E2"/>
    <w:rsid w:val="1C411611"/>
    <w:rsid w:val="1C413C34"/>
    <w:rsid w:val="1C4C75BF"/>
    <w:rsid w:val="1C536B8E"/>
    <w:rsid w:val="1C56667E"/>
    <w:rsid w:val="1C651DCF"/>
    <w:rsid w:val="1C694603"/>
    <w:rsid w:val="1C6A3ED7"/>
    <w:rsid w:val="1C6C63AD"/>
    <w:rsid w:val="1C6E7E6B"/>
    <w:rsid w:val="1C72228F"/>
    <w:rsid w:val="1C723241"/>
    <w:rsid w:val="1C734ABC"/>
    <w:rsid w:val="1C750501"/>
    <w:rsid w:val="1C7558BE"/>
    <w:rsid w:val="1C7865F4"/>
    <w:rsid w:val="1C7D3C04"/>
    <w:rsid w:val="1C7D5549"/>
    <w:rsid w:val="1C7F5342"/>
    <w:rsid w:val="1C7F7983"/>
    <w:rsid w:val="1C831B11"/>
    <w:rsid w:val="1C84143D"/>
    <w:rsid w:val="1C8651B5"/>
    <w:rsid w:val="1C8947CA"/>
    <w:rsid w:val="1C8E7BC6"/>
    <w:rsid w:val="1C907DE2"/>
    <w:rsid w:val="1C913B5A"/>
    <w:rsid w:val="1C964CCC"/>
    <w:rsid w:val="1C973E8A"/>
    <w:rsid w:val="1C980A44"/>
    <w:rsid w:val="1C9816DF"/>
    <w:rsid w:val="1C984EE8"/>
    <w:rsid w:val="1C9D605B"/>
    <w:rsid w:val="1C9E2082"/>
    <w:rsid w:val="1C9F233B"/>
    <w:rsid w:val="1CA218C3"/>
    <w:rsid w:val="1CA90353"/>
    <w:rsid w:val="1CAE0268"/>
    <w:rsid w:val="1CB33AD0"/>
    <w:rsid w:val="1CB515F6"/>
    <w:rsid w:val="1CB6536F"/>
    <w:rsid w:val="1CB67014"/>
    <w:rsid w:val="1CB810E7"/>
    <w:rsid w:val="1CB957A5"/>
    <w:rsid w:val="1CBB47F8"/>
    <w:rsid w:val="1CC21F65"/>
    <w:rsid w:val="1CC25AC1"/>
    <w:rsid w:val="1CC61A56"/>
    <w:rsid w:val="1CC7132A"/>
    <w:rsid w:val="1CCB49AB"/>
    <w:rsid w:val="1CCE5248"/>
    <w:rsid w:val="1CD001DE"/>
    <w:rsid w:val="1CD557F5"/>
    <w:rsid w:val="1CDD691D"/>
    <w:rsid w:val="1CDD6D9F"/>
    <w:rsid w:val="1CDF0421"/>
    <w:rsid w:val="1CE1063D"/>
    <w:rsid w:val="1CE41EDC"/>
    <w:rsid w:val="1CE67A02"/>
    <w:rsid w:val="1CE912A0"/>
    <w:rsid w:val="1CE95744"/>
    <w:rsid w:val="1CEE6C3F"/>
    <w:rsid w:val="1CF53848"/>
    <w:rsid w:val="1CF90A21"/>
    <w:rsid w:val="1CFA525B"/>
    <w:rsid w:val="1CFC037B"/>
    <w:rsid w:val="1CFD2499"/>
    <w:rsid w:val="1D0460DA"/>
    <w:rsid w:val="1D065CDC"/>
    <w:rsid w:val="1D0A0716"/>
    <w:rsid w:val="1D1123C2"/>
    <w:rsid w:val="1D1363F5"/>
    <w:rsid w:val="1D137488"/>
    <w:rsid w:val="1D183933"/>
    <w:rsid w:val="1D1F3284"/>
    <w:rsid w:val="1D2422D8"/>
    <w:rsid w:val="1D2865C4"/>
    <w:rsid w:val="1D290F49"/>
    <w:rsid w:val="1D2C40BC"/>
    <w:rsid w:val="1D2D5631"/>
    <w:rsid w:val="1D2E13A9"/>
    <w:rsid w:val="1D3102EB"/>
    <w:rsid w:val="1D342403"/>
    <w:rsid w:val="1D3544E5"/>
    <w:rsid w:val="1D36542D"/>
    <w:rsid w:val="1D3756C7"/>
    <w:rsid w:val="1D3C3AC6"/>
    <w:rsid w:val="1D3D752B"/>
    <w:rsid w:val="1D3E15EC"/>
    <w:rsid w:val="1D3F1C50"/>
    <w:rsid w:val="1D3F5364"/>
    <w:rsid w:val="1D4209B0"/>
    <w:rsid w:val="1D4529C5"/>
    <w:rsid w:val="1D4B1F5B"/>
    <w:rsid w:val="1D4C459D"/>
    <w:rsid w:val="1D547061"/>
    <w:rsid w:val="1D550F08"/>
    <w:rsid w:val="1D5C7CC4"/>
    <w:rsid w:val="1D61352C"/>
    <w:rsid w:val="1D65301C"/>
    <w:rsid w:val="1D6D0498"/>
    <w:rsid w:val="1D6F5C49"/>
    <w:rsid w:val="1D795028"/>
    <w:rsid w:val="1D807281"/>
    <w:rsid w:val="1D8316F5"/>
    <w:rsid w:val="1D864D41"/>
    <w:rsid w:val="1D8D2573"/>
    <w:rsid w:val="1D8F1387"/>
    <w:rsid w:val="1D905BC0"/>
    <w:rsid w:val="1D921938"/>
    <w:rsid w:val="1D990F18"/>
    <w:rsid w:val="1D9A259A"/>
    <w:rsid w:val="1D9B4C90"/>
    <w:rsid w:val="1D9D423B"/>
    <w:rsid w:val="1D9E066F"/>
    <w:rsid w:val="1DA01BE8"/>
    <w:rsid w:val="1DA22587"/>
    <w:rsid w:val="1DA51521"/>
    <w:rsid w:val="1DAA2EFB"/>
    <w:rsid w:val="1DAD0520"/>
    <w:rsid w:val="1DAD6772"/>
    <w:rsid w:val="1DB16262"/>
    <w:rsid w:val="1DC35F95"/>
    <w:rsid w:val="1DC45B4A"/>
    <w:rsid w:val="1DC53ABB"/>
    <w:rsid w:val="1DCA2E80"/>
    <w:rsid w:val="1DCA7323"/>
    <w:rsid w:val="1DCC7E0D"/>
    <w:rsid w:val="1DCF493A"/>
    <w:rsid w:val="1DD51824"/>
    <w:rsid w:val="1DDB4F4E"/>
    <w:rsid w:val="1DDF4451"/>
    <w:rsid w:val="1DE008F5"/>
    <w:rsid w:val="1DE30FE9"/>
    <w:rsid w:val="1DE643D4"/>
    <w:rsid w:val="1DE71C83"/>
    <w:rsid w:val="1DE87329"/>
    <w:rsid w:val="1DED4DC0"/>
    <w:rsid w:val="1DEF0B38"/>
    <w:rsid w:val="1DF62637"/>
    <w:rsid w:val="1E0540E7"/>
    <w:rsid w:val="1E0565AE"/>
    <w:rsid w:val="1E081BFA"/>
    <w:rsid w:val="1E0D5462"/>
    <w:rsid w:val="1E0F4D36"/>
    <w:rsid w:val="1E18182C"/>
    <w:rsid w:val="1E197963"/>
    <w:rsid w:val="1E1D56A5"/>
    <w:rsid w:val="1E214A6A"/>
    <w:rsid w:val="1E2556F1"/>
    <w:rsid w:val="1E285DF8"/>
    <w:rsid w:val="1E2C7696"/>
    <w:rsid w:val="1E336318"/>
    <w:rsid w:val="1E34479D"/>
    <w:rsid w:val="1E430E84"/>
    <w:rsid w:val="1E432C32"/>
    <w:rsid w:val="1E4569AA"/>
    <w:rsid w:val="1E5E181A"/>
    <w:rsid w:val="1E6524EF"/>
    <w:rsid w:val="1E6D1634"/>
    <w:rsid w:val="1E816369"/>
    <w:rsid w:val="1E834905"/>
    <w:rsid w:val="1E85149C"/>
    <w:rsid w:val="1E875215"/>
    <w:rsid w:val="1E8A398C"/>
    <w:rsid w:val="1E95623E"/>
    <w:rsid w:val="1E965458"/>
    <w:rsid w:val="1E9D50CA"/>
    <w:rsid w:val="1EAA4A5F"/>
    <w:rsid w:val="1EBA70B5"/>
    <w:rsid w:val="1EBB4EBE"/>
    <w:rsid w:val="1EC40696"/>
    <w:rsid w:val="1ECB5F13"/>
    <w:rsid w:val="1ECD73ED"/>
    <w:rsid w:val="1ED038AF"/>
    <w:rsid w:val="1ED710B7"/>
    <w:rsid w:val="1ED87C8B"/>
    <w:rsid w:val="1EDE3B19"/>
    <w:rsid w:val="1EDE6099"/>
    <w:rsid w:val="1EE6018D"/>
    <w:rsid w:val="1EEB7551"/>
    <w:rsid w:val="1EF04B68"/>
    <w:rsid w:val="1EF74148"/>
    <w:rsid w:val="1EFF2FFD"/>
    <w:rsid w:val="1F044F09"/>
    <w:rsid w:val="1F095B9C"/>
    <w:rsid w:val="1F0979D8"/>
    <w:rsid w:val="1F0A3482"/>
    <w:rsid w:val="1F1328C8"/>
    <w:rsid w:val="1F185E6D"/>
    <w:rsid w:val="1F1D3483"/>
    <w:rsid w:val="1F224924"/>
    <w:rsid w:val="1F244C93"/>
    <w:rsid w:val="1F2A3348"/>
    <w:rsid w:val="1F354FC8"/>
    <w:rsid w:val="1F4153C3"/>
    <w:rsid w:val="1F4D6AC3"/>
    <w:rsid w:val="1F4E6B6F"/>
    <w:rsid w:val="1F501AAA"/>
    <w:rsid w:val="1F5703F0"/>
    <w:rsid w:val="1F5C21FD"/>
    <w:rsid w:val="1F6B2440"/>
    <w:rsid w:val="1F742856"/>
    <w:rsid w:val="1F7734DC"/>
    <w:rsid w:val="1F7D399A"/>
    <w:rsid w:val="1F7D4DA1"/>
    <w:rsid w:val="1F92003C"/>
    <w:rsid w:val="1F923E71"/>
    <w:rsid w:val="1F947BE9"/>
    <w:rsid w:val="1F9F7744"/>
    <w:rsid w:val="1FA44684"/>
    <w:rsid w:val="1FA63478"/>
    <w:rsid w:val="1FAB0A8F"/>
    <w:rsid w:val="1FAD7C6E"/>
    <w:rsid w:val="1FB52ACC"/>
    <w:rsid w:val="1FBA360A"/>
    <w:rsid w:val="1FBC0EEE"/>
    <w:rsid w:val="1FBE07C2"/>
    <w:rsid w:val="1FCC50BC"/>
    <w:rsid w:val="1FCE2232"/>
    <w:rsid w:val="1FD3016F"/>
    <w:rsid w:val="1FD61FB0"/>
    <w:rsid w:val="1FE60600"/>
    <w:rsid w:val="1FE65F6B"/>
    <w:rsid w:val="1FEA15B7"/>
    <w:rsid w:val="1FEB3581"/>
    <w:rsid w:val="1FF70178"/>
    <w:rsid w:val="1FFF67A6"/>
    <w:rsid w:val="2000702C"/>
    <w:rsid w:val="200E1065"/>
    <w:rsid w:val="20140D2A"/>
    <w:rsid w:val="201523AC"/>
    <w:rsid w:val="2016181B"/>
    <w:rsid w:val="201C0B94"/>
    <w:rsid w:val="20234AC9"/>
    <w:rsid w:val="202645B9"/>
    <w:rsid w:val="203D6172"/>
    <w:rsid w:val="203E5DA7"/>
    <w:rsid w:val="203E7B55"/>
    <w:rsid w:val="20427645"/>
    <w:rsid w:val="20482782"/>
    <w:rsid w:val="204A64FA"/>
    <w:rsid w:val="204C55B9"/>
    <w:rsid w:val="204F3B10"/>
    <w:rsid w:val="205F6F32"/>
    <w:rsid w:val="20642787"/>
    <w:rsid w:val="20657105"/>
    <w:rsid w:val="20684BD2"/>
    <w:rsid w:val="207356D7"/>
    <w:rsid w:val="20784E15"/>
    <w:rsid w:val="207E5971"/>
    <w:rsid w:val="2080016D"/>
    <w:rsid w:val="2081311F"/>
    <w:rsid w:val="20847C5E"/>
    <w:rsid w:val="208E145F"/>
    <w:rsid w:val="20947775"/>
    <w:rsid w:val="209634ED"/>
    <w:rsid w:val="20990E39"/>
    <w:rsid w:val="209D060D"/>
    <w:rsid w:val="209D7A66"/>
    <w:rsid w:val="20A27B39"/>
    <w:rsid w:val="20B931EF"/>
    <w:rsid w:val="20BB4C23"/>
    <w:rsid w:val="20BC4845"/>
    <w:rsid w:val="20BD3FB9"/>
    <w:rsid w:val="20C01C32"/>
    <w:rsid w:val="20C305B3"/>
    <w:rsid w:val="20C462AC"/>
    <w:rsid w:val="20C64363"/>
    <w:rsid w:val="20C95670"/>
    <w:rsid w:val="20CF16E6"/>
    <w:rsid w:val="20CF4C51"/>
    <w:rsid w:val="20CF69FF"/>
    <w:rsid w:val="20DD3944"/>
    <w:rsid w:val="20DF30E6"/>
    <w:rsid w:val="20DF4E94"/>
    <w:rsid w:val="20EC5803"/>
    <w:rsid w:val="20EC75B1"/>
    <w:rsid w:val="21010448"/>
    <w:rsid w:val="21026DD4"/>
    <w:rsid w:val="210448FA"/>
    <w:rsid w:val="21091F11"/>
    <w:rsid w:val="210A7A37"/>
    <w:rsid w:val="210B3EDB"/>
    <w:rsid w:val="211508B6"/>
    <w:rsid w:val="2120725A"/>
    <w:rsid w:val="21265E6C"/>
    <w:rsid w:val="21303941"/>
    <w:rsid w:val="2130749E"/>
    <w:rsid w:val="2133507B"/>
    <w:rsid w:val="213351E0"/>
    <w:rsid w:val="213571AA"/>
    <w:rsid w:val="21367194"/>
    <w:rsid w:val="213C22E6"/>
    <w:rsid w:val="213D2E28"/>
    <w:rsid w:val="21472E5C"/>
    <w:rsid w:val="21543E5D"/>
    <w:rsid w:val="215603E5"/>
    <w:rsid w:val="21635AC5"/>
    <w:rsid w:val="216D6F62"/>
    <w:rsid w:val="217001E2"/>
    <w:rsid w:val="2175073E"/>
    <w:rsid w:val="217F0425"/>
    <w:rsid w:val="218872DA"/>
    <w:rsid w:val="218A61C7"/>
    <w:rsid w:val="218D2B42"/>
    <w:rsid w:val="21A34113"/>
    <w:rsid w:val="21A954A2"/>
    <w:rsid w:val="21AB2FC8"/>
    <w:rsid w:val="21AB62A6"/>
    <w:rsid w:val="21AC7095"/>
    <w:rsid w:val="21AC71BA"/>
    <w:rsid w:val="21B55BF5"/>
    <w:rsid w:val="21B61AB9"/>
    <w:rsid w:val="21B940E6"/>
    <w:rsid w:val="21BA145D"/>
    <w:rsid w:val="21C66F9D"/>
    <w:rsid w:val="21C816B1"/>
    <w:rsid w:val="21CB366A"/>
    <w:rsid w:val="21D249F9"/>
    <w:rsid w:val="21D27CB9"/>
    <w:rsid w:val="21D30B38"/>
    <w:rsid w:val="21D43BB2"/>
    <w:rsid w:val="21D7200F"/>
    <w:rsid w:val="21D82BF7"/>
    <w:rsid w:val="21DA565B"/>
    <w:rsid w:val="21DE339D"/>
    <w:rsid w:val="21E53AB3"/>
    <w:rsid w:val="21EB27A9"/>
    <w:rsid w:val="21EE1107"/>
    <w:rsid w:val="21F52495"/>
    <w:rsid w:val="21F91927"/>
    <w:rsid w:val="22077ED1"/>
    <w:rsid w:val="220A23E4"/>
    <w:rsid w:val="22105521"/>
    <w:rsid w:val="221072CF"/>
    <w:rsid w:val="22197450"/>
    <w:rsid w:val="2223019A"/>
    <w:rsid w:val="22250FCC"/>
    <w:rsid w:val="22266AF2"/>
    <w:rsid w:val="222A65E3"/>
    <w:rsid w:val="222B328F"/>
    <w:rsid w:val="222D327B"/>
    <w:rsid w:val="222F1B96"/>
    <w:rsid w:val="22347461"/>
    <w:rsid w:val="223905D4"/>
    <w:rsid w:val="223B259E"/>
    <w:rsid w:val="22401962"/>
    <w:rsid w:val="2246751B"/>
    <w:rsid w:val="22535B89"/>
    <w:rsid w:val="22576CAC"/>
    <w:rsid w:val="22596EC8"/>
    <w:rsid w:val="22661F39"/>
    <w:rsid w:val="22665141"/>
    <w:rsid w:val="22671DC5"/>
    <w:rsid w:val="2268710B"/>
    <w:rsid w:val="227105D1"/>
    <w:rsid w:val="22717D6E"/>
    <w:rsid w:val="22745205"/>
    <w:rsid w:val="227A3848"/>
    <w:rsid w:val="2281305A"/>
    <w:rsid w:val="22832569"/>
    <w:rsid w:val="22853819"/>
    <w:rsid w:val="22873A35"/>
    <w:rsid w:val="228850B7"/>
    <w:rsid w:val="22886039"/>
    <w:rsid w:val="228A0E2F"/>
    <w:rsid w:val="228F28EA"/>
    <w:rsid w:val="22925F36"/>
    <w:rsid w:val="229A5B98"/>
    <w:rsid w:val="229B128E"/>
    <w:rsid w:val="229B303C"/>
    <w:rsid w:val="22A75E85"/>
    <w:rsid w:val="22A92FC0"/>
    <w:rsid w:val="22A9658B"/>
    <w:rsid w:val="22AC6FF8"/>
    <w:rsid w:val="22B1460E"/>
    <w:rsid w:val="22B440FE"/>
    <w:rsid w:val="22B45EAC"/>
    <w:rsid w:val="22BA5BB9"/>
    <w:rsid w:val="22C04851"/>
    <w:rsid w:val="22C205C9"/>
    <w:rsid w:val="22C32593"/>
    <w:rsid w:val="22C500B9"/>
    <w:rsid w:val="22D30A28"/>
    <w:rsid w:val="22D4654E"/>
    <w:rsid w:val="22DC0713"/>
    <w:rsid w:val="22DF561F"/>
    <w:rsid w:val="22DF7FE5"/>
    <w:rsid w:val="22E06DFF"/>
    <w:rsid w:val="22E13401"/>
    <w:rsid w:val="22E91FFA"/>
    <w:rsid w:val="22F17100"/>
    <w:rsid w:val="22F4099F"/>
    <w:rsid w:val="22F62F57"/>
    <w:rsid w:val="22F6354E"/>
    <w:rsid w:val="22F8048F"/>
    <w:rsid w:val="23024E6A"/>
    <w:rsid w:val="23100CC4"/>
    <w:rsid w:val="231150AD"/>
    <w:rsid w:val="23164DB9"/>
    <w:rsid w:val="231A178A"/>
    <w:rsid w:val="23201E3D"/>
    <w:rsid w:val="232A43C0"/>
    <w:rsid w:val="232C1EE7"/>
    <w:rsid w:val="232C62EE"/>
    <w:rsid w:val="232E7BA6"/>
    <w:rsid w:val="2331285C"/>
    <w:rsid w:val="23363D9D"/>
    <w:rsid w:val="233A4603"/>
    <w:rsid w:val="233D40F4"/>
    <w:rsid w:val="234436D4"/>
    <w:rsid w:val="23451001"/>
    <w:rsid w:val="234A579B"/>
    <w:rsid w:val="235651B5"/>
    <w:rsid w:val="235774D3"/>
    <w:rsid w:val="235F20CF"/>
    <w:rsid w:val="23621DAC"/>
    <w:rsid w:val="23627FFE"/>
    <w:rsid w:val="23641680"/>
    <w:rsid w:val="23675987"/>
    <w:rsid w:val="23691B12"/>
    <w:rsid w:val="23755012"/>
    <w:rsid w:val="23765EE2"/>
    <w:rsid w:val="237A0EA4"/>
    <w:rsid w:val="238166D6"/>
    <w:rsid w:val="2389558B"/>
    <w:rsid w:val="238A2AE9"/>
    <w:rsid w:val="238D4C56"/>
    <w:rsid w:val="238E7A12"/>
    <w:rsid w:val="23971A56"/>
    <w:rsid w:val="239C081F"/>
    <w:rsid w:val="239F6F26"/>
    <w:rsid w:val="23A841AA"/>
    <w:rsid w:val="23B51EDC"/>
    <w:rsid w:val="23B7190B"/>
    <w:rsid w:val="23B9512F"/>
    <w:rsid w:val="23C03637"/>
    <w:rsid w:val="23C17855"/>
    <w:rsid w:val="23C465C3"/>
    <w:rsid w:val="23C547B3"/>
    <w:rsid w:val="23D21FE8"/>
    <w:rsid w:val="23D507D0"/>
    <w:rsid w:val="23D5257E"/>
    <w:rsid w:val="23D9206E"/>
    <w:rsid w:val="23DC56BB"/>
    <w:rsid w:val="23DE5354"/>
    <w:rsid w:val="23DF51AB"/>
    <w:rsid w:val="23E10F23"/>
    <w:rsid w:val="23E9569E"/>
    <w:rsid w:val="23F13E30"/>
    <w:rsid w:val="23F14FD3"/>
    <w:rsid w:val="23F36750"/>
    <w:rsid w:val="24015121"/>
    <w:rsid w:val="24084702"/>
    <w:rsid w:val="240A291F"/>
    <w:rsid w:val="240D3AC6"/>
    <w:rsid w:val="241269A8"/>
    <w:rsid w:val="24172B97"/>
    <w:rsid w:val="24194B61"/>
    <w:rsid w:val="241D0172"/>
    <w:rsid w:val="24342F2B"/>
    <w:rsid w:val="243510D4"/>
    <w:rsid w:val="2441442C"/>
    <w:rsid w:val="24476D6C"/>
    <w:rsid w:val="24482D50"/>
    <w:rsid w:val="244A2F6C"/>
    <w:rsid w:val="244D0366"/>
    <w:rsid w:val="244F06AA"/>
    <w:rsid w:val="24545B99"/>
    <w:rsid w:val="245636BF"/>
    <w:rsid w:val="2466767A"/>
    <w:rsid w:val="24686FE5"/>
    <w:rsid w:val="24772EAA"/>
    <w:rsid w:val="247B3D0C"/>
    <w:rsid w:val="24857B00"/>
    <w:rsid w:val="24881AF0"/>
    <w:rsid w:val="248C70E1"/>
    <w:rsid w:val="249064A5"/>
    <w:rsid w:val="24945F95"/>
    <w:rsid w:val="249A2142"/>
    <w:rsid w:val="249B1395"/>
    <w:rsid w:val="24A661F3"/>
    <w:rsid w:val="24B30B11"/>
    <w:rsid w:val="24B5794C"/>
    <w:rsid w:val="24BB5C18"/>
    <w:rsid w:val="24C20D54"/>
    <w:rsid w:val="24C7636B"/>
    <w:rsid w:val="24CB36D9"/>
    <w:rsid w:val="24CF68EF"/>
    <w:rsid w:val="24D03CD9"/>
    <w:rsid w:val="24D40A88"/>
    <w:rsid w:val="24D64800"/>
    <w:rsid w:val="24DA7BC0"/>
    <w:rsid w:val="24DE2C05"/>
    <w:rsid w:val="24EA6EC3"/>
    <w:rsid w:val="24EC4023"/>
    <w:rsid w:val="24EE1B49"/>
    <w:rsid w:val="24F1682B"/>
    <w:rsid w:val="24F829C8"/>
    <w:rsid w:val="24F8762D"/>
    <w:rsid w:val="24FC0490"/>
    <w:rsid w:val="24FF43E0"/>
    <w:rsid w:val="250255F5"/>
    <w:rsid w:val="25050C41"/>
    <w:rsid w:val="25061AD0"/>
    <w:rsid w:val="25070E5D"/>
    <w:rsid w:val="250A6257"/>
    <w:rsid w:val="250E5D48"/>
    <w:rsid w:val="25140E84"/>
    <w:rsid w:val="251610A0"/>
    <w:rsid w:val="251D5F8B"/>
    <w:rsid w:val="252061BE"/>
    <w:rsid w:val="25292B82"/>
    <w:rsid w:val="252E63EA"/>
    <w:rsid w:val="25396B3D"/>
    <w:rsid w:val="25411063"/>
    <w:rsid w:val="25423941"/>
    <w:rsid w:val="254519CA"/>
    <w:rsid w:val="25473008"/>
    <w:rsid w:val="254841E7"/>
    <w:rsid w:val="2549532D"/>
    <w:rsid w:val="254A2AF8"/>
    <w:rsid w:val="25501C64"/>
    <w:rsid w:val="25535E50"/>
    <w:rsid w:val="25540AF3"/>
    <w:rsid w:val="25545725"/>
    <w:rsid w:val="2556149D"/>
    <w:rsid w:val="255A1523"/>
    <w:rsid w:val="255C1195"/>
    <w:rsid w:val="255F460B"/>
    <w:rsid w:val="2561612C"/>
    <w:rsid w:val="25626093"/>
    <w:rsid w:val="25665B84"/>
    <w:rsid w:val="256C5DEF"/>
    <w:rsid w:val="256F64B0"/>
    <w:rsid w:val="2572277A"/>
    <w:rsid w:val="25847DEE"/>
    <w:rsid w:val="258A1977"/>
    <w:rsid w:val="258E0C37"/>
    <w:rsid w:val="25956469"/>
    <w:rsid w:val="25B34B41"/>
    <w:rsid w:val="25C428AA"/>
    <w:rsid w:val="25CB1E8B"/>
    <w:rsid w:val="25CE3729"/>
    <w:rsid w:val="25DE670F"/>
    <w:rsid w:val="25E22D30"/>
    <w:rsid w:val="25E604AB"/>
    <w:rsid w:val="25E847EB"/>
    <w:rsid w:val="25EF3DCB"/>
    <w:rsid w:val="25F26EAC"/>
    <w:rsid w:val="25F5515A"/>
    <w:rsid w:val="25F74A2E"/>
    <w:rsid w:val="25FC3DF2"/>
    <w:rsid w:val="25FD73F4"/>
    <w:rsid w:val="260E7FC9"/>
    <w:rsid w:val="261234E5"/>
    <w:rsid w:val="26153106"/>
    <w:rsid w:val="261633B2"/>
    <w:rsid w:val="26197AA3"/>
    <w:rsid w:val="26263565"/>
    <w:rsid w:val="2629095F"/>
    <w:rsid w:val="262911C8"/>
    <w:rsid w:val="262C63D9"/>
    <w:rsid w:val="26327CD9"/>
    <w:rsid w:val="2637307C"/>
    <w:rsid w:val="263E15FB"/>
    <w:rsid w:val="264439EB"/>
    <w:rsid w:val="2644442D"/>
    <w:rsid w:val="26445799"/>
    <w:rsid w:val="264A1001"/>
    <w:rsid w:val="264C1AB1"/>
    <w:rsid w:val="264F486A"/>
    <w:rsid w:val="26526108"/>
    <w:rsid w:val="26622EB6"/>
    <w:rsid w:val="26635C93"/>
    <w:rsid w:val="266879AE"/>
    <w:rsid w:val="266C119C"/>
    <w:rsid w:val="2671601B"/>
    <w:rsid w:val="267442D0"/>
    <w:rsid w:val="26760048"/>
    <w:rsid w:val="2677349D"/>
    <w:rsid w:val="26793695"/>
    <w:rsid w:val="267C4ECF"/>
    <w:rsid w:val="267D214E"/>
    <w:rsid w:val="268A75BF"/>
    <w:rsid w:val="268B161A"/>
    <w:rsid w:val="268C03BB"/>
    <w:rsid w:val="269404CF"/>
    <w:rsid w:val="26962499"/>
    <w:rsid w:val="269E759F"/>
    <w:rsid w:val="26A050C5"/>
    <w:rsid w:val="26AF70B6"/>
    <w:rsid w:val="26B11081"/>
    <w:rsid w:val="26B40B71"/>
    <w:rsid w:val="26B7240F"/>
    <w:rsid w:val="26BE19EF"/>
    <w:rsid w:val="26D353B8"/>
    <w:rsid w:val="26D42FC1"/>
    <w:rsid w:val="26D66C62"/>
    <w:rsid w:val="26D703BB"/>
    <w:rsid w:val="26DC3C24"/>
    <w:rsid w:val="26DE174A"/>
    <w:rsid w:val="26DE6A53"/>
    <w:rsid w:val="26DE799C"/>
    <w:rsid w:val="26E50C5D"/>
    <w:rsid w:val="26E620ED"/>
    <w:rsid w:val="26E73118"/>
    <w:rsid w:val="26E75774"/>
    <w:rsid w:val="26EA27E4"/>
    <w:rsid w:val="26ED5E31"/>
    <w:rsid w:val="26EF7DFB"/>
    <w:rsid w:val="26F96F67"/>
    <w:rsid w:val="26FB3D55"/>
    <w:rsid w:val="26FD7AFE"/>
    <w:rsid w:val="26FE3B9A"/>
    <w:rsid w:val="270A69E3"/>
    <w:rsid w:val="270E279A"/>
    <w:rsid w:val="270F7B55"/>
    <w:rsid w:val="27127645"/>
    <w:rsid w:val="27133AE9"/>
    <w:rsid w:val="271433BD"/>
    <w:rsid w:val="27182EAE"/>
    <w:rsid w:val="271913D4"/>
    <w:rsid w:val="27280C17"/>
    <w:rsid w:val="27292135"/>
    <w:rsid w:val="2729330D"/>
    <w:rsid w:val="272A498F"/>
    <w:rsid w:val="272C4BAB"/>
    <w:rsid w:val="27321A96"/>
    <w:rsid w:val="2734580E"/>
    <w:rsid w:val="27351CB2"/>
    <w:rsid w:val="27392746"/>
    <w:rsid w:val="273A72C8"/>
    <w:rsid w:val="273B094A"/>
    <w:rsid w:val="274912B9"/>
    <w:rsid w:val="27492919"/>
    <w:rsid w:val="27502468"/>
    <w:rsid w:val="275472F8"/>
    <w:rsid w:val="27561ACE"/>
    <w:rsid w:val="2762237B"/>
    <w:rsid w:val="276C4FA7"/>
    <w:rsid w:val="276E1EB7"/>
    <w:rsid w:val="276F5BF2"/>
    <w:rsid w:val="277B51EB"/>
    <w:rsid w:val="27802801"/>
    <w:rsid w:val="27806CA5"/>
    <w:rsid w:val="278074CE"/>
    <w:rsid w:val="2781275E"/>
    <w:rsid w:val="2784149E"/>
    <w:rsid w:val="278913EE"/>
    <w:rsid w:val="278F0C96"/>
    <w:rsid w:val="278F1023"/>
    <w:rsid w:val="278F7016"/>
    <w:rsid w:val="27930786"/>
    <w:rsid w:val="279369D8"/>
    <w:rsid w:val="279A10F5"/>
    <w:rsid w:val="279A2668"/>
    <w:rsid w:val="279B763B"/>
    <w:rsid w:val="279D1605"/>
    <w:rsid w:val="279D33B3"/>
    <w:rsid w:val="27A31142"/>
    <w:rsid w:val="27A72484"/>
    <w:rsid w:val="27AF0600"/>
    <w:rsid w:val="27BB248B"/>
    <w:rsid w:val="27C2106B"/>
    <w:rsid w:val="27C6290A"/>
    <w:rsid w:val="27CB6172"/>
    <w:rsid w:val="27D75BAD"/>
    <w:rsid w:val="27DE5FD5"/>
    <w:rsid w:val="27E37FE4"/>
    <w:rsid w:val="27E4065B"/>
    <w:rsid w:val="27E47736"/>
    <w:rsid w:val="27E502D5"/>
    <w:rsid w:val="27E869AE"/>
    <w:rsid w:val="27E92A9C"/>
    <w:rsid w:val="27EE3C0E"/>
    <w:rsid w:val="27F51F70"/>
    <w:rsid w:val="27F60D15"/>
    <w:rsid w:val="28011B94"/>
    <w:rsid w:val="280255D6"/>
    <w:rsid w:val="2810627B"/>
    <w:rsid w:val="28110850"/>
    <w:rsid w:val="281222F4"/>
    <w:rsid w:val="28180C8B"/>
    <w:rsid w:val="281C0B48"/>
    <w:rsid w:val="281E4BA9"/>
    <w:rsid w:val="28201335"/>
    <w:rsid w:val="28210CC5"/>
    <w:rsid w:val="28270DE3"/>
    <w:rsid w:val="282A728C"/>
    <w:rsid w:val="282B3706"/>
    <w:rsid w:val="28302479"/>
    <w:rsid w:val="28377363"/>
    <w:rsid w:val="283D6944"/>
    <w:rsid w:val="284042EB"/>
    <w:rsid w:val="28425D08"/>
    <w:rsid w:val="28435545"/>
    <w:rsid w:val="284B1061"/>
    <w:rsid w:val="284C5056"/>
    <w:rsid w:val="284D7843"/>
    <w:rsid w:val="28556C0F"/>
    <w:rsid w:val="28577A06"/>
    <w:rsid w:val="28597BFD"/>
    <w:rsid w:val="285C501C"/>
    <w:rsid w:val="286B2CA4"/>
    <w:rsid w:val="286E4D4F"/>
    <w:rsid w:val="287A1946"/>
    <w:rsid w:val="287E31E4"/>
    <w:rsid w:val="28812228"/>
    <w:rsid w:val="288307FB"/>
    <w:rsid w:val="28846321"/>
    <w:rsid w:val="288F5AD7"/>
    <w:rsid w:val="289742A6"/>
    <w:rsid w:val="289E73E3"/>
    <w:rsid w:val="28A8200F"/>
    <w:rsid w:val="28A902E6"/>
    <w:rsid w:val="28AB7D51"/>
    <w:rsid w:val="28B05368"/>
    <w:rsid w:val="28B44E58"/>
    <w:rsid w:val="28BE5CD7"/>
    <w:rsid w:val="28C00D49"/>
    <w:rsid w:val="28C40C3C"/>
    <w:rsid w:val="28C50E13"/>
    <w:rsid w:val="28CC03F4"/>
    <w:rsid w:val="28D9041B"/>
    <w:rsid w:val="28E27D0E"/>
    <w:rsid w:val="28E82D54"/>
    <w:rsid w:val="28EC16F7"/>
    <w:rsid w:val="28F33BD2"/>
    <w:rsid w:val="28F60FCD"/>
    <w:rsid w:val="28F75508"/>
    <w:rsid w:val="28FA6BC6"/>
    <w:rsid w:val="28FB471E"/>
    <w:rsid w:val="28FE4325"/>
    <w:rsid w:val="29064F88"/>
    <w:rsid w:val="29135A19"/>
    <w:rsid w:val="29143B49"/>
    <w:rsid w:val="29156E44"/>
    <w:rsid w:val="2916166F"/>
    <w:rsid w:val="291750BF"/>
    <w:rsid w:val="291E6775"/>
    <w:rsid w:val="291F738B"/>
    <w:rsid w:val="29220014"/>
    <w:rsid w:val="292253FF"/>
    <w:rsid w:val="29231FDE"/>
    <w:rsid w:val="2924597A"/>
    <w:rsid w:val="2929735B"/>
    <w:rsid w:val="292B46E4"/>
    <w:rsid w:val="292E24A0"/>
    <w:rsid w:val="292F45A1"/>
    <w:rsid w:val="293146FB"/>
    <w:rsid w:val="29325D7D"/>
    <w:rsid w:val="29387837"/>
    <w:rsid w:val="29393012"/>
    <w:rsid w:val="293E2974"/>
    <w:rsid w:val="293F28E1"/>
    <w:rsid w:val="29453D02"/>
    <w:rsid w:val="29474CAF"/>
    <w:rsid w:val="29606D8E"/>
    <w:rsid w:val="2964687E"/>
    <w:rsid w:val="2968180F"/>
    <w:rsid w:val="296A5517"/>
    <w:rsid w:val="2973086F"/>
    <w:rsid w:val="297939AC"/>
    <w:rsid w:val="297E7938"/>
    <w:rsid w:val="297F03AC"/>
    <w:rsid w:val="2987256D"/>
    <w:rsid w:val="2987431B"/>
    <w:rsid w:val="298962E5"/>
    <w:rsid w:val="29963BF5"/>
    <w:rsid w:val="299B255D"/>
    <w:rsid w:val="299D24FB"/>
    <w:rsid w:val="29A7676B"/>
    <w:rsid w:val="29AE2ACE"/>
    <w:rsid w:val="29B136AE"/>
    <w:rsid w:val="29B449E4"/>
    <w:rsid w:val="29BA46F0"/>
    <w:rsid w:val="29BF2491"/>
    <w:rsid w:val="29C668A7"/>
    <w:rsid w:val="29C71FE2"/>
    <w:rsid w:val="29C92888"/>
    <w:rsid w:val="29CF1967"/>
    <w:rsid w:val="29D02829"/>
    <w:rsid w:val="29D33A72"/>
    <w:rsid w:val="29D43C46"/>
    <w:rsid w:val="29D44611"/>
    <w:rsid w:val="29D55640"/>
    <w:rsid w:val="29D67050"/>
    <w:rsid w:val="29D97ADD"/>
    <w:rsid w:val="29E928DF"/>
    <w:rsid w:val="29E96D83"/>
    <w:rsid w:val="29EB2AFB"/>
    <w:rsid w:val="29F15D5A"/>
    <w:rsid w:val="29F36820"/>
    <w:rsid w:val="29F574D6"/>
    <w:rsid w:val="29FA2D3E"/>
    <w:rsid w:val="29FD638B"/>
    <w:rsid w:val="29FF6F50"/>
    <w:rsid w:val="2A027E45"/>
    <w:rsid w:val="2A070FB7"/>
    <w:rsid w:val="2A0B2D62"/>
    <w:rsid w:val="2A104310"/>
    <w:rsid w:val="2A110088"/>
    <w:rsid w:val="2A164F5A"/>
    <w:rsid w:val="2A1831C5"/>
    <w:rsid w:val="2A1B008D"/>
    <w:rsid w:val="2A21651D"/>
    <w:rsid w:val="2A222295"/>
    <w:rsid w:val="2A273408"/>
    <w:rsid w:val="2A2B53E7"/>
    <w:rsid w:val="2A336250"/>
    <w:rsid w:val="2A34534C"/>
    <w:rsid w:val="2A383867"/>
    <w:rsid w:val="2A3909A4"/>
    <w:rsid w:val="2A3F69A3"/>
    <w:rsid w:val="2A4E4E38"/>
    <w:rsid w:val="2A510485"/>
    <w:rsid w:val="2A522B7B"/>
    <w:rsid w:val="2A554B8C"/>
    <w:rsid w:val="2A5A03AF"/>
    <w:rsid w:val="2A5A1A2F"/>
    <w:rsid w:val="2A5C4C93"/>
    <w:rsid w:val="2A5F2BA2"/>
    <w:rsid w:val="2A650251"/>
    <w:rsid w:val="2A67567F"/>
    <w:rsid w:val="2A6E7289"/>
    <w:rsid w:val="2A6E7417"/>
    <w:rsid w:val="2A714A70"/>
    <w:rsid w:val="2A732242"/>
    <w:rsid w:val="2A7821F7"/>
    <w:rsid w:val="2A7F3244"/>
    <w:rsid w:val="2A81355A"/>
    <w:rsid w:val="2A88659C"/>
    <w:rsid w:val="2A8A2314"/>
    <w:rsid w:val="2A8E3487"/>
    <w:rsid w:val="2A9A007E"/>
    <w:rsid w:val="2A9E191C"/>
    <w:rsid w:val="2A9F0A77"/>
    <w:rsid w:val="2AA03ACF"/>
    <w:rsid w:val="2AA131BA"/>
    <w:rsid w:val="2AA607D0"/>
    <w:rsid w:val="2AA8152A"/>
    <w:rsid w:val="2AAB4039"/>
    <w:rsid w:val="2AAB5DE7"/>
    <w:rsid w:val="2AB16E31"/>
    <w:rsid w:val="2AB32EED"/>
    <w:rsid w:val="2ABC1DA2"/>
    <w:rsid w:val="2AC800C8"/>
    <w:rsid w:val="2AC944BF"/>
    <w:rsid w:val="2ACC6349"/>
    <w:rsid w:val="2ACE1AD5"/>
    <w:rsid w:val="2ACE5D7A"/>
    <w:rsid w:val="2ACF41CB"/>
    <w:rsid w:val="2AD6277D"/>
    <w:rsid w:val="2AE17A5A"/>
    <w:rsid w:val="2AE412F9"/>
    <w:rsid w:val="2AED63FF"/>
    <w:rsid w:val="2AF552B4"/>
    <w:rsid w:val="2AF7102C"/>
    <w:rsid w:val="2AF92FF6"/>
    <w:rsid w:val="2AFB1731"/>
    <w:rsid w:val="2B011EAB"/>
    <w:rsid w:val="2B084FE7"/>
    <w:rsid w:val="2B110340"/>
    <w:rsid w:val="2B147E30"/>
    <w:rsid w:val="2B16032B"/>
    <w:rsid w:val="2B17347C"/>
    <w:rsid w:val="2B1B11BE"/>
    <w:rsid w:val="2B1B2F6C"/>
    <w:rsid w:val="2B1C2247"/>
    <w:rsid w:val="2B2362C5"/>
    <w:rsid w:val="2B2A7653"/>
    <w:rsid w:val="2B326508"/>
    <w:rsid w:val="2B345DDC"/>
    <w:rsid w:val="2B371DFC"/>
    <w:rsid w:val="2B3E0135"/>
    <w:rsid w:val="2B404781"/>
    <w:rsid w:val="2B430715"/>
    <w:rsid w:val="2B45623B"/>
    <w:rsid w:val="2B457FE9"/>
    <w:rsid w:val="2B4D4487"/>
    <w:rsid w:val="2B591CE7"/>
    <w:rsid w:val="2B5B15BB"/>
    <w:rsid w:val="2B5B5A5F"/>
    <w:rsid w:val="2B5D5D70"/>
    <w:rsid w:val="2B632B65"/>
    <w:rsid w:val="2B675630"/>
    <w:rsid w:val="2B6A7233"/>
    <w:rsid w:val="2B76018C"/>
    <w:rsid w:val="2B776FAF"/>
    <w:rsid w:val="2B8D4A10"/>
    <w:rsid w:val="2B9B40AD"/>
    <w:rsid w:val="2BA2543C"/>
    <w:rsid w:val="2BAD5B8F"/>
    <w:rsid w:val="2BAE3DE1"/>
    <w:rsid w:val="2BB41D4D"/>
    <w:rsid w:val="2BB92785"/>
    <w:rsid w:val="2BBC3D43"/>
    <w:rsid w:val="2BBF2213"/>
    <w:rsid w:val="2BC17995"/>
    <w:rsid w:val="2BD575BF"/>
    <w:rsid w:val="2BD66E93"/>
    <w:rsid w:val="2BE05E12"/>
    <w:rsid w:val="2BE9496F"/>
    <w:rsid w:val="2BF0264B"/>
    <w:rsid w:val="2BFC0FF0"/>
    <w:rsid w:val="2C055ADF"/>
    <w:rsid w:val="2C097269"/>
    <w:rsid w:val="2C0B4178"/>
    <w:rsid w:val="2C1B221C"/>
    <w:rsid w:val="2C2220D9"/>
    <w:rsid w:val="2C2916B9"/>
    <w:rsid w:val="2C2E3173"/>
    <w:rsid w:val="2C3056EC"/>
    <w:rsid w:val="2C31056E"/>
    <w:rsid w:val="2C386E53"/>
    <w:rsid w:val="2C3B13EC"/>
    <w:rsid w:val="2C3D26A8"/>
    <w:rsid w:val="2C3E4758"/>
    <w:rsid w:val="2C4069E5"/>
    <w:rsid w:val="2C414C55"/>
    <w:rsid w:val="2C460F8E"/>
    <w:rsid w:val="2C5A5D16"/>
    <w:rsid w:val="2C5B55EB"/>
    <w:rsid w:val="2C610E53"/>
    <w:rsid w:val="2C646B95"/>
    <w:rsid w:val="2C69329C"/>
    <w:rsid w:val="2C6B7F24"/>
    <w:rsid w:val="2C7768C8"/>
    <w:rsid w:val="2C7A1F15"/>
    <w:rsid w:val="2C7C109E"/>
    <w:rsid w:val="2C7F13A0"/>
    <w:rsid w:val="2C82701B"/>
    <w:rsid w:val="2C892158"/>
    <w:rsid w:val="2C8D1C48"/>
    <w:rsid w:val="2C932FD6"/>
    <w:rsid w:val="2C985B8A"/>
    <w:rsid w:val="2C9C1E8B"/>
    <w:rsid w:val="2C9D3A89"/>
    <w:rsid w:val="2C9E20A7"/>
    <w:rsid w:val="2CA07839"/>
    <w:rsid w:val="2CA17899"/>
    <w:rsid w:val="2CA654B9"/>
    <w:rsid w:val="2CAD370D"/>
    <w:rsid w:val="2CB82A3D"/>
    <w:rsid w:val="2CC338BC"/>
    <w:rsid w:val="2CC82C80"/>
    <w:rsid w:val="2CC976CA"/>
    <w:rsid w:val="2CD72A9E"/>
    <w:rsid w:val="2CD86C3B"/>
    <w:rsid w:val="2CE201B3"/>
    <w:rsid w:val="2CE2708D"/>
    <w:rsid w:val="2CE51A84"/>
    <w:rsid w:val="2CE81574"/>
    <w:rsid w:val="2CEF4985"/>
    <w:rsid w:val="2CFA3055"/>
    <w:rsid w:val="2CFE66A2"/>
    <w:rsid w:val="2D047A30"/>
    <w:rsid w:val="2D095368"/>
    <w:rsid w:val="2D0D2D89"/>
    <w:rsid w:val="2D1714F9"/>
    <w:rsid w:val="2D1C121E"/>
    <w:rsid w:val="2D202ABC"/>
    <w:rsid w:val="2D293ED8"/>
    <w:rsid w:val="2D2B3D46"/>
    <w:rsid w:val="2D302395"/>
    <w:rsid w:val="2D320A41"/>
    <w:rsid w:val="2D3B7167"/>
    <w:rsid w:val="2D3E73E6"/>
    <w:rsid w:val="2D400BED"/>
    <w:rsid w:val="2D405B59"/>
    <w:rsid w:val="2D412A32"/>
    <w:rsid w:val="2D430559"/>
    <w:rsid w:val="2D482013"/>
    <w:rsid w:val="2D4B38B1"/>
    <w:rsid w:val="2D4C1B03"/>
    <w:rsid w:val="2D52644C"/>
    <w:rsid w:val="2D546C0A"/>
    <w:rsid w:val="2D60603A"/>
    <w:rsid w:val="2D6152BB"/>
    <w:rsid w:val="2D6329A9"/>
    <w:rsid w:val="2D662499"/>
    <w:rsid w:val="2D6A01DB"/>
    <w:rsid w:val="2D742E08"/>
    <w:rsid w:val="2D7A65A6"/>
    <w:rsid w:val="2D8A43D9"/>
    <w:rsid w:val="2D8E211C"/>
    <w:rsid w:val="2D945258"/>
    <w:rsid w:val="2D957987"/>
    <w:rsid w:val="2DA01B9A"/>
    <w:rsid w:val="2DA57465"/>
    <w:rsid w:val="2DB2501B"/>
    <w:rsid w:val="2DB41456"/>
    <w:rsid w:val="2DB56DA0"/>
    <w:rsid w:val="2DB9081B"/>
    <w:rsid w:val="2DBD50E7"/>
    <w:rsid w:val="2DC21DC5"/>
    <w:rsid w:val="2DCF0981"/>
    <w:rsid w:val="2DD24E04"/>
    <w:rsid w:val="2DE0049D"/>
    <w:rsid w:val="2DE57862"/>
    <w:rsid w:val="2DE75388"/>
    <w:rsid w:val="2DE81100"/>
    <w:rsid w:val="2DEA0EE7"/>
    <w:rsid w:val="2DF02AE0"/>
    <w:rsid w:val="2DF90FEB"/>
    <w:rsid w:val="2DFA155F"/>
    <w:rsid w:val="2DFB0E33"/>
    <w:rsid w:val="2E0028ED"/>
    <w:rsid w:val="2E020414"/>
    <w:rsid w:val="2E04418C"/>
    <w:rsid w:val="2E072E74"/>
    <w:rsid w:val="2E0779E5"/>
    <w:rsid w:val="2E0A52EF"/>
    <w:rsid w:val="2E0F14C6"/>
    <w:rsid w:val="2E112C5C"/>
    <w:rsid w:val="2E187486"/>
    <w:rsid w:val="2E187865"/>
    <w:rsid w:val="2E1D349F"/>
    <w:rsid w:val="2E206AEC"/>
    <w:rsid w:val="2E2D7583"/>
    <w:rsid w:val="2E390E72"/>
    <w:rsid w:val="2E3B56D4"/>
    <w:rsid w:val="2E401296"/>
    <w:rsid w:val="2E45028C"/>
    <w:rsid w:val="2E4E18AB"/>
    <w:rsid w:val="2E50117F"/>
    <w:rsid w:val="2E515D6A"/>
    <w:rsid w:val="2E5F45A1"/>
    <w:rsid w:val="2E626BAD"/>
    <w:rsid w:val="2E671F0E"/>
    <w:rsid w:val="2E6764C9"/>
    <w:rsid w:val="2E6E7857"/>
    <w:rsid w:val="2E7F3812"/>
    <w:rsid w:val="2E8026E6"/>
    <w:rsid w:val="2E860DB8"/>
    <w:rsid w:val="2E91366A"/>
    <w:rsid w:val="2E921798"/>
    <w:rsid w:val="2E9272E9"/>
    <w:rsid w:val="2E9279E9"/>
    <w:rsid w:val="2E9A19B2"/>
    <w:rsid w:val="2E9A4AF0"/>
    <w:rsid w:val="2EA80FBB"/>
    <w:rsid w:val="2EAE5763"/>
    <w:rsid w:val="2EB56A4E"/>
    <w:rsid w:val="2EB77450"/>
    <w:rsid w:val="2EB84F76"/>
    <w:rsid w:val="2EB95ED6"/>
    <w:rsid w:val="2EBA0733"/>
    <w:rsid w:val="2EBA6F40"/>
    <w:rsid w:val="2EBF4557"/>
    <w:rsid w:val="2EC102CF"/>
    <w:rsid w:val="2EC1468C"/>
    <w:rsid w:val="2EC41B6D"/>
    <w:rsid w:val="2EC57342"/>
    <w:rsid w:val="2EC9236B"/>
    <w:rsid w:val="2ECA6155"/>
    <w:rsid w:val="2ED26038"/>
    <w:rsid w:val="2ED52C6D"/>
    <w:rsid w:val="2ED718A0"/>
    <w:rsid w:val="2ED80935"/>
    <w:rsid w:val="2EDA6C9B"/>
    <w:rsid w:val="2EDB68BF"/>
    <w:rsid w:val="2EE351E2"/>
    <w:rsid w:val="2EE807A1"/>
    <w:rsid w:val="2EEB70FA"/>
    <w:rsid w:val="2EED4C20"/>
    <w:rsid w:val="2EF835C5"/>
    <w:rsid w:val="2EFA558F"/>
    <w:rsid w:val="2EFB6E53"/>
    <w:rsid w:val="2F0401BB"/>
    <w:rsid w:val="2F050B5D"/>
    <w:rsid w:val="2F05640D"/>
    <w:rsid w:val="2F07276A"/>
    <w:rsid w:val="2F0A60BD"/>
    <w:rsid w:val="2F0B5E98"/>
    <w:rsid w:val="2F146650"/>
    <w:rsid w:val="2F191EB9"/>
    <w:rsid w:val="2F1D4533"/>
    <w:rsid w:val="2F2148C9"/>
    <w:rsid w:val="2F2209FD"/>
    <w:rsid w:val="2F2A5E74"/>
    <w:rsid w:val="2F370591"/>
    <w:rsid w:val="2F39519C"/>
    <w:rsid w:val="2F3C6DC2"/>
    <w:rsid w:val="2F3E7229"/>
    <w:rsid w:val="2F416D1A"/>
    <w:rsid w:val="2F432A92"/>
    <w:rsid w:val="2F4607D4"/>
    <w:rsid w:val="2F503401"/>
    <w:rsid w:val="2F544C9F"/>
    <w:rsid w:val="2F562335"/>
    <w:rsid w:val="2F5C6564"/>
    <w:rsid w:val="2F5E167A"/>
    <w:rsid w:val="2F5E3531"/>
    <w:rsid w:val="2F5E78CC"/>
    <w:rsid w:val="2F5F53F2"/>
    <w:rsid w:val="2F61116A"/>
    <w:rsid w:val="2F61560E"/>
    <w:rsid w:val="2F6E407E"/>
    <w:rsid w:val="2F6F6E1B"/>
    <w:rsid w:val="2F7215C9"/>
    <w:rsid w:val="2F725125"/>
    <w:rsid w:val="2F745341"/>
    <w:rsid w:val="2F8337D6"/>
    <w:rsid w:val="2F866E22"/>
    <w:rsid w:val="2F923247"/>
    <w:rsid w:val="2F94153F"/>
    <w:rsid w:val="2F982BBC"/>
    <w:rsid w:val="2FA038EE"/>
    <w:rsid w:val="2FA31782"/>
    <w:rsid w:val="2FAB0637"/>
    <w:rsid w:val="2FAF5689"/>
    <w:rsid w:val="2FB45709"/>
    <w:rsid w:val="2FBB2F70"/>
    <w:rsid w:val="2FBC45F2"/>
    <w:rsid w:val="2FC33BD3"/>
    <w:rsid w:val="2FC516F9"/>
    <w:rsid w:val="2FC7130B"/>
    <w:rsid w:val="2FC82F97"/>
    <w:rsid w:val="2FDB716E"/>
    <w:rsid w:val="2FE37DD1"/>
    <w:rsid w:val="2FE6658C"/>
    <w:rsid w:val="2FEA5603"/>
    <w:rsid w:val="2FEC019D"/>
    <w:rsid w:val="2FF14047"/>
    <w:rsid w:val="2FF975F4"/>
    <w:rsid w:val="300466C5"/>
    <w:rsid w:val="300A1801"/>
    <w:rsid w:val="300B07BF"/>
    <w:rsid w:val="30131553"/>
    <w:rsid w:val="301D4299"/>
    <w:rsid w:val="30224D9D"/>
    <w:rsid w:val="30274161"/>
    <w:rsid w:val="30330D58"/>
    <w:rsid w:val="303B22FD"/>
    <w:rsid w:val="303F76FD"/>
    <w:rsid w:val="30466CDD"/>
    <w:rsid w:val="30503131"/>
    <w:rsid w:val="3053665F"/>
    <w:rsid w:val="305667F5"/>
    <w:rsid w:val="3058256D"/>
    <w:rsid w:val="30586A11"/>
    <w:rsid w:val="30590093"/>
    <w:rsid w:val="305C19ED"/>
    <w:rsid w:val="306058C5"/>
    <w:rsid w:val="306166C8"/>
    <w:rsid w:val="306221CA"/>
    <w:rsid w:val="3062519A"/>
    <w:rsid w:val="30650FD5"/>
    <w:rsid w:val="30670A02"/>
    <w:rsid w:val="306C426A"/>
    <w:rsid w:val="30782C0F"/>
    <w:rsid w:val="307D6477"/>
    <w:rsid w:val="307F3392"/>
    <w:rsid w:val="307F7AFA"/>
    <w:rsid w:val="308050E6"/>
    <w:rsid w:val="30811EAD"/>
    <w:rsid w:val="308471EB"/>
    <w:rsid w:val="3085597E"/>
    <w:rsid w:val="30872E52"/>
    <w:rsid w:val="30893E07"/>
    <w:rsid w:val="308A000C"/>
    <w:rsid w:val="308A51CE"/>
    <w:rsid w:val="309344A6"/>
    <w:rsid w:val="30975DB3"/>
    <w:rsid w:val="309A2B85"/>
    <w:rsid w:val="309B3C72"/>
    <w:rsid w:val="309E55BB"/>
    <w:rsid w:val="309F63EE"/>
    <w:rsid w:val="30AC63F7"/>
    <w:rsid w:val="30AE4021"/>
    <w:rsid w:val="30B336F9"/>
    <w:rsid w:val="30B50BEA"/>
    <w:rsid w:val="30B8125D"/>
    <w:rsid w:val="30B860DB"/>
    <w:rsid w:val="30BE6E6E"/>
    <w:rsid w:val="30C40619"/>
    <w:rsid w:val="30C8401E"/>
    <w:rsid w:val="30D37E45"/>
    <w:rsid w:val="30D51E0F"/>
    <w:rsid w:val="30D61664"/>
    <w:rsid w:val="30DF2C8E"/>
    <w:rsid w:val="30E958BB"/>
    <w:rsid w:val="30EB3EF2"/>
    <w:rsid w:val="30ED53AB"/>
    <w:rsid w:val="30EE2ED1"/>
    <w:rsid w:val="30F100C1"/>
    <w:rsid w:val="30F45B4E"/>
    <w:rsid w:val="310444A3"/>
    <w:rsid w:val="31085D41"/>
    <w:rsid w:val="310B3A83"/>
    <w:rsid w:val="310E73FF"/>
    <w:rsid w:val="31101099"/>
    <w:rsid w:val="31104BF6"/>
    <w:rsid w:val="31124E12"/>
    <w:rsid w:val="311566B0"/>
    <w:rsid w:val="311C17EC"/>
    <w:rsid w:val="31213C0A"/>
    <w:rsid w:val="31224929"/>
    <w:rsid w:val="312406A1"/>
    <w:rsid w:val="312863E3"/>
    <w:rsid w:val="312C6DAE"/>
    <w:rsid w:val="31342FDA"/>
    <w:rsid w:val="313520C0"/>
    <w:rsid w:val="3138019B"/>
    <w:rsid w:val="313A5EF2"/>
    <w:rsid w:val="313A6116"/>
    <w:rsid w:val="313C1E8F"/>
    <w:rsid w:val="313E79B5"/>
    <w:rsid w:val="3140197F"/>
    <w:rsid w:val="31496359"/>
    <w:rsid w:val="314B6E77"/>
    <w:rsid w:val="31501496"/>
    <w:rsid w:val="315A562B"/>
    <w:rsid w:val="315E3BB3"/>
    <w:rsid w:val="316311C9"/>
    <w:rsid w:val="31692558"/>
    <w:rsid w:val="31723B02"/>
    <w:rsid w:val="31750FF9"/>
    <w:rsid w:val="31774C75"/>
    <w:rsid w:val="31857392"/>
    <w:rsid w:val="3186236F"/>
    <w:rsid w:val="3199108F"/>
    <w:rsid w:val="319C0A92"/>
    <w:rsid w:val="31AD68E8"/>
    <w:rsid w:val="31AF440F"/>
    <w:rsid w:val="31B82C24"/>
    <w:rsid w:val="31C83722"/>
    <w:rsid w:val="31CA56EC"/>
    <w:rsid w:val="31CA749A"/>
    <w:rsid w:val="31CB6BCB"/>
    <w:rsid w:val="31CC4FC0"/>
    <w:rsid w:val="31D34CFE"/>
    <w:rsid w:val="31D67B45"/>
    <w:rsid w:val="31DA034E"/>
    <w:rsid w:val="31E71DFA"/>
    <w:rsid w:val="31EC7411"/>
    <w:rsid w:val="31ED1D5A"/>
    <w:rsid w:val="31F67EDC"/>
    <w:rsid w:val="31F77B64"/>
    <w:rsid w:val="31F9354C"/>
    <w:rsid w:val="31F97D80"/>
    <w:rsid w:val="31FC56E9"/>
    <w:rsid w:val="320209E2"/>
    <w:rsid w:val="32026C34"/>
    <w:rsid w:val="32044D41"/>
    <w:rsid w:val="32052280"/>
    <w:rsid w:val="3209173E"/>
    <w:rsid w:val="32190E38"/>
    <w:rsid w:val="321D2371"/>
    <w:rsid w:val="321D7001"/>
    <w:rsid w:val="321F50CD"/>
    <w:rsid w:val="32203A3E"/>
    <w:rsid w:val="32252923"/>
    <w:rsid w:val="322850C0"/>
    <w:rsid w:val="322A7F39"/>
    <w:rsid w:val="32355B8A"/>
    <w:rsid w:val="323A4620"/>
    <w:rsid w:val="3251196A"/>
    <w:rsid w:val="32537490"/>
    <w:rsid w:val="325F4087"/>
    <w:rsid w:val="326276D3"/>
    <w:rsid w:val="32660A15"/>
    <w:rsid w:val="326C0551"/>
    <w:rsid w:val="3271566B"/>
    <w:rsid w:val="327B07A0"/>
    <w:rsid w:val="327C2D3F"/>
    <w:rsid w:val="327D450D"/>
    <w:rsid w:val="3282783E"/>
    <w:rsid w:val="329548E8"/>
    <w:rsid w:val="329B0E37"/>
    <w:rsid w:val="32AB5C4B"/>
    <w:rsid w:val="32B12408"/>
    <w:rsid w:val="32BA306B"/>
    <w:rsid w:val="32BC3287"/>
    <w:rsid w:val="32C60DF9"/>
    <w:rsid w:val="32CE4D68"/>
    <w:rsid w:val="32D3412D"/>
    <w:rsid w:val="32E36C47"/>
    <w:rsid w:val="32EB76C8"/>
    <w:rsid w:val="32ED664A"/>
    <w:rsid w:val="32F01183"/>
    <w:rsid w:val="32F50547"/>
    <w:rsid w:val="32FF4F22"/>
    <w:rsid w:val="33004414"/>
    <w:rsid w:val="330C5891"/>
    <w:rsid w:val="331072B7"/>
    <w:rsid w:val="33107F03"/>
    <w:rsid w:val="33182487"/>
    <w:rsid w:val="331A6169"/>
    <w:rsid w:val="332364DB"/>
    <w:rsid w:val="33264BA4"/>
    <w:rsid w:val="33294694"/>
    <w:rsid w:val="33346D74"/>
    <w:rsid w:val="33380434"/>
    <w:rsid w:val="33423060"/>
    <w:rsid w:val="33434DAF"/>
    <w:rsid w:val="33484B1B"/>
    <w:rsid w:val="33560D41"/>
    <w:rsid w:val="33573EDC"/>
    <w:rsid w:val="335F2A21"/>
    <w:rsid w:val="33707BCD"/>
    <w:rsid w:val="33770F47"/>
    <w:rsid w:val="337A6C9E"/>
    <w:rsid w:val="337E0C62"/>
    <w:rsid w:val="33810DDC"/>
    <w:rsid w:val="33890C8F"/>
    <w:rsid w:val="338B4A07"/>
    <w:rsid w:val="3390201E"/>
    <w:rsid w:val="339715FE"/>
    <w:rsid w:val="33A1247D"/>
    <w:rsid w:val="33A53D1B"/>
    <w:rsid w:val="33B0446E"/>
    <w:rsid w:val="33C00CE4"/>
    <w:rsid w:val="33C817B8"/>
    <w:rsid w:val="33CC276C"/>
    <w:rsid w:val="33D2267E"/>
    <w:rsid w:val="33DE77D3"/>
    <w:rsid w:val="33E5680D"/>
    <w:rsid w:val="33E70E9C"/>
    <w:rsid w:val="33EB658A"/>
    <w:rsid w:val="33ED121E"/>
    <w:rsid w:val="33ED56C2"/>
    <w:rsid w:val="33EE0608"/>
    <w:rsid w:val="33F251B1"/>
    <w:rsid w:val="33F4583C"/>
    <w:rsid w:val="33F508A6"/>
    <w:rsid w:val="33FB1B8D"/>
    <w:rsid w:val="33FF59DC"/>
    <w:rsid w:val="340978C3"/>
    <w:rsid w:val="34140EA1"/>
    <w:rsid w:val="341475A7"/>
    <w:rsid w:val="3416085D"/>
    <w:rsid w:val="34192013"/>
    <w:rsid w:val="341B4A8C"/>
    <w:rsid w:val="341B5D8B"/>
    <w:rsid w:val="342407F3"/>
    <w:rsid w:val="34270BD4"/>
    <w:rsid w:val="342A06C4"/>
    <w:rsid w:val="342B1D46"/>
    <w:rsid w:val="342E0004"/>
    <w:rsid w:val="342F15DE"/>
    <w:rsid w:val="3437693D"/>
    <w:rsid w:val="34384B8F"/>
    <w:rsid w:val="34427191"/>
    <w:rsid w:val="344352E2"/>
    <w:rsid w:val="34457040"/>
    <w:rsid w:val="344E0AA2"/>
    <w:rsid w:val="34545741"/>
    <w:rsid w:val="34557417"/>
    <w:rsid w:val="345614B9"/>
    <w:rsid w:val="34657CEE"/>
    <w:rsid w:val="346A0AC1"/>
    <w:rsid w:val="346D06AE"/>
    <w:rsid w:val="346D235F"/>
    <w:rsid w:val="346F257B"/>
    <w:rsid w:val="34761214"/>
    <w:rsid w:val="34796F56"/>
    <w:rsid w:val="34806536"/>
    <w:rsid w:val="348222AE"/>
    <w:rsid w:val="3482405C"/>
    <w:rsid w:val="34875EF1"/>
    <w:rsid w:val="34934894"/>
    <w:rsid w:val="34975F75"/>
    <w:rsid w:val="349D3D0C"/>
    <w:rsid w:val="34A63235"/>
    <w:rsid w:val="34AC10D9"/>
    <w:rsid w:val="34AF205A"/>
    <w:rsid w:val="34AF4725"/>
    <w:rsid w:val="34B128F9"/>
    <w:rsid w:val="34BB30CA"/>
    <w:rsid w:val="34BE5623"/>
    <w:rsid w:val="34C401D1"/>
    <w:rsid w:val="34DA5C46"/>
    <w:rsid w:val="34E02D31"/>
    <w:rsid w:val="34E40873"/>
    <w:rsid w:val="34E959C3"/>
    <w:rsid w:val="34E97C37"/>
    <w:rsid w:val="34EE16F2"/>
    <w:rsid w:val="34EE6562"/>
    <w:rsid w:val="3502519D"/>
    <w:rsid w:val="35044A71"/>
    <w:rsid w:val="350A21BF"/>
    <w:rsid w:val="350E58F0"/>
    <w:rsid w:val="35100B7F"/>
    <w:rsid w:val="351D3D85"/>
    <w:rsid w:val="351F3659"/>
    <w:rsid w:val="35241716"/>
    <w:rsid w:val="352549E8"/>
    <w:rsid w:val="35330690"/>
    <w:rsid w:val="35335357"/>
    <w:rsid w:val="353510CF"/>
    <w:rsid w:val="35386E11"/>
    <w:rsid w:val="353C06AF"/>
    <w:rsid w:val="353C245D"/>
    <w:rsid w:val="35415CC5"/>
    <w:rsid w:val="354237EC"/>
    <w:rsid w:val="35492DCC"/>
    <w:rsid w:val="354B6B44"/>
    <w:rsid w:val="354D0723"/>
    <w:rsid w:val="354E2190"/>
    <w:rsid w:val="354E3F3E"/>
    <w:rsid w:val="356329FE"/>
    <w:rsid w:val="3566572C"/>
    <w:rsid w:val="35696FCA"/>
    <w:rsid w:val="356A7BE4"/>
    <w:rsid w:val="356B1732"/>
    <w:rsid w:val="357A11D7"/>
    <w:rsid w:val="357B28D6"/>
    <w:rsid w:val="357F234A"/>
    <w:rsid w:val="35812566"/>
    <w:rsid w:val="35864161"/>
    <w:rsid w:val="358F4C83"/>
    <w:rsid w:val="359033E2"/>
    <w:rsid w:val="35906305"/>
    <w:rsid w:val="3591400F"/>
    <w:rsid w:val="359364EB"/>
    <w:rsid w:val="359978AF"/>
    <w:rsid w:val="359C114E"/>
    <w:rsid w:val="35A45653"/>
    <w:rsid w:val="35A45811"/>
    <w:rsid w:val="35AA6C03"/>
    <w:rsid w:val="35AB313F"/>
    <w:rsid w:val="35AE2C2F"/>
    <w:rsid w:val="35B17B3F"/>
    <w:rsid w:val="35B21A87"/>
    <w:rsid w:val="35C10509"/>
    <w:rsid w:val="35C75AAD"/>
    <w:rsid w:val="35D271A0"/>
    <w:rsid w:val="35D46B3A"/>
    <w:rsid w:val="35D5691F"/>
    <w:rsid w:val="35DB4D0A"/>
    <w:rsid w:val="35DC59EE"/>
    <w:rsid w:val="35E120F0"/>
    <w:rsid w:val="35ED3FA7"/>
    <w:rsid w:val="35EE3AC7"/>
    <w:rsid w:val="35EE5151"/>
    <w:rsid w:val="35F00679"/>
    <w:rsid w:val="35F20D6E"/>
    <w:rsid w:val="35F23C4F"/>
    <w:rsid w:val="36003296"/>
    <w:rsid w:val="360142B5"/>
    <w:rsid w:val="36056CF3"/>
    <w:rsid w:val="36097A13"/>
    <w:rsid w:val="360A3C9A"/>
    <w:rsid w:val="360B0081"/>
    <w:rsid w:val="360B1E2F"/>
    <w:rsid w:val="361C228F"/>
    <w:rsid w:val="362353CB"/>
    <w:rsid w:val="36260A17"/>
    <w:rsid w:val="3628478F"/>
    <w:rsid w:val="3629686E"/>
    <w:rsid w:val="3639699D"/>
    <w:rsid w:val="363D5C2F"/>
    <w:rsid w:val="36446750"/>
    <w:rsid w:val="36453593"/>
    <w:rsid w:val="364610BA"/>
    <w:rsid w:val="3647730B"/>
    <w:rsid w:val="36513CE6"/>
    <w:rsid w:val="365E6403"/>
    <w:rsid w:val="36616A90"/>
    <w:rsid w:val="366652B8"/>
    <w:rsid w:val="366F0610"/>
    <w:rsid w:val="366F6862"/>
    <w:rsid w:val="36820BD0"/>
    <w:rsid w:val="36835E6A"/>
    <w:rsid w:val="36851BE2"/>
    <w:rsid w:val="36877708"/>
    <w:rsid w:val="368A369C"/>
    <w:rsid w:val="368F480F"/>
    <w:rsid w:val="36941E25"/>
    <w:rsid w:val="36965B9D"/>
    <w:rsid w:val="3699568D"/>
    <w:rsid w:val="369E0EF6"/>
    <w:rsid w:val="36A06C35"/>
    <w:rsid w:val="36A253EA"/>
    <w:rsid w:val="36B129D7"/>
    <w:rsid w:val="36B14785"/>
    <w:rsid w:val="36C418A2"/>
    <w:rsid w:val="36C46BAE"/>
    <w:rsid w:val="36CA3A99"/>
    <w:rsid w:val="36CA64AC"/>
    <w:rsid w:val="36D27FF3"/>
    <w:rsid w:val="36D93CDC"/>
    <w:rsid w:val="36DB7A54"/>
    <w:rsid w:val="36DC3513"/>
    <w:rsid w:val="36E763F9"/>
    <w:rsid w:val="36EC3A0F"/>
    <w:rsid w:val="36ED2DF8"/>
    <w:rsid w:val="36EF46EB"/>
    <w:rsid w:val="36EF52AD"/>
    <w:rsid w:val="36F31241"/>
    <w:rsid w:val="36F34D9D"/>
    <w:rsid w:val="36FD3E6E"/>
    <w:rsid w:val="370276D6"/>
    <w:rsid w:val="37040D59"/>
    <w:rsid w:val="370A20E7"/>
    <w:rsid w:val="370C5FA1"/>
    <w:rsid w:val="370E7E29"/>
    <w:rsid w:val="3710594F"/>
    <w:rsid w:val="37127519"/>
    <w:rsid w:val="37135440"/>
    <w:rsid w:val="37166CDE"/>
    <w:rsid w:val="371D3482"/>
    <w:rsid w:val="371D3923"/>
    <w:rsid w:val="371F3DE4"/>
    <w:rsid w:val="37256F21"/>
    <w:rsid w:val="37335046"/>
    <w:rsid w:val="373D1110"/>
    <w:rsid w:val="373E3439"/>
    <w:rsid w:val="373F0131"/>
    <w:rsid w:val="3748158D"/>
    <w:rsid w:val="374A7542"/>
    <w:rsid w:val="375515B4"/>
    <w:rsid w:val="37561DAD"/>
    <w:rsid w:val="375C6DE7"/>
    <w:rsid w:val="37611953"/>
    <w:rsid w:val="376344FA"/>
    <w:rsid w:val="37667339"/>
    <w:rsid w:val="376D5D49"/>
    <w:rsid w:val="37706C04"/>
    <w:rsid w:val="37715970"/>
    <w:rsid w:val="37773C20"/>
    <w:rsid w:val="377A101B"/>
    <w:rsid w:val="378123A9"/>
    <w:rsid w:val="37863E63"/>
    <w:rsid w:val="37865C12"/>
    <w:rsid w:val="37866B0A"/>
    <w:rsid w:val="378C567A"/>
    <w:rsid w:val="378E4AC6"/>
    <w:rsid w:val="37976071"/>
    <w:rsid w:val="37A140C3"/>
    <w:rsid w:val="37A33238"/>
    <w:rsid w:val="37A33A67"/>
    <w:rsid w:val="37A367C3"/>
    <w:rsid w:val="37A85305"/>
    <w:rsid w:val="37AD7162"/>
    <w:rsid w:val="37B07132"/>
    <w:rsid w:val="37B3277F"/>
    <w:rsid w:val="37B3452D"/>
    <w:rsid w:val="37B502A5"/>
    <w:rsid w:val="37B747BB"/>
    <w:rsid w:val="37BF08C9"/>
    <w:rsid w:val="37D07D4D"/>
    <w:rsid w:val="37D13DEF"/>
    <w:rsid w:val="37D50947"/>
    <w:rsid w:val="37D67D60"/>
    <w:rsid w:val="37D75AE6"/>
    <w:rsid w:val="37DA7D0B"/>
    <w:rsid w:val="37DC3A83"/>
    <w:rsid w:val="37DF4D0F"/>
    <w:rsid w:val="37E868CC"/>
    <w:rsid w:val="37EA1AFB"/>
    <w:rsid w:val="37F02FD0"/>
    <w:rsid w:val="37F1371E"/>
    <w:rsid w:val="37F47148"/>
    <w:rsid w:val="37FA5E67"/>
    <w:rsid w:val="37FC20C3"/>
    <w:rsid w:val="37FC2378"/>
    <w:rsid w:val="37FF59C4"/>
    <w:rsid w:val="38044D88"/>
    <w:rsid w:val="380B3F3F"/>
    <w:rsid w:val="38141101"/>
    <w:rsid w:val="381750B3"/>
    <w:rsid w:val="38175C7C"/>
    <w:rsid w:val="381A0E63"/>
    <w:rsid w:val="3825367C"/>
    <w:rsid w:val="38295FF1"/>
    <w:rsid w:val="382A0958"/>
    <w:rsid w:val="383C5461"/>
    <w:rsid w:val="383E029A"/>
    <w:rsid w:val="384C346C"/>
    <w:rsid w:val="384F60E1"/>
    <w:rsid w:val="38547ABE"/>
    <w:rsid w:val="38561A88"/>
    <w:rsid w:val="3857135C"/>
    <w:rsid w:val="385F50AD"/>
    <w:rsid w:val="386046B4"/>
    <w:rsid w:val="38675D29"/>
    <w:rsid w:val="38726196"/>
    <w:rsid w:val="38741F0E"/>
    <w:rsid w:val="387C3645"/>
    <w:rsid w:val="388D6EB1"/>
    <w:rsid w:val="389600D6"/>
    <w:rsid w:val="38987C13"/>
    <w:rsid w:val="38995E18"/>
    <w:rsid w:val="389C3903"/>
    <w:rsid w:val="389D7539"/>
    <w:rsid w:val="389E51DD"/>
    <w:rsid w:val="38A4740C"/>
    <w:rsid w:val="38A61819"/>
    <w:rsid w:val="38AE6591"/>
    <w:rsid w:val="38AF4455"/>
    <w:rsid w:val="38B16CBE"/>
    <w:rsid w:val="38B36EDA"/>
    <w:rsid w:val="38B62526"/>
    <w:rsid w:val="38B92017"/>
    <w:rsid w:val="38BF587F"/>
    <w:rsid w:val="38C27DC4"/>
    <w:rsid w:val="38C421B3"/>
    <w:rsid w:val="38C509BB"/>
    <w:rsid w:val="38C904AC"/>
    <w:rsid w:val="38E4205E"/>
    <w:rsid w:val="38F44DFD"/>
    <w:rsid w:val="38F74258"/>
    <w:rsid w:val="38FC23A0"/>
    <w:rsid w:val="39017524"/>
    <w:rsid w:val="39017E99"/>
    <w:rsid w:val="390239BE"/>
    <w:rsid w:val="390E4110"/>
    <w:rsid w:val="391664DF"/>
    <w:rsid w:val="39186D3D"/>
    <w:rsid w:val="391B345F"/>
    <w:rsid w:val="391E1E7A"/>
    <w:rsid w:val="391F734F"/>
    <w:rsid w:val="39237490"/>
    <w:rsid w:val="392515F3"/>
    <w:rsid w:val="39286885"/>
    <w:rsid w:val="392E04D8"/>
    <w:rsid w:val="39324335"/>
    <w:rsid w:val="393F076E"/>
    <w:rsid w:val="394D6D52"/>
    <w:rsid w:val="395172BF"/>
    <w:rsid w:val="395767D6"/>
    <w:rsid w:val="395A08EE"/>
    <w:rsid w:val="395A1104"/>
    <w:rsid w:val="395C1320"/>
    <w:rsid w:val="39602492"/>
    <w:rsid w:val="396A4218"/>
    <w:rsid w:val="39713272"/>
    <w:rsid w:val="397A13EA"/>
    <w:rsid w:val="397B287A"/>
    <w:rsid w:val="397C3770"/>
    <w:rsid w:val="397F3F36"/>
    <w:rsid w:val="397F500E"/>
    <w:rsid w:val="39873EC3"/>
    <w:rsid w:val="39875C71"/>
    <w:rsid w:val="398D772B"/>
    <w:rsid w:val="39916AF0"/>
    <w:rsid w:val="39932095"/>
    <w:rsid w:val="39972358"/>
    <w:rsid w:val="399C796E"/>
    <w:rsid w:val="39A01C75"/>
    <w:rsid w:val="39A04924"/>
    <w:rsid w:val="39A71E6F"/>
    <w:rsid w:val="39A86313"/>
    <w:rsid w:val="39B051C8"/>
    <w:rsid w:val="39BE047A"/>
    <w:rsid w:val="39C86C21"/>
    <w:rsid w:val="39CB3B98"/>
    <w:rsid w:val="39CB3DB0"/>
    <w:rsid w:val="39CD3FCC"/>
    <w:rsid w:val="39CD7B28"/>
    <w:rsid w:val="39CE564E"/>
    <w:rsid w:val="39D23390"/>
    <w:rsid w:val="39D906C5"/>
    <w:rsid w:val="39D92270"/>
    <w:rsid w:val="39DB72F7"/>
    <w:rsid w:val="39E26862"/>
    <w:rsid w:val="39EA1032"/>
    <w:rsid w:val="39EC3D26"/>
    <w:rsid w:val="39EF2DC2"/>
    <w:rsid w:val="39F01A68"/>
    <w:rsid w:val="39F23A32"/>
    <w:rsid w:val="39F50E2C"/>
    <w:rsid w:val="39F7538F"/>
    <w:rsid w:val="39FA4695"/>
    <w:rsid w:val="39FA4CD4"/>
    <w:rsid w:val="39FD5F33"/>
    <w:rsid w:val="39FE3916"/>
    <w:rsid w:val="3A0D2261"/>
    <w:rsid w:val="3A12378C"/>
    <w:rsid w:val="3A155D47"/>
    <w:rsid w:val="3A1E12D9"/>
    <w:rsid w:val="3A222913"/>
    <w:rsid w:val="3A255BB6"/>
    <w:rsid w:val="3A295D61"/>
    <w:rsid w:val="3A2B1917"/>
    <w:rsid w:val="3A2D189D"/>
    <w:rsid w:val="3A2D4A6A"/>
    <w:rsid w:val="3A2E433E"/>
    <w:rsid w:val="3A2F07E2"/>
    <w:rsid w:val="3A312F8B"/>
    <w:rsid w:val="3A355331"/>
    <w:rsid w:val="3A441C7A"/>
    <w:rsid w:val="3A4F49E1"/>
    <w:rsid w:val="3A4F678F"/>
    <w:rsid w:val="3A612966"/>
    <w:rsid w:val="3A657DD1"/>
    <w:rsid w:val="3A663AD8"/>
    <w:rsid w:val="3A667F7C"/>
    <w:rsid w:val="3A683CF4"/>
    <w:rsid w:val="3A685AA2"/>
    <w:rsid w:val="3A6C2245"/>
    <w:rsid w:val="3A6F3DAC"/>
    <w:rsid w:val="3A7461F5"/>
    <w:rsid w:val="3A777A93"/>
    <w:rsid w:val="3A7B57D6"/>
    <w:rsid w:val="3A8F1281"/>
    <w:rsid w:val="3A970136"/>
    <w:rsid w:val="3A9C74FA"/>
    <w:rsid w:val="3A9D45C0"/>
    <w:rsid w:val="3AA0348E"/>
    <w:rsid w:val="3AA86AE2"/>
    <w:rsid w:val="3AAC3929"/>
    <w:rsid w:val="3AAD5BAB"/>
    <w:rsid w:val="3AB1338A"/>
    <w:rsid w:val="3AB40CE8"/>
    <w:rsid w:val="3AB64D9F"/>
    <w:rsid w:val="3AB85FC8"/>
    <w:rsid w:val="3ABC7B8F"/>
    <w:rsid w:val="3ABE1B66"/>
    <w:rsid w:val="3ABE56C2"/>
    <w:rsid w:val="3AC07851"/>
    <w:rsid w:val="3AC07DBA"/>
    <w:rsid w:val="3AC24284"/>
    <w:rsid w:val="3ACB5E8E"/>
    <w:rsid w:val="3ACF5B21"/>
    <w:rsid w:val="3AD1189A"/>
    <w:rsid w:val="3AD43138"/>
    <w:rsid w:val="3AD72725"/>
    <w:rsid w:val="3AD9074E"/>
    <w:rsid w:val="3AD924FC"/>
    <w:rsid w:val="3AD969A0"/>
    <w:rsid w:val="3ADB0022"/>
    <w:rsid w:val="3AE26C73"/>
    <w:rsid w:val="3AE74292"/>
    <w:rsid w:val="3AEB1466"/>
    <w:rsid w:val="3AED190D"/>
    <w:rsid w:val="3AF15A98"/>
    <w:rsid w:val="3AF47336"/>
    <w:rsid w:val="3AF70BD4"/>
    <w:rsid w:val="3AF8598E"/>
    <w:rsid w:val="3AF9494C"/>
    <w:rsid w:val="3AFB06C4"/>
    <w:rsid w:val="3B0D6C0B"/>
    <w:rsid w:val="3B181276"/>
    <w:rsid w:val="3B1D063B"/>
    <w:rsid w:val="3B1D688D"/>
    <w:rsid w:val="3B20637D"/>
    <w:rsid w:val="3B292D1E"/>
    <w:rsid w:val="3B2A2D58"/>
    <w:rsid w:val="3B2A71FC"/>
    <w:rsid w:val="3B2B6D8A"/>
    <w:rsid w:val="3B3D2A8B"/>
    <w:rsid w:val="3B3F5E7C"/>
    <w:rsid w:val="3B457B92"/>
    <w:rsid w:val="3B464036"/>
    <w:rsid w:val="3B477494"/>
    <w:rsid w:val="3B516ED3"/>
    <w:rsid w:val="3B554279"/>
    <w:rsid w:val="3B587322"/>
    <w:rsid w:val="3B5878C5"/>
    <w:rsid w:val="3B6E533A"/>
    <w:rsid w:val="3B6E70E8"/>
    <w:rsid w:val="3B7019AF"/>
    <w:rsid w:val="3B72766D"/>
    <w:rsid w:val="3B7641EF"/>
    <w:rsid w:val="3B7A5A8D"/>
    <w:rsid w:val="3B7D557D"/>
    <w:rsid w:val="3B806E1C"/>
    <w:rsid w:val="3B810333"/>
    <w:rsid w:val="3B8202E9"/>
    <w:rsid w:val="3B83130C"/>
    <w:rsid w:val="3B8F34C7"/>
    <w:rsid w:val="3B984165"/>
    <w:rsid w:val="3B985F13"/>
    <w:rsid w:val="3BA0301A"/>
    <w:rsid w:val="3BA40D5C"/>
    <w:rsid w:val="3BAC5E63"/>
    <w:rsid w:val="3BB22C32"/>
    <w:rsid w:val="3BB50897"/>
    <w:rsid w:val="3BB80364"/>
    <w:rsid w:val="3BC128C9"/>
    <w:rsid w:val="3BC41D5D"/>
    <w:rsid w:val="3BC62A80"/>
    <w:rsid w:val="3BCC40EF"/>
    <w:rsid w:val="3BD333EF"/>
    <w:rsid w:val="3BD72EE0"/>
    <w:rsid w:val="3BE60C08"/>
    <w:rsid w:val="3BEC625F"/>
    <w:rsid w:val="3BF07AFD"/>
    <w:rsid w:val="3BF84C04"/>
    <w:rsid w:val="3BFA6BCE"/>
    <w:rsid w:val="3BFC5EF5"/>
    <w:rsid w:val="3C0435A9"/>
    <w:rsid w:val="3C0D0902"/>
    <w:rsid w:val="3C0D57D9"/>
    <w:rsid w:val="3C0E2EA8"/>
    <w:rsid w:val="3C1001A0"/>
    <w:rsid w:val="3C131A08"/>
    <w:rsid w:val="3C1C4D96"/>
    <w:rsid w:val="3C3025F0"/>
    <w:rsid w:val="3C305003"/>
    <w:rsid w:val="3C3245BA"/>
    <w:rsid w:val="3C332D6A"/>
    <w:rsid w:val="3C355E58"/>
    <w:rsid w:val="3C357C06"/>
    <w:rsid w:val="3C4147FD"/>
    <w:rsid w:val="3C447E49"/>
    <w:rsid w:val="3C465DB2"/>
    <w:rsid w:val="3C467402"/>
    <w:rsid w:val="3C485B8B"/>
    <w:rsid w:val="3C4D41CF"/>
    <w:rsid w:val="3C500585"/>
    <w:rsid w:val="3C506122"/>
    <w:rsid w:val="3C544530"/>
    <w:rsid w:val="3C587F8B"/>
    <w:rsid w:val="3C5A141B"/>
    <w:rsid w:val="3C5A4F26"/>
    <w:rsid w:val="3C5A58BF"/>
    <w:rsid w:val="3C607BB2"/>
    <w:rsid w:val="3C611042"/>
    <w:rsid w:val="3C6436E5"/>
    <w:rsid w:val="3C667DC0"/>
    <w:rsid w:val="3C6779A4"/>
    <w:rsid w:val="3C687FDC"/>
    <w:rsid w:val="3C6A3D54"/>
    <w:rsid w:val="3C706E90"/>
    <w:rsid w:val="3C792C55"/>
    <w:rsid w:val="3C7E335B"/>
    <w:rsid w:val="3C7F0E81"/>
    <w:rsid w:val="3C8666B4"/>
    <w:rsid w:val="3C872D5D"/>
    <w:rsid w:val="3C8B5A78"/>
    <w:rsid w:val="3C94492D"/>
    <w:rsid w:val="3C9708C1"/>
    <w:rsid w:val="3C97584D"/>
    <w:rsid w:val="3C9A402F"/>
    <w:rsid w:val="3C9C5ED7"/>
    <w:rsid w:val="3CA1529C"/>
    <w:rsid w:val="3CAA0C2A"/>
    <w:rsid w:val="3CB9732D"/>
    <w:rsid w:val="3CBC5CEC"/>
    <w:rsid w:val="3CC2593E"/>
    <w:rsid w:val="3CCB2319"/>
    <w:rsid w:val="3CCF005B"/>
    <w:rsid w:val="3CD016DD"/>
    <w:rsid w:val="3CE138EA"/>
    <w:rsid w:val="3CE66669"/>
    <w:rsid w:val="3CEE3D26"/>
    <w:rsid w:val="3CEF6007"/>
    <w:rsid w:val="3CF47AC1"/>
    <w:rsid w:val="3CFD4617"/>
    <w:rsid w:val="3CFD6976"/>
    <w:rsid w:val="3D0F2AA3"/>
    <w:rsid w:val="3D127F47"/>
    <w:rsid w:val="3D1E5BB7"/>
    <w:rsid w:val="3D232155"/>
    <w:rsid w:val="3D2C2DB7"/>
    <w:rsid w:val="3D2E14E1"/>
    <w:rsid w:val="3D320DE7"/>
    <w:rsid w:val="3D347EBE"/>
    <w:rsid w:val="3D357016"/>
    <w:rsid w:val="3D361C85"/>
    <w:rsid w:val="3D3748E1"/>
    <w:rsid w:val="3D3B60B6"/>
    <w:rsid w:val="3D3D1714"/>
    <w:rsid w:val="3D430101"/>
    <w:rsid w:val="3D436353"/>
    <w:rsid w:val="3D4445A5"/>
    <w:rsid w:val="3D4A5E08"/>
    <w:rsid w:val="3D4E2298"/>
    <w:rsid w:val="3D583BAC"/>
    <w:rsid w:val="3D5A2496"/>
    <w:rsid w:val="3D5F13DF"/>
    <w:rsid w:val="3D687B67"/>
    <w:rsid w:val="3D6F7A43"/>
    <w:rsid w:val="3D736C38"/>
    <w:rsid w:val="3D77544A"/>
    <w:rsid w:val="3D7B244D"/>
    <w:rsid w:val="3D7C3A0F"/>
    <w:rsid w:val="3D827BF5"/>
    <w:rsid w:val="3D840E45"/>
    <w:rsid w:val="3D8B4B2B"/>
    <w:rsid w:val="3D8E3A72"/>
    <w:rsid w:val="3D9B618F"/>
    <w:rsid w:val="3D9C7FA8"/>
    <w:rsid w:val="3DA61E89"/>
    <w:rsid w:val="3DA74B34"/>
    <w:rsid w:val="3DA9265A"/>
    <w:rsid w:val="3DB1668F"/>
    <w:rsid w:val="3DB57251"/>
    <w:rsid w:val="3DBA03C3"/>
    <w:rsid w:val="3DBB1BA6"/>
    <w:rsid w:val="3DBD0986"/>
    <w:rsid w:val="3DCC6348"/>
    <w:rsid w:val="3DD441E1"/>
    <w:rsid w:val="3DDC47DD"/>
    <w:rsid w:val="3DE32640"/>
    <w:rsid w:val="3DF07707"/>
    <w:rsid w:val="3DF541A9"/>
    <w:rsid w:val="3DF80EEB"/>
    <w:rsid w:val="3DF8713D"/>
    <w:rsid w:val="3DFD1787"/>
    <w:rsid w:val="3E03620E"/>
    <w:rsid w:val="3E045AE2"/>
    <w:rsid w:val="3E076897"/>
    <w:rsid w:val="3E0B4A65"/>
    <w:rsid w:val="3E0C4997"/>
    <w:rsid w:val="3E1321C9"/>
    <w:rsid w:val="3E143A42"/>
    <w:rsid w:val="3E1D461D"/>
    <w:rsid w:val="3E261EFC"/>
    <w:rsid w:val="3E281786"/>
    <w:rsid w:val="3E29379B"/>
    <w:rsid w:val="3E2B306F"/>
    <w:rsid w:val="3E2E7003"/>
    <w:rsid w:val="3E32264F"/>
    <w:rsid w:val="3E3C1720"/>
    <w:rsid w:val="3E3C2C4E"/>
    <w:rsid w:val="3E3D4C7C"/>
    <w:rsid w:val="3E41662A"/>
    <w:rsid w:val="3E434D00"/>
    <w:rsid w:val="3E490F6A"/>
    <w:rsid w:val="3E495BEB"/>
    <w:rsid w:val="3E4A5C95"/>
    <w:rsid w:val="3E5C76CC"/>
    <w:rsid w:val="3E5F3B03"/>
    <w:rsid w:val="3E66679D"/>
    <w:rsid w:val="3E70582C"/>
    <w:rsid w:val="3E726EF0"/>
    <w:rsid w:val="3E7D047A"/>
    <w:rsid w:val="3E80616E"/>
    <w:rsid w:val="3E817133"/>
    <w:rsid w:val="3E826901"/>
    <w:rsid w:val="3E8310FD"/>
    <w:rsid w:val="3E860BED"/>
    <w:rsid w:val="3E8D7922"/>
    <w:rsid w:val="3E8F1850"/>
    <w:rsid w:val="3E8F7AA2"/>
    <w:rsid w:val="3E984756"/>
    <w:rsid w:val="3E9E2257"/>
    <w:rsid w:val="3EA64DEB"/>
    <w:rsid w:val="3EA8415A"/>
    <w:rsid w:val="3EAD1CD6"/>
    <w:rsid w:val="3EB07A18"/>
    <w:rsid w:val="3EB516C8"/>
    <w:rsid w:val="3EB56DDC"/>
    <w:rsid w:val="3EBC6496"/>
    <w:rsid w:val="3EC03E4A"/>
    <w:rsid w:val="3EC51715"/>
    <w:rsid w:val="3ECA0847"/>
    <w:rsid w:val="3ECA15DC"/>
    <w:rsid w:val="3ED04E79"/>
    <w:rsid w:val="3ED100BA"/>
    <w:rsid w:val="3ED25BE0"/>
    <w:rsid w:val="3ED402CB"/>
    <w:rsid w:val="3EE002FD"/>
    <w:rsid w:val="3EE21CBD"/>
    <w:rsid w:val="3EEA117C"/>
    <w:rsid w:val="3EEB0A50"/>
    <w:rsid w:val="3EEB27FE"/>
    <w:rsid w:val="3EF67B21"/>
    <w:rsid w:val="3F051B12"/>
    <w:rsid w:val="3F075CC4"/>
    <w:rsid w:val="3F081602"/>
    <w:rsid w:val="3F0A09BA"/>
    <w:rsid w:val="3F0E5AA7"/>
    <w:rsid w:val="3F122481"/>
    <w:rsid w:val="3F1E1E3B"/>
    <w:rsid w:val="3F1F0CBC"/>
    <w:rsid w:val="3F220916"/>
    <w:rsid w:val="3F247135"/>
    <w:rsid w:val="3F267DFC"/>
    <w:rsid w:val="3F275F2C"/>
    <w:rsid w:val="3F2F4DE1"/>
    <w:rsid w:val="3F3B19D7"/>
    <w:rsid w:val="3F3E5024"/>
    <w:rsid w:val="3F450160"/>
    <w:rsid w:val="3F47037C"/>
    <w:rsid w:val="3F485EA2"/>
    <w:rsid w:val="3F4E170B"/>
    <w:rsid w:val="3F584974"/>
    <w:rsid w:val="3F5922C0"/>
    <w:rsid w:val="3F5C54AA"/>
    <w:rsid w:val="3F5D36FC"/>
    <w:rsid w:val="3F606EC9"/>
    <w:rsid w:val="3F626F64"/>
    <w:rsid w:val="3F630F7E"/>
    <w:rsid w:val="3F67457A"/>
    <w:rsid w:val="3F6B1D26"/>
    <w:rsid w:val="3F6C7EC6"/>
    <w:rsid w:val="3F6F342F"/>
    <w:rsid w:val="3F786788"/>
    <w:rsid w:val="3F7B1DD4"/>
    <w:rsid w:val="3F830C89"/>
    <w:rsid w:val="3F922A7B"/>
    <w:rsid w:val="3F9B2DCE"/>
    <w:rsid w:val="3FA66E58"/>
    <w:rsid w:val="3FAE21A9"/>
    <w:rsid w:val="3FB2282A"/>
    <w:rsid w:val="3FBB501D"/>
    <w:rsid w:val="3FBD5D22"/>
    <w:rsid w:val="3FBF17B6"/>
    <w:rsid w:val="3FC01EDD"/>
    <w:rsid w:val="3FC45529"/>
    <w:rsid w:val="3FC47EEF"/>
    <w:rsid w:val="3FC507FC"/>
    <w:rsid w:val="3FCB2D5B"/>
    <w:rsid w:val="3FCF4923"/>
    <w:rsid w:val="3FD87871"/>
    <w:rsid w:val="3FDB05A1"/>
    <w:rsid w:val="3FE0432D"/>
    <w:rsid w:val="3FE24F15"/>
    <w:rsid w:val="3FED763F"/>
    <w:rsid w:val="3FF51B10"/>
    <w:rsid w:val="401069C0"/>
    <w:rsid w:val="401144E6"/>
    <w:rsid w:val="401D10DD"/>
    <w:rsid w:val="401F149E"/>
    <w:rsid w:val="40335771"/>
    <w:rsid w:val="40353AD0"/>
    <w:rsid w:val="4035593D"/>
    <w:rsid w:val="403928F5"/>
    <w:rsid w:val="403B1563"/>
    <w:rsid w:val="403C5A07"/>
    <w:rsid w:val="403C77B5"/>
    <w:rsid w:val="403D25CD"/>
    <w:rsid w:val="403E4E33"/>
    <w:rsid w:val="40402324"/>
    <w:rsid w:val="40412A14"/>
    <w:rsid w:val="4047615A"/>
    <w:rsid w:val="40493C80"/>
    <w:rsid w:val="404B2757"/>
    <w:rsid w:val="40503261"/>
    <w:rsid w:val="40555BB9"/>
    <w:rsid w:val="40596D74"/>
    <w:rsid w:val="405A5E8D"/>
    <w:rsid w:val="4061721C"/>
    <w:rsid w:val="40624D42"/>
    <w:rsid w:val="406256D2"/>
    <w:rsid w:val="406867FC"/>
    <w:rsid w:val="4070364E"/>
    <w:rsid w:val="40754A75"/>
    <w:rsid w:val="408829FA"/>
    <w:rsid w:val="408973D9"/>
    <w:rsid w:val="408D1DBF"/>
    <w:rsid w:val="409D230A"/>
    <w:rsid w:val="40A37834"/>
    <w:rsid w:val="40A4535A"/>
    <w:rsid w:val="40AA6712"/>
    <w:rsid w:val="40AD06B3"/>
    <w:rsid w:val="40AD5E62"/>
    <w:rsid w:val="40B01F51"/>
    <w:rsid w:val="40B414F2"/>
    <w:rsid w:val="40B437EF"/>
    <w:rsid w:val="40B732E0"/>
    <w:rsid w:val="40B94D77"/>
    <w:rsid w:val="40BA6207"/>
    <w:rsid w:val="40BC08F6"/>
    <w:rsid w:val="40BE466E"/>
    <w:rsid w:val="40C12EC9"/>
    <w:rsid w:val="40D73786"/>
    <w:rsid w:val="40D82A90"/>
    <w:rsid w:val="40DC4AF4"/>
    <w:rsid w:val="40E01ACC"/>
    <w:rsid w:val="40E35E83"/>
    <w:rsid w:val="40EE33B8"/>
    <w:rsid w:val="40F0124C"/>
    <w:rsid w:val="40F7192E"/>
    <w:rsid w:val="40F94DDB"/>
    <w:rsid w:val="40FF607C"/>
    <w:rsid w:val="411249BA"/>
    <w:rsid w:val="411424E0"/>
    <w:rsid w:val="41167060"/>
    <w:rsid w:val="411B561D"/>
    <w:rsid w:val="412070D7"/>
    <w:rsid w:val="4121441D"/>
    <w:rsid w:val="41234F05"/>
    <w:rsid w:val="41243966"/>
    <w:rsid w:val="412546ED"/>
    <w:rsid w:val="4125649B"/>
    <w:rsid w:val="412B15D8"/>
    <w:rsid w:val="412E63B9"/>
    <w:rsid w:val="41306BEE"/>
    <w:rsid w:val="41384420"/>
    <w:rsid w:val="414172BF"/>
    <w:rsid w:val="41432F6C"/>
    <w:rsid w:val="414867C0"/>
    <w:rsid w:val="41514760"/>
    <w:rsid w:val="415428DD"/>
    <w:rsid w:val="41572C26"/>
    <w:rsid w:val="41577B0F"/>
    <w:rsid w:val="415C79E3"/>
    <w:rsid w:val="415D4149"/>
    <w:rsid w:val="415E2146"/>
    <w:rsid w:val="41604BB3"/>
    <w:rsid w:val="41653B58"/>
    <w:rsid w:val="41656898"/>
    <w:rsid w:val="41691C24"/>
    <w:rsid w:val="416D399E"/>
    <w:rsid w:val="416F4571"/>
    <w:rsid w:val="41717932"/>
    <w:rsid w:val="41764F49"/>
    <w:rsid w:val="41792E05"/>
    <w:rsid w:val="417D6740"/>
    <w:rsid w:val="417E5BAB"/>
    <w:rsid w:val="417E7959"/>
    <w:rsid w:val="417F6556"/>
    <w:rsid w:val="418036D2"/>
    <w:rsid w:val="41883195"/>
    <w:rsid w:val="41897B48"/>
    <w:rsid w:val="418A7109"/>
    <w:rsid w:val="418A72CE"/>
    <w:rsid w:val="418D308D"/>
    <w:rsid w:val="419B675D"/>
    <w:rsid w:val="41A61D11"/>
    <w:rsid w:val="41AD023F"/>
    <w:rsid w:val="41B26AC3"/>
    <w:rsid w:val="41B34DFF"/>
    <w:rsid w:val="41B370C8"/>
    <w:rsid w:val="41BF35E3"/>
    <w:rsid w:val="41C007E7"/>
    <w:rsid w:val="41CA0DF1"/>
    <w:rsid w:val="41CB63AB"/>
    <w:rsid w:val="41CC210B"/>
    <w:rsid w:val="41D27DC7"/>
    <w:rsid w:val="41D3540E"/>
    <w:rsid w:val="41D81760"/>
    <w:rsid w:val="41F145CF"/>
    <w:rsid w:val="41FD36BD"/>
    <w:rsid w:val="41FF0A9A"/>
    <w:rsid w:val="42024A2E"/>
    <w:rsid w:val="42075BA1"/>
    <w:rsid w:val="420E6F2F"/>
    <w:rsid w:val="421107CE"/>
    <w:rsid w:val="42134546"/>
    <w:rsid w:val="421A1D78"/>
    <w:rsid w:val="421F2EEA"/>
    <w:rsid w:val="42213A90"/>
    <w:rsid w:val="422449A5"/>
    <w:rsid w:val="422601F6"/>
    <w:rsid w:val="42276243"/>
    <w:rsid w:val="422A4836"/>
    <w:rsid w:val="423979D4"/>
    <w:rsid w:val="423A2FA5"/>
    <w:rsid w:val="424566C9"/>
    <w:rsid w:val="424741EF"/>
    <w:rsid w:val="424B65A6"/>
    <w:rsid w:val="4250579A"/>
    <w:rsid w:val="42552DB0"/>
    <w:rsid w:val="425608D6"/>
    <w:rsid w:val="425A068B"/>
    <w:rsid w:val="425C413F"/>
    <w:rsid w:val="426052B1"/>
    <w:rsid w:val="42613503"/>
    <w:rsid w:val="42666D6B"/>
    <w:rsid w:val="426B4382"/>
    <w:rsid w:val="426E4C3B"/>
    <w:rsid w:val="42714079"/>
    <w:rsid w:val="427C1EDF"/>
    <w:rsid w:val="42836415"/>
    <w:rsid w:val="4284339E"/>
    <w:rsid w:val="428611BC"/>
    <w:rsid w:val="429749F6"/>
    <w:rsid w:val="429C453B"/>
    <w:rsid w:val="429F70B1"/>
    <w:rsid w:val="42A12833"/>
    <w:rsid w:val="42A42166"/>
    <w:rsid w:val="42A86388"/>
    <w:rsid w:val="42A94EAA"/>
    <w:rsid w:val="42AD499A"/>
    <w:rsid w:val="42B10213"/>
    <w:rsid w:val="42B31885"/>
    <w:rsid w:val="42B45D29"/>
    <w:rsid w:val="42B75819"/>
    <w:rsid w:val="42BC698B"/>
    <w:rsid w:val="42DA32B5"/>
    <w:rsid w:val="42DA6266"/>
    <w:rsid w:val="42E669D9"/>
    <w:rsid w:val="42EC28A9"/>
    <w:rsid w:val="42EE0B0F"/>
    <w:rsid w:val="42F02AD9"/>
    <w:rsid w:val="42F97BDF"/>
    <w:rsid w:val="42FC28A5"/>
    <w:rsid w:val="43050073"/>
    <w:rsid w:val="43056584"/>
    <w:rsid w:val="430B7913"/>
    <w:rsid w:val="43140575"/>
    <w:rsid w:val="43162488"/>
    <w:rsid w:val="431E13F4"/>
    <w:rsid w:val="432147AF"/>
    <w:rsid w:val="43234C5C"/>
    <w:rsid w:val="433168CD"/>
    <w:rsid w:val="433230F1"/>
    <w:rsid w:val="433D6D2B"/>
    <w:rsid w:val="43485D41"/>
    <w:rsid w:val="4350530C"/>
    <w:rsid w:val="435117C9"/>
    <w:rsid w:val="43566DE0"/>
    <w:rsid w:val="435C016E"/>
    <w:rsid w:val="435E4B11"/>
    <w:rsid w:val="436A63E7"/>
    <w:rsid w:val="436E01E0"/>
    <w:rsid w:val="437101AA"/>
    <w:rsid w:val="43747FB6"/>
    <w:rsid w:val="437A6D15"/>
    <w:rsid w:val="437E1E93"/>
    <w:rsid w:val="43866F99"/>
    <w:rsid w:val="438D25BA"/>
    <w:rsid w:val="439671DC"/>
    <w:rsid w:val="439C4E1F"/>
    <w:rsid w:val="439E6277"/>
    <w:rsid w:val="43AD2778"/>
    <w:rsid w:val="43B04679"/>
    <w:rsid w:val="43B119B5"/>
    <w:rsid w:val="43B342D5"/>
    <w:rsid w:val="43B43B06"/>
    <w:rsid w:val="43B92ECB"/>
    <w:rsid w:val="43BE2285"/>
    <w:rsid w:val="43BE6733"/>
    <w:rsid w:val="43BF3FB9"/>
    <w:rsid w:val="43C130A8"/>
    <w:rsid w:val="43C55D14"/>
    <w:rsid w:val="43C71C76"/>
    <w:rsid w:val="43C933F7"/>
    <w:rsid w:val="43CD2740"/>
    <w:rsid w:val="43D23F8D"/>
    <w:rsid w:val="43D441A9"/>
    <w:rsid w:val="43D74E11"/>
    <w:rsid w:val="43D9356D"/>
    <w:rsid w:val="43DA1313"/>
    <w:rsid w:val="43DA1CD3"/>
    <w:rsid w:val="43DD305D"/>
    <w:rsid w:val="43E02B4D"/>
    <w:rsid w:val="43EA7528"/>
    <w:rsid w:val="44032861"/>
    <w:rsid w:val="44074ECA"/>
    <w:rsid w:val="44077671"/>
    <w:rsid w:val="440A5C22"/>
    <w:rsid w:val="441617F1"/>
    <w:rsid w:val="441A1710"/>
    <w:rsid w:val="441A605F"/>
    <w:rsid w:val="441D78FE"/>
    <w:rsid w:val="44224F14"/>
    <w:rsid w:val="44241192"/>
    <w:rsid w:val="44262384"/>
    <w:rsid w:val="442A5A15"/>
    <w:rsid w:val="442B00EF"/>
    <w:rsid w:val="442E5667"/>
    <w:rsid w:val="443C1D29"/>
    <w:rsid w:val="443F548F"/>
    <w:rsid w:val="4447497A"/>
    <w:rsid w:val="444906F3"/>
    <w:rsid w:val="444924A1"/>
    <w:rsid w:val="445350CD"/>
    <w:rsid w:val="445A18D8"/>
    <w:rsid w:val="445B03A1"/>
    <w:rsid w:val="44623562"/>
    <w:rsid w:val="44650F3F"/>
    <w:rsid w:val="44695FB6"/>
    <w:rsid w:val="446B5CB5"/>
    <w:rsid w:val="446C4458"/>
    <w:rsid w:val="44703F6B"/>
    <w:rsid w:val="447119F7"/>
    <w:rsid w:val="4475773A"/>
    <w:rsid w:val="44764F0E"/>
    <w:rsid w:val="447A7A51"/>
    <w:rsid w:val="447B0A98"/>
    <w:rsid w:val="447C2876"/>
    <w:rsid w:val="447D039C"/>
    <w:rsid w:val="44860EF6"/>
    <w:rsid w:val="448A6B93"/>
    <w:rsid w:val="44965602"/>
    <w:rsid w:val="449C4CC6"/>
    <w:rsid w:val="449D218D"/>
    <w:rsid w:val="44B10046"/>
    <w:rsid w:val="44B244EA"/>
    <w:rsid w:val="44B6565C"/>
    <w:rsid w:val="44BE2E8F"/>
    <w:rsid w:val="44C22253"/>
    <w:rsid w:val="44C71617"/>
    <w:rsid w:val="44C935E1"/>
    <w:rsid w:val="44CB735A"/>
    <w:rsid w:val="44CD1324"/>
    <w:rsid w:val="44D05C34"/>
    <w:rsid w:val="44D15B74"/>
    <w:rsid w:val="44DF07C2"/>
    <w:rsid w:val="44DF4BB3"/>
    <w:rsid w:val="44E1092B"/>
    <w:rsid w:val="44E26451"/>
    <w:rsid w:val="44E279FD"/>
    <w:rsid w:val="44EE673F"/>
    <w:rsid w:val="44EF0897"/>
    <w:rsid w:val="44F81395"/>
    <w:rsid w:val="44F93EC7"/>
    <w:rsid w:val="44FA6121"/>
    <w:rsid w:val="44FB69A3"/>
    <w:rsid w:val="44FF2277"/>
    <w:rsid w:val="45045908"/>
    <w:rsid w:val="451231DA"/>
    <w:rsid w:val="45141DD1"/>
    <w:rsid w:val="451527AB"/>
    <w:rsid w:val="45252F0E"/>
    <w:rsid w:val="452B604A"/>
    <w:rsid w:val="452F78E8"/>
    <w:rsid w:val="453158B9"/>
    <w:rsid w:val="453B3D19"/>
    <w:rsid w:val="453C3A68"/>
    <w:rsid w:val="453E7B2C"/>
    <w:rsid w:val="454113CA"/>
    <w:rsid w:val="454315E6"/>
    <w:rsid w:val="45592BB7"/>
    <w:rsid w:val="45596713"/>
    <w:rsid w:val="455A67AE"/>
    <w:rsid w:val="455A6FF1"/>
    <w:rsid w:val="45603F46"/>
    <w:rsid w:val="456A6B72"/>
    <w:rsid w:val="456F23DB"/>
    <w:rsid w:val="456F454F"/>
    <w:rsid w:val="45700666"/>
    <w:rsid w:val="45761CF7"/>
    <w:rsid w:val="45763769"/>
    <w:rsid w:val="457E261E"/>
    <w:rsid w:val="458B6AE9"/>
    <w:rsid w:val="459B31D0"/>
    <w:rsid w:val="459C4852"/>
    <w:rsid w:val="459E43BC"/>
    <w:rsid w:val="459F53C0"/>
    <w:rsid w:val="45A1630C"/>
    <w:rsid w:val="45AA0617"/>
    <w:rsid w:val="45AC718B"/>
    <w:rsid w:val="45BD230A"/>
    <w:rsid w:val="45BF1E04"/>
    <w:rsid w:val="45C10D0F"/>
    <w:rsid w:val="45C2075D"/>
    <w:rsid w:val="45C83899"/>
    <w:rsid w:val="45D1274E"/>
    <w:rsid w:val="45D64208"/>
    <w:rsid w:val="45D805C0"/>
    <w:rsid w:val="45D83104"/>
    <w:rsid w:val="45DB07B7"/>
    <w:rsid w:val="45DD7344"/>
    <w:rsid w:val="45E85A95"/>
    <w:rsid w:val="45EA2E9B"/>
    <w:rsid w:val="45EC57D9"/>
    <w:rsid w:val="45FF375F"/>
    <w:rsid w:val="46001285"/>
    <w:rsid w:val="46003033"/>
    <w:rsid w:val="46016CFB"/>
    <w:rsid w:val="46080139"/>
    <w:rsid w:val="460842CE"/>
    <w:rsid w:val="460F7F83"/>
    <w:rsid w:val="461118F6"/>
    <w:rsid w:val="461D429A"/>
    <w:rsid w:val="461E5035"/>
    <w:rsid w:val="461E7EC5"/>
    <w:rsid w:val="4623391D"/>
    <w:rsid w:val="46252D4D"/>
    <w:rsid w:val="462A4554"/>
    <w:rsid w:val="462A540E"/>
    <w:rsid w:val="462A63DE"/>
    <w:rsid w:val="462E04FD"/>
    <w:rsid w:val="46342CDD"/>
    <w:rsid w:val="463F07B3"/>
    <w:rsid w:val="463F0A04"/>
    <w:rsid w:val="464078D3"/>
    <w:rsid w:val="46445615"/>
    <w:rsid w:val="46495640"/>
    <w:rsid w:val="464F5D68"/>
    <w:rsid w:val="465670F7"/>
    <w:rsid w:val="465D0485"/>
    <w:rsid w:val="465E4B3A"/>
    <w:rsid w:val="46625A9C"/>
    <w:rsid w:val="466310B6"/>
    <w:rsid w:val="46694F98"/>
    <w:rsid w:val="4669507C"/>
    <w:rsid w:val="466D5890"/>
    <w:rsid w:val="467557CF"/>
    <w:rsid w:val="46767799"/>
    <w:rsid w:val="467A0C55"/>
    <w:rsid w:val="467B090B"/>
    <w:rsid w:val="467E3F53"/>
    <w:rsid w:val="46873754"/>
    <w:rsid w:val="468A0B4E"/>
    <w:rsid w:val="468C7E24"/>
    <w:rsid w:val="46957C1F"/>
    <w:rsid w:val="4699566E"/>
    <w:rsid w:val="469A4A55"/>
    <w:rsid w:val="469A5235"/>
    <w:rsid w:val="469A6FE4"/>
    <w:rsid w:val="469D6AD4"/>
    <w:rsid w:val="46A47E62"/>
    <w:rsid w:val="46AB11F1"/>
    <w:rsid w:val="46AB7443"/>
    <w:rsid w:val="46AE2A8F"/>
    <w:rsid w:val="46B03787"/>
    <w:rsid w:val="46B207D1"/>
    <w:rsid w:val="46BA58D8"/>
    <w:rsid w:val="46BD7176"/>
    <w:rsid w:val="46BF588E"/>
    <w:rsid w:val="46C40504"/>
    <w:rsid w:val="46C7182E"/>
    <w:rsid w:val="46CC73B9"/>
    <w:rsid w:val="46D041DE"/>
    <w:rsid w:val="46DA1AD6"/>
    <w:rsid w:val="46E2098A"/>
    <w:rsid w:val="46E75FA1"/>
    <w:rsid w:val="46E856AA"/>
    <w:rsid w:val="46E97F6B"/>
    <w:rsid w:val="46F55770"/>
    <w:rsid w:val="46F801AE"/>
    <w:rsid w:val="46FA5CD4"/>
    <w:rsid w:val="46FC1A4C"/>
    <w:rsid w:val="4703102D"/>
    <w:rsid w:val="470D3C59"/>
    <w:rsid w:val="470D5A07"/>
    <w:rsid w:val="470E1780"/>
    <w:rsid w:val="470E352E"/>
    <w:rsid w:val="471054F8"/>
    <w:rsid w:val="471A0124"/>
    <w:rsid w:val="471C5C4A"/>
    <w:rsid w:val="471D11EB"/>
    <w:rsid w:val="4723347D"/>
    <w:rsid w:val="47242D51"/>
    <w:rsid w:val="472471F5"/>
    <w:rsid w:val="47262F6D"/>
    <w:rsid w:val="47270F9A"/>
    <w:rsid w:val="47273F26"/>
    <w:rsid w:val="472D7E58"/>
    <w:rsid w:val="472F1E22"/>
    <w:rsid w:val="473016F6"/>
    <w:rsid w:val="473A2575"/>
    <w:rsid w:val="473C009B"/>
    <w:rsid w:val="47414C6F"/>
    <w:rsid w:val="47444691"/>
    <w:rsid w:val="47462CC7"/>
    <w:rsid w:val="474B29D4"/>
    <w:rsid w:val="474D04FA"/>
    <w:rsid w:val="474D343F"/>
    <w:rsid w:val="4752344F"/>
    <w:rsid w:val="47524C24"/>
    <w:rsid w:val="47524FBD"/>
    <w:rsid w:val="47542A45"/>
    <w:rsid w:val="475A49C5"/>
    <w:rsid w:val="475E6263"/>
    <w:rsid w:val="47626EEB"/>
    <w:rsid w:val="47690CE9"/>
    <w:rsid w:val="476A10AC"/>
    <w:rsid w:val="476F0470"/>
    <w:rsid w:val="477041E8"/>
    <w:rsid w:val="477261B2"/>
    <w:rsid w:val="47833F1C"/>
    <w:rsid w:val="47855610"/>
    <w:rsid w:val="478A52AA"/>
    <w:rsid w:val="47905A6E"/>
    <w:rsid w:val="479271AB"/>
    <w:rsid w:val="479559FD"/>
    <w:rsid w:val="47A10846"/>
    <w:rsid w:val="47A60664"/>
    <w:rsid w:val="47A81BD4"/>
    <w:rsid w:val="47A85730"/>
    <w:rsid w:val="47AA47C4"/>
    <w:rsid w:val="47AB2DA3"/>
    <w:rsid w:val="47AC1243"/>
    <w:rsid w:val="47AE6D07"/>
    <w:rsid w:val="47AF0D07"/>
    <w:rsid w:val="47B42327"/>
    <w:rsid w:val="47B53C67"/>
    <w:rsid w:val="47C36A0E"/>
    <w:rsid w:val="47C443E5"/>
    <w:rsid w:val="47D14C87"/>
    <w:rsid w:val="47D26C51"/>
    <w:rsid w:val="47D74267"/>
    <w:rsid w:val="47DF090F"/>
    <w:rsid w:val="47E32DD0"/>
    <w:rsid w:val="47E50732"/>
    <w:rsid w:val="47EC1AC1"/>
    <w:rsid w:val="47F24BFD"/>
    <w:rsid w:val="47F866B8"/>
    <w:rsid w:val="47FC782A"/>
    <w:rsid w:val="480A1F47"/>
    <w:rsid w:val="480C3F11"/>
    <w:rsid w:val="480E2C76"/>
    <w:rsid w:val="481132D5"/>
    <w:rsid w:val="48292103"/>
    <w:rsid w:val="482C010F"/>
    <w:rsid w:val="48332D81"/>
    <w:rsid w:val="48335942"/>
    <w:rsid w:val="483416BA"/>
    <w:rsid w:val="48345216"/>
    <w:rsid w:val="4838131C"/>
    <w:rsid w:val="4839282C"/>
    <w:rsid w:val="483E6094"/>
    <w:rsid w:val="483F6137"/>
    <w:rsid w:val="4843558C"/>
    <w:rsid w:val="48446D0B"/>
    <w:rsid w:val="484713ED"/>
    <w:rsid w:val="484A4A39"/>
    <w:rsid w:val="484D62D8"/>
    <w:rsid w:val="485031E7"/>
    <w:rsid w:val="4851401A"/>
    <w:rsid w:val="48580F04"/>
    <w:rsid w:val="48582728"/>
    <w:rsid w:val="485E04E5"/>
    <w:rsid w:val="48644D0C"/>
    <w:rsid w:val="48741AB6"/>
    <w:rsid w:val="487B4BF3"/>
    <w:rsid w:val="488066AD"/>
    <w:rsid w:val="48822425"/>
    <w:rsid w:val="488453B8"/>
    <w:rsid w:val="4886147B"/>
    <w:rsid w:val="48900224"/>
    <w:rsid w:val="48911660"/>
    <w:rsid w:val="489F4D85"/>
    <w:rsid w:val="48A54FAE"/>
    <w:rsid w:val="48A57EC2"/>
    <w:rsid w:val="48A73C3A"/>
    <w:rsid w:val="48AF2AEE"/>
    <w:rsid w:val="48B00D40"/>
    <w:rsid w:val="48B56357"/>
    <w:rsid w:val="48BD16AF"/>
    <w:rsid w:val="48BF0F83"/>
    <w:rsid w:val="48C0704F"/>
    <w:rsid w:val="48C269A2"/>
    <w:rsid w:val="48C441D5"/>
    <w:rsid w:val="48C7608A"/>
    <w:rsid w:val="48CA7928"/>
    <w:rsid w:val="48CB3DCC"/>
    <w:rsid w:val="48CE11C6"/>
    <w:rsid w:val="48D57885"/>
    <w:rsid w:val="48DF3E68"/>
    <w:rsid w:val="48E1539E"/>
    <w:rsid w:val="48E72288"/>
    <w:rsid w:val="48F50EEE"/>
    <w:rsid w:val="48F54560"/>
    <w:rsid w:val="48FB6EA2"/>
    <w:rsid w:val="48FF5824"/>
    <w:rsid w:val="490C57F6"/>
    <w:rsid w:val="490E5A67"/>
    <w:rsid w:val="4913307D"/>
    <w:rsid w:val="49182328"/>
    <w:rsid w:val="491A3922"/>
    <w:rsid w:val="491C63D6"/>
    <w:rsid w:val="492D2391"/>
    <w:rsid w:val="49310DE8"/>
    <w:rsid w:val="49366D6C"/>
    <w:rsid w:val="493A2D00"/>
    <w:rsid w:val="493A4AAE"/>
    <w:rsid w:val="493D5513"/>
    <w:rsid w:val="49443F56"/>
    <w:rsid w:val="49470F79"/>
    <w:rsid w:val="494B0A69"/>
    <w:rsid w:val="494D3B95"/>
    <w:rsid w:val="494F07EC"/>
    <w:rsid w:val="494F67AB"/>
    <w:rsid w:val="49507A41"/>
    <w:rsid w:val="49514813"/>
    <w:rsid w:val="49555444"/>
    <w:rsid w:val="49584F34"/>
    <w:rsid w:val="495969F9"/>
    <w:rsid w:val="49627B61"/>
    <w:rsid w:val="49647D7D"/>
    <w:rsid w:val="49683351"/>
    <w:rsid w:val="496F0BFB"/>
    <w:rsid w:val="4970227E"/>
    <w:rsid w:val="497955D6"/>
    <w:rsid w:val="497B1F6A"/>
    <w:rsid w:val="498015D8"/>
    <w:rsid w:val="4981448B"/>
    <w:rsid w:val="498B355B"/>
    <w:rsid w:val="49902920"/>
    <w:rsid w:val="49942410"/>
    <w:rsid w:val="499C7517"/>
    <w:rsid w:val="499F5FF1"/>
    <w:rsid w:val="49A10689"/>
    <w:rsid w:val="49A346C1"/>
    <w:rsid w:val="49A50534"/>
    <w:rsid w:val="49AB59AC"/>
    <w:rsid w:val="49B91E77"/>
    <w:rsid w:val="49C15F04"/>
    <w:rsid w:val="49C8030C"/>
    <w:rsid w:val="49CF3F05"/>
    <w:rsid w:val="49CF51F6"/>
    <w:rsid w:val="49D11C8D"/>
    <w:rsid w:val="49D74165"/>
    <w:rsid w:val="49DC3DB7"/>
    <w:rsid w:val="49E14F29"/>
    <w:rsid w:val="49F0530F"/>
    <w:rsid w:val="49F92273"/>
    <w:rsid w:val="4A0F5F3A"/>
    <w:rsid w:val="4A113A61"/>
    <w:rsid w:val="4A154C8D"/>
    <w:rsid w:val="4A1E1CDA"/>
    <w:rsid w:val="4A1F7CEC"/>
    <w:rsid w:val="4A22207E"/>
    <w:rsid w:val="4A232912"/>
    <w:rsid w:val="4A2A2D74"/>
    <w:rsid w:val="4A2D2426"/>
    <w:rsid w:val="4A3630B8"/>
    <w:rsid w:val="4A372D9B"/>
    <w:rsid w:val="4A392FB7"/>
    <w:rsid w:val="4A396B13"/>
    <w:rsid w:val="4A3B0ADD"/>
    <w:rsid w:val="4A435BE4"/>
    <w:rsid w:val="4A49144C"/>
    <w:rsid w:val="4A4D183F"/>
    <w:rsid w:val="4A4D25BF"/>
    <w:rsid w:val="4A510301"/>
    <w:rsid w:val="4A5120AF"/>
    <w:rsid w:val="4A513E5D"/>
    <w:rsid w:val="4A537B51"/>
    <w:rsid w:val="4A54747B"/>
    <w:rsid w:val="4A576500"/>
    <w:rsid w:val="4A581AD8"/>
    <w:rsid w:val="4A593C31"/>
    <w:rsid w:val="4A5C2802"/>
    <w:rsid w:val="4A5E31D9"/>
    <w:rsid w:val="4A5F7E10"/>
    <w:rsid w:val="4A6427AD"/>
    <w:rsid w:val="4A6F69D9"/>
    <w:rsid w:val="4A702D6F"/>
    <w:rsid w:val="4A77763C"/>
    <w:rsid w:val="4A782A86"/>
    <w:rsid w:val="4A834233"/>
    <w:rsid w:val="4A883648"/>
    <w:rsid w:val="4A8F0E29"/>
    <w:rsid w:val="4A902D26"/>
    <w:rsid w:val="4A9A1CA8"/>
    <w:rsid w:val="4AA046CC"/>
    <w:rsid w:val="4AA246B9"/>
    <w:rsid w:val="4AA93C99"/>
    <w:rsid w:val="4AAA17BF"/>
    <w:rsid w:val="4AAB72BB"/>
    <w:rsid w:val="4AB91025"/>
    <w:rsid w:val="4AC24D5B"/>
    <w:rsid w:val="4AC565F9"/>
    <w:rsid w:val="4AC9433B"/>
    <w:rsid w:val="4ACA229D"/>
    <w:rsid w:val="4ACB3CA9"/>
    <w:rsid w:val="4ACF7478"/>
    <w:rsid w:val="4AD11442"/>
    <w:rsid w:val="4AD131F0"/>
    <w:rsid w:val="4AD41D96"/>
    <w:rsid w:val="4AD60806"/>
    <w:rsid w:val="4ADA45AC"/>
    <w:rsid w:val="4ADD414B"/>
    <w:rsid w:val="4AE271AB"/>
    <w:rsid w:val="4AE27323"/>
    <w:rsid w:val="4AE42F23"/>
    <w:rsid w:val="4AE66C9B"/>
    <w:rsid w:val="4AE9678B"/>
    <w:rsid w:val="4AF018C8"/>
    <w:rsid w:val="4AF313B8"/>
    <w:rsid w:val="4AF33166"/>
    <w:rsid w:val="4AF34F14"/>
    <w:rsid w:val="4AF56EDE"/>
    <w:rsid w:val="4AF869CF"/>
    <w:rsid w:val="4B005C4C"/>
    <w:rsid w:val="4B035EA1"/>
    <w:rsid w:val="4B0502F8"/>
    <w:rsid w:val="4B093C4E"/>
    <w:rsid w:val="4B0E61F2"/>
    <w:rsid w:val="4B1F21AD"/>
    <w:rsid w:val="4B29302C"/>
    <w:rsid w:val="4B2B6DA4"/>
    <w:rsid w:val="4B313C8F"/>
    <w:rsid w:val="4B35377F"/>
    <w:rsid w:val="4B3A2B43"/>
    <w:rsid w:val="4B4614E8"/>
    <w:rsid w:val="4B4B748E"/>
    <w:rsid w:val="4B4D6D1A"/>
    <w:rsid w:val="4B4E4840"/>
    <w:rsid w:val="4B5272B0"/>
    <w:rsid w:val="4B553E21"/>
    <w:rsid w:val="4B5D6832"/>
    <w:rsid w:val="4B65446D"/>
    <w:rsid w:val="4B692A55"/>
    <w:rsid w:val="4B6E6C91"/>
    <w:rsid w:val="4B771FE9"/>
    <w:rsid w:val="4B7A3887"/>
    <w:rsid w:val="4B7B323B"/>
    <w:rsid w:val="4B7C315C"/>
    <w:rsid w:val="4B85737C"/>
    <w:rsid w:val="4B865D88"/>
    <w:rsid w:val="4B867F1B"/>
    <w:rsid w:val="4B887D52"/>
    <w:rsid w:val="4B8B7843"/>
    <w:rsid w:val="4B8C1435"/>
    <w:rsid w:val="4B906C07"/>
    <w:rsid w:val="4B92472D"/>
    <w:rsid w:val="4B95421D"/>
    <w:rsid w:val="4B9F5015"/>
    <w:rsid w:val="4BB01057"/>
    <w:rsid w:val="4BB24DCF"/>
    <w:rsid w:val="4BB30ECF"/>
    <w:rsid w:val="4BBA5AD8"/>
    <w:rsid w:val="4BBF1EF3"/>
    <w:rsid w:val="4BC15012"/>
    <w:rsid w:val="4BC468B1"/>
    <w:rsid w:val="4BC52D55"/>
    <w:rsid w:val="4BC87E8A"/>
    <w:rsid w:val="4BCA7D61"/>
    <w:rsid w:val="4BCB23E6"/>
    <w:rsid w:val="4BD046E5"/>
    <w:rsid w:val="4BD41DF8"/>
    <w:rsid w:val="4BD7664E"/>
    <w:rsid w:val="4BDB773A"/>
    <w:rsid w:val="4BE156B5"/>
    <w:rsid w:val="4BE7762B"/>
    <w:rsid w:val="4BE807F1"/>
    <w:rsid w:val="4BEA4569"/>
    <w:rsid w:val="4BEB0472"/>
    <w:rsid w:val="4BFE7D23"/>
    <w:rsid w:val="4BFF1046"/>
    <w:rsid w:val="4C0513A3"/>
    <w:rsid w:val="4C0B1536"/>
    <w:rsid w:val="4C123AC0"/>
    <w:rsid w:val="4C1415E6"/>
    <w:rsid w:val="4C1C0FFB"/>
    <w:rsid w:val="4C2F41A4"/>
    <w:rsid w:val="4C325848"/>
    <w:rsid w:val="4C325F10"/>
    <w:rsid w:val="4C3457E4"/>
    <w:rsid w:val="4C46484D"/>
    <w:rsid w:val="4C4A7B25"/>
    <w:rsid w:val="4C4C1669"/>
    <w:rsid w:val="4C514CFA"/>
    <w:rsid w:val="4C545E87"/>
    <w:rsid w:val="4C5C30AF"/>
    <w:rsid w:val="4C7D362F"/>
    <w:rsid w:val="4C7F7F52"/>
    <w:rsid w:val="4C80368A"/>
    <w:rsid w:val="4C8147A2"/>
    <w:rsid w:val="4C864CC2"/>
    <w:rsid w:val="4C8F0766"/>
    <w:rsid w:val="4C9269AF"/>
    <w:rsid w:val="4C9D782D"/>
    <w:rsid w:val="4CA010CC"/>
    <w:rsid w:val="4CA87F80"/>
    <w:rsid w:val="4CAA3CF8"/>
    <w:rsid w:val="4CAE0519"/>
    <w:rsid w:val="4CB50470"/>
    <w:rsid w:val="4CB9218D"/>
    <w:rsid w:val="4CBA02AB"/>
    <w:rsid w:val="4CBC34BA"/>
    <w:rsid w:val="4CBF09AB"/>
    <w:rsid w:val="4CC052CA"/>
    <w:rsid w:val="4CC15F62"/>
    <w:rsid w:val="4CC56D84"/>
    <w:rsid w:val="4CC6456C"/>
    <w:rsid w:val="4CCD571C"/>
    <w:rsid w:val="4CCE2373"/>
    <w:rsid w:val="4CE27936"/>
    <w:rsid w:val="4CFB27A6"/>
    <w:rsid w:val="4CFD207A"/>
    <w:rsid w:val="4D094EC3"/>
    <w:rsid w:val="4D0B0C3B"/>
    <w:rsid w:val="4D0E24D9"/>
    <w:rsid w:val="4D13022B"/>
    <w:rsid w:val="4D150064"/>
    <w:rsid w:val="4D151ABA"/>
    <w:rsid w:val="4D1554C9"/>
    <w:rsid w:val="4D18461C"/>
    <w:rsid w:val="4D1A2C2C"/>
    <w:rsid w:val="4D1D44CA"/>
    <w:rsid w:val="4D2168A6"/>
    <w:rsid w:val="4D244677"/>
    <w:rsid w:val="4D245859"/>
    <w:rsid w:val="4D267823"/>
    <w:rsid w:val="4D2910C1"/>
    <w:rsid w:val="4D2C0BB1"/>
    <w:rsid w:val="4D330192"/>
    <w:rsid w:val="4D467EC5"/>
    <w:rsid w:val="4D4C15C3"/>
    <w:rsid w:val="4D4E7696"/>
    <w:rsid w:val="4D544F79"/>
    <w:rsid w:val="4D63672B"/>
    <w:rsid w:val="4D673998"/>
    <w:rsid w:val="4D6B3488"/>
    <w:rsid w:val="4D6D67A3"/>
    <w:rsid w:val="4D727009"/>
    <w:rsid w:val="4D7C38E7"/>
    <w:rsid w:val="4D812CAB"/>
    <w:rsid w:val="4D8409ED"/>
    <w:rsid w:val="4D8D56B2"/>
    <w:rsid w:val="4D924EB8"/>
    <w:rsid w:val="4D956757"/>
    <w:rsid w:val="4D970721"/>
    <w:rsid w:val="4D9C7AE5"/>
    <w:rsid w:val="4D9E1AAF"/>
    <w:rsid w:val="4DA644C0"/>
    <w:rsid w:val="4DAB1AD6"/>
    <w:rsid w:val="4DB766CD"/>
    <w:rsid w:val="4DC808DA"/>
    <w:rsid w:val="4DC813F1"/>
    <w:rsid w:val="4DCB03CA"/>
    <w:rsid w:val="4DE234BD"/>
    <w:rsid w:val="4DE67660"/>
    <w:rsid w:val="4DE921BD"/>
    <w:rsid w:val="4E127DA7"/>
    <w:rsid w:val="4E1458CD"/>
    <w:rsid w:val="4E231FB4"/>
    <w:rsid w:val="4E235B10"/>
    <w:rsid w:val="4E2B0E69"/>
    <w:rsid w:val="4E2D2D71"/>
    <w:rsid w:val="4E30570B"/>
    <w:rsid w:val="4E3115A2"/>
    <w:rsid w:val="4E312919"/>
    <w:rsid w:val="4E33304B"/>
    <w:rsid w:val="4E3917D8"/>
    <w:rsid w:val="4E3E1D34"/>
    <w:rsid w:val="4E422B8B"/>
    <w:rsid w:val="4E465F97"/>
    <w:rsid w:val="4E4F4B57"/>
    <w:rsid w:val="4E606D65"/>
    <w:rsid w:val="4E616639"/>
    <w:rsid w:val="4E764F37"/>
    <w:rsid w:val="4E7939C1"/>
    <w:rsid w:val="4E7C16C5"/>
    <w:rsid w:val="4E807407"/>
    <w:rsid w:val="4E8643DB"/>
    <w:rsid w:val="4E8D38D2"/>
    <w:rsid w:val="4E915170"/>
    <w:rsid w:val="4E9468D6"/>
    <w:rsid w:val="4EA26DE2"/>
    <w:rsid w:val="4EA43238"/>
    <w:rsid w:val="4EA529C9"/>
    <w:rsid w:val="4EAA6232"/>
    <w:rsid w:val="4EAC33D1"/>
    <w:rsid w:val="4EAF3848"/>
    <w:rsid w:val="4EB250E6"/>
    <w:rsid w:val="4EC56BC8"/>
    <w:rsid w:val="4EC866B8"/>
    <w:rsid w:val="4EDF52B0"/>
    <w:rsid w:val="4EE07EA5"/>
    <w:rsid w:val="4EE17BF7"/>
    <w:rsid w:val="4EE3536F"/>
    <w:rsid w:val="4EF61477"/>
    <w:rsid w:val="4EFD0A57"/>
    <w:rsid w:val="4F02606E"/>
    <w:rsid w:val="4F0C0C9A"/>
    <w:rsid w:val="4F0D34E4"/>
    <w:rsid w:val="4F1008A7"/>
    <w:rsid w:val="4F135B85"/>
    <w:rsid w:val="4F192763"/>
    <w:rsid w:val="4F1D4C56"/>
    <w:rsid w:val="4F25590B"/>
    <w:rsid w:val="4F26120E"/>
    <w:rsid w:val="4F282278"/>
    <w:rsid w:val="4F343D4D"/>
    <w:rsid w:val="4F361873"/>
    <w:rsid w:val="4F3B519C"/>
    <w:rsid w:val="4F443F90"/>
    <w:rsid w:val="4F460A77"/>
    <w:rsid w:val="4F486090"/>
    <w:rsid w:val="4F4C3B6B"/>
    <w:rsid w:val="4F53428E"/>
    <w:rsid w:val="4F6178F6"/>
    <w:rsid w:val="4F6271DE"/>
    <w:rsid w:val="4F627F5F"/>
    <w:rsid w:val="4F6463E1"/>
    <w:rsid w:val="4F781E8C"/>
    <w:rsid w:val="4F7D769B"/>
    <w:rsid w:val="4F820F5D"/>
    <w:rsid w:val="4F876573"/>
    <w:rsid w:val="4F905428"/>
    <w:rsid w:val="4F920AB3"/>
    <w:rsid w:val="4FA17635"/>
    <w:rsid w:val="4FA56423"/>
    <w:rsid w:val="4FBB7FCB"/>
    <w:rsid w:val="4FBD3D43"/>
    <w:rsid w:val="4FBF3F5F"/>
    <w:rsid w:val="4FC74BC1"/>
    <w:rsid w:val="4FC86025"/>
    <w:rsid w:val="4FC9093A"/>
    <w:rsid w:val="4FD277EE"/>
    <w:rsid w:val="4FD74E04"/>
    <w:rsid w:val="4FDA66A3"/>
    <w:rsid w:val="4FDE24B2"/>
    <w:rsid w:val="4FDF1F0B"/>
    <w:rsid w:val="4FE15C83"/>
    <w:rsid w:val="4FE66957"/>
    <w:rsid w:val="4FE85264"/>
    <w:rsid w:val="4FF43C08"/>
    <w:rsid w:val="4FFC0517"/>
    <w:rsid w:val="4FFF6109"/>
    <w:rsid w:val="50027558"/>
    <w:rsid w:val="50047BC4"/>
    <w:rsid w:val="50055E16"/>
    <w:rsid w:val="500837EF"/>
    <w:rsid w:val="500D6A78"/>
    <w:rsid w:val="501047BA"/>
    <w:rsid w:val="50155D1F"/>
    <w:rsid w:val="501E6ED7"/>
    <w:rsid w:val="501F49FD"/>
    <w:rsid w:val="50246DD1"/>
    <w:rsid w:val="502E47A8"/>
    <w:rsid w:val="502F6BAC"/>
    <w:rsid w:val="5032028D"/>
    <w:rsid w:val="50357D7D"/>
    <w:rsid w:val="50373596"/>
    <w:rsid w:val="503B242E"/>
    <w:rsid w:val="50412BC6"/>
    <w:rsid w:val="50416722"/>
    <w:rsid w:val="5042436A"/>
    <w:rsid w:val="5043693E"/>
    <w:rsid w:val="50493828"/>
    <w:rsid w:val="504D156B"/>
    <w:rsid w:val="504E66EB"/>
    <w:rsid w:val="50502E09"/>
    <w:rsid w:val="505521CD"/>
    <w:rsid w:val="50575F45"/>
    <w:rsid w:val="50577CF3"/>
    <w:rsid w:val="505F76BB"/>
    <w:rsid w:val="506019B6"/>
    <w:rsid w:val="50612E3B"/>
    <w:rsid w:val="50666188"/>
    <w:rsid w:val="50724B2D"/>
    <w:rsid w:val="50764706"/>
    <w:rsid w:val="507B435C"/>
    <w:rsid w:val="507F05B9"/>
    <w:rsid w:val="50850D04"/>
    <w:rsid w:val="508825A3"/>
    <w:rsid w:val="509176A9"/>
    <w:rsid w:val="50955AC4"/>
    <w:rsid w:val="509F16A2"/>
    <w:rsid w:val="50A078EC"/>
    <w:rsid w:val="50A54F03"/>
    <w:rsid w:val="50A7016E"/>
    <w:rsid w:val="50B22B98"/>
    <w:rsid w:val="50B513C9"/>
    <w:rsid w:val="50BD3C7B"/>
    <w:rsid w:val="50C14F10"/>
    <w:rsid w:val="50C80BF1"/>
    <w:rsid w:val="50CA2BBB"/>
    <w:rsid w:val="50D2312A"/>
    <w:rsid w:val="50DB6B76"/>
    <w:rsid w:val="50DE21C3"/>
    <w:rsid w:val="50E023DF"/>
    <w:rsid w:val="50E06EE6"/>
    <w:rsid w:val="50E53551"/>
    <w:rsid w:val="50E84DEF"/>
    <w:rsid w:val="50EC0779"/>
    <w:rsid w:val="50EF2622"/>
    <w:rsid w:val="50F3081A"/>
    <w:rsid w:val="50FB0FC7"/>
    <w:rsid w:val="50FB76B2"/>
    <w:rsid w:val="50FD3830"/>
    <w:rsid w:val="50FD6AED"/>
    <w:rsid w:val="50FE4613"/>
    <w:rsid w:val="5100038B"/>
    <w:rsid w:val="5100482F"/>
    <w:rsid w:val="51037E7B"/>
    <w:rsid w:val="51085492"/>
    <w:rsid w:val="510A2FB8"/>
    <w:rsid w:val="510C2AA6"/>
    <w:rsid w:val="510C32BB"/>
    <w:rsid w:val="510C6D30"/>
    <w:rsid w:val="510D731C"/>
    <w:rsid w:val="5114771B"/>
    <w:rsid w:val="512E4EF8"/>
    <w:rsid w:val="51303F7A"/>
    <w:rsid w:val="51340C0D"/>
    <w:rsid w:val="51402E7D"/>
    <w:rsid w:val="51404C2B"/>
    <w:rsid w:val="5144471C"/>
    <w:rsid w:val="51475FBA"/>
    <w:rsid w:val="51491D32"/>
    <w:rsid w:val="514C5F8F"/>
    <w:rsid w:val="514E559A"/>
    <w:rsid w:val="5150297B"/>
    <w:rsid w:val="51505381"/>
    <w:rsid w:val="51510260"/>
    <w:rsid w:val="51570B89"/>
    <w:rsid w:val="5160707C"/>
    <w:rsid w:val="516A1CA8"/>
    <w:rsid w:val="51736DAF"/>
    <w:rsid w:val="5176689F"/>
    <w:rsid w:val="517E1B1A"/>
    <w:rsid w:val="51850890"/>
    <w:rsid w:val="519805C3"/>
    <w:rsid w:val="5198235F"/>
    <w:rsid w:val="51984A67"/>
    <w:rsid w:val="519A07DF"/>
    <w:rsid w:val="51A406B5"/>
    <w:rsid w:val="51A451BA"/>
    <w:rsid w:val="51A45313"/>
    <w:rsid w:val="51A60F32"/>
    <w:rsid w:val="51A927D1"/>
    <w:rsid w:val="51B01DB1"/>
    <w:rsid w:val="51B162DE"/>
    <w:rsid w:val="51B66C9C"/>
    <w:rsid w:val="51B6770D"/>
    <w:rsid w:val="51B86EB8"/>
    <w:rsid w:val="51BB4DAA"/>
    <w:rsid w:val="51BB633A"/>
    <w:rsid w:val="51BD627C"/>
    <w:rsid w:val="51BE637E"/>
    <w:rsid w:val="51C770FB"/>
    <w:rsid w:val="51CB489B"/>
    <w:rsid w:val="51CE66DB"/>
    <w:rsid w:val="51D97682"/>
    <w:rsid w:val="51DF4444"/>
    <w:rsid w:val="51E1640E"/>
    <w:rsid w:val="51E269DA"/>
    <w:rsid w:val="51E3392B"/>
    <w:rsid w:val="51E467D1"/>
    <w:rsid w:val="51E710E2"/>
    <w:rsid w:val="51E74AAC"/>
    <w:rsid w:val="51F138FE"/>
    <w:rsid w:val="51FD0674"/>
    <w:rsid w:val="51FD7FDD"/>
    <w:rsid w:val="51FF2310"/>
    <w:rsid w:val="52081B54"/>
    <w:rsid w:val="520926F2"/>
    <w:rsid w:val="520D5BFF"/>
    <w:rsid w:val="521F0C93"/>
    <w:rsid w:val="5224647B"/>
    <w:rsid w:val="52263E21"/>
    <w:rsid w:val="52304CA0"/>
    <w:rsid w:val="5233653E"/>
    <w:rsid w:val="52476130"/>
    <w:rsid w:val="52481FEA"/>
    <w:rsid w:val="5256349A"/>
    <w:rsid w:val="52592449"/>
    <w:rsid w:val="525E35BB"/>
    <w:rsid w:val="526037D7"/>
    <w:rsid w:val="526130AB"/>
    <w:rsid w:val="52651081"/>
    <w:rsid w:val="52734B8D"/>
    <w:rsid w:val="5275209D"/>
    <w:rsid w:val="52754DA9"/>
    <w:rsid w:val="52803148"/>
    <w:rsid w:val="528943B0"/>
    <w:rsid w:val="528F177B"/>
    <w:rsid w:val="52900EEF"/>
    <w:rsid w:val="5292193B"/>
    <w:rsid w:val="52946FDD"/>
    <w:rsid w:val="529E60AD"/>
    <w:rsid w:val="52A01E26"/>
    <w:rsid w:val="52AB7845"/>
    <w:rsid w:val="52AF02BB"/>
    <w:rsid w:val="52B15DE1"/>
    <w:rsid w:val="52B23907"/>
    <w:rsid w:val="52B50A93"/>
    <w:rsid w:val="52B61649"/>
    <w:rsid w:val="52C06024"/>
    <w:rsid w:val="52C378C2"/>
    <w:rsid w:val="52C8312A"/>
    <w:rsid w:val="52CA6EA2"/>
    <w:rsid w:val="52CD0741"/>
    <w:rsid w:val="52D3381C"/>
    <w:rsid w:val="52DC2732"/>
    <w:rsid w:val="52DE294E"/>
    <w:rsid w:val="52DE339A"/>
    <w:rsid w:val="52E55A8A"/>
    <w:rsid w:val="52E95362"/>
    <w:rsid w:val="52EC1CE1"/>
    <w:rsid w:val="52ED0DE3"/>
    <w:rsid w:val="52F8748E"/>
    <w:rsid w:val="52FB47CD"/>
    <w:rsid w:val="52FC4B82"/>
    <w:rsid w:val="52FE6B4C"/>
    <w:rsid w:val="52FF78E7"/>
    <w:rsid w:val="530219FE"/>
    <w:rsid w:val="5302488E"/>
    <w:rsid w:val="530879CB"/>
    <w:rsid w:val="530E2C43"/>
    <w:rsid w:val="531445C2"/>
    <w:rsid w:val="53220A8C"/>
    <w:rsid w:val="532A5B93"/>
    <w:rsid w:val="5333117E"/>
    <w:rsid w:val="533322BB"/>
    <w:rsid w:val="533455D0"/>
    <w:rsid w:val="53346A1D"/>
    <w:rsid w:val="5335204D"/>
    <w:rsid w:val="53395DD6"/>
    <w:rsid w:val="533F74A8"/>
    <w:rsid w:val="534053B7"/>
    <w:rsid w:val="53446C55"/>
    <w:rsid w:val="534530AA"/>
    <w:rsid w:val="5346403C"/>
    <w:rsid w:val="534851C2"/>
    <w:rsid w:val="53536E98"/>
    <w:rsid w:val="53605111"/>
    <w:rsid w:val="53620E89"/>
    <w:rsid w:val="5367649F"/>
    <w:rsid w:val="536B602B"/>
    <w:rsid w:val="536C1381"/>
    <w:rsid w:val="536E5A80"/>
    <w:rsid w:val="536F35A6"/>
    <w:rsid w:val="53755DED"/>
    <w:rsid w:val="53764934"/>
    <w:rsid w:val="537A4340"/>
    <w:rsid w:val="537C2705"/>
    <w:rsid w:val="538708F0"/>
    <w:rsid w:val="538B6CC9"/>
    <w:rsid w:val="538D5CAC"/>
    <w:rsid w:val="539179C0"/>
    <w:rsid w:val="53933738"/>
    <w:rsid w:val="539354E6"/>
    <w:rsid w:val="539620A7"/>
    <w:rsid w:val="539D170A"/>
    <w:rsid w:val="539D6365"/>
    <w:rsid w:val="53A05007"/>
    <w:rsid w:val="53A64ACB"/>
    <w:rsid w:val="53A771E4"/>
    <w:rsid w:val="53AC47FA"/>
    <w:rsid w:val="53B06098"/>
    <w:rsid w:val="53B21D92"/>
    <w:rsid w:val="53B67427"/>
    <w:rsid w:val="53B73702"/>
    <w:rsid w:val="53BD388D"/>
    <w:rsid w:val="53C27B7A"/>
    <w:rsid w:val="53C90F08"/>
    <w:rsid w:val="53CC09F8"/>
    <w:rsid w:val="53D0673A"/>
    <w:rsid w:val="53DA4EC3"/>
    <w:rsid w:val="53DC50DF"/>
    <w:rsid w:val="53F40419"/>
    <w:rsid w:val="53F9565D"/>
    <w:rsid w:val="53FB35FD"/>
    <w:rsid w:val="53FF492A"/>
    <w:rsid w:val="5401586D"/>
    <w:rsid w:val="5403405F"/>
    <w:rsid w:val="541B3E3E"/>
    <w:rsid w:val="541B4CF0"/>
    <w:rsid w:val="541D223B"/>
    <w:rsid w:val="542B571F"/>
    <w:rsid w:val="54316BCF"/>
    <w:rsid w:val="54322F51"/>
    <w:rsid w:val="54324CFF"/>
    <w:rsid w:val="543F520E"/>
    <w:rsid w:val="54401D64"/>
    <w:rsid w:val="544463AA"/>
    <w:rsid w:val="54455E66"/>
    <w:rsid w:val="544A056F"/>
    <w:rsid w:val="544B5DC1"/>
    <w:rsid w:val="544F3B03"/>
    <w:rsid w:val="54596730"/>
    <w:rsid w:val="545C7FCE"/>
    <w:rsid w:val="54680721"/>
    <w:rsid w:val="546D5D37"/>
    <w:rsid w:val="54717DB0"/>
    <w:rsid w:val="547F5A6B"/>
    <w:rsid w:val="54985392"/>
    <w:rsid w:val="549C486F"/>
    <w:rsid w:val="549E2395"/>
    <w:rsid w:val="54A656ED"/>
    <w:rsid w:val="54AA699E"/>
    <w:rsid w:val="54AD25D8"/>
    <w:rsid w:val="54AD63C4"/>
    <w:rsid w:val="54AE00FE"/>
    <w:rsid w:val="54B35714"/>
    <w:rsid w:val="54BA568B"/>
    <w:rsid w:val="54BC0A6D"/>
    <w:rsid w:val="54BF230B"/>
    <w:rsid w:val="54C12C6E"/>
    <w:rsid w:val="54C36370"/>
    <w:rsid w:val="54C625D1"/>
    <w:rsid w:val="54CE480A"/>
    <w:rsid w:val="54DE6C35"/>
    <w:rsid w:val="54E12281"/>
    <w:rsid w:val="54E65AEA"/>
    <w:rsid w:val="54E90592"/>
    <w:rsid w:val="54E94C4F"/>
    <w:rsid w:val="54E9520D"/>
    <w:rsid w:val="54F63F7F"/>
    <w:rsid w:val="54F9581D"/>
    <w:rsid w:val="54FB7388"/>
    <w:rsid w:val="54FE2E33"/>
    <w:rsid w:val="54FE72D7"/>
    <w:rsid w:val="55032FC6"/>
    <w:rsid w:val="550B5550"/>
    <w:rsid w:val="55121D24"/>
    <w:rsid w:val="55142657"/>
    <w:rsid w:val="55144405"/>
    <w:rsid w:val="551509A8"/>
    <w:rsid w:val="551663CF"/>
    <w:rsid w:val="55167559"/>
    <w:rsid w:val="55197C6D"/>
    <w:rsid w:val="5521161C"/>
    <w:rsid w:val="55216B22"/>
    <w:rsid w:val="55252FED"/>
    <w:rsid w:val="552705DC"/>
    <w:rsid w:val="552A1E7A"/>
    <w:rsid w:val="553700F3"/>
    <w:rsid w:val="55384597"/>
    <w:rsid w:val="55410783"/>
    <w:rsid w:val="554D7917"/>
    <w:rsid w:val="554E3DBB"/>
    <w:rsid w:val="5552317F"/>
    <w:rsid w:val="555C4981"/>
    <w:rsid w:val="555E7D76"/>
    <w:rsid w:val="55605ECC"/>
    <w:rsid w:val="55656264"/>
    <w:rsid w:val="55711223"/>
    <w:rsid w:val="557425B0"/>
    <w:rsid w:val="557430F6"/>
    <w:rsid w:val="55745922"/>
    <w:rsid w:val="55775F34"/>
    <w:rsid w:val="558477DD"/>
    <w:rsid w:val="558A46C7"/>
    <w:rsid w:val="558C6691"/>
    <w:rsid w:val="558F7F2F"/>
    <w:rsid w:val="55915A56"/>
    <w:rsid w:val="55925924"/>
    <w:rsid w:val="559317CE"/>
    <w:rsid w:val="55937A20"/>
    <w:rsid w:val="559519EA"/>
    <w:rsid w:val="55990DAE"/>
    <w:rsid w:val="559A1FC3"/>
    <w:rsid w:val="559F4616"/>
    <w:rsid w:val="55A35789"/>
    <w:rsid w:val="55A72102"/>
    <w:rsid w:val="55AC6D33"/>
    <w:rsid w:val="55AE1142"/>
    <w:rsid w:val="55AF1CE0"/>
    <w:rsid w:val="55BD4A9D"/>
    <w:rsid w:val="55C0633B"/>
    <w:rsid w:val="55C220B3"/>
    <w:rsid w:val="55C53951"/>
    <w:rsid w:val="55C94D0E"/>
    <w:rsid w:val="55D93942"/>
    <w:rsid w:val="55DB13C7"/>
    <w:rsid w:val="55DE1FA2"/>
    <w:rsid w:val="55E71B19"/>
    <w:rsid w:val="55EC35D4"/>
    <w:rsid w:val="55F02A8A"/>
    <w:rsid w:val="55F04E72"/>
    <w:rsid w:val="55F34962"/>
    <w:rsid w:val="55F44741"/>
    <w:rsid w:val="55F56BBD"/>
    <w:rsid w:val="55F873F7"/>
    <w:rsid w:val="55F92B6C"/>
    <w:rsid w:val="55FD30EB"/>
    <w:rsid w:val="5610105A"/>
    <w:rsid w:val="56121DC3"/>
    <w:rsid w:val="56206DD9"/>
    <w:rsid w:val="56242D6E"/>
    <w:rsid w:val="5628370D"/>
    <w:rsid w:val="562C4DF6"/>
    <w:rsid w:val="56311020"/>
    <w:rsid w:val="563352B9"/>
    <w:rsid w:val="563F39B0"/>
    <w:rsid w:val="5642624B"/>
    <w:rsid w:val="56476F17"/>
    <w:rsid w:val="56532714"/>
    <w:rsid w:val="565412E1"/>
    <w:rsid w:val="56556957"/>
    <w:rsid w:val="56570A4D"/>
    <w:rsid w:val="56574EF1"/>
    <w:rsid w:val="565D1435"/>
    <w:rsid w:val="566413BC"/>
    <w:rsid w:val="56690780"/>
    <w:rsid w:val="566C0958"/>
    <w:rsid w:val="566C201F"/>
    <w:rsid w:val="56705FB3"/>
    <w:rsid w:val="56707D61"/>
    <w:rsid w:val="567C0587"/>
    <w:rsid w:val="56881A0F"/>
    <w:rsid w:val="56892496"/>
    <w:rsid w:val="568F468B"/>
    <w:rsid w:val="56933C6D"/>
    <w:rsid w:val="5694674A"/>
    <w:rsid w:val="56995D14"/>
    <w:rsid w:val="569A4DDE"/>
    <w:rsid w:val="569D042A"/>
    <w:rsid w:val="569F23F4"/>
    <w:rsid w:val="56A1421F"/>
    <w:rsid w:val="56AB0D99"/>
    <w:rsid w:val="56AD68BF"/>
    <w:rsid w:val="56B0015D"/>
    <w:rsid w:val="56B55774"/>
    <w:rsid w:val="56BD287A"/>
    <w:rsid w:val="56BF4844"/>
    <w:rsid w:val="56CA0609"/>
    <w:rsid w:val="56D227CA"/>
    <w:rsid w:val="56D35BDC"/>
    <w:rsid w:val="56D402F0"/>
    <w:rsid w:val="56D71B8E"/>
    <w:rsid w:val="56DA342C"/>
    <w:rsid w:val="56DC71A4"/>
    <w:rsid w:val="56DE2F1C"/>
    <w:rsid w:val="56E235EF"/>
    <w:rsid w:val="56E36785"/>
    <w:rsid w:val="56ED315F"/>
    <w:rsid w:val="56EE0C86"/>
    <w:rsid w:val="56F00EA2"/>
    <w:rsid w:val="56F7346E"/>
    <w:rsid w:val="56F95FA8"/>
    <w:rsid w:val="56FE711B"/>
    <w:rsid w:val="570404A9"/>
    <w:rsid w:val="570566FB"/>
    <w:rsid w:val="57064221"/>
    <w:rsid w:val="57087F99"/>
    <w:rsid w:val="570B7E19"/>
    <w:rsid w:val="570F1328"/>
    <w:rsid w:val="570F757A"/>
    <w:rsid w:val="57144B90"/>
    <w:rsid w:val="571E21DB"/>
    <w:rsid w:val="57231423"/>
    <w:rsid w:val="57234B4C"/>
    <w:rsid w:val="57234DD3"/>
    <w:rsid w:val="572900A3"/>
    <w:rsid w:val="572D2E1D"/>
    <w:rsid w:val="5730373C"/>
    <w:rsid w:val="57315742"/>
    <w:rsid w:val="573568B4"/>
    <w:rsid w:val="5738327B"/>
    <w:rsid w:val="573B5557"/>
    <w:rsid w:val="574D00A2"/>
    <w:rsid w:val="57543D6E"/>
    <w:rsid w:val="575643C0"/>
    <w:rsid w:val="575651A9"/>
    <w:rsid w:val="575D338C"/>
    <w:rsid w:val="57621579"/>
    <w:rsid w:val="57630431"/>
    <w:rsid w:val="576C677A"/>
    <w:rsid w:val="577C59AD"/>
    <w:rsid w:val="577E6A3F"/>
    <w:rsid w:val="57827D4C"/>
    <w:rsid w:val="57A71560"/>
    <w:rsid w:val="57AE6D93"/>
    <w:rsid w:val="57B1418D"/>
    <w:rsid w:val="57B63614"/>
    <w:rsid w:val="57B65C47"/>
    <w:rsid w:val="57BA277F"/>
    <w:rsid w:val="57BB325E"/>
    <w:rsid w:val="57C100EB"/>
    <w:rsid w:val="57C27E48"/>
    <w:rsid w:val="57C33EC0"/>
    <w:rsid w:val="57C61656"/>
    <w:rsid w:val="57CB0FBC"/>
    <w:rsid w:val="57D101C5"/>
    <w:rsid w:val="57D22F31"/>
    <w:rsid w:val="57D30256"/>
    <w:rsid w:val="57D52571"/>
    <w:rsid w:val="57D83E10"/>
    <w:rsid w:val="57D94165"/>
    <w:rsid w:val="57E502DB"/>
    <w:rsid w:val="57EF10CB"/>
    <w:rsid w:val="57EF1159"/>
    <w:rsid w:val="57F02454"/>
    <w:rsid w:val="57F14ED1"/>
    <w:rsid w:val="57F57B97"/>
    <w:rsid w:val="57F77222"/>
    <w:rsid w:val="57FA3D86"/>
    <w:rsid w:val="58033C6B"/>
    <w:rsid w:val="58062172"/>
    <w:rsid w:val="580B79BC"/>
    <w:rsid w:val="580E59F2"/>
    <w:rsid w:val="580F3445"/>
    <w:rsid w:val="58131482"/>
    <w:rsid w:val="5818245E"/>
    <w:rsid w:val="581B1F4E"/>
    <w:rsid w:val="581B5AAA"/>
    <w:rsid w:val="581E0C58"/>
    <w:rsid w:val="582C5040"/>
    <w:rsid w:val="582E3A30"/>
    <w:rsid w:val="58382B00"/>
    <w:rsid w:val="583B7EFB"/>
    <w:rsid w:val="583F79EB"/>
    <w:rsid w:val="584077DE"/>
    <w:rsid w:val="58417C07"/>
    <w:rsid w:val="58445001"/>
    <w:rsid w:val="58490869"/>
    <w:rsid w:val="58496ABB"/>
    <w:rsid w:val="584C2108"/>
    <w:rsid w:val="58501BF8"/>
    <w:rsid w:val="58507E4A"/>
    <w:rsid w:val="58564D34"/>
    <w:rsid w:val="585711D8"/>
    <w:rsid w:val="58595213"/>
    <w:rsid w:val="585C67EF"/>
    <w:rsid w:val="585D4315"/>
    <w:rsid w:val="585F1E3B"/>
    <w:rsid w:val="586A683B"/>
    <w:rsid w:val="587217B3"/>
    <w:rsid w:val="58790D08"/>
    <w:rsid w:val="587A542D"/>
    <w:rsid w:val="587D6765"/>
    <w:rsid w:val="587F6039"/>
    <w:rsid w:val="58810003"/>
    <w:rsid w:val="5881560A"/>
    <w:rsid w:val="58922210"/>
    <w:rsid w:val="58951D01"/>
    <w:rsid w:val="589917F1"/>
    <w:rsid w:val="58A91308"/>
    <w:rsid w:val="58B918A9"/>
    <w:rsid w:val="58E40592"/>
    <w:rsid w:val="58EB36CF"/>
    <w:rsid w:val="58EE24A8"/>
    <w:rsid w:val="58F279CF"/>
    <w:rsid w:val="58F856B0"/>
    <w:rsid w:val="58F9403E"/>
    <w:rsid w:val="58FA7DB6"/>
    <w:rsid w:val="58FD6FCE"/>
    <w:rsid w:val="59050C34"/>
    <w:rsid w:val="59060509"/>
    <w:rsid w:val="590B1FC3"/>
    <w:rsid w:val="590D1897"/>
    <w:rsid w:val="59160638"/>
    <w:rsid w:val="591E5852"/>
    <w:rsid w:val="591F793E"/>
    <w:rsid w:val="59205A6E"/>
    <w:rsid w:val="59215342"/>
    <w:rsid w:val="592B61C1"/>
    <w:rsid w:val="592F3F03"/>
    <w:rsid w:val="592F5CB1"/>
    <w:rsid w:val="59367040"/>
    <w:rsid w:val="593A6404"/>
    <w:rsid w:val="593C03CE"/>
    <w:rsid w:val="593E4146"/>
    <w:rsid w:val="59411541"/>
    <w:rsid w:val="59417793"/>
    <w:rsid w:val="5943574A"/>
    <w:rsid w:val="594360A4"/>
    <w:rsid w:val="59437447"/>
    <w:rsid w:val="59464DA9"/>
    <w:rsid w:val="59480B21"/>
    <w:rsid w:val="594A2AEB"/>
    <w:rsid w:val="594D25DB"/>
    <w:rsid w:val="59500B7F"/>
    <w:rsid w:val="59505A7A"/>
    <w:rsid w:val="5954396A"/>
    <w:rsid w:val="595440D5"/>
    <w:rsid w:val="595474C6"/>
    <w:rsid w:val="59570D64"/>
    <w:rsid w:val="59593BFC"/>
    <w:rsid w:val="59613F3C"/>
    <w:rsid w:val="596179CA"/>
    <w:rsid w:val="596A6CE9"/>
    <w:rsid w:val="596E5500"/>
    <w:rsid w:val="596F4065"/>
    <w:rsid w:val="596F4300"/>
    <w:rsid w:val="59723DF0"/>
    <w:rsid w:val="5975743C"/>
    <w:rsid w:val="597C07CB"/>
    <w:rsid w:val="59814033"/>
    <w:rsid w:val="598D656A"/>
    <w:rsid w:val="5991071A"/>
    <w:rsid w:val="599152EF"/>
    <w:rsid w:val="59941FB8"/>
    <w:rsid w:val="599C373B"/>
    <w:rsid w:val="59A0270B"/>
    <w:rsid w:val="59AA75D4"/>
    <w:rsid w:val="59AB2CF6"/>
    <w:rsid w:val="59B241EC"/>
    <w:rsid w:val="59B368E2"/>
    <w:rsid w:val="59B77A55"/>
    <w:rsid w:val="59C127A3"/>
    <w:rsid w:val="59C3464B"/>
    <w:rsid w:val="59C57C77"/>
    <w:rsid w:val="59C83A10"/>
    <w:rsid w:val="59C943E9"/>
    <w:rsid w:val="59CB7673"/>
    <w:rsid w:val="59DB3743"/>
    <w:rsid w:val="59DD74BB"/>
    <w:rsid w:val="59DE4FE1"/>
    <w:rsid w:val="59E206B9"/>
    <w:rsid w:val="59E3084A"/>
    <w:rsid w:val="59E44015"/>
    <w:rsid w:val="59E629DE"/>
    <w:rsid w:val="59E64851"/>
    <w:rsid w:val="59EC30C7"/>
    <w:rsid w:val="59EE16C8"/>
    <w:rsid w:val="59F20521"/>
    <w:rsid w:val="59F20A8D"/>
    <w:rsid w:val="59F51775"/>
    <w:rsid w:val="59F80EAD"/>
    <w:rsid w:val="59FB4427"/>
    <w:rsid w:val="5A07715A"/>
    <w:rsid w:val="5A081B9B"/>
    <w:rsid w:val="5A085398"/>
    <w:rsid w:val="5A156465"/>
    <w:rsid w:val="5A1A070F"/>
    <w:rsid w:val="5A1A5B33"/>
    <w:rsid w:val="5A272E2C"/>
    <w:rsid w:val="5A303108"/>
    <w:rsid w:val="5A3A490E"/>
    <w:rsid w:val="5A437DF3"/>
    <w:rsid w:val="5A4A2677"/>
    <w:rsid w:val="5A56101C"/>
    <w:rsid w:val="5A576F72"/>
    <w:rsid w:val="5A582FE6"/>
    <w:rsid w:val="5A59031C"/>
    <w:rsid w:val="5A5A108A"/>
    <w:rsid w:val="5A5F25C6"/>
    <w:rsid w:val="5A673229"/>
    <w:rsid w:val="5A6C4CE3"/>
    <w:rsid w:val="5A6E04DA"/>
    <w:rsid w:val="5A700DA8"/>
    <w:rsid w:val="5A715E56"/>
    <w:rsid w:val="5A7E0F29"/>
    <w:rsid w:val="5A7F4A16"/>
    <w:rsid w:val="5A8A5E5E"/>
    <w:rsid w:val="5A8D7133"/>
    <w:rsid w:val="5A920839"/>
    <w:rsid w:val="5A964AD7"/>
    <w:rsid w:val="5A9F52B9"/>
    <w:rsid w:val="5AAB75B9"/>
    <w:rsid w:val="5AAC50E0"/>
    <w:rsid w:val="5AAF20E9"/>
    <w:rsid w:val="5AB26B9A"/>
    <w:rsid w:val="5AB53F94"/>
    <w:rsid w:val="5ABC142C"/>
    <w:rsid w:val="5ABD5454"/>
    <w:rsid w:val="5AC474BB"/>
    <w:rsid w:val="5AC92526"/>
    <w:rsid w:val="5AC92B4C"/>
    <w:rsid w:val="5AC93EE4"/>
    <w:rsid w:val="5ACE5056"/>
    <w:rsid w:val="5ADC3431"/>
    <w:rsid w:val="5ADE798F"/>
    <w:rsid w:val="5AE20018"/>
    <w:rsid w:val="5AE42ACB"/>
    <w:rsid w:val="5AEB18AD"/>
    <w:rsid w:val="5AF076C2"/>
    <w:rsid w:val="5AF26F96"/>
    <w:rsid w:val="5AF727FF"/>
    <w:rsid w:val="5AF95341"/>
    <w:rsid w:val="5AF97ECB"/>
    <w:rsid w:val="5AFF2821"/>
    <w:rsid w:val="5AFF2AAF"/>
    <w:rsid w:val="5B01473C"/>
    <w:rsid w:val="5B022F52"/>
    <w:rsid w:val="5B0311A3"/>
    <w:rsid w:val="5B043012"/>
    <w:rsid w:val="5B0A122A"/>
    <w:rsid w:val="5B0B1E06"/>
    <w:rsid w:val="5B0F5D9A"/>
    <w:rsid w:val="5B1135DA"/>
    <w:rsid w:val="5B185CA8"/>
    <w:rsid w:val="5B1D0885"/>
    <w:rsid w:val="5B1D1854"/>
    <w:rsid w:val="5B1F1D55"/>
    <w:rsid w:val="5B224AB4"/>
    <w:rsid w:val="5B2452CA"/>
    <w:rsid w:val="5B280C0A"/>
    <w:rsid w:val="5B28522E"/>
    <w:rsid w:val="5B2C0601"/>
    <w:rsid w:val="5B351579"/>
    <w:rsid w:val="5B4B61BB"/>
    <w:rsid w:val="5B61236E"/>
    <w:rsid w:val="5B6410C3"/>
    <w:rsid w:val="5B652F32"/>
    <w:rsid w:val="5B661732"/>
    <w:rsid w:val="5B6836FC"/>
    <w:rsid w:val="5B6A2FD1"/>
    <w:rsid w:val="5B6A7475"/>
    <w:rsid w:val="5B6D2930"/>
    <w:rsid w:val="5B6E1818"/>
    <w:rsid w:val="5B70610D"/>
    <w:rsid w:val="5B751975"/>
    <w:rsid w:val="5B75506C"/>
    <w:rsid w:val="5B8322E4"/>
    <w:rsid w:val="5B8A5E16"/>
    <w:rsid w:val="5B8E653B"/>
    <w:rsid w:val="5B9C5154"/>
    <w:rsid w:val="5BA30291"/>
    <w:rsid w:val="5BA77D72"/>
    <w:rsid w:val="5BB95D06"/>
    <w:rsid w:val="5BC316CD"/>
    <w:rsid w:val="5BC8419B"/>
    <w:rsid w:val="5BCD7046"/>
    <w:rsid w:val="5BD14DA8"/>
    <w:rsid w:val="5BD40D92"/>
    <w:rsid w:val="5BD82630"/>
    <w:rsid w:val="5BD90156"/>
    <w:rsid w:val="5BDE39BF"/>
    <w:rsid w:val="5BE30FD5"/>
    <w:rsid w:val="5BE50B29"/>
    <w:rsid w:val="5BE54D4D"/>
    <w:rsid w:val="5BEF1799"/>
    <w:rsid w:val="5BF10FE5"/>
    <w:rsid w:val="5BF6525D"/>
    <w:rsid w:val="5BF705DC"/>
    <w:rsid w:val="5BF831AF"/>
    <w:rsid w:val="5BFF1FE5"/>
    <w:rsid w:val="5C007110"/>
    <w:rsid w:val="5C0A6562"/>
    <w:rsid w:val="5C0C4088"/>
    <w:rsid w:val="5C0E3189"/>
    <w:rsid w:val="5C0F3B78"/>
    <w:rsid w:val="5C115B42"/>
    <w:rsid w:val="5C1178F0"/>
    <w:rsid w:val="5C1C479A"/>
    <w:rsid w:val="5C1C6445"/>
    <w:rsid w:val="5C207B33"/>
    <w:rsid w:val="5C334CCE"/>
    <w:rsid w:val="5C367357"/>
    <w:rsid w:val="5C3D6937"/>
    <w:rsid w:val="5C3E7830"/>
    <w:rsid w:val="5C4307BC"/>
    <w:rsid w:val="5C433822"/>
    <w:rsid w:val="5C5A1297"/>
    <w:rsid w:val="5C5B6DBD"/>
    <w:rsid w:val="5C641313"/>
    <w:rsid w:val="5C6739B4"/>
    <w:rsid w:val="5C6A5252"/>
    <w:rsid w:val="5C6E6AF1"/>
    <w:rsid w:val="5C6F2B60"/>
    <w:rsid w:val="5C7165E1"/>
    <w:rsid w:val="5C846314"/>
    <w:rsid w:val="5C853E3A"/>
    <w:rsid w:val="5C8C341B"/>
    <w:rsid w:val="5C8E7193"/>
    <w:rsid w:val="5C936557"/>
    <w:rsid w:val="5C950521"/>
    <w:rsid w:val="5C9C3DA9"/>
    <w:rsid w:val="5C9E402C"/>
    <w:rsid w:val="5CAC13C7"/>
    <w:rsid w:val="5CB62246"/>
    <w:rsid w:val="5CB84210"/>
    <w:rsid w:val="5CBA1D36"/>
    <w:rsid w:val="5CBC3D00"/>
    <w:rsid w:val="5CBD35D4"/>
    <w:rsid w:val="5CBF734C"/>
    <w:rsid w:val="5CC04E72"/>
    <w:rsid w:val="5CC051CE"/>
    <w:rsid w:val="5CC26E3C"/>
    <w:rsid w:val="5CC44962"/>
    <w:rsid w:val="5CD54DC2"/>
    <w:rsid w:val="5CDA307C"/>
    <w:rsid w:val="5CDF043C"/>
    <w:rsid w:val="5CE95B0C"/>
    <w:rsid w:val="5CEA65A2"/>
    <w:rsid w:val="5CED3864"/>
    <w:rsid w:val="5CF3349A"/>
    <w:rsid w:val="5CFA65D6"/>
    <w:rsid w:val="5D0928E5"/>
    <w:rsid w:val="5D0A1FB7"/>
    <w:rsid w:val="5D0A3484"/>
    <w:rsid w:val="5D0D559B"/>
    <w:rsid w:val="5D1551BE"/>
    <w:rsid w:val="5D1C654D"/>
    <w:rsid w:val="5D1D4073"/>
    <w:rsid w:val="5D24567A"/>
    <w:rsid w:val="5D2B49E2"/>
    <w:rsid w:val="5D3521BC"/>
    <w:rsid w:val="5D355860"/>
    <w:rsid w:val="5D373386"/>
    <w:rsid w:val="5D407AD5"/>
    <w:rsid w:val="5D423AD9"/>
    <w:rsid w:val="5D49149F"/>
    <w:rsid w:val="5D4E6EAC"/>
    <w:rsid w:val="5D4F6922"/>
    <w:rsid w:val="5D546CA2"/>
    <w:rsid w:val="5D582BC2"/>
    <w:rsid w:val="5D5932FD"/>
    <w:rsid w:val="5D5C1A16"/>
    <w:rsid w:val="5D5F28DD"/>
    <w:rsid w:val="5D635777"/>
    <w:rsid w:val="5D6879E4"/>
    <w:rsid w:val="5D69550A"/>
    <w:rsid w:val="5D6E1669"/>
    <w:rsid w:val="5D701754"/>
    <w:rsid w:val="5D740137"/>
    <w:rsid w:val="5D775E79"/>
    <w:rsid w:val="5D79399F"/>
    <w:rsid w:val="5D7B64BE"/>
    <w:rsid w:val="5D7C348F"/>
    <w:rsid w:val="5D8665D0"/>
    <w:rsid w:val="5D8B722E"/>
    <w:rsid w:val="5D961E66"/>
    <w:rsid w:val="5D9953D6"/>
    <w:rsid w:val="5D9A7FA7"/>
    <w:rsid w:val="5D9B340E"/>
    <w:rsid w:val="5D9F3E18"/>
    <w:rsid w:val="5DA0717E"/>
    <w:rsid w:val="5DA12EF6"/>
    <w:rsid w:val="5DA551E3"/>
    <w:rsid w:val="5DA56542"/>
    <w:rsid w:val="5DA927BE"/>
    <w:rsid w:val="5DAD53F7"/>
    <w:rsid w:val="5DB03139"/>
    <w:rsid w:val="5DB469BC"/>
    <w:rsid w:val="5DB91FED"/>
    <w:rsid w:val="5DC664B8"/>
    <w:rsid w:val="5DD140D6"/>
    <w:rsid w:val="5DD24E5D"/>
    <w:rsid w:val="5DD46E27"/>
    <w:rsid w:val="5DD6549B"/>
    <w:rsid w:val="5DD92690"/>
    <w:rsid w:val="5DDC79F3"/>
    <w:rsid w:val="5DE51034"/>
    <w:rsid w:val="5DEA664B"/>
    <w:rsid w:val="5DED216E"/>
    <w:rsid w:val="5DED2C36"/>
    <w:rsid w:val="5DF50B4C"/>
    <w:rsid w:val="5DF71793"/>
    <w:rsid w:val="5DFA47E8"/>
    <w:rsid w:val="5E021A74"/>
    <w:rsid w:val="5E062D59"/>
    <w:rsid w:val="5E084D23"/>
    <w:rsid w:val="5E0C385E"/>
    <w:rsid w:val="5E130070"/>
    <w:rsid w:val="5E1636E9"/>
    <w:rsid w:val="5E174F66"/>
    <w:rsid w:val="5E2356B9"/>
    <w:rsid w:val="5E2531C8"/>
    <w:rsid w:val="5E27164D"/>
    <w:rsid w:val="5E2A2EEB"/>
    <w:rsid w:val="5E2A50FE"/>
    <w:rsid w:val="5E2F29E1"/>
    <w:rsid w:val="5E331DA0"/>
    <w:rsid w:val="5E453AFA"/>
    <w:rsid w:val="5E474E1E"/>
    <w:rsid w:val="5E47584B"/>
    <w:rsid w:val="5E4C10B3"/>
    <w:rsid w:val="5E5540AA"/>
    <w:rsid w:val="5E571D72"/>
    <w:rsid w:val="5E5A354E"/>
    <w:rsid w:val="5E5D0BCB"/>
    <w:rsid w:val="5E613E9E"/>
    <w:rsid w:val="5E6463FD"/>
    <w:rsid w:val="5E652175"/>
    <w:rsid w:val="5E6A4F50"/>
    <w:rsid w:val="5E6C7060"/>
    <w:rsid w:val="5E6E2DD8"/>
    <w:rsid w:val="5E714676"/>
    <w:rsid w:val="5E745F14"/>
    <w:rsid w:val="5E751981"/>
    <w:rsid w:val="5E7E13F0"/>
    <w:rsid w:val="5E7F3237"/>
    <w:rsid w:val="5E800D5D"/>
    <w:rsid w:val="5E802B0B"/>
    <w:rsid w:val="5E960581"/>
    <w:rsid w:val="5E9A6A47"/>
    <w:rsid w:val="5EA95F33"/>
    <w:rsid w:val="5EB033F0"/>
    <w:rsid w:val="5EB05CD7"/>
    <w:rsid w:val="5EB36C6F"/>
    <w:rsid w:val="5EB629D1"/>
    <w:rsid w:val="5EBF3D90"/>
    <w:rsid w:val="5EC57A84"/>
    <w:rsid w:val="5EC83355"/>
    <w:rsid w:val="5ECE7D1A"/>
    <w:rsid w:val="5ED8696C"/>
    <w:rsid w:val="5ED86C69"/>
    <w:rsid w:val="5EDA0F44"/>
    <w:rsid w:val="5EDA66BF"/>
    <w:rsid w:val="5EDD7F5D"/>
    <w:rsid w:val="5EEB4428"/>
    <w:rsid w:val="5EEC1F4F"/>
    <w:rsid w:val="5EEF3481"/>
    <w:rsid w:val="5EF3152F"/>
    <w:rsid w:val="5EF64B7B"/>
    <w:rsid w:val="5EF67D82"/>
    <w:rsid w:val="5EFA28BD"/>
    <w:rsid w:val="5EFA466C"/>
    <w:rsid w:val="5F031561"/>
    <w:rsid w:val="5F053010"/>
    <w:rsid w:val="5F0A5107"/>
    <w:rsid w:val="5F1514A5"/>
    <w:rsid w:val="5F1F2324"/>
    <w:rsid w:val="5F1F40D2"/>
    <w:rsid w:val="5F217E4A"/>
    <w:rsid w:val="5F230066"/>
    <w:rsid w:val="5F2636B2"/>
    <w:rsid w:val="5F2913F5"/>
    <w:rsid w:val="5F2D4A41"/>
    <w:rsid w:val="5F2F70BE"/>
    <w:rsid w:val="5F3062DF"/>
    <w:rsid w:val="5F33214B"/>
    <w:rsid w:val="5F3439F6"/>
    <w:rsid w:val="5F394535"/>
    <w:rsid w:val="5F3F4774"/>
    <w:rsid w:val="5F443B39"/>
    <w:rsid w:val="5F49114F"/>
    <w:rsid w:val="5F4D55A4"/>
    <w:rsid w:val="5F531FCE"/>
    <w:rsid w:val="5F553073"/>
    <w:rsid w:val="5F5B4CF9"/>
    <w:rsid w:val="5F6110F5"/>
    <w:rsid w:val="5F683CCB"/>
    <w:rsid w:val="5F6E0BB6"/>
    <w:rsid w:val="5F70492E"/>
    <w:rsid w:val="5F711D11"/>
    <w:rsid w:val="5F720B41"/>
    <w:rsid w:val="5F73151B"/>
    <w:rsid w:val="5F795ED8"/>
    <w:rsid w:val="5F7D704B"/>
    <w:rsid w:val="5F8030B6"/>
    <w:rsid w:val="5F8561DD"/>
    <w:rsid w:val="5F8672E6"/>
    <w:rsid w:val="5F920D48"/>
    <w:rsid w:val="5F93686E"/>
    <w:rsid w:val="5F944E8A"/>
    <w:rsid w:val="5F9C3975"/>
    <w:rsid w:val="5F9E593F"/>
    <w:rsid w:val="5FA10F8B"/>
    <w:rsid w:val="5FA34D03"/>
    <w:rsid w:val="5FA55B60"/>
    <w:rsid w:val="5FB109C6"/>
    <w:rsid w:val="5FB276FB"/>
    <w:rsid w:val="5FBA29C5"/>
    <w:rsid w:val="5FC40933"/>
    <w:rsid w:val="5FC52ECB"/>
    <w:rsid w:val="5FC914BD"/>
    <w:rsid w:val="5FCB6008"/>
    <w:rsid w:val="5FCD1D80"/>
    <w:rsid w:val="5FCD5059"/>
    <w:rsid w:val="5FCE450D"/>
    <w:rsid w:val="5FD21144"/>
    <w:rsid w:val="5FD24E2C"/>
    <w:rsid w:val="5FD27396"/>
    <w:rsid w:val="5FD50BDC"/>
    <w:rsid w:val="5FD51606"/>
    <w:rsid w:val="5FDF6749"/>
    <w:rsid w:val="5FE05068"/>
    <w:rsid w:val="5FE13A7D"/>
    <w:rsid w:val="5FE65A99"/>
    <w:rsid w:val="5FF05552"/>
    <w:rsid w:val="5FF11F12"/>
    <w:rsid w:val="5FF53C79"/>
    <w:rsid w:val="5FF71415"/>
    <w:rsid w:val="5FF812FF"/>
    <w:rsid w:val="5FF94923"/>
    <w:rsid w:val="5FFB4038"/>
    <w:rsid w:val="5FFB68ED"/>
    <w:rsid w:val="5FFD6D65"/>
    <w:rsid w:val="600A0F5C"/>
    <w:rsid w:val="600A4D82"/>
    <w:rsid w:val="600E24BB"/>
    <w:rsid w:val="60114363"/>
    <w:rsid w:val="60121E89"/>
    <w:rsid w:val="601259E5"/>
    <w:rsid w:val="601B2AEB"/>
    <w:rsid w:val="601E25DC"/>
    <w:rsid w:val="60261490"/>
    <w:rsid w:val="60275934"/>
    <w:rsid w:val="60285208"/>
    <w:rsid w:val="602C4CF9"/>
    <w:rsid w:val="602D0A71"/>
    <w:rsid w:val="602E29D0"/>
    <w:rsid w:val="60317504"/>
    <w:rsid w:val="60335DCE"/>
    <w:rsid w:val="60341DFF"/>
    <w:rsid w:val="604069F6"/>
    <w:rsid w:val="60433D04"/>
    <w:rsid w:val="605211F5"/>
    <w:rsid w:val="605279EE"/>
    <w:rsid w:val="60651FB9"/>
    <w:rsid w:val="607A54CE"/>
    <w:rsid w:val="607E72AC"/>
    <w:rsid w:val="60805044"/>
    <w:rsid w:val="60863BD5"/>
    <w:rsid w:val="608E7761"/>
    <w:rsid w:val="609B00D0"/>
    <w:rsid w:val="609D1752"/>
    <w:rsid w:val="60A9459B"/>
    <w:rsid w:val="60AB42FB"/>
    <w:rsid w:val="60AC7DBB"/>
    <w:rsid w:val="60AD0C1C"/>
    <w:rsid w:val="60AD717A"/>
    <w:rsid w:val="60B06CDD"/>
    <w:rsid w:val="60B127C2"/>
    <w:rsid w:val="60B13450"/>
    <w:rsid w:val="60B46BCD"/>
    <w:rsid w:val="60B60A66"/>
    <w:rsid w:val="60B66CB8"/>
    <w:rsid w:val="60B94F1A"/>
    <w:rsid w:val="60BA6B9C"/>
    <w:rsid w:val="60C174AC"/>
    <w:rsid w:val="60C63ADF"/>
    <w:rsid w:val="60CA62C0"/>
    <w:rsid w:val="60CC028A"/>
    <w:rsid w:val="60D056C5"/>
    <w:rsid w:val="60D3786A"/>
    <w:rsid w:val="60D40EEC"/>
    <w:rsid w:val="60D94755"/>
    <w:rsid w:val="60DF1EC0"/>
    <w:rsid w:val="60E3062F"/>
    <w:rsid w:val="60E90E3C"/>
    <w:rsid w:val="60F07E4B"/>
    <w:rsid w:val="60F11A9E"/>
    <w:rsid w:val="60F8107F"/>
    <w:rsid w:val="60FC61D9"/>
    <w:rsid w:val="60FF240D"/>
    <w:rsid w:val="610B7004"/>
    <w:rsid w:val="61137C66"/>
    <w:rsid w:val="61154AB0"/>
    <w:rsid w:val="61161505"/>
    <w:rsid w:val="6118702B"/>
    <w:rsid w:val="611D0AE5"/>
    <w:rsid w:val="61243C22"/>
    <w:rsid w:val="613A51F3"/>
    <w:rsid w:val="61507684"/>
    <w:rsid w:val="6151253D"/>
    <w:rsid w:val="615434A5"/>
    <w:rsid w:val="6155027F"/>
    <w:rsid w:val="61572249"/>
    <w:rsid w:val="615960D8"/>
    <w:rsid w:val="615A3AE7"/>
    <w:rsid w:val="61677179"/>
    <w:rsid w:val="61677FB2"/>
    <w:rsid w:val="61692624"/>
    <w:rsid w:val="616C70E3"/>
    <w:rsid w:val="6171096B"/>
    <w:rsid w:val="6175447D"/>
    <w:rsid w:val="61785D1C"/>
    <w:rsid w:val="617A01F6"/>
    <w:rsid w:val="617A2CD8"/>
    <w:rsid w:val="617D1584"/>
    <w:rsid w:val="617E77D6"/>
    <w:rsid w:val="617F4748"/>
    <w:rsid w:val="61822775"/>
    <w:rsid w:val="618E5E31"/>
    <w:rsid w:val="618F606A"/>
    <w:rsid w:val="619743F4"/>
    <w:rsid w:val="61994610"/>
    <w:rsid w:val="61997DDD"/>
    <w:rsid w:val="619E03D3"/>
    <w:rsid w:val="61A537BC"/>
    <w:rsid w:val="61A62889"/>
    <w:rsid w:val="61A82AA5"/>
    <w:rsid w:val="61AD3C17"/>
    <w:rsid w:val="61AE1836"/>
    <w:rsid w:val="61AF2FBB"/>
    <w:rsid w:val="61B92F4D"/>
    <w:rsid w:val="61BC489F"/>
    <w:rsid w:val="61BE4076"/>
    <w:rsid w:val="61BF322D"/>
    <w:rsid w:val="61C50446"/>
    <w:rsid w:val="61C701E7"/>
    <w:rsid w:val="61CA443A"/>
    <w:rsid w:val="61D6024E"/>
    <w:rsid w:val="61D70C94"/>
    <w:rsid w:val="61DA565F"/>
    <w:rsid w:val="61DB0FD1"/>
    <w:rsid w:val="61E34380"/>
    <w:rsid w:val="61ED313C"/>
    <w:rsid w:val="61F168F6"/>
    <w:rsid w:val="61F40BD2"/>
    <w:rsid w:val="61FA1ED2"/>
    <w:rsid w:val="62013F63"/>
    <w:rsid w:val="62045801"/>
    <w:rsid w:val="6208709F"/>
    <w:rsid w:val="620A72BB"/>
    <w:rsid w:val="620B2756"/>
    <w:rsid w:val="620C2843"/>
    <w:rsid w:val="620D0B5A"/>
    <w:rsid w:val="620D6DAC"/>
    <w:rsid w:val="62175534"/>
    <w:rsid w:val="62257C51"/>
    <w:rsid w:val="62270FEB"/>
    <w:rsid w:val="622D2E67"/>
    <w:rsid w:val="622E7C1C"/>
    <w:rsid w:val="623B0A2F"/>
    <w:rsid w:val="623B61A3"/>
    <w:rsid w:val="623E5FD0"/>
    <w:rsid w:val="623F023C"/>
    <w:rsid w:val="62426A55"/>
    <w:rsid w:val="62481B92"/>
    <w:rsid w:val="625044AF"/>
    <w:rsid w:val="62593D9F"/>
    <w:rsid w:val="625978FB"/>
    <w:rsid w:val="625B3673"/>
    <w:rsid w:val="625F284D"/>
    <w:rsid w:val="62606EDB"/>
    <w:rsid w:val="62650E22"/>
    <w:rsid w:val="62690112"/>
    <w:rsid w:val="62712E97"/>
    <w:rsid w:val="6271733B"/>
    <w:rsid w:val="627209BD"/>
    <w:rsid w:val="62725DF9"/>
    <w:rsid w:val="62740F21"/>
    <w:rsid w:val="62760774"/>
    <w:rsid w:val="627806C9"/>
    <w:rsid w:val="627E7362"/>
    <w:rsid w:val="62854331"/>
    <w:rsid w:val="62874BFA"/>
    <w:rsid w:val="628E1C9B"/>
    <w:rsid w:val="62966DA1"/>
    <w:rsid w:val="629917AC"/>
    <w:rsid w:val="629C61EA"/>
    <w:rsid w:val="629D5670"/>
    <w:rsid w:val="629E17B2"/>
    <w:rsid w:val="629E7A04"/>
    <w:rsid w:val="629F5931"/>
    <w:rsid w:val="62A3326C"/>
    <w:rsid w:val="62A74555"/>
    <w:rsid w:val="62A768B8"/>
    <w:rsid w:val="62A80882"/>
    <w:rsid w:val="62AD2A94"/>
    <w:rsid w:val="62AE40EB"/>
    <w:rsid w:val="62B40FD5"/>
    <w:rsid w:val="62B47227"/>
    <w:rsid w:val="62B965EC"/>
    <w:rsid w:val="62BB05B6"/>
    <w:rsid w:val="62BB4CEC"/>
    <w:rsid w:val="62C162E2"/>
    <w:rsid w:val="62C258A1"/>
    <w:rsid w:val="62C63B33"/>
    <w:rsid w:val="62C9714A"/>
    <w:rsid w:val="62CB463B"/>
    <w:rsid w:val="62D308FA"/>
    <w:rsid w:val="62D43425"/>
    <w:rsid w:val="62D66B7D"/>
    <w:rsid w:val="62D8728A"/>
    <w:rsid w:val="62E475E0"/>
    <w:rsid w:val="62E47B0C"/>
    <w:rsid w:val="62E567C3"/>
    <w:rsid w:val="62E57926"/>
    <w:rsid w:val="62EA2C49"/>
    <w:rsid w:val="62EC5C2F"/>
    <w:rsid w:val="62EF025F"/>
    <w:rsid w:val="62F029CF"/>
    <w:rsid w:val="62F15D85"/>
    <w:rsid w:val="63001DEA"/>
    <w:rsid w:val="63043D0B"/>
    <w:rsid w:val="63076790"/>
    <w:rsid w:val="630B7B87"/>
    <w:rsid w:val="630C7320"/>
    <w:rsid w:val="630F6528"/>
    <w:rsid w:val="63116428"/>
    <w:rsid w:val="63123361"/>
    <w:rsid w:val="631B72A6"/>
    <w:rsid w:val="63202793"/>
    <w:rsid w:val="63216475"/>
    <w:rsid w:val="63220635"/>
    <w:rsid w:val="632A2222"/>
    <w:rsid w:val="632B5D35"/>
    <w:rsid w:val="63381C06"/>
    <w:rsid w:val="633A3BD0"/>
    <w:rsid w:val="63442359"/>
    <w:rsid w:val="634440F0"/>
    <w:rsid w:val="634560D1"/>
    <w:rsid w:val="63495BC1"/>
    <w:rsid w:val="63536A40"/>
    <w:rsid w:val="63584057"/>
    <w:rsid w:val="635C3B47"/>
    <w:rsid w:val="635F3637"/>
    <w:rsid w:val="635F53E5"/>
    <w:rsid w:val="636649C5"/>
    <w:rsid w:val="636A79A0"/>
    <w:rsid w:val="636C5ADF"/>
    <w:rsid w:val="63711F46"/>
    <w:rsid w:val="637846F9"/>
    <w:rsid w:val="637C7D45"/>
    <w:rsid w:val="63860BC4"/>
    <w:rsid w:val="638B442C"/>
    <w:rsid w:val="638E1826"/>
    <w:rsid w:val="63927FB4"/>
    <w:rsid w:val="639A01CB"/>
    <w:rsid w:val="639C0FD0"/>
    <w:rsid w:val="63A23524"/>
    <w:rsid w:val="63A31776"/>
    <w:rsid w:val="63A64CE9"/>
    <w:rsid w:val="63A92B04"/>
    <w:rsid w:val="63B219B9"/>
    <w:rsid w:val="63B514A9"/>
    <w:rsid w:val="63BF7C32"/>
    <w:rsid w:val="63C51281"/>
    <w:rsid w:val="63C96D02"/>
    <w:rsid w:val="63CB6680"/>
    <w:rsid w:val="63D414A8"/>
    <w:rsid w:val="63D91B8F"/>
    <w:rsid w:val="63E241AA"/>
    <w:rsid w:val="63EA386F"/>
    <w:rsid w:val="63F20007"/>
    <w:rsid w:val="63FA510E"/>
    <w:rsid w:val="63FD6F73"/>
    <w:rsid w:val="64013788"/>
    <w:rsid w:val="64025D70"/>
    <w:rsid w:val="640D24E1"/>
    <w:rsid w:val="640D3093"/>
    <w:rsid w:val="640E2A6C"/>
    <w:rsid w:val="641066DF"/>
    <w:rsid w:val="64145FFA"/>
    <w:rsid w:val="64151F48"/>
    <w:rsid w:val="641A3F4D"/>
    <w:rsid w:val="641A755E"/>
    <w:rsid w:val="64283A29"/>
    <w:rsid w:val="642C0046"/>
    <w:rsid w:val="64334BF8"/>
    <w:rsid w:val="64373BB8"/>
    <w:rsid w:val="643F0D73"/>
    <w:rsid w:val="64432611"/>
    <w:rsid w:val="64485E79"/>
    <w:rsid w:val="64547BE1"/>
    <w:rsid w:val="645A3805"/>
    <w:rsid w:val="645A6478"/>
    <w:rsid w:val="645A795A"/>
    <w:rsid w:val="645B3DFE"/>
    <w:rsid w:val="645C36D2"/>
    <w:rsid w:val="645C7B76"/>
    <w:rsid w:val="645D36BC"/>
    <w:rsid w:val="64630F05"/>
    <w:rsid w:val="64680B03"/>
    <w:rsid w:val="64691F93"/>
    <w:rsid w:val="646A48CB"/>
    <w:rsid w:val="6472708F"/>
    <w:rsid w:val="6472739A"/>
    <w:rsid w:val="647742A4"/>
    <w:rsid w:val="647924D6"/>
    <w:rsid w:val="648469BC"/>
    <w:rsid w:val="64864E63"/>
    <w:rsid w:val="64872EA9"/>
    <w:rsid w:val="648F1CFA"/>
    <w:rsid w:val="64915A72"/>
    <w:rsid w:val="649563FC"/>
    <w:rsid w:val="649A0DC1"/>
    <w:rsid w:val="649D0FED"/>
    <w:rsid w:val="64A615E1"/>
    <w:rsid w:val="64AE06C7"/>
    <w:rsid w:val="64B36731"/>
    <w:rsid w:val="64B452BD"/>
    <w:rsid w:val="64B96D77"/>
    <w:rsid w:val="64C25C2B"/>
    <w:rsid w:val="64C30C07"/>
    <w:rsid w:val="64C319A4"/>
    <w:rsid w:val="64C544E1"/>
    <w:rsid w:val="64CD512C"/>
    <w:rsid w:val="64D21BE7"/>
    <w:rsid w:val="64D4595F"/>
    <w:rsid w:val="64D8544F"/>
    <w:rsid w:val="64D91BF4"/>
    <w:rsid w:val="64DB1227"/>
    <w:rsid w:val="64DE458E"/>
    <w:rsid w:val="64DE67DD"/>
    <w:rsid w:val="64E262CE"/>
    <w:rsid w:val="64E91A09"/>
    <w:rsid w:val="64EA33D4"/>
    <w:rsid w:val="64ED1BD9"/>
    <w:rsid w:val="64F34037"/>
    <w:rsid w:val="64F46001"/>
    <w:rsid w:val="64F7034C"/>
    <w:rsid w:val="64FC2FFA"/>
    <w:rsid w:val="65071890"/>
    <w:rsid w:val="65091AAC"/>
    <w:rsid w:val="65092761"/>
    <w:rsid w:val="650D2572"/>
    <w:rsid w:val="65143FAD"/>
    <w:rsid w:val="65181CEF"/>
    <w:rsid w:val="651D10B4"/>
    <w:rsid w:val="651D2E62"/>
    <w:rsid w:val="652A1650"/>
    <w:rsid w:val="652D6F8B"/>
    <w:rsid w:val="652E22C5"/>
    <w:rsid w:val="65321B9C"/>
    <w:rsid w:val="65366619"/>
    <w:rsid w:val="65416DF6"/>
    <w:rsid w:val="65534AD5"/>
    <w:rsid w:val="655645C6"/>
    <w:rsid w:val="655B1BDC"/>
    <w:rsid w:val="655C540A"/>
    <w:rsid w:val="65634102"/>
    <w:rsid w:val="656C3DE9"/>
    <w:rsid w:val="656E190F"/>
    <w:rsid w:val="657038D9"/>
    <w:rsid w:val="65720290"/>
    <w:rsid w:val="65735178"/>
    <w:rsid w:val="657607C4"/>
    <w:rsid w:val="657A7C6A"/>
    <w:rsid w:val="657B5DD8"/>
    <w:rsid w:val="658175C2"/>
    <w:rsid w:val="65842EE1"/>
    <w:rsid w:val="658A426F"/>
    <w:rsid w:val="658E1FB1"/>
    <w:rsid w:val="659A7FFB"/>
    <w:rsid w:val="659E7288"/>
    <w:rsid w:val="65A131B1"/>
    <w:rsid w:val="65A672FB"/>
    <w:rsid w:val="65A7180E"/>
    <w:rsid w:val="65A76BCF"/>
    <w:rsid w:val="65A82571"/>
    <w:rsid w:val="65A93AEA"/>
    <w:rsid w:val="65AA44C4"/>
    <w:rsid w:val="65AE7F5E"/>
    <w:rsid w:val="65B40043"/>
    <w:rsid w:val="65C23A09"/>
    <w:rsid w:val="65C31720"/>
    <w:rsid w:val="65D025CA"/>
    <w:rsid w:val="65D04378"/>
    <w:rsid w:val="65D06126"/>
    <w:rsid w:val="65D27C82"/>
    <w:rsid w:val="65D63E44"/>
    <w:rsid w:val="65D73958"/>
    <w:rsid w:val="65DC4ACB"/>
    <w:rsid w:val="65DE0DD7"/>
    <w:rsid w:val="65E240AB"/>
    <w:rsid w:val="65E24F49"/>
    <w:rsid w:val="65E362B1"/>
    <w:rsid w:val="65EE0CA2"/>
    <w:rsid w:val="65FA13F5"/>
    <w:rsid w:val="65FB7383"/>
    <w:rsid w:val="65FE21FE"/>
    <w:rsid w:val="66012783"/>
    <w:rsid w:val="660202AA"/>
    <w:rsid w:val="6608196B"/>
    <w:rsid w:val="66083B12"/>
    <w:rsid w:val="6608651D"/>
    <w:rsid w:val="660C4294"/>
    <w:rsid w:val="66195D1F"/>
    <w:rsid w:val="661A6B25"/>
    <w:rsid w:val="66230554"/>
    <w:rsid w:val="662621EA"/>
    <w:rsid w:val="66263F98"/>
    <w:rsid w:val="66372649"/>
    <w:rsid w:val="66377F53"/>
    <w:rsid w:val="663D7E90"/>
    <w:rsid w:val="6640264D"/>
    <w:rsid w:val="6643753B"/>
    <w:rsid w:val="66495ED8"/>
    <w:rsid w:val="664C6A07"/>
    <w:rsid w:val="66560F3A"/>
    <w:rsid w:val="665A00E6"/>
    <w:rsid w:val="665E3732"/>
    <w:rsid w:val="665F56FC"/>
    <w:rsid w:val="6663201D"/>
    <w:rsid w:val="6663343E"/>
    <w:rsid w:val="66633E9A"/>
    <w:rsid w:val="666757F8"/>
    <w:rsid w:val="666A0329"/>
    <w:rsid w:val="66723681"/>
    <w:rsid w:val="6673555F"/>
    <w:rsid w:val="668120DB"/>
    <w:rsid w:val="668B029F"/>
    <w:rsid w:val="668B64F1"/>
    <w:rsid w:val="668C29E2"/>
    <w:rsid w:val="668F4651"/>
    <w:rsid w:val="66952ECC"/>
    <w:rsid w:val="669E7FD2"/>
    <w:rsid w:val="66A316A7"/>
    <w:rsid w:val="66A658E8"/>
    <w:rsid w:val="66A852F5"/>
    <w:rsid w:val="66AB26EF"/>
    <w:rsid w:val="66AF21DF"/>
    <w:rsid w:val="66B141AA"/>
    <w:rsid w:val="66B21CD0"/>
    <w:rsid w:val="66B617C0"/>
    <w:rsid w:val="66B91677"/>
    <w:rsid w:val="66C90C8E"/>
    <w:rsid w:val="66CA0DC7"/>
    <w:rsid w:val="66CC0FE3"/>
    <w:rsid w:val="66CD24A8"/>
    <w:rsid w:val="66CD2666"/>
    <w:rsid w:val="66CF2882"/>
    <w:rsid w:val="66CF4630"/>
    <w:rsid w:val="66D25ECE"/>
    <w:rsid w:val="66D44284"/>
    <w:rsid w:val="66D460EA"/>
    <w:rsid w:val="66D57819"/>
    <w:rsid w:val="66DA7F60"/>
    <w:rsid w:val="66DE0D17"/>
    <w:rsid w:val="66E27B57"/>
    <w:rsid w:val="66ED0F5A"/>
    <w:rsid w:val="66F2031E"/>
    <w:rsid w:val="66F40E32"/>
    <w:rsid w:val="67002A3B"/>
    <w:rsid w:val="67010561"/>
    <w:rsid w:val="67015A66"/>
    <w:rsid w:val="67024A05"/>
    <w:rsid w:val="67087B42"/>
    <w:rsid w:val="670A1B0C"/>
    <w:rsid w:val="670F3AA3"/>
    <w:rsid w:val="67111C49"/>
    <w:rsid w:val="67112E9A"/>
    <w:rsid w:val="67136C12"/>
    <w:rsid w:val="671604B0"/>
    <w:rsid w:val="67193AFD"/>
    <w:rsid w:val="6719473D"/>
    <w:rsid w:val="67220AB6"/>
    <w:rsid w:val="67286BF9"/>
    <w:rsid w:val="673367B6"/>
    <w:rsid w:val="6735231C"/>
    <w:rsid w:val="6739419F"/>
    <w:rsid w:val="673B7F17"/>
    <w:rsid w:val="674D0F0F"/>
    <w:rsid w:val="674F51D9"/>
    <w:rsid w:val="674F64FA"/>
    <w:rsid w:val="674F751F"/>
    <w:rsid w:val="6755062E"/>
    <w:rsid w:val="67576539"/>
    <w:rsid w:val="67630B2B"/>
    <w:rsid w:val="67644D61"/>
    <w:rsid w:val="67674868"/>
    <w:rsid w:val="676A6106"/>
    <w:rsid w:val="67794F9C"/>
    <w:rsid w:val="677E1BB2"/>
    <w:rsid w:val="678A0F88"/>
    <w:rsid w:val="678E4891"/>
    <w:rsid w:val="67915CB0"/>
    <w:rsid w:val="679715F1"/>
    <w:rsid w:val="67A23AF2"/>
    <w:rsid w:val="67A41618"/>
    <w:rsid w:val="67A61834"/>
    <w:rsid w:val="67A7735B"/>
    <w:rsid w:val="67B0620F"/>
    <w:rsid w:val="67BA708E"/>
    <w:rsid w:val="67BC0DA3"/>
    <w:rsid w:val="67BC2E06"/>
    <w:rsid w:val="67BF1DE9"/>
    <w:rsid w:val="67BF28F6"/>
    <w:rsid w:val="67C223E6"/>
    <w:rsid w:val="67D43893"/>
    <w:rsid w:val="67E5002E"/>
    <w:rsid w:val="67EB181E"/>
    <w:rsid w:val="67EB7247"/>
    <w:rsid w:val="67EE31DB"/>
    <w:rsid w:val="67F02AB0"/>
    <w:rsid w:val="67F21BCA"/>
    <w:rsid w:val="67F325A4"/>
    <w:rsid w:val="67F72090"/>
    <w:rsid w:val="67FF7197"/>
    <w:rsid w:val="68046C31"/>
    <w:rsid w:val="680622D3"/>
    <w:rsid w:val="680E73DA"/>
    <w:rsid w:val="68183DB4"/>
    <w:rsid w:val="681A7B2C"/>
    <w:rsid w:val="681D13CB"/>
    <w:rsid w:val="681E591C"/>
    <w:rsid w:val="682E35D8"/>
    <w:rsid w:val="68354966"/>
    <w:rsid w:val="68386205"/>
    <w:rsid w:val="683A01CF"/>
    <w:rsid w:val="683A7D85"/>
    <w:rsid w:val="683C3F47"/>
    <w:rsid w:val="683D381B"/>
    <w:rsid w:val="683F7593"/>
    <w:rsid w:val="68435627"/>
    <w:rsid w:val="684626D0"/>
    <w:rsid w:val="684C450D"/>
    <w:rsid w:val="684F4328"/>
    <w:rsid w:val="684F49A3"/>
    <w:rsid w:val="68541CB5"/>
    <w:rsid w:val="68550B65"/>
    <w:rsid w:val="68564114"/>
    <w:rsid w:val="68573C08"/>
    <w:rsid w:val="68594AF9"/>
    <w:rsid w:val="686139AD"/>
    <w:rsid w:val="686A0AB4"/>
    <w:rsid w:val="686D5EAE"/>
    <w:rsid w:val="68727968"/>
    <w:rsid w:val="68752FB5"/>
    <w:rsid w:val="687710A0"/>
    <w:rsid w:val="688D47A2"/>
    <w:rsid w:val="689306AB"/>
    <w:rsid w:val="689773CF"/>
    <w:rsid w:val="68A662B1"/>
    <w:rsid w:val="68A85138"/>
    <w:rsid w:val="68A970BB"/>
    <w:rsid w:val="68B41D2F"/>
    <w:rsid w:val="68B7537B"/>
    <w:rsid w:val="68BB130F"/>
    <w:rsid w:val="68BE2BAE"/>
    <w:rsid w:val="68BE670A"/>
    <w:rsid w:val="68C06926"/>
    <w:rsid w:val="68C80219"/>
    <w:rsid w:val="68CD2DF1"/>
    <w:rsid w:val="68CD6A7F"/>
    <w:rsid w:val="68D20407"/>
    <w:rsid w:val="68D73C6F"/>
    <w:rsid w:val="68DA4848"/>
    <w:rsid w:val="68DB3760"/>
    <w:rsid w:val="68DC3034"/>
    <w:rsid w:val="68E00D76"/>
    <w:rsid w:val="68E1064A"/>
    <w:rsid w:val="68E329CB"/>
    <w:rsid w:val="68E343C2"/>
    <w:rsid w:val="68EC523E"/>
    <w:rsid w:val="68ED228A"/>
    <w:rsid w:val="68ED3493"/>
    <w:rsid w:val="68EF720B"/>
    <w:rsid w:val="68F0088D"/>
    <w:rsid w:val="68F14D31"/>
    <w:rsid w:val="68F22857"/>
    <w:rsid w:val="68F465CF"/>
    <w:rsid w:val="68F6059A"/>
    <w:rsid w:val="68F62242"/>
    <w:rsid w:val="68F7513B"/>
    <w:rsid w:val="69012A9A"/>
    <w:rsid w:val="69192A8B"/>
    <w:rsid w:val="691D5B26"/>
    <w:rsid w:val="692D7FD0"/>
    <w:rsid w:val="692F585A"/>
    <w:rsid w:val="694035C3"/>
    <w:rsid w:val="6942558D"/>
    <w:rsid w:val="69474951"/>
    <w:rsid w:val="69482477"/>
    <w:rsid w:val="6952774D"/>
    <w:rsid w:val="695C2BBB"/>
    <w:rsid w:val="695D48EB"/>
    <w:rsid w:val="6962178B"/>
    <w:rsid w:val="6964494B"/>
    <w:rsid w:val="69653029"/>
    <w:rsid w:val="696A4AE4"/>
    <w:rsid w:val="696B6C9C"/>
    <w:rsid w:val="696C43B8"/>
    <w:rsid w:val="697119CE"/>
    <w:rsid w:val="697274F4"/>
    <w:rsid w:val="698931BC"/>
    <w:rsid w:val="6991494D"/>
    <w:rsid w:val="699A1CA8"/>
    <w:rsid w:val="69A578CA"/>
    <w:rsid w:val="69AA4EE0"/>
    <w:rsid w:val="69B31FE7"/>
    <w:rsid w:val="69B33D95"/>
    <w:rsid w:val="69B67D29"/>
    <w:rsid w:val="69B74C52"/>
    <w:rsid w:val="69BA3375"/>
    <w:rsid w:val="69BE3E37"/>
    <w:rsid w:val="69C40C04"/>
    <w:rsid w:val="69C836F6"/>
    <w:rsid w:val="69D63F27"/>
    <w:rsid w:val="69DF47C8"/>
    <w:rsid w:val="69E135EF"/>
    <w:rsid w:val="69E14DA6"/>
    <w:rsid w:val="69E2467A"/>
    <w:rsid w:val="69E509F7"/>
    <w:rsid w:val="69E55F18"/>
    <w:rsid w:val="69E94088"/>
    <w:rsid w:val="69EC374B"/>
    <w:rsid w:val="69FA19C4"/>
    <w:rsid w:val="69FF6FDA"/>
    <w:rsid w:val="6A06480C"/>
    <w:rsid w:val="6A072332"/>
    <w:rsid w:val="6A0B1E23"/>
    <w:rsid w:val="6A1B7B8C"/>
    <w:rsid w:val="6A1F58CE"/>
    <w:rsid w:val="6A22716C"/>
    <w:rsid w:val="6A234CFD"/>
    <w:rsid w:val="6A2E3D63"/>
    <w:rsid w:val="6A350C4E"/>
    <w:rsid w:val="6A3602D2"/>
    <w:rsid w:val="6A373F31"/>
    <w:rsid w:val="6A39509C"/>
    <w:rsid w:val="6A3A44B6"/>
    <w:rsid w:val="6A4D41E9"/>
    <w:rsid w:val="6A4E4389"/>
    <w:rsid w:val="6A5079C7"/>
    <w:rsid w:val="6A554E4C"/>
    <w:rsid w:val="6A5869A8"/>
    <w:rsid w:val="6A644E18"/>
    <w:rsid w:val="6A647785"/>
    <w:rsid w:val="6A670A9A"/>
    <w:rsid w:val="6A690098"/>
    <w:rsid w:val="6A707ED8"/>
    <w:rsid w:val="6A75729C"/>
    <w:rsid w:val="6A7A16B8"/>
    <w:rsid w:val="6A7C1170"/>
    <w:rsid w:val="6A7D43A3"/>
    <w:rsid w:val="6A8D0A8A"/>
    <w:rsid w:val="6A9040D6"/>
    <w:rsid w:val="6A962ABA"/>
    <w:rsid w:val="6A9736B6"/>
    <w:rsid w:val="6A9950DE"/>
    <w:rsid w:val="6A9E0243"/>
    <w:rsid w:val="6A9F256B"/>
    <w:rsid w:val="6AA45378"/>
    <w:rsid w:val="6AB2229E"/>
    <w:rsid w:val="6AB543B2"/>
    <w:rsid w:val="6ABB06D5"/>
    <w:rsid w:val="6ABC577D"/>
    <w:rsid w:val="6AC23C0C"/>
    <w:rsid w:val="6AC87D14"/>
    <w:rsid w:val="6ACE2752"/>
    <w:rsid w:val="6AD541DF"/>
    <w:rsid w:val="6AE12B83"/>
    <w:rsid w:val="6AE13436"/>
    <w:rsid w:val="6AEA0D00"/>
    <w:rsid w:val="6AEB57B0"/>
    <w:rsid w:val="6AEB755E"/>
    <w:rsid w:val="6AED6120"/>
    <w:rsid w:val="6AEF29EE"/>
    <w:rsid w:val="6AF64881"/>
    <w:rsid w:val="6AF705F9"/>
    <w:rsid w:val="6AF72630"/>
    <w:rsid w:val="6AFB5005"/>
    <w:rsid w:val="6B0013F8"/>
    <w:rsid w:val="6B0227AC"/>
    <w:rsid w:val="6B076BC2"/>
    <w:rsid w:val="6B080110"/>
    <w:rsid w:val="6B092642"/>
    <w:rsid w:val="6B182A49"/>
    <w:rsid w:val="6B256F14"/>
    <w:rsid w:val="6B2D7B77"/>
    <w:rsid w:val="6B3074B7"/>
    <w:rsid w:val="6B340F05"/>
    <w:rsid w:val="6B351502"/>
    <w:rsid w:val="6B3709F5"/>
    <w:rsid w:val="6B3B2900"/>
    <w:rsid w:val="6B3E1D84"/>
    <w:rsid w:val="6B533A81"/>
    <w:rsid w:val="6B5C220A"/>
    <w:rsid w:val="6B601CFA"/>
    <w:rsid w:val="6B655F65"/>
    <w:rsid w:val="6B6C4B43"/>
    <w:rsid w:val="6B715CB5"/>
    <w:rsid w:val="6B721A2E"/>
    <w:rsid w:val="6B7B2FD8"/>
    <w:rsid w:val="6B7C2964"/>
    <w:rsid w:val="6B7D28AC"/>
    <w:rsid w:val="6B7E4876"/>
    <w:rsid w:val="6B881251"/>
    <w:rsid w:val="6B8C2AEF"/>
    <w:rsid w:val="6B981494"/>
    <w:rsid w:val="6BA047ED"/>
    <w:rsid w:val="6BA0659B"/>
    <w:rsid w:val="6BA208B3"/>
    <w:rsid w:val="6BA22A63"/>
    <w:rsid w:val="6BA51E03"/>
    <w:rsid w:val="6BAC4F3F"/>
    <w:rsid w:val="6BB107A8"/>
    <w:rsid w:val="6BB32772"/>
    <w:rsid w:val="6BB42046"/>
    <w:rsid w:val="6BB67B6C"/>
    <w:rsid w:val="6BB97078"/>
    <w:rsid w:val="6BBA1B4A"/>
    <w:rsid w:val="6BBA6CD6"/>
    <w:rsid w:val="6BC06917"/>
    <w:rsid w:val="6BC26511"/>
    <w:rsid w:val="6BC404DB"/>
    <w:rsid w:val="6BC8789F"/>
    <w:rsid w:val="6BD02241"/>
    <w:rsid w:val="6BD86584"/>
    <w:rsid w:val="6BDA1B01"/>
    <w:rsid w:val="6BDA1C3F"/>
    <w:rsid w:val="6BDA5F51"/>
    <w:rsid w:val="6BDA6879"/>
    <w:rsid w:val="6BE1621C"/>
    <w:rsid w:val="6BE446D9"/>
    <w:rsid w:val="6BE566A3"/>
    <w:rsid w:val="6BEA5A68"/>
    <w:rsid w:val="6BED1D9C"/>
    <w:rsid w:val="6BEE7306"/>
    <w:rsid w:val="6BF32B6E"/>
    <w:rsid w:val="6BF54B38"/>
    <w:rsid w:val="6BF8270E"/>
    <w:rsid w:val="6BF863D7"/>
    <w:rsid w:val="6BFF7765"/>
    <w:rsid w:val="6C007039"/>
    <w:rsid w:val="6C021959"/>
    <w:rsid w:val="6C0905E4"/>
    <w:rsid w:val="6C0E1756"/>
    <w:rsid w:val="6C0F54CE"/>
    <w:rsid w:val="6C101972"/>
    <w:rsid w:val="6C144961"/>
    <w:rsid w:val="6C16685D"/>
    <w:rsid w:val="6C2159A8"/>
    <w:rsid w:val="6C27036E"/>
    <w:rsid w:val="6C271DDA"/>
    <w:rsid w:val="6C2E004A"/>
    <w:rsid w:val="6C305B70"/>
    <w:rsid w:val="6C30791F"/>
    <w:rsid w:val="6C3438A5"/>
    <w:rsid w:val="6C384A25"/>
    <w:rsid w:val="6C3A079D"/>
    <w:rsid w:val="6C431D41"/>
    <w:rsid w:val="6C450EF0"/>
    <w:rsid w:val="6C4F430C"/>
    <w:rsid w:val="6C5038A5"/>
    <w:rsid w:val="6C5775A1"/>
    <w:rsid w:val="6C5C0714"/>
    <w:rsid w:val="6C5D26DE"/>
    <w:rsid w:val="6C5F6456"/>
    <w:rsid w:val="6C677D87"/>
    <w:rsid w:val="6C6B0957"/>
    <w:rsid w:val="6C6B6BA9"/>
    <w:rsid w:val="6C6D2921"/>
    <w:rsid w:val="6C700663"/>
    <w:rsid w:val="6C7863E6"/>
    <w:rsid w:val="6C9102FF"/>
    <w:rsid w:val="6C937EAD"/>
    <w:rsid w:val="6C95092E"/>
    <w:rsid w:val="6CA13639"/>
    <w:rsid w:val="6CA64085"/>
    <w:rsid w:val="6CA87DFD"/>
    <w:rsid w:val="6CB247D7"/>
    <w:rsid w:val="6CBC6B37"/>
    <w:rsid w:val="6CBF282C"/>
    <w:rsid w:val="6CBF6EF4"/>
    <w:rsid w:val="6CC10EBE"/>
    <w:rsid w:val="6CC26721"/>
    <w:rsid w:val="6CC4450B"/>
    <w:rsid w:val="6CC62031"/>
    <w:rsid w:val="6CC87B57"/>
    <w:rsid w:val="6CCB1F66"/>
    <w:rsid w:val="6CCB5899"/>
    <w:rsid w:val="6CD209D6"/>
    <w:rsid w:val="6CD97FB6"/>
    <w:rsid w:val="6CDC7B2E"/>
    <w:rsid w:val="6CDE3891"/>
    <w:rsid w:val="6CE07597"/>
    <w:rsid w:val="6CE348FB"/>
    <w:rsid w:val="6CE80FF3"/>
    <w:rsid w:val="6CEF1588"/>
    <w:rsid w:val="6CF03552"/>
    <w:rsid w:val="6CF05300"/>
    <w:rsid w:val="6CF30226"/>
    <w:rsid w:val="6CFA7F2C"/>
    <w:rsid w:val="6CFD43B2"/>
    <w:rsid w:val="6D013069"/>
    <w:rsid w:val="6D0446EE"/>
    <w:rsid w:val="6D06067F"/>
    <w:rsid w:val="6D065FB4"/>
    <w:rsid w:val="6D0B4828"/>
    <w:rsid w:val="6D116E29"/>
    <w:rsid w:val="6D140FEE"/>
    <w:rsid w:val="6D1E00BF"/>
    <w:rsid w:val="6D201D79"/>
    <w:rsid w:val="6D255245"/>
    <w:rsid w:val="6D2A0A99"/>
    <w:rsid w:val="6D2F5E28"/>
    <w:rsid w:val="6D323B6A"/>
    <w:rsid w:val="6D341690"/>
    <w:rsid w:val="6D341C97"/>
    <w:rsid w:val="6D390A55"/>
    <w:rsid w:val="6D392803"/>
    <w:rsid w:val="6D3C6797"/>
    <w:rsid w:val="6D45564C"/>
    <w:rsid w:val="6D560DCE"/>
    <w:rsid w:val="6D567859"/>
    <w:rsid w:val="6D592EA5"/>
    <w:rsid w:val="6D5E428B"/>
    <w:rsid w:val="6D5E495F"/>
    <w:rsid w:val="6D610C89"/>
    <w:rsid w:val="6D68133A"/>
    <w:rsid w:val="6D6A6E60"/>
    <w:rsid w:val="6D6D6950"/>
    <w:rsid w:val="6D7B350C"/>
    <w:rsid w:val="6D81609C"/>
    <w:rsid w:val="6D851EEC"/>
    <w:rsid w:val="6D860ECF"/>
    <w:rsid w:val="6D86476C"/>
    <w:rsid w:val="6D8D02B7"/>
    <w:rsid w:val="6D934609"/>
    <w:rsid w:val="6D96122A"/>
    <w:rsid w:val="6D967C55"/>
    <w:rsid w:val="6D9C0FE4"/>
    <w:rsid w:val="6DA17DA4"/>
    <w:rsid w:val="6DA560EA"/>
    <w:rsid w:val="6DA9433F"/>
    <w:rsid w:val="6DAE1443"/>
    <w:rsid w:val="6DB77BCC"/>
    <w:rsid w:val="6DBC0B4D"/>
    <w:rsid w:val="6DC02F24"/>
    <w:rsid w:val="6DC742B3"/>
    <w:rsid w:val="6DD15131"/>
    <w:rsid w:val="6DD30EA9"/>
    <w:rsid w:val="6DD53DC5"/>
    <w:rsid w:val="6DD85811"/>
    <w:rsid w:val="6DDB53FC"/>
    <w:rsid w:val="6DDB7D5E"/>
    <w:rsid w:val="6DDE6233"/>
    <w:rsid w:val="6DE07122"/>
    <w:rsid w:val="6DEA61F3"/>
    <w:rsid w:val="6DF130DE"/>
    <w:rsid w:val="6DFB5D0A"/>
    <w:rsid w:val="6DFE5138"/>
    <w:rsid w:val="6E0077C5"/>
    <w:rsid w:val="6E033829"/>
    <w:rsid w:val="6E070B53"/>
    <w:rsid w:val="6E09753D"/>
    <w:rsid w:val="6E0A419F"/>
    <w:rsid w:val="6E0E5D4D"/>
    <w:rsid w:val="6E0F7A08"/>
    <w:rsid w:val="6E1D2124"/>
    <w:rsid w:val="6E2039C3"/>
    <w:rsid w:val="6E227207"/>
    <w:rsid w:val="6E272FA3"/>
    <w:rsid w:val="6E337B9A"/>
    <w:rsid w:val="6E3B6A4F"/>
    <w:rsid w:val="6E4050A7"/>
    <w:rsid w:val="6E453094"/>
    <w:rsid w:val="6E496675"/>
    <w:rsid w:val="6E4C47B8"/>
    <w:rsid w:val="6E4C5AC5"/>
    <w:rsid w:val="6E4E0530"/>
    <w:rsid w:val="6E533D98"/>
    <w:rsid w:val="6E5A5127"/>
    <w:rsid w:val="6E5F273D"/>
    <w:rsid w:val="6E632386"/>
    <w:rsid w:val="6E6346EA"/>
    <w:rsid w:val="6E6C47A7"/>
    <w:rsid w:val="6E6C4E5A"/>
    <w:rsid w:val="6E6E472E"/>
    <w:rsid w:val="6E7B6FCC"/>
    <w:rsid w:val="6E7D457F"/>
    <w:rsid w:val="6E7F06E9"/>
    <w:rsid w:val="6E7F2DDF"/>
    <w:rsid w:val="6E8126B3"/>
    <w:rsid w:val="6E8757F0"/>
    <w:rsid w:val="6E920836"/>
    <w:rsid w:val="6E9248C1"/>
    <w:rsid w:val="6E971ED7"/>
    <w:rsid w:val="6E98699D"/>
    <w:rsid w:val="6E9C129B"/>
    <w:rsid w:val="6E9E14B7"/>
    <w:rsid w:val="6EA2087C"/>
    <w:rsid w:val="6EA2440F"/>
    <w:rsid w:val="6EA51E78"/>
    <w:rsid w:val="6EAD34A8"/>
    <w:rsid w:val="6EAF3CA9"/>
    <w:rsid w:val="6EB760D5"/>
    <w:rsid w:val="6EB8009F"/>
    <w:rsid w:val="6EC66318"/>
    <w:rsid w:val="6EC83AD9"/>
    <w:rsid w:val="6EC87CF1"/>
    <w:rsid w:val="6ECC3702"/>
    <w:rsid w:val="6ECE1688"/>
    <w:rsid w:val="6ED03E33"/>
    <w:rsid w:val="6ED21161"/>
    <w:rsid w:val="6ED30A35"/>
    <w:rsid w:val="6ED6693F"/>
    <w:rsid w:val="6ED93E30"/>
    <w:rsid w:val="6EDB4747"/>
    <w:rsid w:val="6EDD18B4"/>
    <w:rsid w:val="6EE07791"/>
    <w:rsid w:val="6EEA2FD9"/>
    <w:rsid w:val="6EEF1D13"/>
    <w:rsid w:val="6EF020B7"/>
    <w:rsid w:val="6EF07839"/>
    <w:rsid w:val="6EF13547"/>
    <w:rsid w:val="6EF21761"/>
    <w:rsid w:val="6EF530A1"/>
    <w:rsid w:val="6EF60FE1"/>
    <w:rsid w:val="6EFF5CCE"/>
    <w:rsid w:val="6F003164"/>
    <w:rsid w:val="6F082DD5"/>
    <w:rsid w:val="6F086931"/>
    <w:rsid w:val="6F130D6B"/>
    <w:rsid w:val="6F1622E9"/>
    <w:rsid w:val="6F1C7A8B"/>
    <w:rsid w:val="6F1D0E18"/>
    <w:rsid w:val="6F1E0EB4"/>
    <w:rsid w:val="6F2221EC"/>
    <w:rsid w:val="6F2252F6"/>
    <w:rsid w:val="6F282B2F"/>
    <w:rsid w:val="6F2A2D4B"/>
    <w:rsid w:val="6F2D3F54"/>
    <w:rsid w:val="6F2F210F"/>
    <w:rsid w:val="6F327E52"/>
    <w:rsid w:val="6F3620D6"/>
    <w:rsid w:val="6F3A775C"/>
    <w:rsid w:val="6F3C65DA"/>
    <w:rsid w:val="6F3D1B79"/>
    <w:rsid w:val="6F3D46B1"/>
    <w:rsid w:val="6F546810"/>
    <w:rsid w:val="6F547DC8"/>
    <w:rsid w:val="6F5778B8"/>
    <w:rsid w:val="6F5E29F5"/>
    <w:rsid w:val="6F607B94"/>
    <w:rsid w:val="6F6873CF"/>
    <w:rsid w:val="6F6B5112"/>
    <w:rsid w:val="6F6D70DC"/>
    <w:rsid w:val="6F6E4088"/>
    <w:rsid w:val="6F6F69B0"/>
    <w:rsid w:val="6F767D3E"/>
    <w:rsid w:val="6F7C2E7B"/>
    <w:rsid w:val="6F7F4719"/>
    <w:rsid w:val="6F83245B"/>
    <w:rsid w:val="6F8A5598"/>
    <w:rsid w:val="6F8F2BAE"/>
    <w:rsid w:val="6F99231F"/>
    <w:rsid w:val="6FA81126"/>
    <w:rsid w:val="6FAF3250"/>
    <w:rsid w:val="6FB10D76"/>
    <w:rsid w:val="6FB344DE"/>
    <w:rsid w:val="6FB35C1F"/>
    <w:rsid w:val="6FB40867"/>
    <w:rsid w:val="6FC10684"/>
    <w:rsid w:val="6FC82564"/>
    <w:rsid w:val="6FCE1E96"/>
    <w:rsid w:val="6FD26F3F"/>
    <w:rsid w:val="6FD76303"/>
    <w:rsid w:val="6FD922F4"/>
    <w:rsid w:val="6FDC1B6B"/>
    <w:rsid w:val="6FE32EFA"/>
    <w:rsid w:val="6FE34924"/>
    <w:rsid w:val="6FE6736D"/>
    <w:rsid w:val="6FF00911"/>
    <w:rsid w:val="6FF15617"/>
    <w:rsid w:val="6FF45107"/>
    <w:rsid w:val="6FF60E7F"/>
    <w:rsid w:val="70003AAC"/>
    <w:rsid w:val="700A179B"/>
    <w:rsid w:val="700C06A3"/>
    <w:rsid w:val="700E515A"/>
    <w:rsid w:val="700F0193"/>
    <w:rsid w:val="70105909"/>
    <w:rsid w:val="7012558D"/>
    <w:rsid w:val="70194B6E"/>
    <w:rsid w:val="701E2184"/>
    <w:rsid w:val="70223A22"/>
    <w:rsid w:val="70335C2F"/>
    <w:rsid w:val="70390D6C"/>
    <w:rsid w:val="703A5210"/>
    <w:rsid w:val="703F45D4"/>
    <w:rsid w:val="704C7C5C"/>
    <w:rsid w:val="704E2A69"/>
    <w:rsid w:val="70512559"/>
    <w:rsid w:val="70585696"/>
    <w:rsid w:val="705D4A5A"/>
    <w:rsid w:val="705E42EA"/>
    <w:rsid w:val="706C4498"/>
    <w:rsid w:val="706E310B"/>
    <w:rsid w:val="70722A8E"/>
    <w:rsid w:val="70757FF6"/>
    <w:rsid w:val="707A385E"/>
    <w:rsid w:val="707F2C23"/>
    <w:rsid w:val="7080699B"/>
    <w:rsid w:val="708337ED"/>
    <w:rsid w:val="70887F27"/>
    <w:rsid w:val="709B5583"/>
    <w:rsid w:val="709D7BC6"/>
    <w:rsid w:val="70A02B99"/>
    <w:rsid w:val="70A7523C"/>
    <w:rsid w:val="70AA3CDC"/>
    <w:rsid w:val="70AC7790"/>
    <w:rsid w:val="70B07AD0"/>
    <w:rsid w:val="70B30B1E"/>
    <w:rsid w:val="70B825D8"/>
    <w:rsid w:val="70BF22E0"/>
    <w:rsid w:val="70C25205"/>
    <w:rsid w:val="70C64CF5"/>
    <w:rsid w:val="70CC0E40"/>
    <w:rsid w:val="70CD1AF2"/>
    <w:rsid w:val="70CD6084"/>
    <w:rsid w:val="70D529D0"/>
    <w:rsid w:val="70D63EAE"/>
    <w:rsid w:val="70DC1E23"/>
    <w:rsid w:val="70E07B0A"/>
    <w:rsid w:val="70ED2282"/>
    <w:rsid w:val="70EE7DA8"/>
    <w:rsid w:val="70EF6AC6"/>
    <w:rsid w:val="70FB78FE"/>
    <w:rsid w:val="7104137A"/>
    <w:rsid w:val="710D6480"/>
    <w:rsid w:val="71123A97"/>
    <w:rsid w:val="71125845"/>
    <w:rsid w:val="71152879"/>
    <w:rsid w:val="711C0290"/>
    <w:rsid w:val="711C290B"/>
    <w:rsid w:val="71290FAE"/>
    <w:rsid w:val="712A5284"/>
    <w:rsid w:val="712D267F"/>
    <w:rsid w:val="71327C95"/>
    <w:rsid w:val="71357785"/>
    <w:rsid w:val="713C0B14"/>
    <w:rsid w:val="713D70E6"/>
    <w:rsid w:val="71461035"/>
    <w:rsid w:val="71495502"/>
    <w:rsid w:val="714C6DF8"/>
    <w:rsid w:val="714D0F73"/>
    <w:rsid w:val="71502811"/>
    <w:rsid w:val="71535E5D"/>
    <w:rsid w:val="715416A2"/>
    <w:rsid w:val="71555D96"/>
    <w:rsid w:val="71577FCB"/>
    <w:rsid w:val="715916C6"/>
    <w:rsid w:val="715B1DCB"/>
    <w:rsid w:val="716D6F1F"/>
    <w:rsid w:val="716E3276"/>
    <w:rsid w:val="716F713B"/>
    <w:rsid w:val="717165A8"/>
    <w:rsid w:val="717D2EEE"/>
    <w:rsid w:val="717E112C"/>
    <w:rsid w:val="718129CA"/>
    <w:rsid w:val="71813AE6"/>
    <w:rsid w:val="71836742"/>
    <w:rsid w:val="718A5D23"/>
    <w:rsid w:val="71940950"/>
    <w:rsid w:val="71950224"/>
    <w:rsid w:val="719D6DB9"/>
    <w:rsid w:val="71A1306D"/>
    <w:rsid w:val="71AB6039"/>
    <w:rsid w:val="71AF7537"/>
    <w:rsid w:val="71B20DD6"/>
    <w:rsid w:val="71BC7EA6"/>
    <w:rsid w:val="71C15F2D"/>
    <w:rsid w:val="71C66A32"/>
    <w:rsid w:val="71CA611F"/>
    <w:rsid w:val="71D15516"/>
    <w:rsid w:val="71D21478"/>
    <w:rsid w:val="71DB032D"/>
    <w:rsid w:val="71DB20DB"/>
    <w:rsid w:val="71ED0060"/>
    <w:rsid w:val="71EE29DB"/>
    <w:rsid w:val="71FA2EA7"/>
    <w:rsid w:val="72124F97"/>
    <w:rsid w:val="721970A7"/>
    <w:rsid w:val="721D26F3"/>
    <w:rsid w:val="721F351E"/>
    <w:rsid w:val="72216DA9"/>
    <w:rsid w:val="72263C29"/>
    <w:rsid w:val="722717C4"/>
    <w:rsid w:val="72276DFC"/>
    <w:rsid w:val="722872EA"/>
    <w:rsid w:val="722D66AE"/>
    <w:rsid w:val="722F0678"/>
    <w:rsid w:val="7238752D"/>
    <w:rsid w:val="723B5757"/>
    <w:rsid w:val="72421670"/>
    <w:rsid w:val="72424D2E"/>
    <w:rsid w:val="72444124"/>
    <w:rsid w:val="72467D98"/>
    <w:rsid w:val="724C4D86"/>
    <w:rsid w:val="726328DA"/>
    <w:rsid w:val="726845A0"/>
    <w:rsid w:val="72691DDC"/>
    <w:rsid w:val="72715DBD"/>
    <w:rsid w:val="7273794E"/>
    <w:rsid w:val="72760055"/>
    <w:rsid w:val="727A02F8"/>
    <w:rsid w:val="727E09A2"/>
    <w:rsid w:val="727F33AE"/>
    <w:rsid w:val="72807126"/>
    <w:rsid w:val="72872262"/>
    <w:rsid w:val="72895FDA"/>
    <w:rsid w:val="728E35F1"/>
    <w:rsid w:val="728F1BF4"/>
    <w:rsid w:val="7298446F"/>
    <w:rsid w:val="729E4247"/>
    <w:rsid w:val="72A52F2B"/>
    <w:rsid w:val="72A615BC"/>
    <w:rsid w:val="72A93F87"/>
    <w:rsid w:val="72AE5A41"/>
    <w:rsid w:val="72B312A9"/>
    <w:rsid w:val="72B4556C"/>
    <w:rsid w:val="72B56DCF"/>
    <w:rsid w:val="72BF19FC"/>
    <w:rsid w:val="72C24A83"/>
    <w:rsid w:val="72C54B39"/>
    <w:rsid w:val="72C65E03"/>
    <w:rsid w:val="72C9287B"/>
    <w:rsid w:val="72CB03A1"/>
    <w:rsid w:val="72CB65F3"/>
    <w:rsid w:val="72D13FE9"/>
    <w:rsid w:val="72D354A8"/>
    <w:rsid w:val="72D37256"/>
    <w:rsid w:val="72D655BC"/>
    <w:rsid w:val="72DD1E82"/>
    <w:rsid w:val="72DF6B7C"/>
    <w:rsid w:val="72E2393D"/>
    <w:rsid w:val="72F859D2"/>
    <w:rsid w:val="72FB055A"/>
    <w:rsid w:val="72FD3C68"/>
    <w:rsid w:val="72FD7770"/>
    <w:rsid w:val="730438B3"/>
    <w:rsid w:val="73084248"/>
    <w:rsid w:val="730B4C41"/>
    <w:rsid w:val="73102514"/>
    <w:rsid w:val="731755C9"/>
    <w:rsid w:val="731955B0"/>
    <w:rsid w:val="732E26DE"/>
    <w:rsid w:val="73317FF3"/>
    <w:rsid w:val="733B7A63"/>
    <w:rsid w:val="733E0A28"/>
    <w:rsid w:val="73470549"/>
    <w:rsid w:val="734C0DB6"/>
    <w:rsid w:val="73522870"/>
    <w:rsid w:val="73555DBE"/>
    <w:rsid w:val="73614861"/>
    <w:rsid w:val="736765F0"/>
    <w:rsid w:val="73683E42"/>
    <w:rsid w:val="73685BF0"/>
    <w:rsid w:val="736B1B84"/>
    <w:rsid w:val="736B748E"/>
    <w:rsid w:val="736D76AA"/>
    <w:rsid w:val="73700F48"/>
    <w:rsid w:val="737427E7"/>
    <w:rsid w:val="737756DC"/>
    <w:rsid w:val="737E18B7"/>
    <w:rsid w:val="73814F04"/>
    <w:rsid w:val="738507A7"/>
    <w:rsid w:val="738A025C"/>
    <w:rsid w:val="738E13CF"/>
    <w:rsid w:val="7395275D"/>
    <w:rsid w:val="73973AB6"/>
    <w:rsid w:val="73A3131E"/>
    <w:rsid w:val="73AD30AD"/>
    <w:rsid w:val="73B1673D"/>
    <w:rsid w:val="73C05A2C"/>
    <w:rsid w:val="73C31854"/>
    <w:rsid w:val="73C44DF0"/>
    <w:rsid w:val="73C84A37"/>
    <w:rsid w:val="73C8553F"/>
    <w:rsid w:val="73C85C05"/>
    <w:rsid w:val="73CD0E46"/>
    <w:rsid w:val="73CD639B"/>
    <w:rsid w:val="73D03795"/>
    <w:rsid w:val="73D529F8"/>
    <w:rsid w:val="73DB55DA"/>
    <w:rsid w:val="73E01C2A"/>
    <w:rsid w:val="73E831D5"/>
    <w:rsid w:val="73EA2AA9"/>
    <w:rsid w:val="73EA3C0A"/>
    <w:rsid w:val="73EC4A73"/>
    <w:rsid w:val="73EE31E0"/>
    <w:rsid w:val="73EF0F6F"/>
    <w:rsid w:val="73F12089"/>
    <w:rsid w:val="73F27BAF"/>
    <w:rsid w:val="73F71F01"/>
    <w:rsid w:val="73FC5756"/>
    <w:rsid w:val="73FD3F2B"/>
    <w:rsid w:val="74055B35"/>
    <w:rsid w:val="74100036"/>
    <w:rsid w:val="74102486"/>
    <w:rsid w:val="741369EC"/>
    <w:rsid w:val="74143FCA"/>
    <w:rsid w:val="742835D1"/>
    <w:rsid w:val="74285D81"/>
    <w:rsid w:val="7429230C"/>
    <w:rsid w:val="742C11FC"/>
    <w:rsid w:val="743B50B2"/>
    <w:rsid w:val="74416441"/>
    <w:rsid w:val="744223BD"/>
    <w:rsid w:val="74485A21"/>
    <w:rsid w:val="744877CF"/>
    <w:rsid w:val="744D4CD1"/>
    <w:rsid w:val="74501E86"/>
    <w:rsid w:val="74534AF2"/>
    <w:rsid w:val="7456013E"/>
    <w:rsid w:val="745C0078"/>
    <w:rsid w:val="74604B19"/>
    <w:rsid w:val="7460720F"/>
    <w:rsid w:val="74624D35"/>
    <w:rsid w:val="74640AAD"/>
    <w:rsid w:val="746C1710"/>
    <w:rsid w:val="746F2FAE"/>
    <w:rsid w:val="7472484C"/>
    <w:rsid w:val="74784559"/>
    <w:rsid w:val="747A4151"/>
    <w:rsid w:val="747E1443"/>
    <w:rsid w:val="747F19C5"/>
    <w:rsid w:val="74820F33"/>
    <w:rsid w:val="74872DFD"/>
    <w:rsid w:val="748801A2"/>
    <w:rsid w:val="748A428C"/>
    <w:rsid w:val="748A4B39"/>
    <w:rsid w:val="748A7DE8"/>
    <w:rsid w:val="74987F0D"/>
    <w:rsid w:val="7499627D"/>
    <w:rsid w:val="74996569"/>
    <w:rsid w:val="749D5276"/>
    <w:rsid w:val="74A138CF"/>
    <w:rsid w:val="74A54C22"/>
    <w:rsid w:val="74A569D0"/>
    <w:rsid w:val="74A76BEC"/>
    <w:rsid w:val="74AA5A49"/>
    <w:rsid w:val="74AC6FC2"/>
    <w:rsid w:val="74AC7D5E"/>
    <w:rsid w:val="74AD50E1"/>
    <w:rsid w:val="74B01C78"/>
    <w:rsid w:val="74B66E2F"/>
    <w:rsid w:val="74C72DEA"/>
    <w:rsid w:val="74CA774B"/>
    <w:rsid w:val="74D06143"/>
    <w:rsid w:val="74D166EC"/>
    <w:rsid w:val="74E21D58"/>
    <w:rsid w:val="74E7523A"/>
    <w:rsid w:val="74E92D60"/>
    <w:rsid w:val="74F6145F"/>
    <w:rsid w:val="74FA6D1C"/>
    <w:rsid w:val="7508356C"/>
    <w:rsid w:val="75091655"/>
    <w:rsid w:val="750D2EF3"/>
    <w:rsid w:val="750E6C6B"/>
    <w:rsid w:val="75181898"/>
    <w:rsid w:val="7518696C"/>
    <w:rsid w:val="751A5610"/>
    <w:rsid w:val="75263FB5"/>
    <w:rsid w:val="7530098F"/>
    <w:rsid w:val="7537110F"/>
    <w:rsid w:val="75385A96"/>
    <w:rsid w:val="75466405"/>
    <w:rsid w:val="75483F2B"/>
    <w:rsid w:val="75501031"/>
    <w:rsid w:val="75524DAA"/>
    <w:rsid w:val="75530B22"/>
    <w:rsid w:val="7557416E"/>
    <w:rsid w:val="755D1591"/>
    <w:rsid w:val="75654BD9"/>
    <w:rsid w:val="75664F33"/>
    <w:rsid w:val="757271FA"/>
    <w:rsid w:val="757406F8"/>
    <w:rsid w:val="757C5983"/>
    <w:rsid w:val="758111EB"/>
    <w:rsid w:val="7581743D"/>
    <w:rsid w:val="75882579"/>
    <w:rsid w:val="759251A6"/>
    <w:rsid w:val="75970A0E"/>
    <w:rsid w:val="759929D8"/>
    <w:rsid w:val="759B5A39"/>
    <w:rsid w:val="759D2199"/>
    <w:rsid w:val="759E7FEF"/>
    <w:rsid w:val="75A1363B"/>
    <w:rsid w:val="75B55338"/>
    <w:rsid w:val="75B5764E"/>
    <w:rsid w:val="75BA4681"/>
    <w:rsid w:val="75BC4A46"/>
    <w:rsid w:val="75BF167C"/>
    <w:rsid w:val="75C5557C"/>
    <w:rsid w:val="75D91027"/>
    <w:rsid w:val="75E34125"/>
    <w:rsid w:val="75E579CC"/>
    <w:rsid w:val="75EA4FE2"/>
    <w:rsid w:val="75EF25F8"/>
    <w:rsid w:val="75F61BD9"/>
    <w:rsid w:val="75FA6B8F"/>
    <w:rsid w:val="75FD3F7C"/>
    <w:rsid w:val="75FE0072"/>
    <w:rsid w:val="76036776"/>
    <w:rsid w:val="76040032"/>
    <w:rsid w:val="760A11E0"/>
    <w:rsid w:val="760A7432"/>
    <w:rsid w:val="76123E95"/>
    <w:rsid w:val="7614205F"/>
    <w:rsid w:val="76193200"/>
    <w:rsid w:val="761A519B"/>
    <w:rsid w:val="76261D92"/>
    <w:rsid w:val="76271965"/>
    <w:rsid w:val="7629154C"/>
    <w:rsid w:val="762E15AE"/>
    <w:rsid w:val="763812D5"/>
    <w:rsid w:val="763F191E"/>
    <w:rsid w:val="764566BC"/>
    <w:rsid w:val="76497A7B"/>
    <w:rsid w:val="765F1905"/>
    <w:rsid w:val="76654669"/>
    <w:rsid w:val="766D176F"/>
    <w:rsid w:val="768076F4"/>
    <w:rsid w:val="76810A30"/>
    <w:rsid w:val="76862B90"/>
    <w:rsid w:val="768658F2"/>
    <w:rsid w:val="76870A83"/>
    <w:rsid w:val="76911902"/>
    <w:rsid w:val="76935BC5"/>
    <w:rsid w:val="76962A74"/>
    <w:rsid w:val="76967E0B"/>
    <w:rsid w:val="769A0A64"/>
    <w:rsid w:val="769C4FF4"/>
    <w:rsid w:val="76A5715B"/>
    <w:rsid w:val="76A96C4B"/>
    <w:rsid w:val="76AC04E9"/>
    <w:rsid w:val="76AC2297"/>
    <w:rsid w:val="76AE6010"/>
    <w:rsid w:val="76AF1D88"/>
    <w:rsid w:val="76B2549B"/>
    <w:rsid w:val="76B92C06"/>
    <w:rsid w:val="76BF021D"/>
    <w:rsid w:val="76BF5F6B"/>
    <w:rsid w:val="76C23869"/>
    <w:rsid w:val="76CA6BC2"/>
    <w:rsid w:val="76CD20EF"/>
    <w:rsid w:val="76CE66B2"/>
    <w:rsid w:val="76D11CFE"/>
    <w:rsid w:val="76D23D36"/>
    <w:rsid w:val="76D87DA0"/>
    <w:rsid w:val="76DC106D"/>
    <w:rsid w:val="76DD59DF"/>
    <w:rsid w:val="76E124DD"/>
    <w:rsid w:val="76E557A9"/>
    <w:rsid w:val="76E71522"/>
    <w:rsid w:val="76EE0B02"/>
    <w:rsid w:val="76EE7EEA"/>
    <w:rsid w:val="76F81981"/>
    <w:rsid w:val="76FB321F"/>
    <w:rsid w:val="76FB76A4"/>
    <w:rsid w:val="76FD6F97"/>
    <w:rsid w:val="77007696"/>
    <w:rsid w:val="770C71DA"/>
    <w:rsid w:val="77163BB5"/>
    <w:rsid w:val="771B2183"/>
    <w:rsid w:val="77272A31"/>
    <w:rsid w:val="77277F01"/>
    <w:rsid w:val="77291B3A"/>
    <w:rsid w:val="77296D57"/>
    <w:rsid w:val="772F154E"/>
    <w:rsid w:val="7735228D"/>
    <w:rsid w:val="77366005"/>
    <w:rsid w:val="77371170"/>
    <w:rsid w:val="773A3D47"/>
    <w:rsid w:val="773B361B"/>
    <w:rsid w:val="77401327"/>
    <w:rsid w:val="77422BFC"/>
    <w:rsid w:val="774677D5"/>
    <w:rsid w:val="774C5621"/>
    <w:rsid w:val="774F41E6"/>
    <w:rsid w:val="77530965"/>
    <w:rsid w:val="775C1580"/>
    <w:rsid w:val="775D3592"/>
    <w:rsid w:val="77612C7F"/>
    <w:rsid w:val="77690189"/>
    <w:rsid w:val="7769462C"/>
    <w:rsid w:val="776C7C79"/>
    <w:rsid w:val="776E39F1"/>
    <w:rsid w:val="77732DB5"/>
    <w:rsid w:val="77754D7F"/>
    <w:rsid w:val="77775308"/>
    <w:rsid w:val="777C610E"/>
    <w:rsid w:val="777D1E86"/>
    <w:rsid w:val="777F548B"/>
    <w:rsid w:val="7785787E"/>
    <w:rsid w:val="77933897"/>
    <w:rsid w:val="77935205"/>
    <w:rsid w:val="77950E92"/>
    <w:rsid w:val="779D3EE1"/>
    <w:rsid w:val="77A03442"/>
    <w:rsid w:val="77A25449"/>
    <w:rsid w:val="77A81788"/>
    <w:rsid w:val="77AF64E3"/>
    <w:rsid w:val="77B96132"/>
    <w:rsid w:val="77BE436E"/>
    <w:rsid w:val="77C0324D"/>
    <w:rsid w:val="77C16217"/>
    <w:rsid w:val="77C17FC5"/>
    <w:rsid w:val="77C47AB5"/>
    <w:rsid w:val="77C5609A"/>
    <w:rsid w:val="77C67389"/>
    <w:rsid w:val="77D00208"/>
    <w:rsid w:val="77D53A70"/>
    <w:rsid w:val="77D71596"/>
    <w:rsid w:val="77DE0B76"/>
    <w:rsid w:val="77E85551"/>
    <w:rsid w:val="77ED2B68"/>
    <w:rsid w:val="77F42148"/>
    <w:rsid w:val="77F42923"/>
    <w:rsid w:val="77F43EF6"/>
    <w:rsid w:val="77F63E34"/>
    <w:rsid w:val="77FC0FFD"/>
    <w:rsid w:val="7803238B"/>
    <w:rsid w:val="78085BF3"/>
    <w:rsid w:val="780D2E6F"/>
    <w:rsid w:val="78126A72"/>
    <w:rsid w:val="78141133"/>
    <w:rsid w:val="78147104"/>
    <w:rsid w:val="782617EC"/>
    <w:rsid w:val="782D11B6"/>
    <w:rsid w:val="782F3180"/>
    <w:rsid w:val="78326DA8"/>
    <w:rsid w:val="78327197"/>
    <w:rsid w:val="78362761"/>
    <w:rsid w:val="7836450F"/>
    <w:rsid w:val="783C4996"/>
    <w:rsid w:val="783C623F"/>
    <w:rsid w:val="7840538D"/>
    <w:rsid w:val="78407425"/>
    <w:rsid w:val="78412EB3"/>
    <w:rsid w:val="78434E7D"/>
    <w:rsid w:val="78436C2C"/>
    <w:rsid w:val="7847671C"/>
    <w:rsid w:val="78485FF0"/>
    <w:rsid w:val="784952E3"/>
    <w:rsid w:val="784D7AAA"/>
    <w:rsid w:val="78511348"/>
    <w:rsid w:val="785D1817"/>
    <w:rsid w:val="7872306D"/>
    <w:rsid w:val="78727511"/>
    <w:rsid w:val="78743346"/>
    <w:rsid w:val="78784170"/>
    <w:rsid w:val="787E1A12"/>
    <w:rsid w:val="788334CC"/>
    <w:rsid w:val="78857244"/>
    <w:rsid w:val="78871EB3"/>
    <w:rsid w:val="788F2E8E"/>
    <w:rsid w:val="78A65502"/>
    <w:rsid w:val="78A80B75"/>
    <w:rsid w:val="78AD0549"/>
    <w:rsid w:val="78AE44D4"/>
    <w:rsid w:val="78AE679B"/>
    <w:rsid w:val="78B10039"/>
    <w:rsid w:val="78B35B5F"/>
    <w:rsid w:val="78B418D7"/>
    <w:rsid w:val="78B476B2"/>
    <w:rsid w:val="78B74F24"/>
    <w:rsid w:val="78C75C05"/>
    <w:rsid w:val="78C961F4"/>
    <w:rsid w:val="78CC05E7"/>
    <w:rsid w:val="78CC4E73"/>
    <w:rsid w:val="78CC5F0B"/>
    <w:rsid w:val="78CF226D"/>
    <w:rsid w:val="78D36201"/>
    <w:rsid w:val="78D43D28"/>
    <w:rsid w:val="78DC157F"/>
    <w:rsid w:val="78DD785E"/>
    <w:rsid w:val="78DE0702"/>
    <w:rsid w:val="78E026CC"/>
    <w:rsid w:val="78E8332F"/>
    <w:rsid w:val="78EE4DE9"/>
    <w:rsid w:val="78F63C9E"/>
    <w:rsid w:val="78F87A16"/>
    <w:rsid w:val="78FA0D3D"/>
    <w:rsid w:val="79027FE0"/>
    <w:rsid w:val="79052133"/>
    <w:rsid w:val="79073F5C"/>
    <w:rsid w:val="790A7749"/>
    <w:rsid w:val="790F6B0E"/>
    <w:rsid w:val="791C6187"/>
    <w:rsid w:val="791E4FA3"/>
    <w:rsid w:val="7924080B"/>
    <w:rsid w:val="792425B9"/>
    <w:rsid w:val="79246910"/>
    <w:rsid w:val="79295E21"/>
    <w:rsid w:val="7931117A"/>
    <w:rsid w:val="79314CD6"/>
    <w:rsid w:val="793876EF"/>
    <w:rsid w:val="793A002E"/>
    <w:rsid w:val="793B3DA7"/>
    <w:rsid w:val="79450781"/>
    <w:rsid w:val="794C38BE"/>
    <w:rsid w:val="795409C4"/>
    <w:rsid w:val="795A422D"/>
    <w:rsid w:val="795B6757"/>
    <w:rsid w:val="796432FD"/>
    <w:rsid w:val="796450AB"/>
    <w:rsid w:val="79652BD2"/>
    <w:rsid w:val="79701CA2"/>
    <w:rsid w:val="797323C9"/>
    <w:rsid w:val="79733540"/>
    <w:rsid w:val="797572B9"/>
    <w:rsid w:val="79791F2A"/>
    <w:rsid w:val="797A042B"/>
    <w:rsid w:val="797C69C1"/>
    <w:rsid w:val="797E43FB"/>
    <w:rsid w:val="799314ED"/>
    <w:rsid w:val="79946B31"/>
    <w:rsid w:val="79951709"/>
    <w:rsid w:val="799F7F8D"/>
    <w:rsid w:val="79A27982"/>
    <w:rsid w:val="79A66D50"/>
    <w:rsid w:val="79AF59FC"/>
    <w:rsid w:val="79B31B8F"/>
    <w:rsid w:val="79B871A5"/>
    <w:rsid w:val="79BA41E2"/>
    <w:rsid w:val="79BC6C95"/>
    <w:rsid w:val="79BF22E2"/>
    <w:rsid w:val="79C478F8"/>
    <w:rsid w:val="79C842E0"/>
    <w:rsid w:val="79C97604"/>
    <w:rsid w:val="79CD2C51"/>
    <w:rsid w:val="79D02741"/>
    <w:rsid w:val="79D0629D"/>
    <w:rsid w:val="79D7587D"/>
    <w:rsid w:val="79D917F7"/>
    <w:rsid w:val="79E166FC"/>
    <w:rsid w:val="79E81839"/>
    <w:rsid w:val="79FC3536"/>
    <w:rsid w:val="79FC7092"/>
    <w:rsid w:val="79FE105C"/>
    <w:rsid w:val="79FF3026"/>
    <w:rsid w:val="79FF6B82"/>
    <w:rsid w:val="7A0423EA"/>
    <w:rsid w:val="7A066163"/>
    <w:rsid w:val="7A0903A2"/>
    <w:rsid w:val="7A0B5527"/>
    <w:rsid w:val="7A0E5017"/>
    <w:rsid w:val="7A15614A"/>
    <w:rsid w:val="7A1B68CA"/>
    <w:rsid w:val="7A1C2B18"/>
    <w:rsid w:val="7A2061A9"/>
    <w:rsid w:val="7A212F9C"/>
    <w:rsid w:val="7A226742"/>
    <w:rsid w:val="7A2544C3"/>
    <w:rsid w:val="7A28497B"/>
    <w:rsid w:val="7A293A71"/>
    <w:rsid w:val="7A2A2B0F"/>
    <w:rsid w:val="7A300704"/>
    <w:rsid w:val="7A3731F1"/>
    <w:rsid w:val="7A38496C"/>
    <w:rsid w:val="7A3A5E0C"/>
    <w:rsid w:val="7A3C3932"/>
    <w:rsid w:val="7A4D5B40"/>
    <w:rsid w:val="7A57575A"/>
    <w:rsid w:val="7A6757B5"/>
    <w:rsid w:val="7A6D61E2"/>
    <w:rsid w:val="7A794B87"/>
    <w:rsid w:val="7A7A445B"/>
    <w:rsid w:val="7A82285A"/>
    <w:rsid w:val="7A844288"/>
    <w:rsid w:val="7A9132B9"/>
    <w:rsid w:val="7A91688C"/>
    <w:rsid w:val="7A97500D"/>
    <w:rsid w:val="7A9776A1"/>
    <w:rsid w:val="7A9D6321"/>
    <w:rsid w:val="7AA94B13"/>
    <w:rsid w:val="7AAA4D40"/>
    <w:rsid w:val="7AAD2A82"/>
    <w:rsid w:val="7AB0006E"/>
    <w:rsid w:val="7AB23BF5"/>
    <w:rsid w:val="7AB71B55"/>
    <w:rsid w:val="7AB76CBC"/>
    <w:rsid w:val="7AC31DEF"/>
    <w:rsid w:val="7AC57DCC"/>
    <w:rsid w:val="7ACA0249"/>
    <w:rsid w:val="7ACB4CB6"/>
    <w:rsid w:val="7ACD133D"/>
    <w:rsid w:val="7AD24297"/>
    <w:rsid w:val="7ADB139D"/>
    <w:rsid w:val="7AE71DB9"/>
    <w:rsid w:val="7AE734B5"/>
    <w:rsid w:val="7AE91D0C"/>
    <w:rsid w:val="7AEA338E"/>
    <w:rsid w:val="7AEA7832"/>
    <w:rsid w:val="7AEC0C8C"/>
    <w:rsid w:val="7AEC35AA"/>
    <w:rsid w:val="7AEC4F8C"/>
    <w:rsid w:val="7AEE0D27"/>
    <w:rsid w:val="7AEE45AD"/>
    <w:rsid w:val="7AEF4E49"/>
    <w:rsid w:val="7AF62AFF"/>
    <w:rsid w:val="7AF64429"/>
    <w:rsid w:val="7AF92E52"/>
    <w:rsid w:val="7AFB1A3F"/>
    <w:rsid w:val="7B0E7C5F"/>
    <w:rsid w:val="7B0F54EB"/>
    <w:rsid w:val="7B106432"/>
    <w:rsid w:val="7B113011"/>
    <w:rsid w:val="7B1228E5"/>
    <w:rsid w:val="7B1448AF"/>
    <w:rsid w:val="7B14665D"/>
    <w:rsid w:val="7B187EFC"/>
    <w:rsid w:val="7B1D7C08"/>
    <w:rsid w:val="7B242D44"/>
    <w:rsid w:val="7B273FF1"/>
    <w:rsid w:val="7B2A5E81"/>
    <w:rsid w:val="7B31720F"/>
    <w:rsid w:val="7B34197A"/>
    <w:rsid w:val="7B3665D4"/>
    <w:rsid w:val="7B3E48AE"/>
    <w:rsid w:val="7B4C1BE3"/>
    <w:rsid w:val="7B590088"/>
    <w:rsid w:val="7B5F1FCE"/>
    <w:rsid w:val="7B6C6499"/>
    <w:rsid w:val="7B777075"/>
    <w:rsid w:val="7B7B1571"/>
    <w:rsid w:val="7B7F7F7B"/>
    <w:rsid w:val="7B8F0147"/>
    <w:rsid w:val="7B9003DA"/>
    <w:rsid w:val="7B9559F0"/>
    <w:rsid w:val="7B9F499A"/>
    <w:rsid w:val="7BA14395"/>
    <w:rsid w:val="7BA2453E"/>
    <w:rsid w:val="7BB120FE"/>
    <w:rsid w:val="7BB73BB8"/>
    <w:rsid w:val="7BB87930"/>
    <w:rsid w:val="7BBB4173"/>
    <w:rsid w:val="7BC71922"/>
    <w:rsid w:val="7BC740D0"/>
    <w:rsid w:val="7BC77B74"/>
    <w:rsid w:val="7BCF5CA2"/>
    <w:rsid w:val="7BD017E9"/>
    <w:rsid w:val="7BD644A9"/>
    <w:rsid w:val="7BD66B94"/>
    <w:rsid w:val="7BD81D81"/>
    <w:rsid w:val="7BDA22D3"/>
    <w:rsid w:val="7BDF0A6A"/>
    <w:rsid w:val="7BDF65A1"/>
    <w:rsid w:val="7BE14791"/>
    <w:rsid w:val="7BEB5610"/>
    <w:rsid w:val="7BEC5CCB"/>
    <w:rsid w:val="7BED75DA"/>
    <w:rsid w:val="7BFC5A6F"/>
    <w:rsid w:val="7C02295A"/>
    <w:rsid w:val="7C064FD8"/>
    <w:rsid w:val="7C077950"/>
    <w:rsid w:val="7C0B6F82"/>
    <w:rsid w:val="7C0D22DA"/>
    <w:rsid w:val="7C102E50"/>
    <w:rsid w:val="7C114ABE"/>
    <w:rsid w:val="7C173577"/>
    <w:rsid w:val="7C1F175E"/>
    <w:rsid w:val="7C262AEC"/>
    <w:rsid w:val="7C2741FB"/>
    <w:rsid w:val="7C2B7A97"/>
    <w:rsid w:val="7C330D65"/>
    <w:rsid w:val="7C370855"/>
    <w:rsid w:val="7C39281F"/>
    <w:rsid w:val="7C3D07C3"/>
    <w:rsid w:val="7C4028DA"/>
    <w:rsid w:val="7C46665A"/>
    <w:rsid w:val="7C466CEA"/>
    <w:rsid w:val="7C480CB4"/>
    <w:rsid w:val="7C492337"/>
    <w:rsid w:val="7C5A2796"/>
    <w:rsid w:val="7C5A4544"/>
    <w:rsid w:val="7C5B0D1F"/>
    <w:rsid w:val="7C5B389B"/>
    <w:rsid w:val="7C6158D2"/>
    <w:rsid w:val="7C640485"/>
    <w:rsid w:val="7C66113B"/>
    <w:rsid w:val="7C772F8A"/>
    <w:rsid w:val="7C782553"/>
    <w:rsid w:val="7C7A61BF"/>
    <w:rsid w:val="7C8021FC"/>
    <w:rsid w:val="7C8141C6"/>
    <w:rsid w:val="7C831CEC"/>
    <w:rsid w:val="7C855A65"/>
    <w:rsid w:val="7C86578E"/>
    <w:rsid w:val="7C870175"/>
    <w:rsid w:val="7C885555"/>
    <w:rsid w:val="7C887303"/>
    <w:rsid w:val="7C8A2B09"/>
    <w:rsid w:val="7C9712F4"/>
    <w:rsid w:val="7C977546"/>
    <w:rsid w:val="7C9B5288"/>
    <w:rsid w:val="7CA103C5"/>
    <w:rsid w:val="7CA90868"/>
    <w:rsid w:val="7CAB16E6"/>
    <w:rsid w:val="7CAB2FF1"/>
    <w:rsid w:val="7CB2612E"/>
    <w:rsid w:val="7CB32E44"/>
    <w:rsid w:val="7CB400F8"/>
    <w:rsid w:val="7CB65C1E"/>
    <w:rsid w:val="7CBC51FE"/>
    <w:rsid w:val="7CC06A9D"/>
    <w:rsid w:val="7CD04806"/>
    <w:rsid w:val="7CD12A58"/>
    <w:rsid w:val="7CE21D95"/>
    <w:rsid w:val="7CE34539"/>
    <w:rsid w:val="7CEA58C8"/>
    <w:rsid w:val="7CED5D83"/>
    <w:rsid w:val="7CFC4F7F"/>
    <w:rsid w:val="7D052701"/>
    <w:rsid w:val="7D056BA5"/>
    <w:rsid w:val="7D0E6828"/>
    <w:rsid w:val="7D0F532E"/>
    <w:rsid w:val="7D17799B"/>
    <w:rsid w:val="7D192609"/>
    <w:rsid w:val="7D20578D"/>
    <w:rsid w:val="7D2863F0"/>
    <w:rsid w:val="7D2C45F5"/>
    <w:rsid w:val="7D2F3C22"/>
    <w:rsid w:val="7D330406"/>
    <w:rsid w:val="7D39684F"/>
    <w:rsid w:val="7D4476CE"/>
    <w:rsid w:val="7D453655"/>
    <w:rsid w:val="7D4A122F"/>
    <w:rsid w:val="7D4C6582"/>
    <w:rsid w:val="7D4D5E56"/>
    <w:rsid w:val="7D511DEB"/>
    <w:rsid w:val="7D52739A"/>
    <w:rsid w:val="7D542117"/>
    <w:rsid w:val="7D55314A"/>
    <w:rsid w:val="7D553C43"/>
    <w:rsid w:val="7D621902"/>
    <w:rsid w:val="7D625DA6"/>
    <w:rsid w:val="7D637428"/>
    <w:rsid w:val="7D6863C4"/>
    <w:rsid w:val="7D6B2EAC"/>
    <w:rsid w:val="7D6F52AD"/>
    <w:rsid w:val="7D702BBE"/>
    <w:rsid w:val="7D734D87"/>
    <w:rsid w:val="7D745926"/>
    <w:rsid w:val="7D795E8A"/>
    <w:rsid w:val="7D7F24B4"/>
    <w:rsid w:val="7D806106"/>
    <w:rsid w:val="7D821FA4"/>
    <w:rsid w:val="7D8860CE"/>
    <w:rsid w:val="7D8F021D"/>
    <w:rsid w:val="7D8F0E4A"/>
    <w:rsid w:val="7D902913"/>
    <w:rsid w:val="7D951CD7"/>
    <w:rsid w:val="7D9E45FE"/>
    <w:rsid w:val="7DA168CE"/>
    <w:rsid w:val="7DA37C8F"/>
    <w:rsid w:val="7DA43CC8"/>
    <w:rsid w:val="7DA71A0B"/>
    <w:rsid w:val="7DAB14FB"/>
    <w:rsid w:val="7DB12889"/>
    <w:rsid w:val="7DBA0E68"/>
    <w:rsid w:val="7DC236B5"/>
    <w:rsid w:val="7DC425BD"/>
    <w:rsid w:val="7DD0308E"/>
    <w:rsid w:val="7DD26996"/>
    <w:rsid w:val="7DD345AE"/>
    <w:rsid w:val="7DD554E6"/>
    <w:rsid w:val="7DD6409E"/>
    <w:rsid w:val="7DDB10A1"/>
    <w:rsid w:val="7DDC2D72"/>
    <w:rsid w:val="7DDC7906"/>
    <w:rsid w:val="7DDD71DA"/>
    <w:rsid w:val="7DDF11A4"/>
    <w:rsid w:val="7DDF2F52"/>
    <w:rsid w:val="7DDF3C9E"/>
    <w:rsid w:val="7DE052D0"/>
    <w:rsid w:val="7DE467BB"/>
    <w:rsid w:val="7DE5079C"/>
    <w:rsid w:val="7DE71E07"/>
    <w:rsid w:val="7DE93DD1"/>
    <w:rsid w:val="7DEE2688"/>
    <w:rsid w:val="7E12157A"/>
    <w:rsid w:val="7E17093E"/>
    <w:rsid w:val="7E192908"/>
    <w:rsid w:val="7E1B5644"/>
    <w:rsid w:val="7E1F6E6C"/>
    <w:rsid w:val="7E204D29"/>
    <w:rsid w:val="7E215319"/>
    <w:rsid w:val="7E27146E"/>
    <w:rsid w:val="7E292420"/>
    <w:rsid w:val="7E3D4054"/>
    <w:rsid w:val="7E3E236F"/>
    <w:rsid w:val="7E445281"/>
    <w:rsid w:val="7E4D69E8"/>
    <w:rsid w:val="7E5955D5"/>
    <w:rsid w:val="7E5A1B3F"/>
    <w:rsid w:val="7E5F3E64"/>
    <w:rsid w:val="7E60325B"/>
    <w:rsid w:val="7E61605D"/>
    <w:rsid w:val="7E6C1B17"/>
    <w:rsid w:val="7E6D055E"/>
    <w:rsid w:val="7E6D4A02"/>
    <w:rsid w:val="7E725B75"/>
    <w:rsid w:val="7E8458A8"/>
    <w:rsid w:val="7E86727D"/>
    <w:rsid w:val="7E9006F1"/>
    <w:rsid w:val="7E930E19"/>
    <w:rsid w:val="7E9567B2"/>
    <w:rsid w:val="7E971A7F"/>
    <w:rsid w:val="7E9E2E0E"/>
    <w:rsid w:val="7EAB7D84"/>
    <w:rsid w:val="7EAD3628"/>
    <w:rsid w:val="7EAF0B77"/>
    <w:rsid w:val="7EAF501B"/>
    <w:rsid w:val="7EAF6FB3"/>
    <w:rsid w:val="7EBA751C"/>
    <w:rsid w:val="7EBF75C0"/>
    <w:rsid w:val="7EC23104"/>
    <w:rsid w:val="7EC30AC6"/>
    <w:rsid w:val="7EC363D0"/>
    <w:rsid w:val="7EC87E8B"/>
    <w:rsid w:val="7ECD49A6"/>
    <w:rsid w:val="7ED401E9"/>
    <w:rsid w:val="7ED50BC3"/>
    <w:rsid w:val="7ED52CBB"/>
    <w:rsid w:val="7EDE145C"/>
    <w:rsid w:val="7EE051FD"/>
    <w:rsid w:val="7EE6106F"/>
    <w:rsid w:val="7EE71BED"/>
    <w:rsid w:val="7EE822DB"/>
    <w:rsid w:val="7EEB5927"/>
    <w:rsid w:val="7EF42A2E"/>
    <w:rsid w:val="7EF46ED2"/>
    <w:rsid w:val="7EF702C0"/>
    <w:rsid w:val="7EF70770"/>
    <w:rsid w:val="7EFB200E"/>
    <w:rsid w:val="7F01339C"/>
    <w:rsid w:val="7F0B728E"/>
    <w:rsid w:val="7F1255AA"/>
    <w:rsid w:val="7F141322"/>
    <w:rsid w:val="7F1429AC"/>
    <w:rsid w:val="7F171895"/>
    <w:rsid w:val="7F17496E"/>
    <w:rsid w:val="7F1E5CFC"/>
    <w:rsid w:val="7F207CC7"/>
    <w:rsid w:val="7F233313"/>
    <w:rsid w:val="7F264BB1"/>
    <w:rsid w:val="7F2C0419"/>
    <w:rsid w:val="7F2C0C33"/>
    <w:rsid w:val="7F30742E"/>
    <w:rsid w:val="7F315A30"/>
    <w:rsid w:val="7F3379FA"/>
    <w:rsid w:val="7F3472CE"/>
    <w:rsid w:val="7F3C6183"/>
    <w:rsid w:val="7F42758F"/>
    <w:rsid w:val="7F460DAF"/>
    <w:rsid w:val="7F480FCB"/>
    <w:rsid w:val="7F4B416B"/>
    <w:rsid w:val="7F547970"/>
    <w:rsid w:val="7F566799"/>
    <w:rsid w:val="7F570FE0"/>
    <w:rsid w:val="7F580682"/>
    <w:rsid w:val="7F594F87"/>
    <w:rsid w:val="7F5C44BA"/>
    <w:rsid w:val="7F62208D"/>
    <w:rsid w:val="7F6851CA"/>
    <w:rsid w:val="7F6B576D"/>
    <w:rsid w:val="7F6D0F46"/>
    <w:rsid w:val="7F6F6558"/>
    <w:rsid w:val="7F722EB9"/>
    <w:rsid w:val="7F74315C"/>
    <w:rsid w:val="7F7A73A0"/>
    <w:rsid w:val="7F7B314F"/>
    <w:rsid w:val="7F7C6B34"/>
    <w:rsid w:val="7F802513"/>
    <w:rsid w:val="7F8B6823"/>
    <w:rsid w:val="7F8E7373"/>
    <w:rsid w:val="7F8F2078"/>
    <w:rsid w:val="7F923DEB"/>
    <w:rsid w:val="7F932247"/>
    <w:rsid w:val="7FAC155A"/>
    <w:rsid w:val="7FAC50B6"/>
    <w:rsid w:val="7FAE0A49"/>
    <w:rsid w:val="7FB34697"/>
    <w:rsid w:val="7FB66CB2"/>
    <w:rsid w:val="7FBB248D"/>
    <w:rsid w:val="7FBD5515"/>
    <w:rsid w:val="7FBE43E0"/>
    <w:rsid w:val="7FC00B62"/>
    <w:rsid w:val="7FC05006"/>
    <w:rsid w:val="7FCA05C5"/>
    <w:rsid w:val="7FCE14D1"/>
    <w:rsid w:val="7FD0349B"/>
    <w:rsid w:val="7FD129C1"/>
    <w:rsid w:val="7FD34D39"/>
    <w:rsid w:val="7FDA1C8A"/>
    <w:rsid w:val="7FE922CA"/>
    <w:rsid w:val="7FE9630A"/>
    <w:rsid w:val="7FEC1451"/>
    <w:rsid w:val="7FEE3921"/>
    <w:rsid w:val="7FF37189"/>
    <w:rsid w:val="7FF43CBB"/>
    <w:rsid w:val="7FF802FC"/>
    <w:rsid w:val="7FFA211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uiPriority="39"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49"/>
    <w:qFormat/>
    <w:uiPriority w:val="0"/>
    <w:pPr>
      <w:keepNext/>
      <w:autoSpaceDE w:val="0"/>
      <w:autoSpaceDN w:val="0"/>
      <w:adjustRightInd w:val="0"/>
      <w:jc w:val="left"/>
      <w:outlineLvl w:val="0"/>
    </w:pPr>
    <w:rPr>
      <w:rFonts w:ascii="仿宋_GB2312" w:hAnsi="Times New Roman" w:eastAsia="仿宋_GB2312" w:cs="仿宋_GB2312"/>
      <w:b/>
      <w:bCs/>
      <w:color w:val="000000"/>
      <w:kern w:val="0"/>
      <w:sz w:val="20"/>
      <w:szCs w:val="20"/>
    </w:rPr>
  </w:style>
  <w:style w:type="paragraph" w:styleId="3">
    <w:name w:val="heading 2"/>
    <w:basedOn w:val="1"/>
    <w:next w:val="1"/>
    <w:link w:val="5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5"/>
    <w:link w:val="53"/>
    <w:unhideWhenUsed/>
    <w:qFormat/>
    <w:uiPriority w:val="9"/>
    <w:pPr>
      <w:keepNext/>
      <w:keepLines/>
      <w:spacing w:before="260" w:after="260" w:line="416" w:lineRule="auto"/>
      <w:outlineLvl w:val="2"/>
    </w:pPr>
    <w:rPr>
      <w:b/>
      <w:bCs/>
      <w:sz w:val="32"/>
      <w:szCs w:val="32"/>
    </w:rPr>
  </w:style>
  <w:style w:type="paragraph" w:styleId="6">
    <w:name w:val="heading 4"/>
    <w:basedOn w:val="1"/>
    <w:next w:val="1"/>
    <w:semiHidden/>
    <w:unhideWhenUsed/>
    <w:qFormat/>
    <w:uiPriority w:val="9"/>
    <w:pPr>
      <w:spacing w:beforeAutospacing="1" w:afterAutospacing="1"/>
      <w:jc w:val="left"/>
      <w:outlineLvl w:val="3"/>
    </w:pPr>
    <w:rPr>
      <w:rFonts w:hint="eastAsia" w:ascii="宋体" w:hAnsi="宋体" w:eastAsia="宋体" w:cs="Times New Roman"/>
      <w:b/>
      <w:bCs/>
      <w:kern w:val="0"/>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5">
    <w:name w:val="正文（自定义）"/>
    <w:basedOn w:val="1"/>
    <w:qFormat/>
    <w:uiPriority w:val="0"/>
    <w:pPr>
      <w:ind w:firstLine="200" w:firstLineChars="200"/>
    </w:pPr>
    <w:rPr>
      <w:rFonts w:ascii="仿宋_GB2312" w:hAnsi="仿宋_GB2312" w:eastAsia="仿宋_GB2312"/>
      <w:sz w:val="32"/>
    </w:rPr>
  </w:style>
  <w:style w:type="paragraph" w:styleId="7">
    <w:name w:val="index 8"/>
    <w:basedOn w:val="1"/>
    <w:next w:val="1"/>
    <w:qFormat/>
    <w:uiPriority w:val="0"/>
    <w:pPr>
      <w:ind w:left="1400" w:leftChars="1400"/>
    </w:pPr>
  </w:style>
  <w:style w:type="paragraph" w:styleId="8">
    <w:name w:val="List Number"/>
    <w:basedOn w:val="1"/>
    <w:semiHidden/>
    <w:unhideWhenUsed/>
    <w:qFormat/>
    <w:uiPriority w:val="99"/>
    <w:pPr>
      <w:numPr>
        <w:ilvl w:val="0"/>
        <w:numId w:val="1"/>
      </w:numPr>
    </w:pPr>
  </w:style>
  <w:style w:type="paragraph" w:styleId="9">
    <w:name w:val="Normal Indent"/>
    <w:basedOn w:val="1"/>
    <w:next w:val="1"/>
    <w:link w:val="55"/>
    <w:qFormat/>
    <w:uiPriority w:val="0"/>
    <w:pPr>
      <w:tabs>
        <w:tab w:val="left" w:pos="750"/>
      </w:tabs>
      <w:spacing w:beforeLines="50" w:line="300" w:lineRule="auto"/>
      <w:ind w:firstLine="200" w:firstLineChars="200"/>
    </w:pPr>
    <w:rPr>
      <w:rFonts w:ascii="宋体" w:hAnsi="Times New Roman" w:eastAsia="宋体" w:cs="Times New Roman"/>
      <w:szCs w:val="21"/>
    </w:rPr>
  </w:style>
  <w:style w:type="paragraph" w:styleId="10">
    <w:name w:val="Document Map"/>
    <w:basedOn w:val="1"/>
    <w:qFormat/>
    <w:uiPriority w:val="99"/>
    <w:pPr>
      <w:shd w:val="clear" w:color="auto" w:fill="000080"/>
    </w:pPr>
  </w:style>
  <w:style w:type="paragraph" w:styleId="11">
    <w:name w:val="toa heading"/>
    <w:basedOn w:val="1"/>
    <w:next w:val="1"/>
    <w:qFormat/>
    <w:uiPriority w:val="0"/>
    <w:pPr>
      <w:spacing w:before="120"/>
    </w:pPr>
    <w:rPr>
      <w:rFonts w:ascii="Arial" w:hAnsi="Arial" w:eastAsia="微软雅黑"/>
      <w:sz w:val="24"/>
      <w:szCs w:val="21"/>
    </w:rPr>
  </w:style>
  <w:style w:type="paragraph" w:styleId="12">
    <w:name w:val="annotation text"/>
    <w:basedOn w:val="1"/>
    <w:qFormat/>
    <w:uiPriority w:val="0"/>
    <w:pPr>
      <w:jc w:val="left"/>
    </w:pPr>
    <w:rPr>
      <w:rFonts w:ascii="Times New Roman" w:hAnsi="Times New Roman"/>
      <w:sz w:val="24"/>
      <w:szCs w:val="24"/>
    </w:rPr>
  </w:style>
  <w:style w:type="paragraph" w:styleId="13">
    <w:name w:val="Body Text"/>
    <w:basedOn w:val="1"/>
    <w:next w:val="14"/>
    <w:link w:val="60"/>
    <w:unhideWhenUsed/>
    <w:qFormat/>
    <w:uiPriority w:val="99"/>
    <w:pPr>
      <w:spacing w:after="120"/>
    </w:pPr>
  </w:style>
  <w:style w:type="paragraph" w:styleId="14">
    <w:name w:val="Body Text 2"/>
    <w:basedOn w:val="1"/>
    <w:link w:val="52"/>
    <w:qFormat/>
    <w:uiPriority w:val="99"/>
    <w:rPr>
      <w:rFonts w:ascii="宋体" w:hAnsi="Times New Roman" w:eastAsia="宋体" w:cs="宋体"/>
      <w:kern w:val="0"/>
      <w:sz w:val="20"/>
      <w:szCs w:val="20"/>
    </w:rPr>
  </w:style>
  <w:style w:type="paragraph" w:styleId="15">
    <w:name w:val="Body Text Indent"/>
    <w:basedOn w:val="1"/>
    <w:next w:val="16"/>
    <w:qFormat/>
    <w:uiPriority w:val="99"/>
    <w:pPr>
      <w:ind w:firstLine="200" w:firstLineChars="200"/>
      <w:jc w:val="left"/>
    </w:pPr>
    <w:rPr>
      <w:rFonts w:ascii="仿宋_GB2312" w:eastAsia="仿宋_GB2312"/>
      <w:kern w:val="0"/>
      <w:sz w:val="24"/>
    </w:rPr>
  </w:style>
  <w:style w:type="paragraph" w:customStyle="1" w:styleId="16">
    <w:name w:val="正文文本首行缩进 2"/>
    <w:basedOn w:val="15"/>
    <w:qFormat/>
    <w:uiPriority w:val="99"/>
    <w:pPr>
      <w:spacing w:line="200" w:lineRule="atLeast"/>
      <w:ind w:firstLine="420"/>
    </w:pPr>
    <w:rPr>
      <w:rFonts w:ascii="宋体" w:hAnsi="Courier New"/>
      <w:spacing w:val="-4"/>
      <w:sz w:val="18"/>
    </w:rPr>
  </w:style>
  <w:style w:type="paragraph" w:styleId="17">
    <w:name w:val="toc 5"/>
    <w:basedOn w:val="1"/>
    <w:next w:val="1"/>
    <w:qFormat/>
    <w:uiPriority w:val="39"/>
    <w:pPr>
      <w:ind w:left="840"/>
      <w:jc w:val="left"/>
    </w:pPr>
    <w:rPr>
      <w:sz w:val="18"/>
      <w:szCs w:val="18"/>
    </w:rPr>
  </w:style>
  <w:style w:type="paragraph" w:styleId="18">
    <w:name w:val="Plain Text"/>
    <w:basedOn w:val="1"/>
    <w:next w:val="19"/>
    <w:link w:val="48"/>
    <w:qFormat/>
    <w:uiPriority w:val="99"/>
    <w:pPr>
      <w:autoSpaceDE w:val="0"/>
      <w:autoSpaceDN w:val="0"/>
      <w:adjustRightInd w:val="0"/>
      <w:jc w:val="left"/>
    </w:pPr>
    <w:rPr>
      <w:rFonts w:ascii="宋体" w:hAnsi="Courier New" w:eastAsia="宋体" w:cs="宋体"/>
      <w:szCs w:val="21"/>
    </w:rPr>
  </w:style>
  <w:style w:type="paragraph" w:customStyle="1" w:styleId="19">
    <w:name w:val="Default"/>
    <w:qFormat/>
    <w:uiPriority w:val="0"/>
    <w:pPr>
      <w:widowControl w:val="0"/>
      <w:autoSpaceDE w:val="0"/>
      <w:autoSpaceDN w:val="0"/>
      <w:adjustRightInd w:val="0"/>
    </w:pPr>
    <w:rPr>
      <w:rFonts w:ascii="Akzidenz Grotesk" w:hAnsi="Times New Roman" w:eastAsia="Akzidenz Grotesk" w:cs="Times New Roman"/>
      <w:color w:val="000000"/>
      <w:sz w:val="24"/>
      <w:szCs w:val="24"/>
      <w:lang w:val="en-US" w:eastAsia="zh-CN" w:bidi="ar-SA"/>
    </w:rPr>
  </w:style>
  <w:style w:type="paragraph" w:styleId="20">
    <w:name w:val="Date"/>
    <w:basedOn w:val="1"/>
    <w:next w:val="1"/>
    <w:qFormat/>
    <w:uiPriority w:val="99"/>
    <w:rPr>
      <w:szCs w:val="20"/>
    </w:rPr>
  </w:style>
  <w:style w:type="paragraph" w:styleId="21">
    <w:name w:val="Balloon Text"/>
    <w:basedOn w:val="1"/>
    <w:link w:val="56"/>
    <w:unhideWhenUsed/>
    <w:qFormat/>
    <w:uiPriority w:val="99"/>
    <w:rPr>
      <w:sz w:val="18"/>
      <w:szCs w:val="18"/>
    </w:rPr>
  </w:style>
  <w:style w:type="paragraph" w:styleId="22">
    <w:name w:val="footer"/>
    <w:basedOn w:val="1"/>
    <w:link w:val="47"/>
    <w:unhideWhenUsed/>
    <w:qFormat/>
    <w:uiPriority w:val="99"/>
    <w:pPr>
      <w:tabs>
        <w:tab w:val="center" w:pos="4153"/>
        <w:tab w:val="right" w:pos="8306"/>
      </w:tabs>
      <w:snapToGrid w:val="0"/>
      <w:jc w:val="left"/>
    </w:pPr>
    <w:rPr>
      <w:sz w:val="18"/>
      <w:szCs w:val="18"/>
    </w:rPr>
  </w:style>
  <w:style w:type="paragraph" w:styleId="23">
    <w:name w:val="header"/>
    <w:basedOn w:val="1"/>
    <w:link w:val="46"/>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style>
  <w:style w:type="paragraph" w:styleId="25">
    <w:name w:val="toc 2"/>
    <w:basedOn w:val="1"/>
    <w:next w:val="1"/>
    <w:unhideWhenUsed/>
    <w:qFormat/>
    <w:uiPriority w:val="39"/>
    <w:pPr>
      <w:ind w:left="420" w:leftChars="200"/>
    </w:pPr>
  </w:style>
  <w:style w:type="paragraph" w:styleId="2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8">
    <w:name w:val="Title"/>
    <w:basedOn w:val="1"/>
    <w:qFormat/>
    <w:uiPriority w:val="0"/>
    <w:pPr>
      <w:jc w:val="center"/>
      <w:outlineLvl w:val="0"/>
    </w:pPr>
    <w:rPr>
      <w:rFonts w:ascii="Arial" w:hAnsi="Arial"/>
      <w:b/>
      <w:sz w:val="32"/>
    </w:rPr>
  </w:style>
  <w:style w:type="paragraph" w:styleId="29">
    <w:name w:val="Body Text First Indent"/>
    <w:basedOn w:val="13"/>
    <w:qFormat/>
    <w:uiPriority w:val="0"/>
    <w:pPr>
      <w:ind w:firstLine="420" w:firstLineChars="100"/>
    </w:pPr>
    <w:rPr>
      <w:rFonts w:ascii="Times New Roman" w:hAnsi="Times New Roman" w:eastAsia="宋体"/>
      <w:bCs/>
      <w:kern w:val="44"/>
      <w:sz w:val="52"/>
      <w:szCs w:val="44"/>
    </w:rPr>
  </w:style>
  <w:style w:type="paragraph" w:styleId="30">
    <w:name w:val="Body Text First Indent 2"/>
    <w:basedOn w:val="15"/>
    <w:next w:val="1"/>
    <w:qFormat/>
    <w:uiPriority w:val="0"/>
    <w:pPr>
      <w:ind w:firstLine="420"/>
    </w:pPr>
  </w:style>
  <w:style w:type="table" w:styleId="32">
    <w:name w:val="Table Grid"/>
    <w:basedOn w:val="31"/>
    <w:qFormat/>
    <w:uiPriority w:val="0"/>
    <w:rPr>
      <w:rFonts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0"/>
    <w:rPr>
      <w:b/>
    </w:rPr>
  </w:style>
  <w:style w:type="character" w:styleId="35">
    <w:name w:val="page number"/>
    <w:basedOn w:val="33"/>
    <w:qFormat/>
    <w:uiPriority w:val="99"/>
  </w:style>
  <w:style w:type="character" w:styleId="36">
    <w:name w:val="FollowedHyperlink"/>
    <w:basedOn w:val="33"/>
    <w:semiHidden/>
    <w:unhideWhenUsed/>
    <w:qFormat/>
    <w:uiPriority w:val="99"/>
    <w:rPr>
      <w:color w:val="954F72"/>
      <w:u w:val="single"/>
    </w:rPr>
  </w:style>
  <w:style w:type="character" w:styleId="37">
    <w:name w:val="Hyperlink"/>
    <w:basedOn w:val="33"/>
    <w:semiHidden/>
    <w:unhideWhenUsed/>
    <w:qFormat/>
    <w:uiPriority w:val="99"/>
    <w:rPr>
      <w:color w:val="0563C1"/>
      <w:u w:val="single"/>
    </w:rPr>
  </w:style>
  <w:style w:type="paragraph" w:customStyle="1" w:styleId="38">
    <w:name w:val="table of figures"/>
    <w:basedOn w:val="39"/>
    <w:next w:val="39"/>
    <w:qFormat/>
    <w:uiPriority w:val="0"/>
    <w:pPr>
      <w:spacing w:before="100" w:beforeLines="0" w:beforeAutospacing="1" w:after="100" w:afterLines="0" w:afterAutospacing="1"/>
      <w:ind w:left="200" w:leftChars="200" w:hanging="200" w:hangingChars="200"/>
    </w:pPr>
    <w:rPr>
      <w:rFonts w:ascii="Times New Roman" w:hAnsi="Times New Roman"/>
    </w:rPr>
  </w:style>
  <w:style w:type="paragraph" w:customStyle="1" w:styleId="39">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next w:val="38"/>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0">
    <w:name w:val="一级条标题"/>
    <w:basedOn w:val="1"/>
    <w:next w:val="1"/>
    <w:qFormat/>
    <w:uiPriority w:val="99"/>
    <w:pPr>
      <w:widowControl/>
      <w:ind w:left="420"/>
      <w:outlineLvl w:val="2"/>
    </w:pPr>
    <w:rPr>
      <w:rFonts w:ascii="黑体" w:eastAsia="黑体" w:cs="黑体"/>
    </w:rPr>
  </w:style>
  <w:style w:type="paragraph" w:customStyle="1" w:styleId="41">
    <w:name w:val="图表目录1"/>
    <w:basedOn w:val="42"/>
    <w:next w:val="42"/>
    <w:qFormat/>
    <w:uiPriority w:val="0"/>
    <w:pPr>
      <w:spacing w:beforeAutospacing="1" w:afterAutospacing="1"/>
      <w:ind w:left="200" w:leftChars="200" w:hanging="200" w:hangingChars="200"/>
    </w:pPr>
  </w:style>
  <w:style w:type="paragraph" w:customStyle="1" w:styleId="42">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1"/>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3">
    <w:name w:val="无间隔1"/>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
    <w:name w:val="图表目录2"/>
    <w:basedOn w:val="45"/>
    <w:next w:val="45"/>
    <w:qFormat/>
    <w:uiPriority w:val="0"/>
    <w:pPr>
      <w:spacing w:beforeAutospacing="1" w:afterAutospacing="1"/>
      <w:ind w:left="200" w:leftChars="200" w:hanging="200" w:hangingChars="200"/>
    </w:pPr>
  </w:style>
  <w:style w:type="paragraph" w:customStyle="1" w:styleId="45">
    <w:name w:val="正文 New New New New New New New New New New New New New New New New New New New New New New New New New New New New New New New New New New New New New New New New New New New New New New New New New New New New New New New New New New New New New New Ne1"/>
    <w:next w:val="44"/>
    <w:qFormat/>
    <w:uiPriority w:val="0"/>
    <w:pPr>
      <w:widowControl w:val="0"/>
      <w:jc w:val="both"/>
    </w:pPr>
    <w:rPr>
      <w:rFonts w:ascii="Times New Roman" w:hAnsi="Times New Roman" w:eastAsia="宋体" w:cs="黑体"/>
      <w:kern w:val="2"/>
      <w:sz w:val="21"/>
      <w:szCs w:val="24"/>
      <w:lang w:val="en-US" w:eastAsia="zh-CN" w:bidi="ar-SA"/>
    </w:rPr>
  </w:style>
  <w:style w:type="character" w:customStyle="1" w:styleId="46">
    <w:name w:val="页眉 Char"/>
    <w:basedOn w:val="33"/>
    <w:link w:val="23"/>
    <w:qFormat/>
    <w:uiPriority w:val="99"/>
    <w:rPr>
      <w:sz w:val="18"/>
      <w:szCs w:val="18"/>
    </w:rPr>
  </w:style>
  <w:style w:type="character" w:customStyle="1" w:styleId="47">
    <w:name w:val="页脚 Char"/>
    <w:basedOn w:val="33"/>
    <w:link w:val="22"/>
    <w:qFormat/>
    <w:uiPriority w:val="99"/>
    <w:rPr>
      <w:sz w:val="18"/>
      <w:szCs w:val="18"/>
    </w:rPr>
  </w:style>
  <w:style w:type="character" w:customStyle="1" w:styleId="48">
    <w:name w:val="纯文本 Char"/>
    <w:basedOn w:val="33"/>
    <w:link w:val="18"/>
    <w:qFormat/>
    <w:uiPriority w:val="99"/>
    <w:rPr>
      <w:rFonts w:ascii="宋体" w:hAnsi="Courier New" w:eastAsia="宋体" w:cs="宋体"/>
      <w:szCs w:val="21"/>
    </w:rPr>
  </w:style>
  <w:style w:type="character" w:customStyle="1" w:styleId="49">
    <w:name w:val="标题 1 Char"/>
    <w:basedOn w:val="33"/>
    <w:link w:val="2"/>
    <w:qFormat/>
    <w:uiPriority w:val="0"/>
    <w:rPr>
      <w:rFonts w:ascii="仿宋_GB2312" w:hAnsi="Times New Roman" w:eastAsia="仿宋_GB2312" w:cs="仿宋_GB2312"/>
      <w:b/>
      <w:bCs/>
      <w:color w:val="000000"/>
      <w:kern w:val="0"/>
      <w:sz w:val="20"/>
      <w:szCs w:val="20"/>
    </w:rPr>
  </w:style>
  <w:style w:type="paragraph" w:customStyle="1" w:styleId="50">
    <w:name w:val="列出段落1"/>
    <w:basedOn w:val="1"/>
    <w:qFormat/>
    <w:uiPriority w:val="34"/>
    <w:pPr>
      <w:ind w:firstLine="420" w:firstLineChars="200"/>
    </w:pPr>
  </w:style>
  <w:style w:type="character" w:customStyle="1" w:styleId="51">
    <w:name w:val="标题 2 Char"/>
    <w:basedOn w:val="33"/>
    <w:link w:val="3"/>
    <w:qFormat/>
    <w:uiPriority w:val="9"/>
    <w:rPr>
      <w:rFonts w:asciiTheme="majorHAnsi" w:hAnsiTheme="majorHAnsi" w:eastAsiaTheme="majorEastAsia" w:cstheme="majorBidi"/>
      <w:b/>
      <w:bCs/>
      <w:sz w:val="32"/>
      <w:szCs w:val="32"/>
    </w:rPr>
  </w:style>
  <w:style w:type="character" w:customStyle="1" w:styleId="52">
    <w:name w:val="正文文本 2 Char"/>
    <w:basedOn w:val="33"/>
    <w:link w:val="14"/>
    <w:qFormat/>
    <w:uiPriority w:val="99"/>
    <w:rPr>
      <w:rFonts w:ascii="宋体" w:hAnsi="Times New Roman" w:eastAsia="宋体" w:cs="宋体"/>
      <w:kern w:val="0"/>
      <w:sz w:val="20"/>
      <w:szCs w:val="20"/>
    </w:rPr>
  </w:style>
  <w:style w:type="character" w:customStyle="1" w:styleId="53">
    <w:name w:val="标题 3 Char"/>
    <w:basedOn w:val="33"/>
    <w:link w:val="4"/>
    <w:semiHidden/>
    <w:qFormat/>
    <w:uiPriority w:val="9"/>
    <w:rPr>
      <w:b/>
      <w:bCs/>
      <w:sz w:val="32"/>
      <w:szCs w:val="32"/>
    </w:rPr>
  </w:style>
  <w:style w:type="paragraph" w:customStyle="1" w:styleId="54">
    <w:name w:val="p2"/>
    <w:basedOn w:val="1"/>
    <w:qFormat/>
    <w:uiPriority w:val="99"/>
    <w:pPr>
      <w:widowControl/>
      <w:spacing w:line="480" w:lineRule="auto"/>
      <w:ind w:firstLine="420"/>
      <w:jc w:val="left"/>
    </w:pPr>
    <w:rPr>
      <w:rFonts w:ascii="宋体" w:hAnsi="宋体" w:eastAsia="宋体" w:cs="宋体"/>
      <w:kern w:val="0"/>
      <w:szCs w:val="21"/>
    </w:rPr>
  </w:style>
  <w:style w:type="character" w:customStyle="1" w:styleId="55">
    <w:name w:val="正文缩进 Char"/>
    <w:link w:val="9"/>
    <w:qFormat/>
    <w:locked/>
    <w:uiPriority w:val="0"/>
    <w:rPr>
      <w:rFonts w:ascii="宋体" w:hAnsi="Times New Roman" w:eastAsia="宋体" w:cs="Times New Roman"/>
      <w:szCs w:val="21"/>
    </w:rPr>
  </w:style>
  <w:style w:type="character" w:customStyle="1" w:styleId="56">
    <w:name w:val="批注框文本 Char"/>
    <w:basedOn w:val="33"/>
    <w:link w:val="21"/>
    <w:semiHidden/>
    <w:qFormat/>
    <w:uiPriority w:val="99"/>
    <w:rPr>
      <w:sz w:val="18"/>
      <w:szCs w:val="18"/>
    </w:rPr>
  </w:style>
  <w:style w:type="character" w:customStyle="1" w:styleId="57">
    <w:name w:val="纯文本 Char1"/>
    <w:qFormat/>
    <w:uiPriority w:val="0"/>
    <w:rPr>
      <w:rFonts w:ascii="宋体" w:hAnsi="Courier New"/>
      <w:kern w:val="2"/>
      <w:sz w:val="21"/>
      <w:szCs w:val="21"/>
    </w:rPr>
  </w:style>
  <w:style w:type="paragraph" w:customStyle="1" w:styleId="58">
    <w:name w:val="列出段落2"/>
    <w:basedOn w:val="1"/>
    <w:link w:val="61"/>
    <w:unhideWhenUsed/>
    <w:qFormat/>
    <w:uiPriority w:val="34"/>
    <w:pPr>
      <w:ind w:firstLine="420" w:firstLineChars="200"/>
    </w:pPr>
  </w:style>
  <w:style w:type="character" w:customStyle="1" w:styleId="59">
    <w:name w:val="纯文本 Char2"/>
    <w:qFormat/>
    <w:uiPriority w:val="0"/>
    <w:rPr>
      <w:rFonts w:ascii="宋体" w:hAnsi="Courier New"/>
      <w:kern w:val="2"/>
      <w:sz w:val="21"/>
      <w:szCs w:val="21"/>
    </w:rPr>
  </w:style>
  <w:style w:type="character" w:customStyle="1" w:styleId="60">
    <w:name w:val="正文文本 Char"/>
    <w:basedOn w:val="33"/>
    <w:link w:val="13"/>
    <w:qFormat/>
    <w:uiPriority w:val="99"/>
    <w:rPr>
      <w:kern w:val="2"/>
      <w:sz w:val="21"/>
      <w:szCs w:val="22"/>
    </w:rPr>
  </w:style>
  <w:style w:type="character" w:customStyle="1" w:styleId="61">
    <w:name w:val="列出段落 Char"/>
    <w:link w:val="58"/>
    <w:qFormat/>
    <w:uiPriority w:val="34"/>
    <w:rPr>
      <w:kern w:val="2"/>
      <w:sz w:val="21"/>
      <w:szCs w:val="22"/>
    </w:rPr>
  </w:style>
  <w:style w:type="paragraph" w:styleId="62">
    <w:name w:val="List Paragraph"/>
    <w:basedOn w:val="1"/>
    <w:qFormat/>
    <w:uiPriority w:val="34"/>
    <w:pPr>
      <w:ind w:firstLine="420" w:firstLineChars="200"/>
    </w:pPr>
  </w:style>
  <w:style w:type="paragraph" w:customStyle="1" w:styleId="63">
    <w:name w:val="正文文本缩进1"/>
    <w:basedOn w:val="1"/>
    <w:qFormat/>
    <w:uiPriority w:val="99"/>
    <w:pPr>
      <w:spacing w:line="200" w:lineRule="exact"/>
      <w:ind w:firstLine="301"/>
    </w:pPr>
    <w:rPr>
      <w:rFonts w:ascii="宋体" w:hAnsi="Courier New" w:eastAsia="宋体" w:cs="Times New Roman"/>
      <w:spacing w:val="-4"/>
      <w:sz w:val="18"/>
      <w:szCs w:val="20"/>
    </w:rPr>
  </w:style>
  <w:style w:type="paragraph" w:customStyle="1" w:styleId="64">
    <w:name w:val="font5"/>
    <w:basedOn w:val="1"/>
    <w:qFormat/>
    <w:uiPriority w:val="99"/>
    <w:pPr>
      <w:widowControl/>
      <w:spacing w:before="100" w:beforeAutospacing="1" w:after="100" w:afterAutospacing="1"/>
      <w:jc w:val="left"/>
    </w:pPr>
    <w:rPr>
      <w:rFonts w:ascii="等线" w:hAnsi="等线" w:eastAsia="等线" w:cs="宋体"/>
      <w:kern w:val="0"/>
      <w:sz w:val="18"/>
      <w:szCs w:val="18"/>
    </w:rPr>
  </w:style>
  <w:style w:type="paragraph" w:customStyle="1" w:styleId="65">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66">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67">
    <w:name w:val="xl67"/>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68">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Cs w:val="21"/>
    </w:rPr>
  </w:style>
  <w:style w:type="paragraph" w:customStyle="1" w:styleId="69">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70">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71">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Cs w:val="21"/>
    </w:rPr>
  </w:style>
  <w:style w:type="paragraph" w:customStyle="1" w:styleId="72">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000000"/>
      <w:kern w:val="0"/>
      <w:szCs w:val="21"/>
    </w:rPr>
  </w:style>
  <w:style w:type="paragraph" w:customStyle="1" w:styleId="73">
    <w:name w:val="xl7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Cs w:val="21"/>
    </w:rPr>
  </w:style>
  <w:style w:type="paragraph" w:customStyle="1" w:styleId="74">
    <w:name w:val="标题 11"/>
    <w:basedOn w:val="1"/>
    <w:qFormat/>
    <w:uiPriority w:val="1"/>
    <w:pPr>
      <w:autoSpaceDE w:val="0"/>
      <w:autoSpaceDN w:val="0"/>
      <w:spacing w:before="38"/>
      <w:ind w:left="1482" w:right="1677"/>
      <w:jc w:val="center"/>
      <w:outlineLvl w:val="1"/>
    </w:pPr>
    <w:rPr>
      <w:rFonts w:ascii="宋体" w:hAnsi="宋体" w:eastAsia="宋体" w:cs="宋体"/>
      <w:b/>
      <w:bCs/>
      <w:kern w:val="0"/>
      <w:sz w:val="36"/>
      <w:szCs w:val="36"/>
      <w:lang w:val="zh-CN" w:bidi="zh-CN"/>
    </w:rPr>
  </w:style>
  <w:style w:type="character" w:customStyle="1" w:styleId="75">
    <w:name w:val="font01"/>
    <w:basedOn w:val="33"/>
    <w:qFormat/>
    <w:uiPriority w:val="0"/>
    <w:rPr>
      <w:rFonts w:hint="eastAsia" w:ascii="宋体" w:hAnsi="宋体" w:eastAsia="宋体" w:cs="宋体"/>
      <w:color w:val="000000"/>
      <w:sz w:val="16"/>
      <w:szCs w:val="16"/>
      <w:u w:val="none"/>
    </w:rPr>
  </w:style>
  <w:style w:type="character" w:customStyle="1" w:styleId="76">
    <w:name w:val="font41"/>
    <w:basedOn w:val="33"/>
    <w:qFormat/>
    <w:uiPriority w:val="0"/>
    <w:rPr>
      <w:rFonts w:ascii="Calibri" w:hAnsi="Calibri" w:cs="Calibri"/>
      <w:color w:val="000000"/>
      <w:sz w:val="16"/>
      <w:szCs w:val="16"/>
      <w:u w:val="none"/>
    </w:rPr>
  </w:style>
  <w:style w:type="paragraph" w:customStyle="1" w:styleId="77">
    <w:name w:val="！正文"/>
    <w:basedOn w:val="1"/>
    <w:qFormat/>
    <w:uiPriority w:val="0"/>
    <w:pPr>
      <w:widowControl/>
      <w:autoSpaceDE w:val="0"/>
      <w:autoSpaceDN w:val="0"/>
      <w:adjustRightInd w:val="0"/>
      <w:spacing w:line="360" w:lineRule="auto"/>
      <w:ind w:firstLine="200" w:firstLineChars="200"/>
      <w:jc w:val="left"/>
      <w:textAlignment w:val="baseline"/>
    </w:pPr>
    <w:rPr>
      <w:rFonts w:hAnsi="Arial" w:eastAsia="仿宋"/>
      <w:kern w:val="0"/>
      <w:sz w:val="28"/>
      <w:szCs w:val="28"/>
      <w:lang w:val="zh-CN"/>
    </w:rPr>
  </w:style>
  <w:style w:type="character" w:customStyle="1" w:styleId="78">
    <w:name w:val="font101"/>
    <w:basedOn w:val="33"/>
    <w:qFormat/>
    <w:uiPriority w:val="0"/>
    <w:rPr>
      <w:rFonts w:hint="eastAsia" w:ascii="宋体" w:hAnsi="宋体" w:eastAsia="宋体" w:cs="宋体"/>
      <w:b/>
      <w:color w:val="000000"/>
      <w:sz w:val="22"/>
      <w:szCs w:val="22"/>
      <w:u w:val="none"/>
    </w:rPr>
  </w:style>
  <w:style w:type="character" w:customStyle="1" w:styleId="79">
    <w:name w:val="font31"/>
    <w:basedOn w:val="33"/>
    <w:qFormat/>
    <w:uiPriority w:val="0"/>
    <w:rPr>
      <w:rFonts w:hint="eastAsia" w:ascii="宋体" w:hAnsi="宋体" w:eastAsia="宋体" w:cs="宋体"/>
      <w:color w:val="000000"/>
      <w:sz w:val="22"/>
      <w:szCs w:val="22"/>
      <w:u w:val="none"/>
    </w:rPr>
  </w:style>
  <w:style w:type="character" w:customStyle="1" w:styleId="80">
    <w:name w:val="font21"/>
    <w:basedOn w:val="33"/>
    <w:qFormat/>
    <w:uiPriority w:val="0"/>
    <w:rPr>
      <w:rFonts w:hint="default" w:ascii="Arial" w:hAnsi="Arial" w:cs="Arial"/>
      <w:color w:val="000000"/>
      <w:sz w:val="22"/>
      <w:szCs w:val="22"/>
      <w:u w:val="none"/>
    </w:rPr>
  </w:style>
  <w:style w:type="character" w:customStyle="1" w:styleId="81">
    <w:name w:val="font111"/>
    <w:basedOn w:val="33"/>
    <w:qFormat/>
    <w:uiPriority w:val="0"/>
    <w:rPr>
      <w:rFonts w:hint="default" w:ascii="Times New Roman" w:hAnsi="Times New Roman" w:cs="Times New Roman"/>
      <w:color w:val="000000"/>
      <w:sz w:val="14"/>
      <w:szCs w:val="14"/>
      <w:u w:val="none"/>
    </w:rPr>
  </w:style>
  <w:style w:type="character" w:customStyle="1" w:styleId="82">
    <w:name w:val="font131"/>
    <w:basedOn w:val="33"/>
    <w:qFormat/>
    <w:uiPriority w:val="0"/>
    <w:rPr>
      <w:rFonts w:hint="eastAsia" w:ascii="宋体" w:hAnsi="宋体" w:eastAsia="宋体" w:cs="宋体"/>
      <w:color w:val="000000"/>
      <w:sz w:val="16"/>
      <w:szCs w:val="16"/>
      <w:u w:val="none"/>
    </w:rPr>
  </w:style>
  <w:style w:type="character" w:customStyle="1" w:styleId="83">
    <w:name w:val="font161"/>
    <w:basedOn w:val="33"/>
    <w:qFormat/>
    <w:uiPriority w:val="0"/>
    <w:rPr>
      <w:rFonts w:ascii="Calibri" w:hAnsi="Calibri" w:cs="Calibri"/>
      <w:color w:val="000000"/>
      <w:sz w:val="16"/>
      <w:szCs w:val="16"/>
      <w:u w:val="none"/>
    </w:rPr>
  </w:style>
  <w:style w:type="character" w:customStyle="1" w:styleId="84">
    <w:name w:val="font51"/>
    <w:basedOn w:val="33"/>
    <w:qFormat/>
    <w:uiPriority w:val="0"/>
    <w:rPr>
      <w:rFonts w:hint="default" w:ascii="Times New Roman" w:hAnsi="Times New Roman" w:cs="Times New Roman"/>
      <w:color w:val="000000"/>
      <w:sz w:val="22"/>
      <w:szCs w:val="22"/>
      <w:u w:val="none"/>
    </w:rPr>
  </w:style>
  <w:style w:type="character" w:customStyle="1" w:styleId="85">
    <w:name w:val="font91"/>
    <w:basedOn w:val="33"/>
    <w:qFormat/>
    <w:uiPriority w:val="0"/>
    <w:rPr>
      <w:rFonts w:hint="eastAsia" w:ascii="微软雅黑" w:hAnsi="微软雅黑" w:eastAsia="微软雅黑" w:cs="微软雅黑"/>
      <w:color w:val="000000"/>
      <w:sz w:val="22"/>
      <w:szCs w:val="22"/>
      <w:u w:val="none"/>
    </w:rPr>
  </w:style>
  <w:style w:type="character" w:customStyle="1" w:styleId="86">
    <w:name w:val="font81"/>
    <w:basedOn w:val="33"/>
    <w:qFormat/>
    <w:uiPriority w:val="0"/>
    <w:rPr>
      <w:rFonts w:hint="default" w:ascii="Times New Roman" w:hAnsi="Times New Roman" w:cs="Times New Roman"/>
      <w:color w:val="000000"/>
      <w:sz w:val="18"/>
      <w:szCs w:val="18"/>
      <w:u w:val="none"/>
    </w:rPr>
  </w:style>
  <w:style w:type="character" w:customStyle="1" w:styleId="87">
    <w:name w:val="font61"/>
    <w:basedOn w:val="33"/>
    <w:qFormat/>
    <w:uiPriority w:val="0"/>
    <w:rPr>
      <w:rFonts w:hint="default" w:ascii="Times New Roman" w:hAnsi="Times New Roman" w:cs="Times New Roman"/>
      <w:color w:val="000000"/>
      <w:sz w:val="18"/>
      <w:szCs w:val="18"/>
      <w:u w:val="none"/>
    </w:rPr>
  </w:style>
  <w:style w:type="character" w:customStyle="1" w:styleId="88">
    <w:name w:val="font71"/>
    <w:basedOn w:val="33"/>
    <w:qFormat/>
    <w:uiPriority w:val="0"/>
    <w:rPr>
      <w:rFonts w:hint="default" w:ascii="Times New Roman" w:hAnsi="Times New Roman" w:cs="Times New Roman"/>
      <w:color w:val="000000"/>
      <w:sz w:val="22"/>
      <w:szCs w:val="22"/>
      <w:u w:val="none"/>
    </w:rPr>
  </w:style>
  <w:style w:type="character" w:customStyle="1" w:styleId="89">
    <w:name w:val="font11"/>
    <w:basedOn w:val="33"/>
    <w:qFormat/>
    <w:uiPriority w:val="0"/>
    <w:rPr>
      <w:rFonts w:hint="eastAsia" w:ascii="宋体" w:hAnsi="宋体" w:eastAsia="宋体" w:cs="宋体"/>
      <w:color w:val="FF0000"/>
      <w:sz w:val="24"/>
      <w:szCs w:val="24"/>
      <w:u w:val="none"/>
    </w:rPr>
  </w:style>
  <w:style w:type="paragraph" w:customStyle="1" w:styleId="90">
    <w:name w:val="Body text|1"/>
    <w:basedOn w:val="1"/>
    <w:qFormat/>
    <w:uiPriority w:val="0"/>
    <w:pPr>
      <w:spacing w:line="434" w:lineRule="auto"/>
      <w:ind w:firstLine="400"/>
    </w:pPr>
    <w:rPr>
      <w:rFonts w:ascii="宋体" w:hAnsi="宋体" w:eastAsia="宋体" w:cs="宋体"/>
      <w:sz w:val="22"/>
      <w:lang w:val="zh-TW" w:eastAsia="zh-TW" w:bidi="zh-TW"/>
    </w:rPr>
  </w:style>
  <w:style w:type="character" w:customStyle="1" w:styleId="91">
    <w:name w:val="font112"/>
    <w:basedOn w:val="33"/>
    <w:qFormat/>
    <w:uiPriority w:val="0"/>
    <w:rPr>
      <w:rFonts w:hint="eastAsia" w:ascii="宋体" w:hAnsi="宋体" w:eastAsia="宋体" w:cs="宋体"/>
      <w:color w:val="FF0000"/>
      <w:sz w:val="18"/>
      <w:szCs w:val="18"/>
      <w:u w:val="none"/>
    </w:rPr>
  </w:style>
  <w:style w:type="paragraph" w:customStyle="1" w:styleId="92">
    <w:name w:val="Heading 1"/>
    <w:basedOn w:val="1"/>
    <w:qFormat/>
    <w:uiPriority w:val="1"/>
    <w:pPr>
      <w:autoSpaceDE w:val="0"/>
      <w:autoSpaceDN w:val="0"/>
      <w:spacing w:before="38"/>
      <w:ind w:left="1482" w:right="1677"/>
      <w:jc w:val="center"/>
      <w:outlineLvl w:val="1"/>
    </w:pPr>
    <w:rPr>
      <w:rFonts w:hAnsi="宋体" w:cs="宋体"/>
      <w:b/>
      <w:bCs/>
      <w:kern w:val="0"/>
      <w:sz w:val="36"/>
      <w:szCs w:val="36"/>
      <w:lang w:val="zh-CN" w:bidi="zh-CN"/>
    </w:rPr>
  </w:style>
  <w:style w:type="paragraph" w:customStyle="1" w:styleId="93">
    <w:name w:val="列出段落3"/>
    <w:basedOn w:val="1"/>
    <w:unhideWhenUsed/>
    <w:qFormat/>
    <w:uiPriority w:val="1"/>
    <w:pPr>
      <w:ind w:firstLine="420" w:firstLineChars="200"/>
    </w:pPr>
  </w:style>
  <w:style w:type="paragraph" w:customStyle="1" w:styleId="94">
    <w:name w:val="正文_1"/>
    <w:qFormat/>
    <w:uiPriority w:val="0"/>
    <w:pPr>
      <w:widowControl w:val="0"/>
      <w:jc w:val="both"/>
    </w:pPr>
    <w:rPr>
      <w:rFonts w:ascii="Times New Roman" w:hAnsi="Times New Roman" w:eastAsia="宋体" w:cs="Times New Roman"/>
      <w:kern w:val="2"/>
      <w:sz w:val="21"/>
      <w:lang w:val="en-US" w:eastAsia="zh-CN" w:bidi="ar-SA"/>
    </w:rPr>
  </w:style>
  <w:style w:type="paragraph" w:styleId="95">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6">
    <w:name w:val="正文1"/>
    <w:qFormat/>
    <w:uiPriority w:val="0"/>
    <w:pPr>
      <w:jc w:val="both"/>
    </w:pPr>
    <w:rPr>
      <w:rFonts w:ascii="Calibri" w:hAnsi="Calibri" w:eastAsia="宋体" w:cs="Calibri"/>
      <w:kern w:val="2"/>
      <w:sz w:val="21"/>
      <w:szCs w:val="21"/>
      <w:lang w:val="en-US" w:eastAsia="zh-CN" w:bidi="ar-SA"/>
    </w:rPr>
  </w:style>
  <w:style w:type="paragraph" w:customStyle="1" w:styleId="97">
    <w:name w:val="F正文"/>
    <w:basedOn w:val="1"/>
    <w:qFormat/>
    <w:uiPriority w:val="0"/>
    <w:pPr>
      <w:spacing w:before="60" w:after="60" w:line="360" w:lineRule="auto"/>
      <w:ind w:firstLine="480" w:firstLineChars="200"/>
      <w:jc w:val="left"/>
    </w:pPr>
    <w:rPr>
      <w:rFonts w:ascii="宋体" w:hAnsi="Microsoft Sans Serif"/>
      <w:bCs/>
      <w:sz w:val="24"/>
    </w:rPr>
  </w:style>
  <w:style w:type="paragraph" w:customStyle="1" w:styleId="98">
    <w:name w:val="正文（缩进）"/>
    <w:basedOn w:val="1"/>
    <w:qFormat/>
    <w:uiPriority w:val="0"/>
    <w:pPr>
      <w:widowControl/>
      <w:spacing w:beforeLines="50" w:afterLines="50" w:line="360" w:lineRule="auto"/>
      <w:ind w:firstLine="200" w:firstLineChars="200"/>
    </w:pPr>
    <w:rPr>
      <w:rFonts w:ascii="宋体" w:hAnsi="Calibri" w:eastAsia="宋体" w:cs="Times New Roman"/>
      <w:kern w:val="0"/>
      <w:sz w:val="24"/>
    </w:rPr>
  </w:style>
  <w:style w:type="paragraph" w:customStyle="1" w:styleId="9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0">
    <w:name w:val="正文文本首行缩进 21"/>
    <w:basedOn w:val="15"/>
    <w:qFormat/>
    <w:uiPriority w:val="99"/>
    <w:pPr>
      <w:spacing w:line="200" w:lineRule="atLeast"/>
      <w:ind w:firstLine="420"/>
    </w:pPr>
    <w:rPr>
      <w:rFonts w:ascii="宋体" w:hAnsi="Courier New"/>
      <w:spacing w:val="-4"/>
      <w:sz w:val="18"/>
    </w:rPr>
  </w:style>
  <w:style w:type="paragraph" w:customStyle="1" w:styleId="101">
    <w:name w:val="纯文本1"/>
    <w:basedOn w:val="1"/>
    <w:qFormat/>
    <w:uiPriority w:val="0"/>
    <w:rPr>
      <w:rFonts w:ascii="宋体" w:hAnsi="Courier New" w:eastAsia="宋体" w:cs="Times New Roman"/>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1CDFAB-8725-4047-879F-50FB8D865F6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85</Pages>
  <Words>39931</Words>
  <Characters>41984</Characters>
  <Lines>40</Lines>
  <Paragraphs>78</Paragraphs>
  <TotalTime>1</TotalTime>
  <ScaleCrop>false</ScaleCrop>
  <LinksUpToDate>false</LinksUpToDate>
  <CharactersWithSpaces>44505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2020-11-27T01:27:00Z</dcterms:created>
  <dc:creator>zhang weiming</dc:creator>
  <cp:lastModifiedBy>王飞</cp:lastModifiedBy>
  <cp:lastPrinted>2024-05-20T11:28:00Z</cp:lastPrinted>
  <dcterms:modified xsi:type="dcterms:W3CDTF">2024-08-26T07:52:28Z</dcterms:modified>
  <cp:revision>205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3E10923063894EDBB8DCCD7AF8C2B834_13</vt:lpwstr>
  </property>
</Properties>
</file>