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D7AB4">
      <w:pPr>
        <w:rPr>
          <w:rFonts w:ascii="仿宋" w:hAnsi="仿宋" w:eastAsia="仿宋" w:cs="仿宋"/>
          <w:color w:val="auto"/>
          <w:sz w:val="32"/>
          <w:szCs w:val="32"/>
        </w:rPr>
      </w:pPr>
      <w:r>
        <w:rPr>
          <w:rFonts w:hint="eastAsia" w:ascii="仿宋" w:hAnsi="仿宋" w:eastAsia="仿宋" w:cs="仿宋"/>
          <w:color w:val="auto"/>
          <w:sz w:val="32"/>
          <w:szCs w:val="32"/>
        </w:rPr>
        <w:t>附：</w:t>
      </w:r>
      <w:bookmarkStart w:id="0" w:name="_GoBack"/>
      <w:r>
        <w:rPr>
          <w:rFonts w:hint="eastAsia" w:ascii="仿宋" w:hAnsi="仿宋" w:eastAsia="仿宋" w:cs="仿宋"/>
          <w:color w:val="auto"/>
          <w:sz w:val="32"/>
          <w:szCs w:val="32"/>
        </w:rPr>
        <w:t>季度考核表</w:t>
      </w:r>
      <w:bookmarkEnd w:id="0"/>
    </w:p>
    <w:tbl>
      <w:tblPr>
        <w:tblStyle w:val="3"/>
        <w:tblW w:w="5000" w:type="pct"/>
        <w:jc w:val="center"/>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Layout w:type="autofit"/>
        <w:tblCellMar>
          <w:top w:w="20" w:type="dxa"/>
          <w:left w:w="20" w:type="dxa"/>
          <w:bottom w:w="20" w:type="dxa"/>
          <w:right w:w="20" w:type="dxa"/>
        </w:tblCellMar>
      </w:tblPr>
      <w:tblGrid>
        <w:gridCol w:w="381"/>
        <w:gridCol w:w="1352"/>
        <w:gridCol w:w="5950"/>
        <w:gridCol w:w="763"/>
      </w:tblGrid>
      <w:tr w14:paraId="7D5D987B">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37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48A0138">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供应商季度考核表</w:t>
            </w:r>
          </w:p>
        </w:tc>
      </w:tr>
      <w:tr w14:paraId="6C245B4A">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370" w:hRule="atLeast"/>
          <w:jc w:val="center"/>
        </w:trPr>
        <w:tc>
          <w:tcPr>
            <w:tcW w:w="194" w:type="pct"/>
            <w:tcBorders>
              <w:top w:val="nil"/>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AAFB068">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供应商名称</w:t>
            </w: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10F33DE">
            <w:pPr>
              <w:spacing w:line="250" w:lineRule="atLeast"/>
              <w:jc w:val="left"/>
              <w:rPr>
                <w:rFonts w:ascii="仿宋" w:hAnsi="仿宋" w:eastAsia="仿宋" w:cs="仿宋"/>
                <w:color w:val="auto"/>
                <w:sz w:val="24"/>
                <w:szCs w:val="24"/>
              </w:rPr>
            </w:pP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F4573F7">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服务（系统）名称</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67E7390">
            <w:pPr>
              <w:spacing w:line="250" w:lineRule="atLeast"/>
              <w:jc w:val="left"/>
              <w:rPr>
                <w:rFonts w:ascii="仿宋" w:hAnsi="仿宋" w:eastAsia="仿宋" w:cs="仿宋"/>
                <w:color w:val="auto"/>
                <w:sz w:val="24"/>
                <w:szCs w:val="24"/>
              </w:rPr>
            </w:pPr>
          </w:p>
        </w:tc>
      </w:tr>
      <w:tr w14:paraId="26999DEB">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370" w:hRule="atLeast"/>
          <w:jc w:val="center"/>
        </w:trPr>
        <w:tc>
          <w:tcPr>
            <w:tcW w:w="5000" w:type="pct"/>
            <w:gridSpan w:val="4"/>
            <w:tcBorders>
              <w:top w:val="nil"/>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9CF0903">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供应商考核指标</w:t>
            </w:r>
          </w:p>
        </w:tc>
      </w:tr>
      <w:tr w14:paraId="2CA9F122">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300" w:hRule="atLeast"/>
          <w:jc w:val="center"/>
        </w:trPr>
        <w:tc>
          <w:tcPr>
            <w:tcW w:w="194" w:type="pct"/>
            <w:tcBorders>
              <w:top w:val="nil"/>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6E4C1470">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指标类型</w:t>
            </w: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7B9053E">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指标名称</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00B25C5">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考核指标内容</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6B4AEFE">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扣分</w:t>
            </w:r>
          </w:p>
        </w:tc>
      </w:tr>
      <w:tr w14:paraId="709F6E2B">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350" w:hRule="atLeast"/>
          <w:jc w:val="center"/>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4FDAD41">
            <w:pP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性能质量评价</w:t>
            </w: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2EC9C36">
            <w:pPr>
              <w:spacing w:line="250" w:lineRule="atLeast"/>
              <w:jc w:val="center"/>
              <w:rPr>
                <w:rFonts w:ascii="仿宋" w:hAnsi="仿宋" w:eastAsia="仿宋" w:cs="仿宋"/>
                <w:b/>
                <w:bCs/>
                <w:color w:val="auto"/>
                <w:sz w:val="24"/>
                <w:szCs w:val="24"/>
              </w:rPr>
            </w:pPr>
            <w:r>
              <w:rPr>
                <w:rFonts w:hint="eastAsia" w:ascii="仿宋" w:hAnsi="仿宋" w:eastAsia="仿宋" w:cs="仿宋"/>
                <w:b/>
                <w:bCs/>
                <w:color w:val="auto"/>
                <w:sz w:val="24"/>
                <w:szCs w:val="24"/>
              </w:rPr>
              <w:t>稳定性</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A31985D">
            <w:pPr>
              <w:spacing w:after="130" w:line="25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出现故障，导致系统不稳定，影响医院业务：出现故障时间＞30分钟且≤60分钟扣2分，&gt;60分钟扣3分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2BAEEBF9">
            <w:pPr>
              <w:spacing w:line="250" w:lineRule="atLeast"/>
              <w:jc w:val="left"/>
              <w:rPr>
                <w:rFonts w:ascii="仿宋" w:hAnsi="仿宋" w:eastAsia="仿宋" w:cs="仿宋"/>
                <w:color w:val="auto"/>
                <w:sz w:val="24"/>
                <w:szCs w:val="24"/>
              </w:rPr>
            </w:pPr>
          </w:p>
        </w:tc>
      </w:tr>
      <w:tr w14:paraId="04B3FD63">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350"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E947B4C">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14AD332">
            <w:pPr>
              <w:spacing w:line="25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安全性</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5E951508">
            <w:pPr>
              <w:spacing w:after="130" w:line="25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未具备完善的安全防护机制，存在数据丢失或泄漏的风险，发现一次扣2分；采购方有权对现有程序和数据保留备份，供应商违规操作导致采购方机器硬盘中的任何数据和程序损坏或丢失一次扣5分；备份维护不合理，备份数据损坏导致在需要时无法恢复，每次扣5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854B517">
            <w:pPr>
              <w:spacing w:line="250" w:lineRule="atLeast"/>
              <w:jc w:val="left"/>
              <w:rPr>
                <w:rFonts w:ascii="仿宋" w:hAnsi="仿宋" w:eastAsia="仿宋" w:cs="仿宋"/>
                <w:color w:val="auto"/>
                <w:sz w:val="24"/>
                <w:szCs w:val="24"/>
              </w:rPr>
            </w:pPr>
          </w:p>
        </w:tc>
      </w:tr>
      <w:tr w14:paraId="6F6FBF08">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310"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80C8421">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63358C33">
            <w:pPr>
              <w:spacing w:line="25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用户满意度</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85072CC">
            <w:pPr>
              <w:spacing w:after="130" w:line="25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接到投诉时，一次扣1分；出现整改和处理后仍然不满足要求的情况，每5日为一个周期追扣2分，不满一个周期的算一个周期；</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6150AFA9">
            <w:pPr>
              <w:spacing w:line="250" w:lineRule="atLeast"/>
              <w:jc w:val="left"/>
              <w:rPr>
                <w:rFonts w:ascii="仿宋" w:hAnsi="仿宋" w:eastAsia="仿宋" w:cs="仿宋"/>
                <w:color w:val="auto"/>
                <w:sz w:val="24"/>
                <w:szCs w:val="24"/>
              </w:rPr>
            </w:pPr>
          </w:p>
        </w:tc>
      </w:tr>
      <w:tr w14:paraId="5FFBF9BA">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770"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8BF7422">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3D6EF75">
            <w:pPr>
              <w:spacing w:line="250" w:lineRule="atLeast"/>
              <w:jc w:val="center"/>
              <w:rPr>
                <w:rFonts w:ascii="仿宋" w:hAnsi="仿宋" w:eastAsia="仿宋" w:cs="仿宋"/>
                <w:b/>
                <w:bCs/>
                <w:color w:val="auto"/>
                <w:sz w:val="24"/>
                <w:szCs w:val="24"/>
              </w:rPr>
            </w:pPr>
            <w:r>
              <w:rPr>
                <w:rFonts w:hint="eastAsia" w:ascii="仿宋" w:hAnsi="仿宋" w:eastAsia="仿宋" w:cs="仿宋"/>
                <w:b/>
                <w:bCs/>
                <w:color w:val="auto"/>
                <w:sz w:val="24"/>
                <w:szCs w:val="24"/>
              </w:rPr>
              <w:t>考勤</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67AD0A55">
            <w:pPr>
              <w:spacing w:after="130"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工程师每日线上签到，每次迟到一次扣0.5分；旷工或漏签一次扣1分；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4724CDF">
            <w:pPr>
              <w:spacing w:line="250" w:lineRule="atLeast"/>
              <w:jc w:val="left"/>
              <w:rPr>
                <w:rFonts w:ascii="仿宋" w:hAnsi="仿宋" w:eastAsia="仿宋" w:cs="仿宋"/>
                <w:color w:val="auto"/>
                <w:sz w:val="24"/>
                <w:szCs w:val="24"/>
              </w:rPr>
            </w:pPr>
          </w:p>
        </w:tc>
      </w:tr>
      <w:tr w14:paraId="650F3A5F">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770"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2D00918A">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9DC29E3">
            <w:pPr>
              <w:spacing w:line="250" w:lineRule="atLeast"/>
              <w:jc w:val="center"/>
              <w:rPr>
                <w:rFonts w:ascii="仿宋" w:hAnsi="仿宋" w:cs="仿宋"/>
                <w:color w:val="auto"/>
                <w:kern w:val="0"/>
                <w:sz w:val="24"/>
                <w:szCs w:val="24"/>
                <w:lang w:bidi="ar"/>
              </w:rPr>
            </w:pPr>
            <w:r>
              <w:rPr>
                <w:rFonts w:hint="eastAsia" w:ascii="仿宋" w:hAnsi="仿宋" w:eastAsia="仿宋" w:cs="仿宋"/>
                <w:b/>
                <w:bCs/>
                <w:color w:val="auto"/>
                <w:sz w:val="24"/>
                <w:szCs w:val="24"/>
              </w:rPr>
              <w:t>响应速度</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8E7C18F">
            <w:pPr>
              <w:spacing w:after="130"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若需要现场支持时，须及时响应，不响应扣1分；发现异常不处理或向采购人及时汇报，扣0.5分；服务期内不接听电话，每次扣0.5分；微信群响应不及时或不按规定响应，每次扣0.1分；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DF96E73">
            <w:pPr>
              <w:spacing w:line="250" w:lineRule="atLeast"/>
              <w:jc w:val="left"/>
              <w:rPr>
                <w:rFonts w:ascii="仿宋" w:hAnsi="仿宋" w:eastAsia="仿宋" w:cs="仿宋"/>
                <w:color w:val="auto"/>
                <w:sz w:val="24"/>
                <w:szCs w:val="24"/>
              </w:rPr>
            </w:pPr>
          </w:p>
        </w:tc>
      </w:tr>
      <w:tr w14:paraId="7FCC2E09">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190"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43F2D73">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56BF4D92">
            <w:pPr>
              <w:spacing w:line="25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备件供应</w:t>
            </w:r>
          </w:p>
          <w:p w14:paraId="040FCE1B">
            <w:pPr>
              <w:spacing w:line="250" w:lineRule="atLeast"/>
              <w:jc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(本条指标仅涉及提供硬件设备的供应商)</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6D62A325">
            <w:pPr>
              <w:spacing w:after="130" w:line="25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不能及时按要求提供所需备件（服务期内设备故障并经排查，明确2小时内无法恢复，应当在4小时内提供相同类型和性能的可用机器恢复业务工作，直至故障排除，超过规定时间无法提供备件一次扣5分；未按规定进行机房基础维护每次扣0.5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C19AB43">
            <w:pPr>
              <w:spacing w:line="250" w:lineRule="atLeast"/>
              <w:jc w:val="left"/>
              <w:rPr>
                <w:rFonts w:ascii="仿宋" w:hAnsi="仿宋" w:eastAsia="仿宋" w:cs="仿宋"/>
                <w:color w:val="auto"/>
                <w:sz w:val="24"/>
                <w:szCs w:val="24"/>
              </w:rPr>
            </w:pPr>
          </w:p>
        </w:tc>
      </w:tr>
      <w:tr w14:paraId="25451464">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300"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570F037B">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6057B65">
            <w:pPr>
              <w:spacing w:line="25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培训服务</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B5BB93E">
            <w:pPr>
              <w:spacing w:line="25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没有按要求派专业技术人员对医院相关人员进行使用操作、设备维修、保养等技术的培训（不少于1次/年，并提供培训方案和培训签到表），缺少一次扣1分；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8DE5A90">
            <w:pPr>
              <w:spacing w:line="250" w:lineRule="atLeast"/>
              <w:jc w:val="left"/>
              <w:rPr>
                <w:rFonts w:ascii="仿宋" w:hAnsi="仿宋" w:eastAsia="仿宋" w:cs="仿宋"/>
                <w:color w:val="auto"/>
                <w:sz w:val="24"/>
                <w:szCs w:val="24"/>
              </w:rPr>
            </w:pPr>
          </w:p>
        </w:tc>
      </w:tr>
      <w:tr w14:paraId="312CE9DF">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430" w:hRule="atLeast"/>
          <w:jc w:val="center"/>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63C03CE">
            <w:pPr>
              <w:spacing w:after="130"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违规违纪评价</w:t>
            </w: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076ACCAE">
            <w:pPr>
              <w:spacing w:after="130"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廉洁从业</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273AF6B2">
            <w:pPr>
              <w:spacing w:after="130" w:line="180" w:lineRule="atLeast"/>
              <w:jc w:val="left"/>
              <w:rPr>
                <w:rFonts w:ascii="仿宋" w:hAnsi="仿宋" w:eastAsia="仿宋" w:cs="仿宋"/>
                <w:color w:val="auto"/>
                <w:kern w:val="0"/>
                <w:sz w:val="24"/>
                <w:szCs w:val="24"/>
                <w:lang w:bidi="ar"/>
              </w:rPr>
            </w:pPr>
            <w:r>
              <w:rPr>
                <w:rFonts w:hint="eastAsia" w:ascii="仿宋" w:hAnsi="仿宋" w:eastAsia="仿宋" w:cs="仿宋"/>
                <w:b/>
                <w:bCs/>
                <w:color w:val="auto"/>
                <w:sz w:val="24"/>
                <w:szCs w:val="24"/>
              </w:rPr>
              <w:t>违反行业廉洁要求或违法违纪行为，一旦查实，一票否决</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C16C915">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一票否决</w:t>
            </w:r>
          </w:p>
        </w:tc>
      </w:tr>
      <w:tr w14:paraId="0F155030">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397"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2314CF2E">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705CCFE8">
            <w:pPr>
              <w:spacing w:line="250" w:lineRule="atLeast"/>
              <w:jc w:val="center"/>
              <w:rPr>
                <w:rFonts w:ascii="仿宋" w:hAnsi="仿宋" w:eastAsia="仿宋" w:cs="仿宋"/>
                <w:color w:val="auto"/>
                <w:kern w:val="0"/>
                <w:sz w:val="24"/>
                <w:szCs w:val="24"/>
                <w:lang w:bidi="ar"/>
              </w:rPr>
            </w:pPr>
            <w:r>
              <w:rPr>
                <w:rFonts w:hint="eastAsia" w:ascii="仿宋" w:hAnsi="仿宋" w:eastAsia="仿宋" w:cs="仿宋"/>
                <w:b/>
                <w:bCs/>
                <w:color w:val="auto"/>
                <w:sz w:val="24"/>
                <w:szCs w:val="24"/>
              </w:rPr>
              <w:t>安全规范</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33A0D9F7">
            <w:pPr>
              <w:spacing w:line="25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不遵守安全生产规范，每次扣2分；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3CD694C0">
            <w:pPr>
              <w:spacing w:line="250" w:lineRule="atLeast"/>
              <w:jc w:val="left"/>
              <w:rPr>
                <w:rFonts w:ascii="仿宋" w:hAnsi="仿宋" w:eastAsia="仿宋" w:cs="仿宋"/>
                <w:color w:val="auto"/>
                <w:sz w:val="24"/>
                <w:szCs w:val="24"/>
              </w:rPr>
            </w:pPr>
          </w:p>
        </w:tc>
      </w:tr>
      <w:tr w14:paraId="65622BE8">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tblCellMar>
            <w:top w:w="20" w:type="dxa"/>
            <w:left w:w="20" w:type="dxa"/>
            <w:bottom w:w="20" w:type="dxa"/>
            <w:right w:w="20" w:type="dxa"/>
          </w:tblCellMar>
        </w:tblPrEx>
        <w:trPr>
          <w:trHeight w:val="397" w:hRule="atLeast"/>
          <w:jc w:val="center"/>
        </w:trPr>
        <w:tc>
          <w:tcPr>
            <w:tcW w:w="194" w:type="pct"/>
            <w:vMerge w:val="continue"/>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6BCA6E3">
            <w:pPr>
              <w:rPr>
                <w:rFonts w:ascii="仿宋" w:hAnsi="仿宋" w:eastAsia="仿宋" w:cs="仿宋"/>
                <w:color w:val="auto"/>
                <w:sz w:val="24"/>
                <w:szCs w:val="24"/>
              </w:rPr>
            </w:pPr>
          </w:p>
        </w:tc>
        <w:tc>
          <w:tcPr>
            <w:tcW w:w="811"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4E5B1B98">
            <w:pPr>
              <w:spacing w:line="25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其他违纪违规</w:t>
            </w:r>
          </w:p>
        </w:tc>
        <w:tc>
          <w:tcPr>
            <w:tcW w:w="3533"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183E7ADA">
            <w:pPr>
              <w:spacing w:line="250" w:lineRule="atLeast"/>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其他影响本项目顺利实施或损害采购人利益的行为，视情节严重程度，经采购人讨论酌情扣分。</w:t>
            </w:r>
          </w:p>
        </w:tc>
        <w:tc>
          <w:tcPr>
            <w:tcW w:w="460"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2FFBAE80">
            <w:pPr>
              <w:spacing w:line="250" w:lineRule="atLeast"/>
              <w:jc w:val="left"/>
              <w:rPr>
                <w:rFonts w:ascii="仿宋" w:hAnsi="仿宋" w:eastAsia="仿宋" w:cs="仿宋"/>
                <w:color w:val="auto"/>
                <w:sz w:val="24"/>
                <w:szCs w:val="24"/>
              </w:rPr>
            </w:pPr>
          </w:p>
        </w:tc>
      </w:tr>
      <w:tr w14:paraId="2AA60109">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5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3FB1EB06">
            <w:pPr>
              <w:spacing w:after="130"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季度考核情况</w:t>
            </w:r>
          </w:p>
        </w:tc>
        <w:tc>
          <w:tcPr>
            <w:tcW w:w="4805" w:type="pct"/>
            <w:gridSpan w:val="3"/>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279217C1">
            <w:pPr>
              <w:spacing w:line="180" w:lineRule="atLeast"/>
              <w:jc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[本条填写扣分值]</w:t>
            </w:r>
          </w:p>
        </w:tc>
      </w:tr>
      <w:tr w14:paraId="3A10FEB6">
        <w:tblPrEx>
          <w:tblBorders>
            <w:top w:val="single" w:color="E9EAEC" w:sz="4" w:space="0"/>
            <w:left w:val="single" w:color="E9EAEC" w:sz="4" w:space="0"/>
            <w:bottom w:val="single" w:color="E9EAEC" w:sz="4" w:space="0"/>
            <w:right w:val="single" w:color="E9EAEC" w:sz="4" w:space="0"/>
            <w:insideH w:val="none" w:color="auto" w:sz="0" w:space="0"/>
            <w:insideV w:val="none" w:color="auto" w:sz="0" w:space="0"/>
          </w:tblBorders>
          <w:shd w:val="clear" w:color="auto" w:fill="auto"/>
          <w:tblCellMar>
            <w:top w:w="20" w:type="dxa"/>
            <w:left w:w="20" w:type="dxa"/>
            <w:bottom w:w="20" w:type="dxa"/>
            <w:right w:w="20" w:type="dxa"/>
          </w:tblCellMar>
        </w:tblPrEx>
        <w:trPr>
          <w:trHeight w:val="240"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3D827968">
            <w:pPr>
              <w:spacing w:after="130"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考核人签名</w:t>
            </w:r>
          </w:p>
        </w:tc>
        <w:tc>
          <w:tcPr>
            <w:tcW w:w="4805" w:type="pct"/>
            <w:gridSpan w:val="3"/>
            <w:tcBorders>
              <w:top w:val="single" w:color="auto" w:sz="4" w:space="0"/>
              <w:left w:val="single" w:color="auto" w:sz="4" w:space="0"/>
              <w:bottom w:val="single" w:color="auto" w:sz="4" w:space="0"/>
              <w:right w:val="single" w:color="auto" w:sz="4" w:space="0"/>
            </w:tcBorders>
            <w:shd w:val="clear" w:color="auto" w:fill="auto"/>
            <w:tcMar>
              <w:top w:w="0" w:type="dxa"/>
              <w:left w:w="70" w:type="dxa"/>
              <w:bottom w:w="0" w:type="dxa"/>
              <w:right w:w="70" w:type="dxa"/>
            </w:tcMar>
            <w:vAlign w:val="center"/>
          </w:tcPr>
          <w:p w14:paraId="51785B07">
            <w:pPr>
              <w:spacing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w:t>
            </w:r>
          </w:p>
          <w:p w14:paraId="114909FE">
            <w:pPr>
              <w:spacing w:line="180" w:lineRule="atLeast"/>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年    月    日</w:t>
            </w:r>
          </w:p>
        </w:tc>
      </w:tr>
    </w:tbl>
    <w:p w14:paraId="24E0FE4E">
      <w:pPr>
        <w:rPr>
          <w:rFonts w:ascii="仿宋" w:hAnsi="仿宋" w:eastAsia="仿宋" w:cs="仿宋"/>
          <w:color w:val="auto"/>
          <w:sz w:val="24"/>
        </w:rPr>
      </w:pPr>
    </w:p>
    <w:p w14:paraId="59F661D9">
      <w:pPr>
        <w:rPr>
          <w:rFonts w:ascii="仿宋" w:hAnsi="仿宋" w:eastAsia="仿宋" w:cs="仿宋"/>
          <w:color w:val="auto"/>
          <w:sz w:val="24"/>
        </w:rPr>
      </w:pPr>
      <w:r>
        <w:rPr>
          <w:rFonts w:hint="eastAsia" w:ascii="仿宋" w:hAnsi="仿宋" w:eastAsia="仿宋" w:cs="仿宋"/>
          <w:color w:val="auto"/>
          <w:sz w:val="24"/>
        </w:rPr>
        <w:t>备注：</w:t>
      </w:r>
    </w:p>
    <w:p w14:paraId="0F0EBE47">
      <w:pPr>
        <w:rPr>
          <w:rFonts w:ascii="仿宋" w:hAnsi="仿宋" w:eastAsia="仿宋" w:cs="仿宋"/>
          <w:color w:val="auto"/>
          <w:sz w:val="24"/>
        </w:rPr>
      </w:pPr>
      <w:r>
        <w:rPr>
          <w:rFonts w:hint="eastAsia" w:ascii="仿宋" w:hAnsi="仿宋" w:eastAsia="仿宋" w:cs="仿宋"/>
          <w:color w:val="auto"/>
          <w:sz w:val="24"/>
        </w:rPr>
        <w:t>1.年度考核分数为四个季度考核分数平均值；</w:t>
      </w:r>
    </w:p>
    <w:p w14:paraId="6290F800">
      <w:pPr>
        <w:rPr>
          <w:rFonts w:ascii="仿宋" w:hAnsi="仿宋" w:eastAsia="仿宋" w:cs="仿宋"/>
          <w:color w:val="auto"/>
          <w:sz w:val="24"/>
        </w:rPr>
      </w:pPr>
      <w:r>
        <w:rPr>
          <w:rFonts w:hint="eastAsia" w:ascii="仿宋" w:hAnsi="仿宋" w:eastAsia="仿宋" w:cs="仿宋"/>
          <w:color w:val="auto"/>
          <w:sz w:val="24"/>
        </w:rPr>
        <w:t>2. 采购人在自验收合格后需作好供应商考评记录和考评结果归档工作，无扣分行为可以不作记录；</w:t>
      </w:r>
    </w:p>
    <w:p w14:paraId="6E87094A">
      <w:pPr>
        <w:rPr>
          <w:rFonts w:ascii="仿宋" w:hAnsi="仿宋" w:eastAsia="仿宋" w:cs="仿宋"/>
          <w:color w:val="auto"/>
          <w:sz w:val="24"/>
        </w:rPr>
      </w:pPr>
      <w:r>
        <w:rPr>
          <w:rFonts w:hint="eastAsia" w:ascii="仿宋" w:hAnsi="仿宋" w:eastAsia="仿宋" w:cs="仿宋"/>
          <w:color w:val="auto"/>
          <w:sz w:val="24"/>
        </w:rPr>
        <w:t>3. 考核关联履约保金退还金额，具体计算规则如下</w:t>
      </w:r>
    </w:p>
    <w:p w14:paraId="4D7C4E4C">
      <w:pPr>
        <w:rPr>
          <w:rFonts w:ascii="仿宋" w:hAnsi="仿宋" w:eastAsia="仿宋" w:cs="仿宋"/>
          <w:color w:val="auto"/>
          <w:sz w:val="24"/>
        </w:rPr>
      </w:pPr>
      <w:r>
        <w:rPr>
          <w:rFonts w:hint="eastAsia" w:ascii="仿宋" w:hAnsi="仿宋" w:eastAsia="仿宋" w:cs="仿宋"/>
          <w:color w:val="auto"/>
          <w:sz w:val="24"/>
        </w:rPr>
        <w:t>1）平均扣分=服务期汇总考核扣分之和÷服务期内考核次数</w:t>
      </w:r>
    </w:p>
    <w:p w14:paraId="34D4A189">
      <w:pPr>
        <w:rPr>
          <w:rFonts w:ascii="仿宋" w:hAnsi="仿宋" w:eastAsia="仿宋" w:cs="仿宋"/>
          <w:color w:val="auto"/>
          <w:sz w:val="24"/>
        </w:rPr>
      </w:pPr>
      <w:r>
        <w:rPr>
          <w:rFonts w:hint="eastAsia" w:ascii="仿宋" w:hAnsi="仿宋" w:eastAsia="仿宋" w:cs="仿宋"/>
          <w:color w:val="auto"/>
          <w:sz w:val="24"/>
        </w:rPr>
        <w:t xml:space="preserve">2）0分&lt;平均扣分≤3分，将对供应商进行诫勉谈话；  </w:t>
      </w:r>
    </w:p>
    <w:p w14:paraId="5C45DC22">
      <w:pPr>
        <w:rPr>
          <w:rFonts w:ascii="仿宋" w:hAnsi="仿宋" w:eastAsia="仿宋" w:cs="仿宋"/>
          <w:color w:val="auto"/>
          <w:sz w:val="24"/>
        </w:rPr>
      </w:pPr>
      <w:r>
        <w:rPr>
          <w:rFonts w:hint="eastAsia" w:ascii="仿宋" w:hAnsi="仿宋" w:eastAsia="仿宋" w:cs="仿宋"/>
          <w:color w:val="auto"/>
          <w:sz w:val="24"/>
        </w:rPr>
        <w:t>3）3分&lt;平均扣分≤5分，对供应商提出警告，从履约保证金中扣除合同总价的5%；</w:t>
      </w:r>
    </w:p>
    <w:p w14:paraId="7F1AFC9C">
      <w:pPr>
        <w:rPr>
          <w:rFonts w:ascii="仿宋" w:hAnsi="仿宋" w:eastAsia="仿宋" w:cs="仿宋"/>
          <w:color w:val="auto"/>
          <w:sz w:val="24"/>
        </w:rPr>
      </w:pPr>
      <w:r>
        <w:rPr>
          <w:rFonts w:hint="eastAsia" w:ascii="仿宋" w:hAnsi="仿宋" w:eastAsia="仿宋" w:cs="仿宋"/>
          <w:color w:val="auto"/>
          <w:sz w:val="24"/>
        </w:rPr>
        <w:t>4）5分&lt;平均扣分≤10分，对供应商提出严重警告，从履约保证金中扣除合同总价的10%；</w:t>
      </w:r>
    </w:p>
    <w:p w14:paraId="4959DAF7">
      <w:pPr>
        <w:rPr>
          <w:rFonts w:ascii="仿宋" w:hAnsi="仿宋" w:eastAsia="仿宋" w:cs="仿宋"/>
          <w:color w:val="auto"/>
          <w:sz w:val="24"/>
        </w:rPr>
      </w:pPr>
      <w:r>
        <w:rPr>
          <w:rFonts w:hint="eastAsia" w:ascii="仿宋" w:hAnsi="仿宋" w:eastAsia="仿宋" w:cs="仿宋"/>
          <w:color w:val="auto"/>
          <w:sz w:val="24"/>
        </w:rPr>
        <w:t>5）10分&lt;平均扣分，视为不合格，终止合同，履约保金不予退还；</w:t>
      </w:r>
    </w:p>
    <w:p w14:paraId="17321DF5">
      <w:pPr>
        <w:rPr>
          <w:rFonts w:ascii="仿宋" w:hAnsi="仿宋" w:eastAsia="仿宋" w:cs="仿宋"/>
          <w:color w:val="auto"/>
          <w:sz w:val="24"/>
        </w:rPr>
      </w:pPr>
      <w:r>
        <w:rPr>
          <w:rFonts w:hint="eastAsia" w:ascii="仿宋" w:hAnsi="仿宋" w:eastAsia="仿宋" w:cs="仿宋"/>
          <w:color w:val="auto"/>
          <w:sz w:val="24"/>
        </w:rPr>
        <w:t>4. 供应商出现一票否决时，将对其违法违纪的相关情况汇报院纪委，同时按供应商违约情况取消本次合作，扣除所有履约保证金，并保留后续追究供应商责任的权利。</w:t>
      </w:r>
    </w:p>
    <w:p w14:paraId="78B40CE1">
      <w:pPr>
        <w:rPr>
          <w:rFonts w:ascii="仿宋" w:hAnsi="仿宋" w:eastAsia="仿宋" w:cs="仿宋"/>
          <w:color w:val="auto"/>
          <w:sz w:val="24"/>
        </w:rPr>
      </w:pPr>
      <w:r>
        <w:rPr>
          <w:rFonts w:hint="eastAsia" w:ascii="仿宋" w:hAnsi="仿宋" w:eastAsia="仿宋" w:cs="仿宋"/>
          <w:color w:val="auto"/>
          <w:sz w:val="24"/>
        </w:rPr>
        <w:t>5. 本考核指标最终解释权归四川省人民医院。</w:t>
      </w:r>
    </w:p>
    <w:p w14:paraId="3144BA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90A00"/>
    <w:rsid w:val="3A415C18"/>
    <w:rsid w:val="65090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2025-09-30T03:00:00Z</dcterms:created>
  <dc:creator>Zyzb12</dc:creator>
  <cp:lastModifiedBy>Zyzb12</cp:lastModifiedBy>
  <dcterms:modified xsi:type="dcterms:W3CDTF">2025-09-30T03:03:19Z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F8F9064DF7CA4BF5B13E4831AD8EEACC_11</vt:lpwstr>
  </property>
  <property fmtid="{D5CDD505-2E9C-101B-9397-08002B2CF9AE}" pid="4" name="KSOTemplateDocerSaveRecord">
    <vt:lpwstr>eyJoZGlkIjoiN2YwZmI5MTQ5N2NhNmZlYTNkMWZmNjlmMmRkOGM0YWQiLCJ1c2VySWQiOiI2NzEzMjE4NTkifQ==</vt:lpwstr>
  </property>
</Properties>
</file>