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2B4A2">
      <w:pPr>
        <w:pStyle w:val="10"/>
        <w:rPr>
          <w:rFonts w:hint="eastAsia" w:ascii="仿宋_GB2312" w:hAnsi="仿宋_GB2312" w:eastAsia="仿宋_GB2312" w:cs="仿宋_GB2312"/>
          <w:b/>
          <w:color w:val="auto"/>
          <w:sz w:val="36"/>
          <w:szCs w:val="20"/>
          <w:highlight w:val="none"/>
          <w:lang w:val="en-US" w:eastAsia="zh-Hans"/>
        </w:rPr>
      </w:pPr>
      <w:r>
        <w:rPr>
          <w:rFonts w:hint="eastAsia" w:ascii="仿宋_GB2312" w:hAnsi="仿宋_GB2312" w:eastAsia="仿宋_GB2312" w:cs="仿宋_GB2312"/>
          <w:b/>
          <w:color w:val="auto"/>
          <w:sz w:val="36"/>
          <w:szCs w:val="20"/>
          <w:highlight w:val="none"/>
          <w:lang w:val="en-US" w:eastAsia="zh-Hans"/>
        </w:rPr>
        <w:t>***服务项目</w:t>
      </w:r>
    </w:p>
    <w:p w14:paraId="7FA9387D">
      <w:pPr>
        <w:pStyle w:val="10"/>
        <w:rPr>
          <w:rFonts w:hint="eastAsia" w:ascii="仿宋_GB2312" w:hAnsi="仿宋_GB2312" w:eastAsia="仿宋_GB2312" w:cs="仿宋_GB2312"/>
          <w:b/>
          <w:color w:val="auto"/>
          <w:sz w:val="36"/>
          <w:szCs w:val="20"/>
          <w:highlight w:val="none"/>
          <w:lang w:val="en-US" w:eastAsia="zh-Hans"/>
        </w:rPr>
      </w:pPr>
      <w:r>
        <w:rPr>
          <w:rFonts w:hint="eastAsia" w:ascii="仿宋_GB2312" w:hAnsi="仿宋_GB2312" w:eastAsia="仿宋_GB2312" w:cs="仿宋_GB2312"/>
          <w:b/>
          <w:color w:val="auto"/>
          <w:sz w:val="36"/>
          <w:szCs w:val="20"/>
          <w:highlight w:val="none"/>
          <w:lang w:val="en-US" w:eastAsia="zh-Hans"/>
        </w:rPr>
        <w:t>政府采购合同</w:t>
      </w:r>
    </w:p>
    <w:p w14:paraId="3A32EA7F">
      <w:pPr>
        <w:rPr>
          <w:color w:val="auto"/>
          <w:sz w:val="24"/>
          <w:highlight w:val="none"/>
        </w:rPr>
        <w:sectPr>
          <w:footerReference r:id="rId3" w:type="default"/>
          <w:pgSz w:w="11906" w:h="16838"/>
          <w:pgMar w:top="1134" w:right="1134" w:bottom="1134" w:left="1134" w:header="850" w:footer="567" w:gutter="0"/>
          <w:pgNumType w:fmt="decimal" w:start="1"/>
          <w:cols w:space="425" w:num="1"/>
          <w:docGrid w:linePitch="312" w:charSpace="0"/>
        </w:sectPr>
      </w:pPr>
    </w:p>
    <w:p w14:paraId="62244E3B">
      <w:pPr>
        <w:adjustRightInd w:val="0"/>
        <w:ind w:firstLine="420" w:firstLineChars="200"/>
        <w:contextualSpacing/>
        <w:jc w:val="left"/>
        <w:rPr>
          <w:color w:val="auto"/>
          <w:szCs w:val="21"/>
          <w:highlight w:val="none"/>
        </w:rPr>
      </w:pPr>
    </w:p>
    <w:p w14:paraId="1AB2C3EF">
      <w:pPr>
        <w:adjustRightInd w:val="0"/>
        <w:ind w:firstLine="420" w:firstLineChars="200"/>
        <w:contextualSpacing/>
        <w:jc w:val="left"/>
        <w:rPr>
          <w:color w:val="auto"/>
          <w:szCs w:val="21"/>
          <w:highlight w:val="none"/>
        </w:rPr>
      </w:pPr>
    </w:p>
    <w:tbl>
      <w:tblPr>
        <w:tblStyle w:val="7"/>
        <w:tblW w:w="5000" w:type="pct"/>
        <w:jc w:val="center"/>
        <w:tblLayout w:type="autofit"/>
        <w:tblCellMar>
          <w:top w:w="0" w:type="dxa"/>
          <w:left w:w="0" w:type="dxa"/>
          <w:bottom w:w="0" w:type="dxa"/>
          <w:right w:w="0" w:type="dxa"/>
        </w:tblCellMar>
      </w:tblPr>
      <w:tblGrid>
        <w:gridCol w:w="4688"/>
        <w:gridCol w:w="4950"/>
      </w:tblGrid>
      <w:tr w14:paraId="1608309B">
        <w:tblPrEx>
          <w:tblCellMar>
            <w:top w:w="0" w:type="dxa"/>
            <w:left w:w="0" w:type="dxa"/>
            <w:bottom w:w="0" w:type="dxa"/>
            <w:right w:w="0" w:type="dxa"/>
          </w:tblCellMar>
        </w:tblPrEx>
        <w:trPr>
          <w:trHeight w:val="767" w:hRule="atLeast"/>
          <w:jc w:val="center"/>
        </w:trPr>
        <w:tc>
          <w:tcPr>
            <w:tcW w:w="10204" w:type="dxa"/>
            <w:gridSpan w:val="2"/>
          </w:tcPr>
          <w:p w14:paraId="1CF63EE5">
            <w:pPr>
              <w:contextualSpacing/>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合同编号</w:t>
            </w:r>
            <w:r>
              <w:rPr>
                <w:rFonts w:hint="eastAsia" w:ascii="仿宋" w:hAnsi="仿宋" w:eastAsia="仿宋" w:cs="仿宋"/>
                <w:color w:val="auto"/>
                <w:sz w:val="24"/>
                <w:szCs w:val="24"/>
                <w:highlight w:val="none"/>
              </w:rPr>
              <w:t>：CGZX-***</w:t>
            </w:r>
          </w:p>
          <w:p w14:paraId="0C757957">
            <w:pPr>
              <w:contextualSpacing/>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签订地点</w:t>
            </w:r>
            <w:r>
              <w:rPr>
                <w:rFonts w:hint="eastAsia" w:ascii="仿宋" w:hAnsi="仿宋" w:eastAsia="仿宋" w:cs="仿宋"/>
                <w:color w:val="auto"/>
                <w:sz w:val="24"/>
                <w:szCs w:val="24"/>
                <w:highlight w:val="none"/>
              </w:rPr>
              <w:t>：四川省人民医院</w:t>
            </w:r>
          </w:p>
        </w:tc>
      </w:tr>
      <w:tr w14:paraId="4D3FE8BF">
        <w:tblPrEx>
          <w:tblCellMar>
            <w:top w:w="0" w:type="dxa"/>
            <w:left w:w="0" w:type="dxa"/>
            <w:bottom w:w="0" w:type="dxa"/>
            <w:right w:w="0" w:type="dxa"/>
          </w:tblCellMar>
        </w:tblPrEx>
        <w:trPr>
          <w:jc w:val="center"/>
        </w:trPr>
        <w:tc>
          <w:tcPr>
            <w:tcW w:w="4962" w:type="dxa"/>
          </w:tcPr>
          <w:p w14:paraId="76EE6318">
            <w:pP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采购人（以下简称甲方）</w:t>
            </w:r>
            <w:r>
              <w:rPr>
                <w:rFonts w:hint="eastAsia" w:ascii="仿宋" w:hAnsi="仿宋" w:eastAsia="仿宋" w:cs="仿宋"/>
                <w:color w:val="auto"/>
                <w:sz w:val="24"/>
                <w:szCs w:val="24"/>
                <w:highlight w:val="none"/>
              </w:rPr>
              <w:t>：四川省人民医院</w:t>
            </w:r>
          </w:p>
          <w:p w14:paraId="0C285532">
            <w:pP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地址</w:t>
            </w:r>
            <w:r>
              <w:rPr>
                <w:rFonts w:hint="eastAsia" w:ascii="仿宋" w:hAnsi="仿宋" w:eastAsia="仿宋" w:cs="仿宋"/>
                <w:color w:val="auto"/>
                <w:sz w:val="24"/>
                <w:szCs w:val="24"/>
                <w:highlight w:val="none"/>
              </w:rPr>
              <w:t>：四川省成都市一环路西二段32号</w:t>
            </w:r>
          </w:p>
          <w:p w14:paraId="06CD3A6F">
            <w:pP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项目联系人</w:t>
            </w:r>
            <w:r>
              <w:rPr>
                <w:rFonts w:hint="eastAsia" w:ascii="仿宋" w:hAnsi="仿宋" w:eastAsia="仿宋" w:cs="仿宋"/>
                <w:color w:val="auto"/>
                <w:sz w:val="24"/>
                <w:szCs w:val="24"/>
                <w:highlight w:val="none"/>
              </w:rPr>
              <w:t xml:space="preserve">：*** </w:t>
            </w:r>
            <w:r>
              <w:rPr>
                <w:rFonts w:hint="eastAsia" w:ascii="仿宋" w:hAnsi="仿宋" w:eastAsia="仿宋" w:cs="仿宋"/>
                <w:b/>
                <w:bCs/>
                <w:color w:val="auto"/>
                <w:sz w:val="24"/>
                <w:szCs w:val="24"/>
                <w:highlight w:val="none"/>
              </w:rPr>
              <w:t>电话</w:t>
            </w:r>
            <w:r>
              <w:rPr>
                <w:rFonts w:hint="eastAsia" w:ascii="仿宋" w:hAnsi="仿宋" w:eastAsia="仿宋" w:cs="仿宋"/>
                <w:color w:val="auto"/>
                <w:sz w:val="24"/>
                <w:szCs w:val="24"/>
                <w:highlight w:val="none"/>
              </w:rPr>
              <w:t>：***</w:t>
            </w:r>
          </w:p>
          <w:p w14:paraId="5182D563">
            <w:pP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电子邮件：</w:t>
            </w:r>
            <w:r>
              <w:rPr>
                <w:rFonts w:hint="eastAsia" w:ascii="仿宋" w:hAnsi="仿宋" w:eastAsia="仿宋" w:cs="仿宋"/>
                <w:color w:val="auto"/>
                <w:sz w:val="24"/>
                <w:szCs w:val="24"/>
                <w:highlight w:val="none"/>
              </w:rPr>
              <w:t>***</w:t>
            </w:r>
            <w:bookmarkStart w:id="9" w:name="_GoBack"/>
            <w:bookmarkEnd w:id="9"/>
          </w:p>
        </w:tc>
        <w:tc>
          <w:tcPr>
            <w:tcW w:w="5242" w:type="dxa"/>
          </w:tcPr>
          <w:p w14:paraId="418A288B">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供应商（以下简称乙方）：***</w:t>
            </w:r>
          </w:p>
          <w:p w14:paraId="56B683BA">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地址：***</w:t>
            </w:r>
          </w:p>
          <w:p w14:paraId="77406D26">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移动电话：***</w:t>
            </w:r>
          </w:p>
          <w:p w14:paraId="4BF6C56F">
            <w:pPr>
              <w:contextualSpacing/>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联系人：***</w:t>
            </w:r>
          </w:p>
          <w:p w14:paraId="1224B5CD">
            <w:pPr>
              <w:rPr>
                <w:rFonts w:hint="eastAsia" w:ascii="仿宋" w:hAnsi="仿宋" w:eastAsia="仿宋" w:cs="仿宋"/>
                <w:bCs/>
                <w:color w:val="auto"/>
                <w:sz w:val="24"/>
                <w:szCs w:val="24"/>
                <w:highlight w:val="none"/>
              </w:rPr>
            </w:pPr>
            <w:r>
              <w:rPr>
                <w:rFonts w:hint="eastAsia" w:ascii="仿宋" w:hAnsi="仿宋" w:eastAsia="仿宋" w:cs="仿宋"/>
                <w:b/>
                <w:bCs/>
                <w:color w:val="auto"/>
                <w:sz w:val="24"/>
                <w:szCs w:val="24"/>
                <w:highlight w:val="none"/>
              </w:rPr>
              <w:t>电子邮件：</w:t>
            </w:r>
            <w:r>
              <w:rPr>
                <w:rFonts w:hint="eastAsia" w:ascii="仿宋" w:hAnsi="仿宋" w:eastAsia="仿宋" w:cs="仿宋"/>
                <w:color w:val="auto"/>
                <w:sz w:val="24"/>
                <w:szCs w:val="24"/>
                <w:highlight w:val="none"/>
              </w:rPr>
              <w:t>***</w:t>
            </w:r>
          </w:p>
        </w:tc>
      </w:tr>
    </w:tbl>
    <w:p w14:paraId="3E493F10">
      <w:pPr>
        <w:ind w:firstLine="480" w:firstLineChars="200"/>
        <w:contextualSpacing/>
        <w:jc w:val="left"/>
        <w:rPr>
          <w:rFonts w:hint="eastAsia" w:ascii="仿宋" w:hAnsi="仿宋" w:eastAsia="仿宋" w:cs="仿宋"/>
          <w:color w:val="auto"/>
          <w:sz w:val="24"/>
          <w:szCs w:val="24"/>
          <w:highlight w:val="none"/>
        </w:rPr>
      </w:pPr>
    </w:p>
    <w:p w14:paraId="4F3C9622">
      <w:pPr>
        <w:adjustRightInd w:val="0"/>
        <w:ind w:firstLine="480" w:firstLineChars="200"/>
        <w:contextualSpacing/>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根据《中华人民共和国民法典》、《中华人民共和国政府采购法》及甲方发布的***项目（项目编号</w:t>
      </w:r>
      <w:permStart w:id="0" w:edGrp="everyone"/>
      <w:r>
        <w:rPr>
          <w:rFonts w:hint="eastAsia" w:ascii="仿宋" w:hAnsi="仿宋" w:eastAsia="仿宋" w:cs="仿宋"/>
          <w:color w:val="auto"/>
          <w:sz w:val="24"/>
          <w:szCs w:val="24"/>
          <w:highlight w:val="none"/>
        </w:rPr>
        <w:t>：***</w:t>
      </w:r>
      <w:permEnd w:id="0"/>
      <w:r>
        <w:rPr>
          <w:rFonts w:hint="eastAsia" w:ascii="仿宋" w:hAnsi="仿宋" w:eastAsia="仿宋" w:cs="仿宋"/>
          <w:color w:val="auto"/>
          <w:sz w:val="24"/>
          <w:szCs w:val="24"/>
          <w:highlight w:val="none"/>
        </w:rPr>
        <w:t>）《采购文件》、乙方的《投标文件》或《响应文件》，甲、乙双方同意签订本合同。详细技术说明及其他有关合同项目的特定信息可由合同附件予以说明，合同附件及本项目的《采购文件》、《投标文件》或《响应文件》等均为本合同不可分割的部分。双方同意共同遵守以下条款：</w:t>
      </w:r>
    </w:p>
    <w:p w14:paraId="3AA3DE4D">
      <w:pPr>
        <w:contextualSpacing/>
        <w:jc w:val="left"/>
        <w:rPr>
          <w:rFonts w:hint="eastAsia" w:ascii="仿宋" w:hAnsi="仿宋" w:eastAsia="仿宋" w:cs="仿宋"/>
          <w:b/>
          <w:color w:val="auto"/>
          <w:sz w:val="24"/>
          <w:szCs w:val="24"/>
          <w:highlight w:val="none"/>
        </w:rPr>
      </w:pPr>
    </w:p>
    <w:p w14:paraId="4642B153">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合同标的</w:t>
      </w:r>
    </w:p>
    <w:p w14:paraId="7845B9D8">
      <w:pPr>
        <w:pStyle w:val="4"/>
        <w:numPr>
          <w:ilvl w:val="0"/>
          <w:numId w:val="2"/>
        </w:numPr>
        <w:spacing w:after="0" w:line="240" w:lineRule="auto"/>
        <w:ind w:left="240" w:leftChars="0" w:hanging="240" w:hangingChars="1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标的名称：</w:t>
      </w:r>
      <w:permStart w:id="1" w:edGrp="everyone"/>
      <w:r>
        <w:rPr>
          <w:rFonts w:hint="eastAsia" w:ascii="仿宋" w:hAnsi="仿宋" w:eastAsia="仿宋" w:cs="仿宋"/>
          <w:color w:val="auto"/>
          <w:sz w:val="24"/>
          <w:szCs w:val="24"/>
          <w:highlight w:val="none"/>
        </w:rPr>
        <w:t>***</w:t>
      </w:r>
      <w:permEnd w:id="1"/>
      <w:r>
        <w:rPr>
          <w:rFonts w:hint="eastAsia" w:ascii="仿宋" w:hAnsi="仿宋" w:eastAsia="仿宋" w:cs="仿宋"/>
          <w:color w:val="auto"/>
          <w:sz w:val="24"/>
          <w:szCs w:val="24"/>
          <w:highlight w:val="none"/>
        </w:rPr>
        <w:t>。</w:t>
      </w:r>
    </w:p>
    <w:p w14:paraId="49969CC8">
      <w:pPr>
        <w:pStyle w:val="4"/>
        <w:numPr>
          <w:ilvl w:val="0"/>
          <w:numId w:val="2"/>
        </w:numPr>
        <w:spacing w:after="0" w:line="240" w:lineRule="auto"/>
        <w:ind w:left="240" w:leftChars="0" w:hanging="240" w:hangingChars="1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乙方向甲方提供服务的主要内容：***。</w:t>
      </w:r>
    </w:p>
    <w:p w14:paraId="1E5D18C3">
      <w:pPr>
        <w:pStyle w:val="4"/>
        <w:numPr>
          <w:ilvl w:val="0"/>
          <w:numId w:val="2"/>
        </w:numPr>
        <w:spacing w:after="0" w:line="240" w:lineRule="auto"/>
        <w:ind w:left="240" w:leftChars="0" w:hanging="240" w:hangingChars="1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服务分项明细：</w:t>
      </w:r>
      <w:r>
        <w:rPr>
          <w:rFonts w:hint="eastAsia" w:ascii="仿宋" w:hAnsi="仿宋" w:eastAsia="仿宋" w:cs="仿宋"/>
          <w:i/>
          <w:iCs/>
          <w:color w:val="auto"/>
          <w:sz w:val="24"/>
          <w:szCs w:val="24"/>
          <w:highlight w:val="none"/>
          <w:lang w:val="zh-CN"/>
        </w:rPr>
        <w:t>&lt;本条款如不涉及请删除；按实结算项目的单价，请在第二条及附件1中进行编制说明。&gt;</w:t>
      </w:r>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51"/>
        <w:gridCol w:w="2800"/>
        <w:gridCol w:w="3463"/>
        <w:gridCol w:w="932"/>
        <w:gridCol w:w="1902"/>
      </w:tblGrid>
      <w:tr w14:paraId="3D114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2" w:type="dxa"/>
            <w:vAlign w:val="center"/>
          </w:tcPr>
          <w:p w14:paraId="78C82CDE">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2977" w:type="dxa"/>
            <w:vAlign w:val="center"/>
          </w:tcPr>
          <w:p w14:paraId="636401ED">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分项服务名称</w:t>
            </w:r>
          </w:p>
        </w:tc>
        <w:tc>
          <w:tcPr>
            <w:tcW w:w="3686" w:type="dxa"/>
            <w:vAlign w:val="center"/>
          </w:tcPr>
          <w:p w14:paraId="04D3E08C">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具体内容</w:t>
            </w:r>
          </w:p>
        </w:tc>
        <w:tc>
          <w:tcPr>
            <w:tcW w:w="963" w:type="dxa"/>
            <w:vAlign w:val="center"/>
          </w:tcPr>
          <w:p w14:paraId="13F58346">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分项价格（万元）</w:t>
            </w:r>
          </w:p>
        </w:tc>
        <w:tc>
          <w:tcPr>
            <w:tcW w:w="2016" w:type="dxa"/>
          </w:tcPr>
          <w:p w14:paraId="7E67F160">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46177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2" w:type="dxa"/>
            <w:vAlign w:val="center"/>
          </w:tcPr>
          <w:p w14:paraId="68302F2A">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2977" w:type="dxa"/>
            <w:vAlign w:val="center"/>
          </w:tcPr>
          <w:p w14:paraId="5C8E9DDD">
            <w:pPr>
              <w:pStyle w:val="11"/>
              <w:ind w:firstLine="0" w:firstLineChars="0"/>
              <w:rPr>
                <w:rFonts w:hint="eastAsia" w:ascii="仿宋" w:hAnsi="仿宋" w:eastAsia="仿宋" w:cs="仿宋"/>
                <w:color w:val="auto"/>
                <w:sz w:val="24"/>
                <w:szCs w:val="24"/>
                <w:highlight w:val="none"/>
              </w:rPr>
            </w:pPr>
          </w:p>
        </w:tc>
        <w:tc>
          <w:tcPr>
            <w:tcW w:w="3686" w:type="dxa"/>
            <w:vAlign w:val="center"/>
          </w:tcPr>
          <w:p w14:paraId="50A0167F">
            <w:pPr>
              <w:pStyle w:val="11"/>
              <w:ind w:firstLine="0" w:firstLineChars="0"/>
              <w:rPr>
                <w:rFonts w:hint="eastAsia" w:ascii="仿宋" w:hAnsi="仿宋" w:eastAsia="仿宋" w:cs="仿宋"/>
                <w:color w:val="auto"/>
                <w:sz w:val="24"/>
                <w:szCs w:val="24"/>
                <w:highlight w:val="none"/>
              </w:rPr>
            </w:pPr>
          </w:p>
        </w:tc>
        <w:tc>
          <w:tcPr>
            <w:tcW w:w="963" w:type="dxa"/>
            <w:vAlign w:val="center"/>
          </w:tcPr>
          <w:p w14:paraId="6BF9E739">
            <w:pPr>
              <w:pStyle w:val="11"/>
              <w:ind w:firstLine="0" w:firstLineChars="0"/>
              <w:jc w:val="center"/>
              <w:rPr>
                <w:rFonts w:hint="eastAsia" w:ascii="仿宋" w:hAnsi="仿宋" w:eastAsia="仿宋" w:cs="仿宋"/>
                <w:color w:val="auto"/>
                <w:sz w:val="24"/>
                <w:szCs w:val="24"/>
                <w:highlight w:val="none"/>
              </w:rPr>
            </w:pPr>
          </w:p>
        </w:tc>
        <w:tc>
          <w:tcPr>
            <w:tcW w:w="2016" w:type="dxa"/>
          </w:tcPr>
          <w:p w14:paraId="78ECE08B">
            <w:pPr>
              <w:pStyle w:val="11"/>
              <w:ind w:firstLine="0" w:firstLineChars="0"/>
              <w:rPr>
                <w:rFonts w:hint="eastAsia" w:ascii="仿宋" w:hAnsi="仿宋" w:eastAsia="仿宋" w:cs="仿宋"/>
                <w:color w:val="auto"/>
                <w:sz w:val="24"/>
                <w:szCs w:val="24"/>
                <w:highlight w:val="none"/>
              </w:rPr>
            </w:pPr>
          </w:p>
        </w:tc>
      </w:tr>
      <w:tr w14:paraId="676D6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2" w:type="dxa"/>
            <w:vAlign w:val="center"/>
          </w:tcPr>
          <w:p w14:paraId="45AC8482">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2977" w:type="dxa"/>
            <w:vAlign w:val="center"/>
          </w:tcPr>
          <w:p w14:paraId="222A5C76">
            <w:pPr>
              <w:pStyle w:val="11"/>
              <w:ind w:firstLine="0" w:firstLineChars="0"/>
              <w:rPr>
                <w:rFonts w:hint="eastAsia" w:ascii="仿宋" w:hAnsi="仿宋" w:eastAsia="仿宋" w:cs="仿宋"/>
                <w:color w:val="auto"/>
                <w:sz w:val="24"/>
                <w:szCs w:val="24"/>
                <w:highlight w:val="none"/>
              </w:rPr>
            </w:pPr>
          </w:p>
        </w:tc>
        <w:tc>
          <w:tcPr>
            <w:tcW w:w="3686" w:type="dxa"/>
            <w:vAlign w:val="center"/>
          </w:tcPr>
          <w:p w14:paraId="22092777">
            <w:pPr>
              <w:pStyle w:val="11"/>
              <w:ind w:firstLine="0" w:firstLineChars="0"/>
              <w:rPr>
                <w:rFonts w:hint="eastAsia" w:ascii="仿宋" w:hAnsi="仿宋" w:eastAsia="仿宋" w:cs="仿宋"/>
                <w:color w:val="auto"/>
                <w:sz w:val="24"/>
                <w:szCs w:val="24"/>
                <w:highlight w:val="none"/>
              </w:rPr>
            </w:pPr>
          </w:p>
        </w:tc>
        <w:tc>
          <w:tcPr>
            <w:tcW w:w="963" w:type="dxa"/>
            <w:vAlign w:val="center"/>
          </w:tcPr>
          <w:p w14:paraId="48586895">
            <w:pPr>
              <w:pStyle w:val="11"/>
              <w:ind w:firstLine="0" w:firstLineChars="0"/>
              <w:jc w:val="center"/>
              <w:rPr>
                <w:rFonts w:hint="eastAsia" w:ascii="仿宋" w:hAnsi="仿宋" w:eastAsia="仿宋" w:cs="仿宋"/>
                <w:color w:val="auto"/>
                <w:sz w:val="24"/>
                <w:szCs w:val="24"/>
                <w:highlight w:val="none"/>
              </w:rPr>
            </w:pPr>
          </w:p>
        </w:tc>
        <w:tc>
          <w:tcPr>
            <w:tcW w:w="2016" w:type="dxa"/>
          </w:tcPr>
          <w:p w14:paraId="0E32BCD2">
            <w:pPr>
              <w:pStyle w:val="11"/>
              <w:ind w:firstLine="0" w:firstLineChars="0"/>
              <w:rPr>
                <w:rFonts w:hint="eastAsia" w:ascii="仿宋" w:hAnsi="仿宋" w:eastAsia="仿宋" w:cs="仿宋"/>
                <w:color w:val="auto"/>
                <w:sz w:val="24"/>
                <w:szCs w:val="24"/>
                <w:highlight w:val="none"/>
              </w:rPr>
            </w:pPr>
          </w:p>
        </w:tc>
      </w:tr>
      <w:tr w14:paraId="11800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2" w:type="dxa"/>
            <w:vAlign w:val="center"/>
          </w:tcPr>
          <w:p w14:paraId="19347AD1">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p>
        </w:tc>
        <w:tc>
          <w:tcPr>
            <w:tcW w:w="2977" w:type="dxa"/>
            <w:vAlign w:val="center"/>
          </w:tcPr>
          <w:p w14:paraId="173B929C">
            <w:pPr>
              <w:pStyle w:val="11"/>
              <w:ind w:firstLine="0" w:firstLineChars="0"/>
              <w:rPr>
                <w:rFonts w:hint="eastAsia" w:ascii="仿宋" w:hAnsi="仿宋" w:eastAsia="仿宋" w:cs="仿宋"/>
                <w:color w:val="auto"/>
                <w:sz w:val="24"/>
                <w:szCs w:val="24"/>
                <w:highlight w:val="none"/>
              </w:rPr>
            </w:pPr>
          </w:p>
        </w:tc>
        <w:tc>
          <w:tcPr>
            <w:tcW w:w="3686" w:type="dxa"/>
            <w:vAlign w:val="center"/>
          </w:tcPr>
          <w:p w14:paraId="5F908CF0">
            <w:pPr>
              <w:pStyle w:val="11"/>
              <w:ind w:firstLine="0" w:firstLineChars="0"/>
              <w:rPr>
                <w:rFonts w:hint="eastAsia" w:ascii="仿宋" w:hAnsi="仿宋" w:eastAsia="仿宋" w:cs="仿宋"/>
                <w:color w:val="auto"/>
                <w:sz w:val="24"/>
                <w:szCs w:val="24"/>
                <w:highlight w:val="none"/>
              </w:rPr>
            </w:pPr>
          </w:p>
        </w:tc>
        <w:tc>
          <w:tcPr>
            <w:tcW w:w="963" w:type="dxa"/>
            <w:vAlign w:val="center"/>
          </w:tcPr>
          <w:p w14:paraId="5406E0DA">
            <w:pPr>
              <w:pStyle w:val="11"/>
              <w:ind w:firstLine="0" w:firstLineChars="0"/>
              <w:jc w:val="center"/>
              <w:rPr>
                <w:rFonts w:hint="eastAsia" w:ascii="仿宋" w:hAnsi="仿宋" w:eastAsia="仿宋" w:cs="仿宋"/>
                <w:color w:val="auto"/>
                <w:sz w:val="24"/>
                <w:szCs w:val="24"/>
                <w:highlight w:val="none"/>
              </w:rPr>
            </w:pPr>
          </w:p>
        </w:tc>
        <w:tc>
          <w:tcPr>
            <w:tcW w:w="2016" w:type="dxa"/>
          </w:tcPr>
          <w:p w14:paraId="29382E23">
            <w:pPr>
              <w:pStyle w:val="11"/>
              <w:ind w:firstLine="0" w:firstLineChars="0"/>
              <w:rPr>
                <w:rFonts w:hint="eastAsia" w:ascii="仿宋" w:hAnsi="仿宋" w:eastAsia="仿宋" w:cs="仿宋"/>
                <w:color w:val="auto"/>
                <w:sz w:val="24"/>
                <w:szCs w:val="24"/>
                <w:highlight w:val="none"/>
              </w:rPr>
            </w:pPr>
          </w:p>
        </w:tc>
      </w:tr>
      <w:tr w14:paraId="28FEF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572" w:type="dxa"/>
            <w:vAlign w:val="center"/>
          </w:tcPr>
          <w:p w14:paraId="00EC8688">
            <w:pPr>
              <w:pStyle w:val="11"/>
              <w:ind w:firstLine="0" w:firstLineChars="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2977" w:type="dxa"/>
            <w:vAlign w:val="center"/>
          </w:tcPr>
          <w:p w14:paraId="35A55F52">
            <w:pPr>
              <w:pStyle w:val="11"/>
              <w:ind w:firstLine="0" w:firstLineChars="0"/>
              <w:rPr>
                <w:rFonts w:hint="eastAsia" w:ascii="仿宋" w:hAnsi="仿宋" w:eastAsia="仿宋" w:cs="仿宋"/>
                <w:color w:val="auto"/>
                <w:sz w:val="24"/>
                <w:szCs w:val="24"/>
                <w:highlight w:val="none"/>
              </w:rPr>
            </w:pPr>
          </w:p>
        </w:tc>
        <w:tc>
          <w:tcPr>
            <w:tcW w:w="3686" w:type="dxa"/>
            <w:vAlign w:val="center"/>
          </w:tcPr>
          <w:p w14:paraId="141C2DA0">
            <w:pPr>
              <w:pStyle w:val="11"/>
              <w:ind w:firstLine="0" w:firstLineChars="0"/>
              <w:rPr>
                <w:rFonts w:hint="eastAsia" w:ascii="仿宋" w:hAnsi="仿宋" w:eastAsia="仿宋" w:cs="仿宋"/>
                <w:color w:val="auto"/>
                <w:sz w:val="24"/>
                <w:szCs w:val="24"/>
                <w:highlight w:val="none"/>
              </w:rPr>
            </w:pPr>
          </w:p>
        </w:tc>
        <w:tc>
          <w:tcPr>
            <w:tcW w:w="963" w:type="dxa"/>
            <w:vAlign w:val="center"/>
          </w:tcPr>
          <w:p w14:paraId="57AA11C2">
            <w:pPr>
              <w:pStyle w:val="11"/>
              <w:ind w:firstLine="0" w:firstLineChars="0"/>
              <w:jc w:val="center"/>
              <w:rPr>
                <w:rFonts w:hint="eastAsia" w:ascii="仿宋" w:hAnsi="仿宋" w:eastAsia="仿宋" w:cs="仿宋"/>
                <w:color w:val="auto"/>
                <w:sz w:val="24"/>
                <w:szCs w:val="24"/>
                <w:highlight w:val="none"/>
              </w:rPr>
            </w:pPr>
          </w:p>
        </w:tc>
        <w:tc>
          <w:tcPr>
            <w:tcW w:w="2016" w:type="dxa"/>
          </w:tcPr>
          <w:p w14:paraId="7BDAA00A">
            <w:pPr>
              <w:pStyle w:val="11"/>
              <w:ind w:firstLine="0" w:firstLineChars="0"/>
              <w:rPr>
                <w:rFonts w:hint="eastAsia" w:ascii="仿宋" w:hAnsi="仿宋" w:eastAsia="仿宋" w:cs="仿宋"/>
                <w:color w:val="auto"/>
                <w:sz w:val="24"/>
                <w:szCs w:val="24"/>
                <w:highlight w:val="none"/>
              </w:rPr>
            </w:pPr>
          </w:p>
        </w:tc>
      </w:tr>
    </w:tbl>
    <w:p w14:paraId="5809601A">
      <w:pPr>
        <w:pStyle w:val="11"/>
        <w:numPr>
          <w:ilvl w:val="0"/>
          <w:numId w:val="1"/>
        </w:numPr>
        <w:ind w:firstLineChars="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合同价款</w:t>
      </w:r>
    </w:p>
    <w:p w14:paraId="4873F104">
      <w:pPr>
        <w:ind w:firstLine="480"/>
        <w:contextualSpacing/>
        <w:jc w:val="left"/>
        <w:rPr>
          <w:rFonts w:hint="eastAsia" w:ascii="仿宋" w:hAnsi="仿宋" w:eastAsia="仿宋" w:cs="仿宋"/>
          <w:color w:val="auto"/>
          <w:sz w:val="24"/>
          <w:szCs w:val="24"/>
          <w:highlight w:val="none"/>
        </w:rPr>
      </w:pPr>
      <w:bookmarkStart w:id="0" w:name="OLE_LINK2"/>
      <w:bookmarkStart w:id="1" w:name="OLE_LINK1"/>
      <w:r>
        <w:rPr>
          <w:rFonts w:hint="eastAsia" w:ascii="仿宋" w:hAnsi="仿宋" w:eastAsia="仿宋" w:cs="仿宋"/>
          <w:color w:val="auto"/>
          <w:sz w:val="24"/>
          <w:szCs w:val="24"/>
          <w:highlight w:val="none"/>
        </w:rPr>
        <w:sym w:font="Wingdings 2" w:char="00A3"/>
      </w:r>
      <w:r>
        <w:rPr>
          <w:rFonts w:hint="eastAsia" w:ascii="仿宋" w:hAnsi="仿宋" w:eastAsia="仿宋" w:cs="仿宋"/>
          <w:color w:val="auto"/>
          <w:sz w:val="24"/>
          <w:szCs w:val="24"/>
          <w:highlight w:val="none"/>
        </w:rPr>
        <w:t>全包服务</w:t>
      </w:r>
    </w:p>
    <w:p w14:paraId="57189365">
      <w:pPr>
        <w:ind w:left="420" w:leftChars="200" w:firstLine="480" w:firstLineChars="2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合同总价（含税）为人民币大写：*** 圆整，即RMB *** 元，该合同总价已包括本合同标的所涉及的所有相关费用（包括但不限于技术服务、差旅交通、原材料、备品备件及税费等在内的全部含税费用）。本合同执行期间合同总价不变，甲方无须另向乙方支付本合同规定之外的其他任何费用。</w:t>
      </w:r>
    </w:p>
    <w:p w14:paraId="2D8744CC">
      <w:pPr>
        <w:ind w:firstLine="48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sym w:font="Wingdings" w:char="F0A8"/>
      </w:r>
      <w:r>
        <w:rPr>
          <w:rFonts w:hint="eastAsia" w:ascii="仿宋" w:hAnsi="仿宋" w:eastAsia="仿宋" w:cs="仿宋"/>
          <w:color w:val="auto"/>
          <w:sz w:val="24"/>
          <w:szCs w:val="24"/>
          <w:highlight w:val="none"/>
        </w:rPr>
        <w:t>半包服务</w:t>
      </w:r>
    </w:p>
    <w:p w14:paraId="5F3CD73B">
      <w:pPr>
        <w:ind w:left="420" w:leftChars="200" w:firstLine="480" w:firstLineChars="2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1.本合同固定部分价款为</w:t>
      </w:r>
      <w:bookmarkStart w:id="2" w:name="OLE_LINK28"/>
      <w:r>
        <w:rPr>
          <w:rFonts w:hint="eastAsia" w:ascii="仿宋" w:hAnsi="仿宋" w:eastAsia="仿宋" w:cs="仿宋"/>
          <w:color w:val="auto"/>
          <w:sz w:val="24"/>
          <w:szCs w:val="24"/>
          <w:highlight w:val="none"/>
        </w:rPr>
        <w:t>人民币大写：*** 圆整，即RMB *** 元</w:t>
      </w:r>
      <w:bookmarkEnd w:id="2"/>
      <w:r>
        <w:rPr>
          <w:rFonts w:hint="eastAsia" w:ascii="仿宋" w:hAnsi="仿宋" w:eastAsia="仿宋" w:cs="仿宋"/>
          <w:color w:val="auto"/>
          <w:sz w:val="24"/>
          <w:szCs w:val="24"/>
          <w:highlight w:val="none"/>
        </w:rPr>
        <w:t>，该部分价款已包括***及税费在内的全部含税费用。本合同执行期间该部分合同价款不变，甲方无须向乙方支付本合同规定之外的其他任何费用。</w:t>
      </w:r>
    </w:p>
    <w:p w14:paraId="1BBA6B58">
      <w:pPr>
        <w:ind w:left="420" w:leftChars="200" w:firstLine="480" w:firstLineChars="2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2.本合同按实结算部分支付总额不超过人民币大写：*** 圆整，即RMB *** 元，依据本合同单价进行结算，结算依据及标准为：***，结算单价详见附件1《结算单价清单》。</w:t>
      </w:r>
      <w:r>
        <w:rPr>
          <w:rFonts w:hint="eastAsia" w:ascii="仿宋" w:hAnsi="仿宋" w:eastAsia="仿宋" w:cs="仿宋"/>
          <w:i/>
          <w:iCs/>
          <w:color w:val="auto"/>
          <w:sz w:val="24"/>
          <w:szCs w:val="24"/>
          <w:highlight w:val="none"/>
        </w:rPr>
        <w:t>&lt;根据项目实际情况编制结算依据、标准等必要内容&gt;</w:t>
      </w:r>
    </w:p>
    <w:p w14:paraId="2D67D9B1">
      <w:pPr>
        <w:ind w:firstLine="48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shd w:val="clear" w:color="auto" w:fill="FFFFFF"/>
        </w:rPr>
        <w:sym w:font="Wingdings" w:char="F0A8"/>
      </w:r>
      <w:r>
        <w:rPr>
          <w:rFonts w:hint="eastAsia" w:ascii="仿宋" w:hAnsi="仿宋" w:eastAsia="仿宋" w:cs="仿宋"/>
          <w:color w:val="auto"/>
          <w:sz w:val="24"/>
          <w:szCs w:val="24"/>
          <w:highlight w:val="none"/>
        </w:rPr>
        <w:t>按实结算</w:t>
      </w:r>
    </w:p>
    <w:p w14:paraId="05F21203">
      <w:pPr>
        <w:ind w:left="420" w:leftChars="200" w:firstLine="480" w:firstLineChars="20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本合同支付总额不超过人民币大写：*** 圆整，即RMB *** 元，依据本合同单价进行结算，结算单价详见附件1《结算单价清单》。</w:t>
      </w:r>
    </w:p>
    <w:bookmarkEnd w:id="0"/>
    <w:bookmarkEnd w:id="1"/>
    <w:p w14:paraId="2DC628C7">
      <w:pPr>
        <w:pStyle w:val="11"/>
        <w:numPr>
          <w:ilvl w:val="0"/>
          <w:numId w:val="1"/>
        </w:numPr>
        <w:ind w:left="0" w:firstLine="0" w:firstLineChars="0"/>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服务期限</w:t>
      </w:r>
      <w:r>
        <w:rPr>
          <w:rFonts w:hint="eastAsia" w:ascii="仿宋" w:hAnsi="仿宋" w:eastAsia="仿宋" w:cs="仿宋"/>
          <w:i/>
          <w:iCs/>
          <w:color w:val="auto"/>
          <w:sz w:val="24"/>
          <w:szCs w:val="24"/>
          <w:highlight w:val="none"/>
        </w:rPr>
        <w:t>&lt;根据项目实际情况选择&gt;</w:t>
      </w:r>
    </w:p>
    <w:p w14:paraId="17E1543F">
      <w:pPr>
        <w:pStyle w:val="11"/>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color w:val="auto"/>
          <w:sz w:val="24"/>
          <w:szCs w:val="24"/>
          <w:highlight w:val="none"/>
        </w:rPr>
        <w:t>本</w:t>
      </w:r>
      <w:r>
        <w:rPr>
          <w:rFonts w:hint="eastAsia" w:ascii="仿宋" w:hAnsi="仿宋" w:eastAsia="仿宋" w:cs="仿宋"/>
          <w:bCs/>
          <w:color w:val="auto"/>
          <w:sz w:val="24"/>
          <w:szCs w:val="24"/>
          <w:highlight w:val="none"/>
        </w:rPr>
        <w:t>合同服务期限为 *** 年，自 202* 年 *** 月 *** 日起至 202* 年 *** 月 *** 日。</w:t>
      </w:r>
    </w:p>
    <w:p w14:paraId="5078EB17">
      <w:pPr>
        <w:pStyle w:val="11"/>
        <w:jc w:val="left"/>
        <w:rPr>
          <w:rFonts w:hint="eastAsia" w:ascii="仿宋" w:hAnsi="仿宋" w:eastAsia="仿宋" w:cs="仿宋"/>
          <w:bCs/>
          <w:color w:val="auto"/>
          <w:sz w:val="24"/>
          <w:szCs w:val="24"/>
          <w:highlight w:val="none"/>
        </w:rPr>
      </w:pPr>
    </w:p>
    <w:p w14:paraId="123269FB">
      <w:pPr>
        <w:pStyle w:val="11"/>
        <w:jc w:val="left"/>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bCs/>
          <w:color w:val="auto"/>
          <w:sz w:val="24"/>
          <w:szCs w:val="24"/>
          <w:highlight w:val="none"/>
        </w:rPr>
        <w:t>本合同服务期限为双方签字盖章生效之日起 *** 年，即自 202* 年 *** 月 *** 日起至 202* 年 *** 月 *** 日。</w:t>
      </w:r>
    </w:p>
    <w:p w14:paraId="06C0DEE4">
      <w:pPr>
        <w:pStyle w:val="11"/>
        <w:jc w:val="left"/>
        <w:rPr>
          <w:rFonts w:hint="eastAsia" w:ascii="仿宋" w:hAnsi="仿宋" w:eastAsia="仿宋" w:cs="仿宋"/>
          <w:bCs/>
          <w:color w:val="auto"/>
          <w:sz w:val="24"/>
          <w:szCs w:val="24"/>
          <w:highlight w:val="none"/>
        </w:rPr>
      </w:pPr>
    </w:p>
    <w:p w14:paraId="7AE006C8">
      <w:pPr>
        <w:pStyle w:val="11"/>
        <w:ind w:left="105" w:leftChars="50" w:firstLine="360" w:firstLineChars="150"/>
        <w:jc w:val="left"/>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bCs/>
          <w:color w:val="auto"/>
          <w:sz w:val="24"/>
          <w:szCs w:val="24"/>
          <w:highlight w:val="none"/>
        </w:rPr>
        <w:t>本项目服务期为</w:t>
      </w:r>
      <w:r>
        <w:rPr>
          <w:rFonts w:hint="eastAsia" w:ascii="仿宋" w:hAnsi="仿宋" w:eastAsia="仿宋" w:cs="仿宋"/>
          <w:bCs/>
          <w:color w:val="auto"/>
          <w:sz w:val="24"/>
          <w:szCs w:val="24"/>
          <w:highlight w:val="none"/>
          <w:u w:val="single"/>
        </w:rPr>
        <w:t>叁</w:t>
      </w:r>
      <w:r>
        <w:rPr>
          <w:rFonts w:hint="eastAsia" w:ascii="仿宋" w:hAnsi="仿宋" w:eastAsia="仿宋" w:cs="仿宋"/>
          <w:bCs/>
          <w:color w:val="auto"/>
          <w:sz w:val="24"/>
          <w:szCs w:val="24"/>
          <w:highlight w:val="none"/>
        </w:rPr>
        <w:t>年（自202*年**月**日到202*年**月**日），合同一年一签，每年服务费为人民币 *** 元（大写：*** 圆整）。本合同为第***期，服务期为自202*年***月***日至202*年**月**日</w:t>
      </w:r>
      <w:r>
        <w:rPr>
          <w:rFonts w:hint="eastAsia" w:ascii="仿宋" w:hAnsi="仿宋" w:eastAsia="仿宋" w:cs="仿宋"/>
          <w:bCs/>
          <w:color w:val="auto"/>
          <w:sz w:val="24"/>
          <w:szCs w:val="24"/>
          <w:highlight w:val="none"/>
          <w:u w:val="single"/>
        </w:rPr>
        <w:t>，经甲方考核合格后续签下一年合同</w:t>
      </w:r>
      <w:bookmarkStart w:id="3" w:name="OLE_LINK29"/>
      <w:r>
        <w:rPr>
          <w:rFonts w:hint="eastAsia" w:ascii="仿宋" w:hAnsi="仿宋" w:eastAsia="仿宋" w:cs="仿宋"/>
          <w:bCs/>
          <w:color w:val="auto"/>
          <w:sz w:val="24"/>
          <w:szCs w:val="24"/>
          <w:highlight w:val="none"/>
        </w:rPr>
        <w:t>，考核标准详见附件</w:t>
      </w:r>
      <w:r>
        <w:rPr>
          <w:rFonts w:hint="eastAsia" w:ascii="仿宋" w:hAnsi="仿宋" w:eastAsia="仿宋" w:cs="仿宋"/>
          <w:bCs/>
          <w:color w:val="auto"/>
          <w:sz w:val="24"/>
          <w:szCs w:val="24"/>
          <w:highlight w:val="none"/>
          <w:u w:val="single"/>
        </w:rPr>
        <w:t>2</w:t>
      </w:r>
      <w:r>
        <w:rPr>
          <w:rFonts w:hint="eastAsia" w:ascii="仿宋" w:hAnsi="仿宋" w:eastAsia="仿宋" w:cs="仿宋"/>
          <w:bCs/>
          <w:color w:val="auto"/>
          <w:sz w:val="24"/>
          <w:szCs w:val="24"/>
          <w:highlight w:val="none"/>
        </w:rPr>
        <w:t>《考核标准》</w:t>
      </w:r>
      <w:bookmarkEnd w:id="3"/>
      <w:r>
        <w:rPr>
          <w:rFonts w:hint="eastAsia" w:ascii="仿宋" w:hAnsi="仿宋" w:eastAsia="仿宋" w:cs="仿宋"/>
          <w:bCs/>
          <w:color w:val="auto"/>
          <w:sz w:val="24"/>
          <w:szCs w:val="24"/>
          <w:highlight w:val="none"/>
        </w:rPr>
        <w:t>。</w:t>
      </w:r>
    </w:p>
    <w:p w14:paraId="5BF4F1B1">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服务方案</w:t>
      </w:r>
    </w:p>
    <w:p w14:paraId="761533DF">
      <w:pPr>
        <w:ind w:firstLine="480" w:firstLineChars="200"/>
        <w:contextualSpacing/>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乙方应严格按照本合同服务方案和甲方要求提供服务，服务方案详见附件3《服务方案》。</w:t>
      </w:r>
    </w:p>
    <w:p w14:paraId="361C8194">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验收</w:t>
      </w:r>
    </w:p>
    <w:p w14:paraId="3DE5F8FE">
      <w:pPr>
        <w:pStyle w:val="11"/>
        <w:numPr>
          <w:ilvl w:val="0"/>
          <w:numId w:val="3"/>
        </w:numPr>
        <w:ind w:left="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甲、乙双方确定，按照本合同约定的验收方案对乙方按本合同约定所提供的服务进行验收。</w:t>
      </w:r>
    </w:p>
    <w:p w14:paraId="6910993C">
      <w:pPr>
        <w:pStyle w:val="11"/>
        <w:numPr>
          <w:ilvl w:val="0"/>
          <w:numId w:val="3"/>
        </w:numPr>
        <w:ind w:left="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验收方案：</w:t>
      </w:r>
    </w:p>
    <w:p w14:paraId="51E3EC88">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验收主体：甲方</w:t>
      </w:r>
    </w:p>
    <w:p w14:paraId="087F33DC">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验收组织方式：自行验收</w:t>
      </w:r>
    </w:p>
    <w:p w14:paraId="131D902E">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验收程序：</w:t>
      </w:r>
      <w:r>
        <w:rPr>
          <w:rFonts w:hint="eastAsia" w:ascii="仿宋" w:hAnsi="仿宋" w:eastAsia="仿宋" w:cs="仿宋"/>
          <w:color w:val="auto"/>
          <w:sz w:val="24"/>
          <w:szCs w:val="24"/>
          <w:highlight w:val="none"/>
        </w:rPr>
        <w:sym w:font="Wingdings 2" w:char="F052"/>
      </w:r>
      <w:r>
        <w:rPr>
          <w:rFonts w:hint="eastAsia" w:ascii="仿宋" w:hAnsi="仿宋" w:eastAsia="仿宋" w:cs="仿宋"/>
          <w:color w:val="auto"/>
          <w:sz w:val="24"/>
          <w:szCs w:val="24"/>
          <w:highlight w:val="none"/>
        </w:rPr>
        <w:t xml:space="preserve">一次性验收   </w:t>
      </w: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rPr>
        <w:t>分段/分期验收</w:t>
      </w:r>
    </w:p>
    <w:p w14:paraId="49001BA5">
      <w:pPr>
        <w:pStyle w:val="11"/>
        <w:numPr>
          <w:ilvl w:val="0"/>
          <w:numId w:val="4"/>
        </w:numPr>
        <w:ind w:firstLineChars="0"/>
        <w:contextualSpacing/>
        <w:rPr>
          <w:rFonts w:hint="eastAsia" w:ascii="仿宋" w:hAnsi="仿宋" w:eastAsia="仿宋" w:cs="仿宋"/>
          <w:color w:val="auto"/>
          <w:sz w:val="24"/>
          <w:szCs w:val="24"/>
          <w:highlight w:val="none"/>
          <w:u w:val="none"/>
          <w:shd w:val="clear" w:color="auto" w:fill="auto"/>
        </w:rPr>
      </w:pPr>
      <w:r>
        <w:rPr>
          <w:rFonts w:hint="eastAsia" w:ascii="仿宋" w:hAnsi="仿宋" w:eastAsia="仿宋" w:cs="仿宋"/>
          <w:color w:val="auto"/>
          <w:sz w:val="24"/>
          <w:szCs w:val="24"/>
          <w:highlight w:val="none"/>
        </w:rPr>
        <w:t>验收方式：</w:t>
      </w:r>
      <w:r>
        <w:rPr>
          <w:rFonts w:hint="eastAsia" w:ascii="仿宋" w:hAnsi="仿宋" w:eastAsia="仿宋" w:cs="仿宋"/>
          <w:color w:val="auto"/>
          <w:sz w:val="24"/>
          <w:szCs w:val="24"/>
          <w:highlight w:val="none"/>
        </w:rPr>
        <w:sym w:font="Wingdings 2" w:char="F052"/>
      </w:r>
      <w:r>
        <w:rPr>
          <w:rFonts w:hint="eastAsia" w:ascii="仿宋" w:hAnsi="仿宋" w:eastAsia="仿宋" w:cs="仿宋"/>
          <w:color w:val="auto"/>
          <w:sz w:val="24"/>
          <w:szCs w:val="24"/>
          <w:highlight w:val="none"/>
        </w:rPr>
        <w:t>现场整体验收</w:t>
      </w:r>
      <w:r>
        <w:rPr>
          <w:rFonts w:hint="eastAsia" w:ascii="仿宋" w:hAnsi="仿宋" w:eastAsia="仿宋" w:cs="仿宋"/>
          <w:color w:val="auto"/>
          <w:kern w:val="0"/>
          <w:sz w:val="24"/>
          <w:szCs w:val="24"/>
          <w:highlight w:val="none"/>
          <w:shd w:val="clear" w:color="auto" w:fill="FFFFFF"/>
        </w:rPr>
        <w:t xml:space="preserve">   </w:t>
      </w:r>
      <w:r>
        <w:rPr>
          <w:rFonts w:hint="eastAsia" w:ascii="仿宋" w:hAnsi="仿宋" w:eastAsia="仿宋" w:cs="仿宋"/>
          <w:color w:val="auto"/>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考核验收</w:t>
      </w:r>
      <w:r>
        <w:rPr>
          <w:rFonts w:hint="eastAsia" w:ascii="仿宋" w:hAnsi="仿宋" w:eastAsia="仿宋" w:cs="仿宋"/>
          <w:color w:val="auto"/>
          <w:kern w:val="0"/>
          <w:sz w:val="24"/>
          <w:szCs w:val="24"/>
          <w:highlight w:val="none"/>
          <w:shd w:val="clear" w:color="auto" w:fill="FFFFFF"/>
        </w:rPr>
        <w:t xml:space="preserve">   </w:t>
      </w:r>
      <w:r>
        <w:rPr>
          <w:rFonts w:hint="eastAsia" w:ascii="仿宋" w:hAnsi="仿宋" w:eastAsia="仿宋" w:cs="仿宋"/>
          <w:color w:val="auto"/>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其它验收方式：</w:t>
      </w:r>
      <w:r>
        <w:rPr>
          <w:rFonts w:hint="eastAsia" w:ascii="仿宋" w:hAnsi="仿宋" w:eastAsia="仿宋" w:cs="仿宋"/>
          <w:color w:val="auto"/>
          <w:sz w:val="24"/>
          <w:szCs w:val="24"/>
          <w:highlight w:val="none"/>
          <w:u w:val="single"/>
          <w:shd w:val="clear" w:color="auto" w:fill="FFFFFF"/>
        </w:rPr>
        <w:t>***</w:t>
      </w:r>
    </w:p>
    <w:p w14:paraId="46D7718E">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验收内容：按照基于本项目采购需求编制的采购文件要求及乙方投标文件（或响应文件）响应情况，由乙方向甲方提供的</w:t>
      </w:r>
      <w:r>
        <w:rPr>
          <w:rFonts w:hint="eastAsia" w:ascii="仿宋" w:hAnsi="仿宋" w:eastAsia="仿宋" w:cs="仿宋"/>
          <w:color w:val="auto"/>
          <w:sz w:val="24"/>
          <w:szCs w:val="24"/>
          <w:highlight w:val="none"/>
          <w:u w:val="single"/>
        </w:rPr>
        <w:t>全部服务</w:t>
      </w:r>
      <w:r>
        <w:rPr>
          <w:rFonts w:hint="eastAsia" w:ascii="仿宋" w:hAnsi="仿宋" w:eastAsia="仿宋" w:cs="仿宋"/>
          <w:color w:val="auto"/>
          <w:sz w:val="24"/>
          <w:szCs w:val="24"/>
          <w:highlight w:val="none"/>
        </w:rPr>
        <w:t>的履约情况。</w:t>
      </w:r>
    </w:p>
    <w:p w14:paraId="2BBECF89">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履约验收时间：</w:t>
      </w:r>
    </w:p>
    <w:p w14:paraId="6C90345B">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color w:val="auto"/>
          <w:sz w:val="24"/>
          <w:szCs w:val="24"/>
          <w:highlight w:val="none"/>
        </w:rPr>
        <w:t>服务期满且乙方完成所有服务内容后X日内通知甲方验收，甲方接乙方通知后X日内组织验收</w:t>
      </w:r>
    </w:p>
    <w:p w14:paraId="1DAD22ED">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rPr>
        <w:t>乙方完成每一阶段或轮次服务内容后X日内通知甲方验收，甲方接乙方通知后X日内组织验收</w:t>
      </w:r>
    </w:p>
    <w:p w14:paraId="7D03B809">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完成考核后X日内组织验收</w:t>
      </w:r>
    </w:p>
    <w:p w14:paraId="1AA3423D">
      <w:pPr>
        <w:pStyle w:val="6"/>
        <w:spacing w:after="0"/>
        <w:ind w:left="420" w:leftChars="200" w:firstLine="0" w:firstLineChars="0"/>
        <w:contextualSpacing/>
        <w:rPr>
          <w:rFonts w:hint="eastAsia" w:ascii="仿宋" w:hAnsi="仿宋" w:eastAsia="仿宋" w:cs="仿宋"/>
          <w:color w:val="auto"/>
          <w:sz w:val="24"/>
          <w:szCs w:val="24"/>
          <w:highlight w:val="none"/>
          <w:shd w:val="clear" w:color="auto" w:fill="FFFFFF"/>
        </w:rPr>
      </w:pP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rPr>
        <w:t>其它验收时间：</w:t>
      </w:r>
      <w:r>
        <w:rPr>
          <w:rFonts w:hint="eastAsia" w:ascii="仿宋" w:hAnsi="仿宋" w:eastAsia="仿宋" w:cs="仿宋"/>
          <w:color w:val="auto"/>
          <w:sz w:val="24"/>
          <w:szCs w:val="24"/>
          <w:highlight w:val="none"/>
          <w:u w:val="single"/>
        </w:rPr>
        <w:t>***</w:t>
      </w:r>
    </w:p>
    <w:p w14:paraId="20E2567D">
      <w:pPr>
        <w:pStyle w:val="11"/>
        <w:numPr>
          <w:ilvl w:val="0"/>
          <w:numId w:val="4"/>
        </w:numPr>
        <w:ind w:firstLineChars="0"/>
        <w:contextualSpacing/>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rPr>
        <w:t xml:space="preserve">是否邀请本项目的其他供应商： </w:t>
      </w:r>
      <w:r>
        <w:rPr>
          <w:rFonts w:hint="eastAsia" w:ascii="仿宋" w:hAnsi="仿宋" w:eastAsia="仿宋" w:cs="仿宋"/>
          <w:color w:val="auto"/>
          <w:kern w:val="0"/>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 xml:space="preserve">是   </w:t>
      </w:r>
      <w:r>
        <w:rPr>
          <w:rFonts w:hint="eastAsia" w:ascii="仿宋" w:hAnsi="仿宋" w:eastAsia="仿宋" w:cs="仿宋"/>
          <w:color w:val="auto"/>
          <w:kern w:val="0"/>
          <w:sz w:val="24"/>
          <w:szCs w:val="24"/>
          <w:highlight w:val="none"/>
        </w:rPr>
        <w:sym w:font="Wingdings 2" w:char="F052"/>
      </w:r>
      <w:r>
        <w:rPr>
          <w:rFonts w:hint="eastAsia" w:ascii="仿宋" w:hAnsi="仿宋" w:eastAsia="仿宋" w:cs="仿宋"/>
          <w:color w:val="auto"/>
          <w:sz w:val="24"/>
          <w:szCs w:val="24"/>
          <w:highlight w:val="none"/>
          <w:shd w:val="clear" w:color="auto" w:fill="FFFFFF"/>
        </w:rPr>
        <w:t>否</w:t>
      </w:r>
    </w:p>
    <w:p w14:paraId="2EA52102">
      <w:pPr>
        <w:pStyle w:val="11"/>
        <w:numPr>
          <w:ilvl w:val="0"/>
          <w:numId w:val="4"/>
        </w:numPr>
        <w:ind w:firstLineChars="0"/>
        <w:contextualSpacing/>
        <w:rPr>
          <w:rFonts w:hint="eastAsia" w:ascii="仿宋" w:hAnsi="仿宋" w:eastAsia="仿宋" w:cs="仿宋"/>
          <w:color w:val="auto"/>
          <w:sz w:val="24"/>
          <w:szCs w:val="24"/>
          <w:highlight w:val="none"/>
          <w:shd w:val="clear" w:color="auto" w:fill="auto"/>
        </w:rPr>
      </w:pPr>
      <w:r>
        <w:rPr>
          <w:rFonts w:hint="eastAsia" w:ascii="仿宋" w:hAnsi="仿宋" w:eastAsia="仿宋" w:cs="仿宋"/>
          <w:color w:val="auto"/>
          <w:sz w:val="24"/>
          <w:szCs w:val="24"/>
          <w:highlight w:val="none"/>
        </w:rPr>
        <w:t xml:space="preserve">是否邀请专家： </w:t>
      </w:r>
      <w:r>
        <w:rPr>
          <w:rFonts w:hint="eastAsia" w:ascii="仿宋" w:hAnsi="仿宋" w:eastAsia="仿宋" w:cs="仿宋"/>
          <w:color w:val="auto"/>
          <w:kern w:val="0"/>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 xml:space="preserve">是   </w:t>
      </w:r>
      <w:r>
        <w:rPr>
          <w:rFonts w:hint="eastAsia" w:ascii="仿宋" w:hAnsi="仿宋" w:eastAsia="仿宋" w:cs="仿宋"/>
          <w:color w:val="auto"/>
          <w:kern w:val="0"/>
          <w:sz w:val="24"/>
          <w:szCs w:val="24"/>
          <w:highlight w:val="none"/>
        </w:rPr>
        <w:sym w:font="Wingdings 2" w:char="F052"/>
      </w:r>
      <w:r>
        <w:rPr>
          <w:rFonts w:hint="eastAsia" w:ascii="仿宋" w:hAnsi="仿宋" w:eastAsia="仿宋" w:cs="仿宋"/>
          <w:color w:val="auto"/>
          <w:sz w:val="24"/>
          <w:szCs w:val="24"/>
          <w:highlight w:val="none"/>
          <w:shd w:val="clear" w:color="auto" w:fill="FFFFFF"/>
        </w:rPr>
        <w:t>否</w:t>
      </w:r>
    </w:p>
    <w:p w14:paraId="4B5E7EBF">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是否邀请服务对象： </w:t>
      </w:r>
      <w:r>
        <w:rPr>
          <w:rFonts w:hint="eastAsia" w:ascii="仿宋" w:hAnsi="仿宋" w:eastAsia="仿宋" w:cs="仿宋"/>
          <w:color w:val="auto"/>
          <w:kern w:val="0"/>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 xml:space="preserve">是   </w:t>
      </w:r>
      <w:r>
        <w:rPr>
          <w:rFonts w:hint="eastAsia" w:ascii="仿宋" w:hAnsi="仿宋" w:eastAsia="仿宋" w:cs="仿宋"/>
          <w:color w:val="auto"/>
          <w:kern w:val="0"/>
          <w:sz w:val="24"/>
          <w:szCs w:val="24"/>
          <w:highlight w:val="none"/>
        </w:rPr>
        <w:sym w:font="Wingdings 2" w:char="F052"/>
      </w:r>
      <w:r>
        <w:rPr>
          <w:rFonts w:hint="eastAsia" w:ascii="仿宋" w:hAnsi="仿宋" w:eastAsia="仿宋" w:cs="仿宋"/>
          <w:color w:val="auto"/>
          <w:sz w:val="24"/>
          <w:szCs w:val="24"/>
          <w:highlight w:val="none"/>
          <w:shd w:val="clear" w:color="auto" w:fill="FFFFFF"/>
        </w:rPr>
        <w:t>否</w:t>
      </w:r>
    </w:p>
    <w:p w14:paraId="206DB618">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是否邀请第三方检测机构：</w:t>
      </w:r>
      <w:r>
        <w:rPr>
          <w:rFonts w:hint="eastAsia" w:ascii="仿宋" w:hAnsi="仿宋" w:eastAsia="仿宋" w:cs="仿宋"/>
          <w:color w:val="auto"/>
          <w:kern w:val="0"/>
          <w:sz w:val="24"/>
          <w:szCs w:val="24"/>
          <w:highlight w:val="none"/>
          <w:shd w:val="clear" w:color="auto" w:fill="FFFFFF"/>
        </w:rPr>
        <w:t xml:space="preserve"> </w:t>
      </w:r>
      <w:r>
        <w:rPr>
          <w:rFonts w:hint="eastAsia" w:ascii="仿宋" w:hAnsi="仿宋" w:eastAsia="仿宋" w:cs="仿宋"/>
          <w:color w:val="auto"/>
          <w:kern w:val="0"/>
          <w:sz w:val="24"/>
          <w:szCs w:val="24"/>
          <w:highlight w:val="none"/>
          <w:shd w:val="clear" w:color="auto" w:fill="FFFFFF"/>
        </w:rPr>
        <w:sym w:font="Wingdings" w:char="F0A8"/>
      </w:r>
      <w:r>
        <w:rPr>
          <w:rFonts w:hint="eastAsia" w:ascii="仿宋" w:hAnsi="仿宋" w:eastAsia="仿宋" w:cs="仿宋"/>
          <w:color w:val="auto"/>
          <w:sz w:val="24"/>
          <w:szCs w:val="24"/>
          <w:highlight w:val="none"/>
          <w:shd w:val="clear" w:color="auto" w:fill="FFFFFF"/>
        </w:rPr>
        <w:t xml:space="preserve">是   </w:t>
      </w:r>
      <w:r>
        <w:rPr>
          <w:rFonts w:hint="eastAsia" w:ascii="仿宋" w:hAnsi="仿宋" w:eastAsia="仿宋" w:cs="仿宋"/>
          <w:color w:val="auto"/>
          <w:kern w:val="0"/>
          <w:sz w:val="24"/>
          <w:szCs w:val="24"/>
          <w:highlight w:val="none"/>
        </w:rPr>
        <w:sym w:font="Wingdings 2" w:char="F052"/>
      </w:r>
      <w:r>
        <w:rPr>
          <w:rFonts w:hint="eastAsia" w:ascii="仿宋" w:hAnsi="仿宋" w:eastAsia="仿宋" w:cs="仿宋"/>
          <w:color w:val="auto"/>
          <w:sz w:val="24"/>
          <w:szCs w:val="24"/>
          <w:highlight w:val="none"/>
          <w:shd w:val="clear" w:color="auto" w:fill="FFFFFF"/>
        </w:rPr>
        <w:t>否</w:t>
      </w:r>
    </w:p>
    <w:p w14:paraId="53A73BD6">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验收标准：</w:t>
      </w:r>
    </w:p>
    <w:p w14:paraId="6520A99B">
      <w:pPr>
        <w:pStyle w:val="6"/>
        <w:numPr>
          <w:ilvl w:val="0"/>
          <w:numId w:val="5"/>
        </w:numPr>
        <w:spacing w:after="0"/>
        <w:ind w:firstLineChars="0"/>
        <w:contextualSpacing/>
        <w:rPr>
          <w:rFonts w:hint="eastAsia" w:ascii="仿宋" w:hAnsi="仿宋" w:eastAsia="仿宋" w:cs="仿宋"/>
          <w:color w:val="auto"/>
          <w:sz w:val="24"/>
          <w:szCs w:val="24"/>
          <w:highlight w:val="none"/>
        </w:rPr>
      </w:pPr>
      <w:bookmarkStart w:id="4" w:name="OLE_LINK4"/>
      <w:r>
        <w:rPr>
          <w:rFonts w:hint="eastAsia" w:ascii="仿宋" w:hAnsi="仿宋" w:eastAsia="仿宋" w:cs="仿宋"/>
          <w:color w:val="auto"/>
          <w:sz w:val="24"/>
          <w:szCs w:val="24"/>
          <w:highlight w:val="none"/>
          <w:shd w:val="clear" w:color="auto" w:fill="FFFFFF"/>
        </w:rPr>
        <w:t>国家相关法律法规、行业标准、技术规范。</w:t>
      </w:r>
    </w:p>
    <w:p w14:paraId="470E365A">
      <w:pPr>
        <w:pStyle w:val="6"/>
        <w:numPr>
          <w:ilvl w:val="0"/>
          <w:numId w:val="5"/>
        </w:numPr>
        <w:spacing w:after="0"/>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甲方</w:t>
      </w:r>
      <w:r>
        <w:rPr>
          <w:rFonts w:hint="eastAsia" w:ascii="仿宋" w:hAnsi="仿宋" w:eastAsia="仿宋" w:cs="仿宋"/>
          <w:color w:val="auto"/>
          <w:sz w:val="24"/>
          <w:szCs w:val="24"/>
          <w:highlight w:val="none"/>
        </w:rPr>
        <w:t>采购文件相关技术、服务要求、乙方投标文件（或响应文件）相关响应内容。</w:t>
      </w:r>
    </w:p>
    <w:p w14:paraId="486E2888">
      <w:pPr>
        <w:pStyle w:val="6"/>
        <w:numPr>
          <w:ilvl w:val="0"/>
          <w:numId w:val="5"/>
        </w:numPr>
        <w:spacing w:after="0"/>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如本项目验收方式为考核验收，则考核结果须为合格。</w:t>
      </w:r>
    </w:p>
    <w:bookmarkEnd w:id="4"/>
    <w:p w14:paraId="1AA7B2E2">
      <w:pPr>
        <w:pStyle w:val="6"/>
        <w:numPr>
          <w:ilvl w:val="0"/>
          <w:numId w:val="5"/>
        </w:numPr>
        <w:spacing w:after="0"/>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如验收时，甲方与乙方认为本项目验收标准中的技术指标、质量要求等内容存在相互抵触或对其理解存在异议，应按照其中更严格的要求、标准等进行验收。</w:t>
      </w:r>
    </w:p>
    <w:p w14:paraId="76D42DCB">
      <w:pPr>
        <w:pStyle w:val="6"/>
        <w:numPr>
          <w:ilvl w:val="0"/>
          <w:numId w:val="5"/>
        </w:numPr>
        <w:spacing w:after="0"/>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按照《财政部关于进一步加强政府采购需求和履约验收管理的指导意见》（财库〔2016〕205号）的要求进行验收。</w:t>
      </w:r>
    </w:p>
    <w:p w14:paraId="05324630">
      <w:pPr>
        <w:pStyle w:val="6"/>
        <w:numPr>
          <w:ilvl w:val="0"/>
          <w:numId w:val="5"/>
        </w:numPr>
        <w:spacing w:after="0"/>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其它标准：</w:t>
      </w:r>
      <w:r>
        <w:rPr>
          <w:rFonts w:hint="eastAsia" w:ascii="仿宋" w:hAnsi="仿宋" w:eastAsia="仿宋" w:cs="仿宋"/>
          <w:color w:val="auto"/>
          <w:sz w:val="24"/>
          <w:szCs w:val="24"/>
          <w:highlight w:val="none"/>
          <w:u w:val="single"/>
        </w:rPr>
        <w:t>无。</w:t>
      </w:r>
    </w:p>
    <w:p w14:paraId="17BDCA8C">
      <w:pPr>
        <w:pStyle w:val="11"/>
        <w:numPr>
          <w:ilvl w:val="0"/>
          <w:numId w:val="4"/>
        </w:numPr>
        <w:ind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其它验收要求：</w:t>
      </w:r>
      <w:r>
        <w:rPr>
          <w:rFonts w:hint="eastAsia" w:ascii="仿宋" w:hAnsi="仿宋" w:eastAsia="仿宋" w:cs="仿宋"/>
          <w:color w:val="auto"/>
          <w:kern w:val="0"/>
          <w:sz w:val="24"/>
          <w:szCs w:val="24"/>
          <w:highlight w:val="none"/>
          <w:u w:val="single"/>
        </w:rPr>
        <w:t>无</w:t>
      </w:r>
      <w:r>
        <w:rPr>
          <w:rFonts w:hint="eastAsia" w:ascii="仿宋" w:hAnsi="仿宋" w:eastAsia="仿宋" w:cs="仿宋"/>
          <w:i/>
          <w:iCs/>
          <w:color w:val="auto"/>
          <w:kern w:val="0"/>
          <w:sz w:val="24"/>
          <w:szCs w:val="24"/>
          <w:highlight w:val="none"/>
        </w:rPr>
        <w:t>&lt;如有请填写</w:t>
      </w:r>
      <w:r>
        <w:rPr>
          <w:rFonts w:hint="eastAsia" w:ascii="仿宋" w:hAnsi="仿宋" w:eastAsia="仿宋" w:cs="仿宋"/>
          <w:i/>
          <w:iCs/>
          <w:color w:val="auto"/>
          <w:kern w:val="0"/>
          <w:sz w:val="24"/>
          <w:szCs w:val="24"/>
          <w:highlight w:val="none"/>
        </w:rPr>
        <w:t>&gt;</w:t>
      </w:r>
    </w:p>
    <w:p w14:paraId="4B2BBD5E">
      <w:pPr>
        <w:pStyle w:val="11"/>
        <w:numPr>
          <w:ilvl w:val="0"/>
          <w:numId w:val="3"/>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验收合格，双方签署验收报告；如验收不合格，甲方应进行详尽的现场记录，或由甲乙双方签署备忘录，此现场记录或备忘录可用作修改和更正相关问题的有效证据，由此产生的时间延误与经济损失由乙方承担，验收期限相应顺延，且甲方有权拒绝签署验收报告，并要求乙方无条件修改和更正，而后进行再次验收，乙方应承担因此额外产生的全部费用。如果仍不合格，甲方有权终止本合同并视作乙方无法按本合同约定提供相应服务而须支付合同总价10%的违约金给甲方，违约金不能弥补甲方损失的，乙方应全额赔偿。</w:t>
      </w:r>
    </w:p>
    <w:p w14:paraId="3FA77757">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付款方式</w:t>
      </w:r>
    </w:p>
    <w:p w14:paraId="5043B174">
      <w:pPr>
        <w:pStyle w:val="4"/>
        <w:numPr>
          <w:ilvl w:val="0"/>
          <w:numId w:val="6"/>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履约保证金：</w:t>
      </w:r>
    </w:p>
    <w:p w14:paraId="598D77FA">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color w:val="auto"/>
          <w:sz w:val="24"/>
          <w:szCs w:val="24"/>
          <w:highlight w:val="none"/>
        </w:rPr>
        <w:t>乙方在合同签订生效之日起的</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个工作日内，按合同总价</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%支付履约保证金；本合同服务期满且验收合格后，甲方接到乙方付款申请后</w:t>
      </w:r>
      <w:r>
        <w:rPr>
          <w:rFonts w:hint="eastAsia" w:ascii="仿宋" w:hAnsi="仿宋" w:eastAsia="仿宋" w:cs="仿宋"/>
          <w:color w:val="auto"/>
          <w:sz w:val="24"/>
          <w:szCs w:val="24"/>
          <w:highlight w:val="none"/>
          <w:u w:val="single"/>
        </w:rPr>
        <w:t>30</w:t>
      </w:r>
      <w:r>
        <w:rPr>
          <w:rFonts w:hint="eastAsia" w:ascii="仿宋" w:hAnsi="仿宋" w:eastAsia="仿宋" w:cs="仿宋"/>
          <w:color w:val="auto"/>
          <w:sz w:val="24"/>
          <w:szCs w:val="24"/>
          <w:highlight w:val="none"/>
        </w:rPr>
        <w:t>个工作日内，甲方一次性无息退还乙方的履约保证金；经验收后乙方履约不合格的，履约保证金不予退还。</w:t>
      </w:r>
    </w:p>
    <w:p w14:paraId="23C5FC70">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rPr>
        <w:t>本合同不涉及履约保证金。</w:t>
      </w:r>
    </w:p>
    <w:p w14:paraId="69EFA953">
      <w:pPr>
        <w:pStyle w:val="4"/>
        <w:numPr>
          <w:ilvl w:val="0"/>
          <w:numId w:val="6"/>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w:t>
      </w:r>
      <w:r>
        <w:rPr>
          <w:rFonts w:hint="eastAsia" w:ascii="仿宋" w:hAnsi="仿宋" w:eastAsia="仿宋" w:cs="仿宋"/>
          <w:color w:val="auto"/>
          <w:sz w:val="24"/>
          <w:szCs w:val="24"/>
          <w:highlight w:val="none"/>
          <w:lang w:val="en-US" w:eastAsia="zh-CN"/>
        </w:rPr>
        <w:t>合同</w:t>
      </w:r>
      <w:r>
        <w:rPr>
          <w:rFonts w:hint="eastAsia" w:ascii="仿宋" w:hAnsi="仿宋" w:eastAsia="仿宋" w:cs="仿宋"/>
          <w:color w:val="auto"/>
          <w:sz w:val="24"/>
          <w:szCs w:val="24"/>
          <w:highlight w:val="none"/>
        </w:rPr>
        <w:t>价款采用以下方式支付，以人民币结算：</w:t>
      </w:r>
    </w:p>
    <w:p w14:paraId="30652B4F">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2" w:char="00A3"/>
      </w:r>
      <w:r>
        <w:rPr>
          <w:rFonts w:hint="eastAsia" w:ascii="仿宋" w:hAnsi="仿宋" w:eastAsia="仿宋" w:cs="仿宋"/>
          <w:color w:val="auto"/>
          <w:sz w:val="24"/>
          <w:szCs w:val="24"/>
          <w:highlight w:val="none"/>
        </w:rPr>
        <w:t>一次性支付：</w:t>
      </w:r>
    </w:p>
    <w:p w14:paraId="436F2041">
      <w:pPr>
        <w:pStyle w:val="6"/>
        <w:spacing w:after="0"/>
        <w:ind w:left="840" w:leftChars="40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本合同服务期满且经甲方验收合格后</w:t>
      </w:r>
      <w:r>
        <w:rPr>
          <w:rFonts w:hint="eastAsia" w:ascii="仿宋" w:hAnsi="仿宋" w:eastAsia="仿宋" w:cs="仿宋"/>
          <w:color w:val="auto"/>
          <w:sz w:val="24"/>
          <w:szCs w:val="24"/>
          <w:highlight w:val="none"/>
          <w:u w:val="single"/>
        </w:rPr>
        <w:t>5</w:t>
      </w:r>
      <w:r>
        <w:rPr>
          <w:rFonts w:hint="eastAsia" w:ascii="仿宋" w:hAnsi="仿宋" w:eastAsia="仿宋" w:cs="仿宋"/>
          <w:color w:val="auto"/>
          <w:sz w:val="24"/>
          <w:szCs w:val="24"/>
          <w:highlight w:val="none"/>
        </w:rPr>
        <w:t>日内，乙方须向甲方提供合法有效票据及其他相关请款资料，甲方自收到乙方请款资料后</w:t>
      </w:r>
      <w:r>
        <w:rPr>
          <w:rFonts w:hint="eastAsia" w:ascii="仿宋" w:hAnsi="仿宋" w:eastAsia="仿宋" w:cs="仿宋"/>
          <w:color w:val="auto"/>
          <w:sz w:val="24"/>
          <w:szCs w:val="24"/>
          <w:highlight w:val="none"/>
          <w:u w:val="single"/>
        </w:rPr>
        <w:t>55</w:t>
      </w:r>
      <w:r>
        <w:rPr>
          <w:rFonts w:hint="eastAsia" w:ascii="仿宋" w:hAnsi="仿宋" w:eastAsia="仿宋" w:cs="仿宋"/>
          <w:color w:val="auto"/>
          <w:sz w:val="24"/>
          <w:szCs w:val="24"/>
          <w:highlight w:val="none"/>
        </w:rPr>
        <w:t>日内支付合同总价100%的金额给乙方。</w:t>
      </w:r>
    </w:p>
    <w:p w14:paraId="4E29AF2D">
      <w:pPr>
        <w:pStyle w:val="6"/>
        <w:spacing w:after="0"/>
        <w:ind w:left="420" w:leftChars="200" w:firstLine="0" w:firstLineChars="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sym w:font="Wingdings" w:char="F0A8"/>
      </w:r>
      <w:r>
        <w:rPr>
          <w:rFonts w:hint="eastAsia" w:ascii="仿宋" w:hAnsi="仿宋" w:eastAsia="仿宋" w:cs="仿宋"/>
          <w:color w:val="auto"/>
          <w:sz w:val="24"/>
          <w:szCs w:val="24"/>
          <w:highlight w:val="none"/>
        </w:rPr>
        <w:t>分阶段支付，支付期限、方式及额度如下：</w:t>
      </w:r>
    </w:p>
    <w:p w14:paraId="1B0208E0">
      <w:pPr>
        <w:pStyle w:val="6"/>
        <w:spacing w:after="0"/>
        <w:ind w:left="840" w:leftChars="40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bookmarkStart w:id="5" w:name="OLE_LINK30"/>
      <w:r>
        <w:rPr>
          <w:rFonts w:hint="eastAsia" w:ascii="仿宋" w:hAnsi="仿宋" w:eastAsia="仿宋" w:cs="仿宋"/>
          <w:color w:val="auto"/>
          <w:sz w:val="24"/>
          <w:szCs w:val="24"/>
          <w:highlight w:val="none"/>
        </w:rPr>
        <w:t>固定部分价款</w:t>
      </w:r>
      <w:bookmarkEnd w:id="5"/>
      <w:r>
        <w:rPr>
          <w:rFonts w:hint="eastAsia" w:ascii="仿宋" w:hAnsi="仿宋" w:eastAsia="仿宋" w:cs="仿宋"/>
          <w:color w:val="auto"/>
          <w:sz w:val="24"/>
          <w:szCs w:val="24"/>
          <w:highlight w:val="none"/>
        </w:rPr>
        <w:t>：本合同服务期满且经甲方验收合格后5日内，乙方须向甲方提供合法有效票据及其他相关请款资料，甲方自收到乙方请款资料后55日内向乙方支付本合同</w:t>
      </w:r>
      <w:r>
        <w:rPr>
          <w:rFonts w:hint="eastAsia" w:ascii="仿宋" w:hAnsi="仿宋" w:eastAsia="仿宋" w:cs="仿宋"/>
          <w:color w:val="auto"/>
          <w:sz w:val="24"/>
          <w:szCs w:val="24"/>
          <w:highlight w:val="none"/>
          <w:u w:val="single"/>
        </w:rPr>
        <w:t>第二条</w:t>
      </w:r>
      <w:r>
        <w:rPr>
          <w:rFonts w:hint="eastAsia" w:ascii="仿宋" w:hAnsi="仿宋" w:eastAsia="仿宋" w:cs="仿宋"/>
          <w:color w:val="auto"/>
          <w:sz w:val="24"/>
          <w:szCs w:val="24"/>
          <w:highlight w:val="none"/>
        </w:rPr>
        <w:t>写明的全部固定部分价款。</w:t>
      </w:r>
    </w:p>
    <w:p w14:paraId="1421DCA0">
      <w:pPr>
        <w:pStyle w:val="6"/>
        <w:spacing w:after="0"/>
        <w:ind w:left="840" w:leftChars="400" w:firstLineChars="200"/>
        <w:contextualSpacing/>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（2）按实结算部分：每</w:t>
      </w:r>
      <w:r>
        <w:rPr>
          <w:rFonts w:hint="eastAsia" w:ascii="仿宋" w:hAnsi="仿宋" w:eastAsia="仿宋" w:cs="仿宋"/>
          <w:color w:val="auto"/>
          <w:sz w:val="24"/>
          <w:szCs w:val="24"/>
          <w:highlight w:val="none"/>
          <w:u w:val="single"/>
        </w:rPr>
        <w:t>XX</w:t>
      </w:r>
      <w:r>
        <w:rPr>
          <w:rFonts w:hint="eastAsia" w:ascii="仿宋" w:hAnsi="仿宋" w:eastAsia="仿宋" w:cs="仿宋"/>
          <w:i/>
          <w:iCs/>
          <w:color w:val="auto"/>
          <w:sz w:val="24"/>
          <w:szCs w:val="24"/>
          <w:highlight w:val="none"/>
        </w:rPr>
        <w:t>&lt;约定按固定周期支付的（如每季度），可根据项目具体情况编制本条款&gt;</w:t>
      </w:r>
      <w:r>
        <w:rPr>
          <w:rFonts w:hint="eastAsia" w:ascii="仿宋" w:hAnsi="仿宋" w:eastAsia="仿宋" w:cs="仿宋"/>
          <w:color w:val="auto"/>
          <w:sz w:val="24"/>
          <w:szCs w:val="24"/>
          <w:highlight w:val="none"/>
        </w:rPr>
        <w:t>结算一次费用，结算单价以《结算单价清单》为准。</w:t>
      </w:r>
      <w:r>
        <w:rPr>
          <w:rFonts w:hint="eastAsia" w:ascii="仿宋" w:hAnsi="仿宋" w:eastAsia="仿宋" w:cs="仿宋"/>
          <w:color w:val="auto"/>
          <w:sz w:val="24"/>
          <w:szCs w:val="24"/>
          <w:highlight w:val="none"/>
          <w:lang w:bidi="ar"/>
        </w:rPr>
        <w:t>结算前，乙方须向甲方提供结算费用清单进行确认，并在确认后 5 日内按清单金额向甲方提供合法有效票据及其他相关请款资料，甲方接到乙方请款资料后的</w:t>
      </w:r>
      <w:r>
        <w:rPr>
          <w:rFonts w:hint="eastAsia" w:ascii="仿宋" w:hAnsi="仿宋" w:eastAsia="仿宋" w:cs="仿宋"/>
          <w:color w:val="auto"/>
          <w:sz w:val="24"/>
          <w:szCs w:val="24"/>
          <w:highlight w:val="none"/>
          <w:u w:val="single"/>
          <w:lang w:bidi="ar"/>
        </w:rPr>
        <w:t>55</w:t>
      </w:r>
      <w:r>
        <w:rPr>
          <w:rFonts w:hint="eastAsia" w:ascii="仿宋" w:hAnsi="仿宋" w:eastAsia="仿宋" w:cs="仿宋"/>
          <w:color w:val="auto"/>
          <w:sz w:val="24"/>
          <w:szCs w:val="24"/>
          <w:highlight w:val="none"/>
          <w:lang w:bidi="ar"/>
        </w:rPr>
        <w:t>日内，向乙方全额支付上述结算费用。</w:t>
      </w:r>
    </w:p>
    <w:p w14:paraId="793EFB5D">
      <w:pPr>
        <w:pStyle w:val="4"/>
        <w:numPr>
          <w:ilvl w:val="0"/>
          <w:numId w:val="6"/>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甲方付款前，乙方需</w:t>
      </w:r>
      <w:r>
        <w:rPr>
          <w:rFonts w:hint="eastAsia" w:ascii="仿宋" w:hAnsi="仿宋" w:eastAsia="仿宋" w:cs="仿宋"/>
          <w:color w:val="auto"/>
          <w:sz w:val="24"/>
          <w:szCs w:val="24"/>
          <w:highlight w:val="none"/>
          <w:lang w:bidi="ar"/>
        </w:rPr>
        <w:t>提供合法有效票据及其他相关请款资料</w:t>
      </w:r>
      <w:r>
        <w:rPr>
          <w:rFonts w:hint="eastAsia" w:ascii="仿宋" w:hAnsi="仿宋" w:eastAsia="仿宋" w:cs="仿宋"/>
          <w:color w:val="auto"/>
          <w:sz w:val="24"/>
          <w:szCs w:val="24"/>
          <w:highlight w:val="none"/>
        </w:rPr>
        <w:t>，否则甲方有权拒绝支付且不承担任何违约责任，且乙方不得因此停止服务。</w:t>
      </w:r>
    </w:p>
    <w:p w14:paraId="7920A26D">
      <w:pPr>
        <w:pStyle w:val="4"/>
        <w:numPr>
          <w:ilvl w:val="0"/>
          <w:numId w:val="6"/>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乙方开票信息应与合同预留账户信息一致。如有变更，乙方应当在变更后3日内通知甲方。否则，由此造成的损失由乙方自行承担。</w:t>
      </w:r>
    </w:p>
    <w:p w14:paraId="0B0671B5">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双方权利与义务</w:t>
      </w:r>
    </w:p>
    <w:p w14:paraId="61C0CFD1">
      <w:pPr>
        <w:pStyle w:val="4"/>
        <w:numPr>
          <w:ilvl w:val="0"/>
          <w:numId w:val="7"/>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甲方权利与义务</w:t>
      </w:r>
    </w:p>
    <w:p w14:paraId="020C4D40">
      <w:pPr>
        <w:pStyle w:val="11"/>
        <w:numPr>
          <w:ilvl w:val="0"/>
          <w:numId w:val="8"/>
        </w:numPr>
        <w:adjustRightInd w:val="0"/>
        <w:ind w:left="525"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按合同约定向乙方支付费用。</w:t>
      </w:r>
    </w:p>
    <w:p w14:paraId="78C04088">
      <w:pPr>
        <w:pStyle w:val="11"/>
        <w:numPr>
          <w:ilvl w:val="0"/>
          <w:numId w:val="8"/>
        </w:numPr>
        <w:adjustRightInd w:val="0"/>
        <w:ind w:left="525"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保证乙方实施服务所必须的外部条件如电源、水源的正常供应及开启、关闭等。</w:t>
      </w:r>
    </w:p>
    <w:p w14:paraId="2600666F">
      <w:pPr>
        <w:pStyle w:val="11"/>
        <w:numPr>
          <w:ilvl w:val="0"/>
          <w:numId w:val="8"/>
        </w:numPr>
        <w:adjustRightInd w:val="0"/>
        <w:ind w:left="525"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对于乙方在提供服务期间所提供的信息，甲方应予保密，未经乙方书面同意，甲方不得擅自使用或透露给第三方。</w:t>
      </w:r>
    </w:p>
    <w:p w14:paraId="3494F32F">
      <w:pPr>
        <w:pStyle w:val="11"/>
        <w:numPr>
          <w:ilvl w:val="0"/>
          <w:numId w:val="8"/>
        </w:numPr>
        <w:adjustRightInd w:val="0"/>
        <w:ind w:left="525"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甲方对服务人员不满意的，有权要求乙方在7日内更换相关服务人员。</w:t>
      </w:r>
    </w:p>
    <w:p w14:paraId="2EDB2833">
      <w:pPr>
        <w:pStyle w:val="4"/>
        <w:numPr>
          <w:ilvl w:val="0"/>
          <w:numId w:val="7"/>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乙方权利与义务</w:t>
      </w:r>
    </w:p>
    <w:p w14:paraId="0F3C07DC">
      <w:pPr>
        <w:pStyle w:val="4"/>
        <w:numPr>
          <w:ilvl w:val="0"/>
          <w:numId w:val="9"/>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按本合同约定向甲方提供服务。</w:t>
      </w:r>
    </w:p>
    <w:p w14:paraId="0C254C52">
      <w:pPr>
        <w:pStyle w:val="4"/>
        <w:numPr>
          <w:ilvl w:val="0"/>
          <w:numId w:val="9"/>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乙方应保证提供的服务人员具备相应的服务能力和服务资质（如涉及）。</w:t>
      </w:r>
    </w:p>
    <w:p w14:paraId="4A7A3A56">
      <w:pPr>
        <w:pStyle w:val="4"/>
        <w:numPr>
          <w:ilvl w:val="0"/>
          <w:numId w:val="9"/>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服务涉及更换备品备件、材料等，乙方应保证服务中更换的备品备件、材料达到本项目采购文件及乙方投标文件（或响应文件）中的技术要求和质量标准，符合或优于国家（行业）标准，并保证所更换的备品备件、原材料在正确安装及正常使用和保养条件下，于其使用寿命期内性能满足甲方需求。</w:t>
      </w:r>
    </w:p>
    <w:p w14:paraId="0D06D1BD">
      <w:pPr>
        <w:pStyle w:val="4"/>
        <w:numPr>
          <w:ilvl w:val="0"/>
          <w:numId w:val="9"/>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如服务涉及计算机软件产品的，乙方须承诺在服务中设备安装的软件已获得软件厂商的正规授权。</w:t>
      </w:r>
    </w:p>
    <w:p w14:paraId="4EF03ABD">
      <w:pPr>
        <w:pStyle w:val="4"/>
        <w:numPr>
          <w:ilvl w:val="0"/>
          <w:numId w:val="9"/>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乙方对在按本合同约定向甲方提供服务过程中所获得的所有数据、商业秘密或其它技术及经营信息负有保密的义务，不得向任何第三方透露或泄露。</w:t>
      </w:r>
    </w:p>
    <w:p w14:paraId="14192E83">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违约责任</w:t>
      </w:r>
      <w:r>
        <w:rPr>
          <w:rFonts w:hint="eastAsia" w:ascii="仿宋" w:hAnsi="仿宋" w:eastAsia="仿宋" w:cs="仿宋"/>
          <w:bCs/>
          <w:i/>
          <w:iCs/>
          <w:color w:val="auto"/>
          <w:sz w:val="24"/>
          <w:szCs w:val="24"/>
          <w:highlight w:val="none"/>
        </w:rPr>
        <w:t>&lt;本条款中违约金比例可根据项目实际情况确定，如合同无固定总金额的，请按实际需求调整表述&gt;</w:t>
      </w:r>
    </w:p>
    <w:p w14:paraId="50E8F038">
      <w:pPr>
        <w:pStyle w:val="4"/>
        <w:numPr>
          <w:ilvl w:val="0"/>
          <w:numId w:val="10"/>
        </w:numPr>
        <w:spacing w:after="0" w:line="240" w:lineRule="auto"/>
        <w:ind w:left="227" w:leftChars="0" w:hanging="227"/>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甲方违约责任：甲方无正当理由拒绝乙方按本合同约定提供服务的，甲方应偿付合同总金额的</w:t>
      </w:r>
      <w:r>
        <w:rPr>
          <w:rFonts w:hint="eastAsia" w:ascii="仿宋" w:hAnsi="仿宋" w:eastAsia="仿宋" w:cs="仿宋"/>
          <w:color w:val="auto"/>
          <w:sz w:val="24"/>
          <w:szCs w:val="24"/>
          <w:highlight w:val="none"/>
          <w:u w:val="single"/>
        </w:rPr>
        <w:t>10%</w:t>
      </w:r>
      <w:r>
        <w:rPr>
          <w:rFonts w:hint="eastAsia" w:ascii="仿宋" w:hAnsi="仿宋" w:eastAsia="仿宋" w:cs="仿宋"/>
          <w:color w:val="auto"/>
          <w:sz w:val="24"/>
          <w:szCs w:val="24"/>
          <w:highlight w:val="none"/>
        </w:rPr>
        <w:t>作为违约金。</w:t>
      </w:r>
    </w:p>
    <w:p w14:paraId="436D553C">
      <w:pPr>
        <w:pStyle w:val="11"/>
        <w:numPr>
          <w:ilvl w:val="0"/>
          <w:numId w:val="10"/>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乙方违约责任：</w:t>
      </w:r>
    </w:p>
    <w:p w14:paraId="34C8863C">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bookmarkStart w:id="6" w:name="OLE_LINK18"/>
      <w:bookmarkStart w:id="7" w:name="OLE_LINK17"/>
      <w:r>
        <w:rPr>
          <w:rFonts w:hint="eastAsia" w:ascii="仿宋" w:hAnsi="仿宋" w:eastAsia="仿宋" w:cs="仿宋"/>
          <w:color w:val="auto"/>
          <w:sz w:val="24"/>
          <w:szCs w:val="24"/>
          <w:highlight w:val="none"/>
        </w:rPr>
        <w:t>乙方应派遣具备相关资质的技术人员为甲方提供服务，服务过程中，乙方技术人员因操作不当、未采取必要的安全防范措施等原因导致安全责任事故的，由乙方承担由此造成的全部法律责任。</w:t>
      </w:r>
    </w:p>
    <w:p w14:paraId="70FD051C">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因乙方在服务中更换的备品备件或原材料在质保期内并在正常使用情况下出现质量原因导致甲方或第三方财产或人身损害的，由乙方承担赔偿责任。</w:t>
      </w:r>
    </w:p>
    <w:p w14:paraId="2F7EF908">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在本合同的履行中，如乙方提供的服务存在设计、工艺或材料缺陷（包括潜在缺陷），乙方应当对由于上述缺陷造成的损失负责。</w:t>
      </w:r>
    </w:p>
    <w:p w14:paraId="125582E3">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在本合同履行中，如乙方未按本合同约定及时向甲方提供服务，每发生一次，乙方应按</w:t>
      </w:r>
      <w:r>
        <w:rPr>
          <w:rFonts w:hint="eastAsia" w:ascii="仿宋" w:hAnsi="仿宋" w:eastAsia="仿宋" w:cs="仿宋"/>
          <w:color w:val="auto"/>
          <w:sz w:val="24"/>
          <w:szCs w:val="24"/>
          <w:highlight w:val="none"/>
          <w:u w:val="single"/>
        </w:rPr>
        <w:t>合同总金额</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向甲方支付违约金。甲方可采取必要的补救措施，但由此而产生的风险责任和费用将由乙方负担，甲方根据合同规定对乙方行使的其他权利不受影响。</w:t>
      </w:r>
    </w:p>
    <w:p w14:paraId="74CC5B2E">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乙方在提供服务过程中侵犯他人知识产权，甲方有权单方解除合同，并要求乙方赔偿所造成的损失，同时甲方有权要求对方按照</w:t>
      </w:r>
      <w:r>
        <w:rPr>
          <w:rFonts w:hint="eastAsia" w:ascii="仿宋" w:hAnsi="仿宋" w:eastAsia="仿宋" w:cs="仿宋"/>
          <w:color w:val="auto"/>
          <w:sz w:val="24"/>
          <w:szCs w:val="24"/>
          <w:highlight w:val="none"/>
          <w:u w:val="single"/>
        </w:rPr>
        <w:t>合同总金额</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10</w:t>
      </w:r>
      <w:r>
        <w:rPr>
          <w:rFonts w:hint="eastAsia" w:ascii="仿宋" w:hAnsi="仿宋" w:eastAsia="仿宋" w:cs="仿宋"/>
          <w:color w:val="auto"/>
          <w:sz w:val="24"/>
          <w:szCs w:val="24"/>
          <w:highlight w:val="none"/>
        </w:rPr>
        <w:t>%支付违约金。</w:t>
      </w:r>
    </w:p>
    <w:p w14:paraId="0E3A23FB">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乙方违反保密义务，甲方有权单方解除合同，乙方应按甲方实际损失向甲方进行赔偿并向甲方支付</w:t>
      </w:r>
      <w:r>
        <w:rPr>
          <w:rFonts w:hint="eastAsia" w:ascii="仿宋" w:hAnsi="仿宋" w:eastAsia="仿宋" w:cs="仿宋"/>
          <w:color w:val="auto"/>
          <w:sz w:val="24"/>
          <w:szCs w:val="24"/>
          <w:highlight w:val="none"/>
          <w:u w:val="single"/>
        </w:rPr>
        <w:t>合同总金额</w:t>
      </w:r>
      <w:r>
        <w:rPr>
          <w:rFonts w:hint="eastAsia" w:ascii="仿宋" w:hAnsi="仿宋" w:eastAsia="仿宋" w:cs="仿宋"/>
          <w:color w:val="auto"/>
          <w:sz w:val="24"/>
          <w:szCs w:val="24"/>
          <w:highlight w:val="none"/>
        </w:rPr>
        <w:t>的</w:t>
      </w:r>
      <w:r>
        <w:rPr>
          <w:rFonts w:hint="eastAsia" w:ascii="仿宋" w:hAnsi="仿宋" w:eastAsia="仿宋" w:cs="仿宋"/>
          <w:color w:val="auto"/>
          <w:sz w:val="24"/>
          <w:szCs w:val="24"/>
          <w:highlight w:val="none"/>
          <w:u w:val="single"/>
        </w:rPr>
        <w:t>10</w:t>
      </w:r>
      <w:r>
        <w:rPr>
          <w:rFonts w:hint="eastAsia" w:ascii="仿宋" w:hAnsi="仿宋" w:eastAsia="仿宋" w:cs="仿宋"/>
          <w:color w:val="auto"/>
          <w:sz w:val="24"/>
          <w:szCs w:val="24"/>
          <w:highlight w:val="none"/>
        </w:rPr>
        <w:t>%作为违约金。</w:t>
      </w:r>
    </w:p>
    <w:bookmarkEnd w:id="6"/>
    <w:bookmarkEnd w:id="7"/>
    <w:p w14:paraId="7A646ABD">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乙方偿付的违约金不足以弥补甲方损失的，还应按甲方损失尚未弥补的部分，支付赔偿金给甲方。</w:t>
      </w:r>
    </w:p>
    <w:p w14:paraId="1E209DE6">
      <w:pPr>
        <w:pStyle w:val="4"/>
        <w:numPr>
          <w:ilvl w:val="0"/>
          <w:numId w:val="11"/>
        </w:numPr>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乙方未按照本合同约定的时限提供合法发票或提供发票瑕疵（包括但不限于发票种类有误、发票金额有误等），甲方付款时限相应顺延并不承担任何延期支付的违约责任。</w:t>
      </w:r>
    </w:p>
    <w:p w14:paraId="4734A37B">
      <w:pPr>
        <w:pStyle w:val="4"/>
        <w:numPr>
          <w:ilvl w:val="0"/>
          <w:numId w:val="11"/>
        </w:numPr>
        <w:snapToGrid w:val="0"/>
        <w:spacing w:after="0" w:line="240" w:lineRule="auto"/>
        <w:ind w:left="600" w:leftChars="0" w:hanging="600" w:hangingChars="25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本合同要求乙方缴纳履约保证金，且因乙方严重违约从而导致甲乙双方无法继续履约，则乙方除向甲方支付相应违约金外，已缴纳的履约保证金不予退还；履约保证金未缴纳或已退还的，乙方应按照履约保证金的相同金额向甲方另行支付。</w:t>
      </w:r>
    </w:p>
    <w:p w14:paraId="739309A7">
      <w:pPr>
        <w:pStyle w:val="4"/>
        <w:spacing w:after="0" w:line="240" w:lineRule="auto"/>
        <w:ind w:left="0" w:leftChars="0"/>
        <w:contextualSpacing/>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3.本合同履行中如有任何一方违约，那么守约方为保障自己合法权益而产生的律师费、诉讼费、差旅费、公告费等，均由违约方承担。</w:t>
      </w:r>
    </w:p>
    <w:p w14:paraId="76568F52">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不可抗力</w:t>
      </w:r>
    </w:p>
    <w:p w14:paraId="164A4FD8">
      <w:pPr>
        <w:pStyle w:val="11"/>
        <w:snapToGrid w:val="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如果遇到自然灾害和灾难及其他不可抗力事件而影响合同履行时，乙方应在三个工作日内以书面形式通知甲方。若不可抗力原因影响本合同执行时间超过***</w:t>
      </w:r>
      <w:r>
        <w:rPr>
          <w:rFonts w:hint="eastAsia" w:ascii="仿宋" w:hAnsi="仿宋" w:eastAsia="仿宋" w:cs="仿宋"/>
          <w:bCs/>
          <w:color w:val="auto"/>
          <w:sz w:val="24"/>
          <w:szCs w:val="24"/>
          <w:highlight w:val="none"/>
          <w:lang w:val="en-US" w:eastAsia="zh-CN"/>
        </w:rPr>
        <w:t>日</w:t>
      </w:r>
      <w:r>
        <w:rPr>
          <w:rFonts w:hint="eastAsia" w:ascii="仿宋" w:hAnsi="仿宋" w:eastAsia="仿宋" w:cs="仿宋"/>
          <w:bCs/>
          <w:color w:val="auto"/>
          <w:sz w:val="24"/>
          <w:szCs w:val="24"/>
          <w:highlight w:val="none"/>
        </w:rPr>
        <w:t>，甲方有权解除合同，双方互不承担违约责任。</w:t>
      </w:r>
    </w:p>
    <w:p w14:paraId="288615DF">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合同终止及解除</w:t>
      </w:r>
    </w:p>
    <w:p w14:paraId="2E1A9E75">
      <w:pPr>
        <w:pStyle w:val="11"/>
        <w:numPr>
          <w:ilvl w:val="0"/>
          <w:numId w:val="12"/>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合同一方发现可能致使本合同无法按约定继续履行的情形时，应当及时通知另一方并采取适当措施减少损失；没有及时通知并采取适当措施，致使损失扩大的，应当就扩大的损失承担责任。</w:t>
      </w:r>
    </w:p>
    <w:p w14:paraId="544D5143">
      <w:pPr>
        <w:pStyle w:val="11"/>
        <w:numPr>
          <w:ilvl w:val="0"/>
          <w:numId w:val="12"/>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在甲、乙任何一方有严重违约行为时，另一方有权单方解除合同。</w:t>
      </w:r>
    </w:p>
    <w:p w14:paraId="285A536B">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争议解决办法</w:t>
      </w:r>
    </w:p>
    <w:p w14:paraId="70B88306">
      <w:pPr>
        <w:pStyle w:val="11"/>
        <w:numPr>
          <w:ilvl w:val="0"/>
          <w:numId w:val="13"/>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因服务质量问题发生争议，由质量技术监督部门或其指定的质量鉴定机构进行质量鉴定，结果符合标准的，鉴定费由甲方承担；不符合标准的，鉴定费由乙方承担。</w:t>
      </w:r>
    </w:p>
    <w:p w14:paraId="73E9583F">
      <w:pPr>
        <w:pStyle w:val="11"/>
        <w:numPr>
          <w:ilvl w:val="0"/>
          <w:numId w:val="13"/>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合同履行期间,若双方发生争议，可协商或由有关部门调解解决，协商或调解不成的，任何一方均有权向甲方所在地具有管辖权的人民法院起诉。</w:t>
      </w:r>
    </w:p>
    <w:p w14:paraId="797AA855">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送达（送达地址是司法机关、执法机关和仲裁机关将法律文书送达给当事人的收件地址）</w:t>
      </w:r>
    </w:p>
    <w:p w14:paraId="5C7DFBF6">
      <w:pPr>
        <w:pStyle w:val="12"/>
        <w:numPr>
          <w:ilvl w:val="0"/>
          <w:numId w:val="14"/>
        </w:numPr>
        <w:ind w:left="0"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甲方送达地址：四川省成都市青羊区一环路西二段32号。</w:t>
      </w:r>
    </w:p>
    <w:p w14:paraId="1AFE594D">
      <w:pPr>
        <w:pStyle w:val="12"/>
        <w:numPr>
          <w:ilvl w:val="0"/>
          <w:numId w:val="14"/>
        </w:numPr>
        <w:ind w:left="0"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乙方送达地址：***</w:t>
      </w:r>
    </w:p>
    <w:p w14:paraId="6C8B2CF3">
      <w:pPr>
        <w:pStyle w:val="12"/>
        <w:numPr>
          <w:ilvl w:val="0"/>
          <w:numId w:val="14"/>
        </w:numPr>
        <w:ind w:left="0" w:firstLine="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乙双方关于本合同履行及相关事宜的通知，以及法院与国家机关因本合同争议发出的通知或司法文书（包括但不限于传票、判决书、裁定书、调解书等），应送达至甲乙双方在本合同中提供的地址或在此之后一方以书面形式通知另一方的其他地址。该等通知以专人递送在收到时视为正式送达、或以邮寄方式寄出3个工作日后视为正式送达，或以快递方式在交付后的第3个工作日视为正式送达。若一方地址发生变动，应及时书面通知另一方，否则仍以本合同载明的文书送达地址为准。</w:t>
      </w:r>
    </w:p>
    <w:p w14:paraId="5C120F60">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其他</w:t>
      </w:r>
    </w:p>
    <w:p w14:paraId="64BAD83E">
      <w:pPr>
        <w:pStyle w:val="11"/>
        <w:numPr>
          <w:ilvl w:val="0"/>
          <w:numId w:val="15"/>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如有未尽事宜，由双方依法订立补充合同。补充合同及本合同附件均为本合同的组成部分，与本合同具有同等法律效力。</w:t>
      </w:r>
    </w:p>
    <w:p w14:paraId="0E26F815">
      <w:pPr>
        <w:pStyle w:val="11"/>
        <w:numPr>
          <w:ilvl w:val="0"/>
          <w:numId w:val="15"/>
        </w:numPr>
        <w:ind w:left="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本合同一式</w:t>
      </w:r>
      <w:r>
        <w:rPr>
          <w:rFonts w:hint="eastAsia" w:ascii="仿宋" w:hAnsi="仿宋" w:eastAsia="仿宋" w:cs="仿宋"/>
          <w:color w:val="auto"/>
          <w:sz w:val="24"/>
          <w:szCs w:val="24"/>
          <w:highlight w:val="none"/>
          <w:lang w:val="en-US" w:eastAsia="zh-CN"/>
        </w:rPr>
        <w:t>五</w:t>
      </w:r>
      <w:r>
        <w:rPr>
          <w:rFonts w:hint="eastAsia" w:ascii="仿宋" w:hAnsi="仿宋" w:eastAsia="仿宋" w:cs="仿宋"/>
          <w:color w:val="auto"/>
          <w:sz w:val="24"/>
          <w:szCs w:val="24"/>
          <w:highlight w:val="none"/>
        </w:rPr>
        <w:t>份，自双方</w:t>
      </w:r>
      <w:r>
        <w:rPr>
          <w:rFonts w:hint="eastAsia" w:ascii="仿宋" w:hAnsi="仿宋" w:eastAsia="仿宋" w:cs="仿宋"/>
          <w:color w:val="auto"/>
          <w:sz w:val="24"/>
          <w:szCs w:val="24"/>
          <w:highlight w:val="none"/>
          <w:lang w:val="en-US" w:eastAsia="zh-CN"/>
        </w:rPr>
        <w:t>签字且盖章</w:t>
      </w:r>
      <w:r>
        <w:rPr>
          <w:rFonts w:hint="eastAsia" w:ascii="仿宋" w:hAnsi="仿宋" w:eastAsia="仿宋" w:cs="仿宋"/>
          <w:color w:val="auto"/>
          <w:sz w:val="24"/>
          <w:szCs w:val="24"/>
          <w:highlight w:val="none"/>
        </w:rPr>
        <w:t>之日起生效。甲方三份，乙方</w:t>
      </w:r>
      <w:r>
        <w:rPr>
          <w:rFonts w:hint="eastAsia" w:ascii="仿宋" w:hAnsi="仿宋" w:eastAsia="仿宋" w:cs="仿宋"/>
          <w:color w:val="auto"/>
          <w:sz w:val="24"/>
          <w:szCs w:val="24"/>
          <w:highlight w:val="none"/>
          <w:lang w:val="zh-CN"/>
        </w:rPr>
        <w:t>、采购代理机构各</w:t>
      </w:r>
      <w:r>
        <w:rPr>
          <w:rFonts w:hint="eastAsia" w:ascii="仿宋" w:hAnsi="仿宋" w:eastAsia="仿宋" w:cs="仿宋"/>
          <w:color w:val="auto"/>
          <w:sz w:val="24"/>
          <w:szCs w:val="24"/>
          <w:highlight w:val="none"/>
        </w:rPr>
        <w:t>一份。</w:t>
      </w:r>
    </w:p>
    <w:p w14:paraId="66C40EF4">
      <w:pPr>
        <w:pStyle w:val="11"/>
        <w:numPr>
          <w:ilvl w:val="0"/>
          <w:numId w:val="1"/>
        </w:numPr>
        <w:ind w:left="0" w:firstLine="0" w:firstLineChars="0"/>
        <w:contextualSpacing/>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合同附件</w:t>
      </w:r>
    </w:p>
    <w:p w14:paraId="2ED8803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本合同为</w:t>
      </w:r>
      <w:r>
        <w:rPr>
          <w:rFonts w:hint="eastAsia" w:ascii="仿宋" w:hAnsi="仿宋" w:eastAsia="仿宋" w:cs="仿宋"/>
          <w:color w:val="auto"/>
          <w:sz w:val="24"/>
          <w:szCs w:val="24"/>
          <w:highlight w:val="none"/>
          <w:u w:val="single"/>
        </w:rPr>
        <w:t>有</w:t>
      </w:r>
      <w:r>
        <w:rPr>
          <w:rFonts w:hint="eastAsia" w:ascii="仿宋" w:hAnsi="仿宋" w:eastAsia="仿宋" w:cs="仿宋"/>
          <w:color w:val="auto"/>
          <w:sz w:val="24"/>
          <w:szCs w:val="24"/>
          <w:highlight w:val="none"/>
        </w:rPr>
        <w:t>附件合同，附件如下：</w:t>
      </w:r>
      <w:r>
        <w:rPr>
          <w:rFonts w:hint="eastAsia" w:ascii="仿宋" w:hAnsi="仿宋" w:eastAsia="仿宋" w:cs="仿宋"/>
          <w:i/>
          <w:iCs/>
          <w:color w:val="auto"/>
          <w:sz w:val="24"/>
          <w:szCs w:val="24"/>
          <w:highlight w:val="none"/>
        </w:rPr>
        <w:t>&lt;根据项目实际情况编制&gt;</w:t>
      </w:r>
    </w:p>
    <w:p w14:paraId="293E1CC0">
      <w:pPr>
        <w:jc w:val="left"/>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w:t>
      </w:r>
      <w:bookmarkStart w:id="8" w:name="OLE_LINK32"/>
      <w:r>
        <w:rPr>
          <w:rFonts w:hint="eastAsia" w:ascii="仿宋" w:hAnsi="仿宋" w:eastAsia="仿宋" w:cs="仿宋"/>
          <w:color w:val="auto"/>
          <w:sz w:val="24"/>
          <w:szCs w:val="24"/>
          <w:highlight w:val="none"/>
        </w:rPr>
        <w:t>结算单价清单</w:t>
      </w:r>
      <w:bookmarkEnd w:id="8"/>
      <w:r>
        <w:rPr>
          <w:rFonts w:hint="eastAsia" w:ascii="仿宋" w:hAnsi="仿宋" w:eastAsia="仿宋" w:cs="仿宋"/>
          <w:color w:val="auto"/>
          <w:sz w:val="24"/>
          <w:szCs w:val="24"/>
          <w:highlight w:val="none"/>
        </w:rPr>
        <w:t>》</w:t>
      </w:r>
    </w:p>
    <w:p w14:paraId="6318E0C4">
      <w:pPr>
        <w:jc w:val="left"/>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附件2《考核标准》</w:t>
      </w:r>
    </w:p>
    <w:p w14:paraId="3E2429FA">
      <w:pPr>
        <w:jc w:val="left"/>
        <w:outlineLvl w:val="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附件3《服务方案》</w:t>
      </w:r>
    </w:p>
    <w:p w14:paraId="39A71FD2">
      <w:pPr>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——以下无正文——</w:t>
      </w:r>
    </w:p>
    <w:tbl>
      <w:tblPr>
        <w:tblStyle w:val="7"/>
        <w:tblW w:w="5000" w:type="pct"/>
        <w:jc w:val="center"/>
        <w:tblLayout w:type="autofit"/>
        <w:tblCellMar>
          <w:top w:w="0" w:type="dxa"/>
          <w:left w:w="0" w:type="dxa"/>
          <w:bottom w:w="0" w:type="dxa"/>
          <w:right w:w="0" w:type="dxa"/>
        </w:tblCellMar>
      </w:tblPr>
      <w:tblGrid>
        <w:gridCol w:w="4688"/>
        <w:gridCol w:w="4950"/>
      </w:tblGrid>
      <w:tr w14:paraId="291AEB54">
        <w:tblPrEx>
          <w:tblCellMar>
            <w:top w:w="0" w:type="dxa"/>
            <w:left w:w="0" w:type="dxa"/>
            <w:bottom w:w="0" w:type="dxa"/>
            <w:right w:w="0" w:type="dxa"/>
          </w:tblCellMar>
        </w:tblPrEx>
        <w:trPr>
          <w:trHeight w:val="519" w:hRule="atLeast"/>
          <w:jc w:val="center"/>
        </w:trPr>
        <w:tc>
          <w:tcPr>
            <w:tcW w:w="10214" w:type="dxa"/>
            <w:gridSpan w:val="2"/>
          </w:tcPr>
          <w:p w14:paraId="2CD773F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签订时间：202*年***月***日</w:t>
            </w:r>
          </w:p>
        </w:tc>
      </w:tr>
      <w:tr w14:paraId="5DF3560D">
        <w:tblPrEx>
          <w:tblCellMar>
            <w:top w:w="0" w:type="dxa"/>
            <w:left w:w="0" w:type="dxa"/>
            <w:bottom w:w="0" w:type="dxa"/>
            <w:right w:w="0" w:type="dxa"/>
          </w:tblCellMar>
        </w:tblPrEx>
        <w:trPr>
          <w:jc w:val="center"/>
        </w:trPr>
        <w:tc>
          <w:tcPr>
            <w:tcW w:w="4967" w:type="dxa"/>
          </w:tcPr>
          <w:p w14:paraId="54728A21">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甲方：四川省人民医院（盖章）</w:t>
            </w:r>
          </w:p>
          <w:p w14:paraId="5C609D6C">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法定代表人（授权代表签字）：</w:t>
            </w:r>
          </w:p>
          <w:p w14:paraId="4639F7B2">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址：四川省成都市一环路西二段32号</w:t>
            </w:r>
          </w:p>
          <w:p w14:paraId="26E1897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开户银行：建设银行成都青羊支行</w:t>
            </w:r>
          </w:p>
          <w:p w14:paraId="190D9A4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账号：5100 1446 4360 5037 4282</w:t>
            </w:r>
          </w:p>
        </w:tc>
        <w:tc>
          <w:tcPr>
            <w:tcW w:w="5247" w:type="dxa"/>
          </w:tcPr>
          <w:p w14:paraId="139090B6">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permStart w:id="2" w:edGrp="everyone"/>
            <w:r>
              <w:rPr>
                <w:rFonts w:hint="eastAsia" w:ascii="仿宋" w:hAnsi="仿宋" w:eastAsia="仿宋" w:cs="仿宋"/>
                <w:color w:val="auto"/>
                <w:sz w:val="24"/>
                <w:szCs w:val="24"/>
                <w:highlight w:val="none"/>
              </w:rPr>
              <w:t>***</w:t>
            </w:r>
            <w:permEnd w:id="2"/>
            <w:r>
              <w:rPr>
                <w:rFonts w:hint="eastAsia" w:ascii="仿宋" w:hAnsi="仿宋" w:eastAsia="仿宋" w:cs="仿宋"/>
                <w:color w:val="auto"/>
                <w:sz w:val="24"/>
                <w:szCs w:val="24"/>
                <w:highlight w:val="none"/>
              </w:rPr>
              <w:t>（盖章）</w:t>
            </w:r>
          </w:p>
          <w:p w14:paraId="7B6BF300">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法定代表人（授权代表签字）：</w:t>
            </w:r>
          </w:p>
          <w:p w14:paraId="391169B4">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地址：</w:t>
            </w:r>
            <w:permStart w:id="3" w:edGrp="everyone"/>
            <w:r>
              <w:rPr>
                <w:rFonts w:hint="eastAsia" w:ascii="仿宋" w:hAnsi="仿宋" w:eastAsia="仿宋" w:cs="仿宋"/>
                <w:color w:val="auto"/>
                <w:sz w:val="24"/>
                <w:szCs w:val="24"/>
                <w:highlight w:val="none"/>
              </w:rPr>
              <w:t>***</w:t>
            </w:r>
            <w:permEnd w:id="3"/>
          </w:p>
          <w:p w14:paraId="385F3A77">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permStart w:id="4" w:edGrp="everyone"/>
            <w:r>
              <w:rPr>
                <w:rFonts w:hint="eastAsia" w:ascii="仿宋" w:hAnsi="仿宋" w:eastAsia="仿宋" w:cs="仿宋"/>
                <w:color w:val="auto"/>
                <w:sz w:val="24"/>
                <w:szCs w:val="24"/>
                <w:highlight w:val="none"/>
              </w:rPr>
              <w:t>***</w:t>
            </w:r>
          </w:p>
          <w:permEnd w:id="4"/>
          <w:p w14:paraId="0B6FB303">
            <w:pPr>
              <w:widowControl/>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账号：</w:t>
            </w:r>
            <w:permStart w:id="5" w:edGrp="everyone"/>
            <w:r>
              <w:rPr>
                <w:rFonts w:hint="eastAsia" w:ascii="仿宋" w:hAnsi="仿宋" w:eastAsia="仿宋" w:cs="仿宋"/>
                <w:color w:val="auto"/>
                <w:sz w:val="24"/>
                <w:szCs w:val="24"/>
                <w:highlight w:val="none"/>
              </w:rPr>
              <w:t>***</w:t>
            </w:r>
            <w:permEnd w:id="5"/>
          </w:p>
        </w:tc>
      </w:tr>
    </w:tbl>
    <w:p w14:paraId="04D3448D">
      <w:pPr>
        <w:widowControl/>
        <w:jc w:val="left"/>
        <w:rPr>
          <w:rFonts w:hint="eastAsia" w:ascii="仿宋" w:hAnsi="仿宋" w:eastAsia="仿宋" w:cs="仿宋"/>
          <w:color w:val="auto"/>
          <w:sz w:val="24"/>
          <w:szCs w:val="24"/>
          <w:highlight w:val="none"/>
        </w:rPr>
        <w:sectPr>
          <w:type w:val="continuous"/>
          <w:pgSz w:w="11906" w:h="16838"/>
          <w:pgMar w:top="851" w:right="1134" w:bottom="851" w:left="1134" w:header="0" w:footer="567" w:gutter="0"/>
          <w:pgNumType w:fmt="decimal"/>
          <w:cols w:space="425" w:num="1"/>
          <w:docGrid w:linePitch="312" w:charSpace="0"/>
        </w:sectPr>
      </w:pPr>
    </w:p>
    <w:p w14:paraId="534E3C77">
      <w:pPr>
        <w:widowControl/>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附件1：结算单价清单（人民币：元）</w:t>
      </w:r>
      <w:r>
        <w:rPr>
          <w:rFonts w:hint="eastAsia" w:ascii="仿宋" w:hAnsi="仿宋" w:eastAsia="仿宋" w:cs="仿宋"/>
          <w:b/>
          <w:bCs/>
          <w:i/>
          <w:iCs/>
          <w:color w:val="auto"/>
          <w:sz w:val="24"/>
          <w:szCs w:val="24"/>
          <w:highlight w:val="none"/>
        </w:rPr>
        <w:t>&lt;根据项目实际情况编制&gt;</w:t>
      </w:r>
    </w:p>
    <w:p w14:paraId="377BFF2B">
      <w:pPr>
        <w:widowControl/>
        <w:jc w:val="left"/>
        <w:rPr>
          <w:rFonts w:hint="eastAsia" w:ascii="仿宋" w:hAnsi="仿宋" w:eastAsia="仿宋" w:cs="仿宋"/>
          <w:color w:val="auto"/>
          <w:sz w:val="24"/>
          <w:szCs w:val="24"/>
          <w:highlight w:val="none"/>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562"/>
        <w:gridCol w:w="3686"/>
        <w:gridCol w:w="3402"/>
        <w:gridCol w:w="992"/>
        <w:gridCol w:w="986"/>
      </w:tblGrid>
      <w:tr w14:paraId="2C3D2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2" w:type="dxa"/>
            <w:vAlign w:val="center"/>
          </w:tcPr>
          <w:p w14:paraId="6896F74F">
            <w:pPr>
              <w:widowControl/>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3686" w:type="dxa"/>
            <w:vAlign w:val="center"/>
          </w:tcPr>
          <w:p w14:paraId="5EBE363A">
            <w:pPr>
              <w:widowControl/>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结算项目名称</w:t>
            </w:r>
          </w:p>
        </w:tc>
        <w:tc>
          <w:tcPr>
            <w:tcW w:w="3402" w:type="dxa"/>
            <w:vAlign w:val="center"/>
          </w:tcPr>
          <w:p w14:paraId="1A3B8456">
            <w:pPr>
              <w:widowControl/>
              <w:jc w:val="center"/>
              <w:rPr>
                <w:rFonts w:hint="eastAsia" w:ascii="仿宋" w:hAnsi="仿宋" w:eastAsia="仿宋" w:cs="仿宋"/>
                <w:b/>
                <w:bCs/>
                <w:i/>
                <w:iCs/>
                <w:color w:val="auto"/>
                <w:sz w:val="24"/>
                <w:szCs w:val="24"/>
                <w:highlight w:val="none"/>
              </w:rPr>
            </w:pPr>
            <w:r>
              <w:rPr>
                <w:rFonts w:hint="eastAsia" w:ascii="仿宋" w:hAnsi="仿宋" w:eastAsia="仿宋" w:cs="仿宋"/>
                <w:b/>
                <w:bCs/>
                <w:color w:val="auto"/>
                <w:sz w:val="24"/>
                <w:szCs w:val="24"/>
                <w:highlight w:val="none"/>
              </w:rPr>
              <w:t>项目信息</w:t>
            </w:r>
            <w:r>
              <w:rPr>
                <w:rFonts w:hint="eastAsia" w:ascii="仿宋" w:hAnsi="仿宋" w:eastAsia="仿宋" w:cs="仿宋"/>
                <w:b/>
                <w:bCs/>
                <w:i/>
                <w:iCs/>
                <w:color w:val="auto"/>
                <w:sz w:val="24"/>
                <w:szCs w:val="24"/>
                <w:highlight w:val="none"/>
              </w:rPr>
              <w:t>&lt;生产厂商、品牌、型号规格等&gt;</w:t>
            </w:r>
          </w:p>
        </w:tc>
        <w:tc>
          <w:tcPr>
            <w:tcW w:w="992" w:type="dxa"/>
            <w:vAlign w:val="center"/>
          </w:tcPr>
          <w:p w14:paraId="65740A07">
            <w:pPr>
              <w:widowControl/>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结算单位</w:t>
            </w:r>
            <w:r>
              <w:rPr>
                <w:rFonts w:hint="eastAsia" w:ascii="仿宋" w:hAnsi="仿宋" w:eastAsia="仿宋" w:cs="仿宋"/>
                <w:b/>
                <w:bCs/>
                <w:i/>
                <w:iCs/>
                <w:color w:val="auto"/>
                <w:sz w:val="24"/>
                <w:szCs w:val="24"/>
                <w:highlight w:val="none"/>
              </w:rPr>
              <w:t>&lt;指货物的单位&gt;</w:t>
            </w:r>
          </w:p>
        </w:tc>
        <w:tc>
          <w:tcPr>
            <w:tcW w:w="986" w:type="dxa"/>
            <w:vAlign w:val="center"/>
          </w:tcPr>
          <w:p w14:paraId="4119EA35">
            <w:pPr>
              <w:widowControl/>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结算单价</w:t>
            </w:r>
          </w:p>
        </w:tc>
      </w:tr>
      <w:tr w14:paraId="3BEB0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2" w:type="dxa"/>
            <w:vAlign w:val="center"/>
          </w:tcPr>
          <w:p w14:paraId="7BFD0400">
            <w:pPr>
              <w:widowControl/>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p>
        </w:tc>
        <w:tc>
          <w:tcPr>
            <w:tcW w:w="3686" w:type="dxa"/>
            <w:vAlign w:val="center"/>
          </w:tcPr>
          <w:p w14:paraId="56DAC1E6">
            <w:pPr>
              <w:widowControl/>
              <w:jc w:val="left"/>
              <w:rPr>
                <w:rFonts w:hint="eastAsia" w:ascii="仿宋" w:hAnsi="仿宋" w:eastAsia="仿宋" w:cs="仿宋"/>
                <w:color w:val="auto"/>
                <w:sz w:val="24"/>
                <w:szCs w:val="24"/>
                <w:highlight w:val="none"/>
              </w:rPr>
            </w:pPr>
          </w:p>
        </w:tc>
        <w:tc>
          <w:tcPr>
            <w:tcW w:w="3402" w:type="dxa"/>
            <w:vAlign w:val="center"/>
          </w:tcPr>
          <w:p w14:paraId="48441F04">
            <w:pPr>
              <w:widowControl/>
              <w:jc w:val="left"/>
              <w:rPr>
                <w:rFonts w:hint="eastAsia" w:ascii="仿宋" w:hAnsi="仿宋" w:eastAsia="仿宋" w:cs="仿宋"/>
                <w:color w:val="auto"/>
                <w:sz w:val="24"/>
                <w:szCs w:val="24"/>
                <w:highlight w:val="none"/>
              </w:rPr>
            </w:pPr>
          </w:p>
        </w:tc>
        <w:tc>
          <w:tcPr>
            <w:tcW w:w="992" w:type="dxa"/>
            <w:vAlign w:val="center"/>
          </w:tcPr>
          <w:p w14:paraId="067467C5">
            <w:pPr>
              <w:widowControl/>
              <w:jc w:val="center"/>
              <w:rPr>
                <w:rFonts w:hint="eastAsia" w:ascii="仿宋" w:hAnsi="仿宋" w:eastAsia="仿宋" w:cs="仿宋"/>
                <w:color w:val="auto"/>
                <w:sz w:val="24"/>
                <w:szCs w:val="24"/>
                <w:highlight w:val="none"/>
              </w:rPr>
            </w:pPr>
          </w:p>
        </w:tc>
        <w:tc>
          <w:tcPr>
            <w:tcW w:w="986" w:type="dxa"/>
            <w:vAlign w:val="center"/>
          </w:tcPr>
          <w:p w14:paraId="556F37BA">
            <w:pPr>
              <w:widowControl/>
              <w:jc w:val="center"/>
              <w:rPr>
                <w:rFonts w:hint="eastAsia" w:ascii="仿宋" w:hAnsi="仿宋" w:eastAsia="仿宋" w:cs="仿宋"/>
                <w:color w:val="auto"/>
                <w:sz w:val="24"/>
                <w:szCs w:val="24"/>
                <w:highlight w:val="none"/>
              </w:rPr>
            </w:pPr>
          </w:p>
        </w:tc>
      </w:tr>
      <w:tr w14:paraId="211E7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2" w:type="dxa"/>
            <w:vAlign w:val="center"/>
          </w:tcPr>
          <w:p w14:paraId="0628A188">
            <w:pPr>
              <w:widowControl/>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p>
        </w:tc>
        <w:tc>
          <w:tcPr>
            <w:tcW w:w="3686" w:type="dxa"/>
            <w:vAlign w:val="center"/>
          </w:tcPr>
          <w:p w14:paraId="6C193B18">
            <w:pPr>
              <w:widowControl/>
              <w:jc w:val="left"/>
              <w:rPr>
                <w:rFonts w:hint="eastAsia" w:ascii="仿宋" w:hAnsi="仿宋" w:eastAsia="仿宋" w:cs="仿宋"/>
                <w:color w:val="auto"/>
                <w:sz w:val="24"/>
                <w:szCs w:val="24"/>
                <w:highlight w:val="none"/>
              </w:rPr>
            </w:pPr>
          </w:p>
        </w:tc>
        <w:tc>
          <w:tcPr>
            <w:tcW w:w="3402" w:type="dxa"/>
            <w:vAlign w:val="center"/>
          </w:tcPr>
          <w:p w14:paraId="04275B4A">
            <w:pPr>
              <w:widowControl/>
              <w:jc w:val="left"/>
              <w:rPr>
                <w:rFonts w:hint="eastAsia" w:ascii="仿宋" w:hAnsi="仿宋" w:eastAsia="仿宋" w:cs="仿宋"/>
                <w:color w:val="auto"/>
                <w:sz w:val="24"/>
                <w:szCs w:val="24"/>
                <w:highlight w:val="none"/>
              </w:rPr>
            </w:pPr>
          </w:p>
        </w:tc>
        <w:tc>
          <w:tcPr>
            <w:tcW w:w="992" w:type="dxa"/>
            <w:vAlign w:val="center"/>
          </w:tcPr>
          <w:p w14:paraId="4C85EC9A">
            <w:pPr>
              <w:widowControl/>
              <w:jc w:val="center"/>
              <w:rPr>
                <w:rFonts w:hint="eastAsia" w:ascii="仿宋" w:hAnsi="仿宋" w:eastAsia="仿宋" w:cs="仿宋"/>
                <w:color w:val="auto"/>
                <w:sz w:val="24"/>
                <w:szCs w:val="24"/>
                <w:highlight w:val="none"/>
              </w:rPr>
            </w:pPr>
          </w:p>
        </w:tc>
        <w:tc>
          <w:tcPr>
            <w:tcW w:w="986" w:type="dxa"/>
            <w:vAlign w:val="center"/>
          </w:tcPr>
          <w:p w14:paraId="667DD377">
            <w:pPr>
              <w:widowControl/>
              <w:jc w:val="center"/>
              <w:rPr>
                <w:rFonts w:hint="eastAsia" w:ascii="仿宋" w:hAnsi="仿宋" w:eastAsia="仿宋" w:cs="仿宋"/>
                <w:color w:val="auto"/>
                <w:sz w:val="24"/>
                <w:szCs w:val="24"/>
                <w:highlight w:val="none"/>
              </w:rPr>
            </w:pPr>
          </w:p>
        </w:tc>
      </w:tr>
      <w:tr w14:paraId="375DC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2" w:type="dxa"/>
            <w:vAlign w:val="center"/>
          </w:tcPr>
          <w:p w14:paraId="29A4CA80">
            <w:pPr>
              <w:widowControl/>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3686" w:type="dxa"/>
            <w:vAlign w:val="center"/>
          </w:tcPr>
          <w:p w14:paraId="0750AC93">
            <w:pPr>
              <w:widowControl/>
              <w:jc w:val="left"/>
              <w:rPr>
                <w:rFonts w:hint="eastAsia" w:ascii="仿宋" w:hAnsi="仿宋" w:eastAsia="仿宋" w:cs="仿宋"/>
                <w:color w:val="auto"/>
                <w:sz w:val="24"/>
                <w:szCs w:val="24"/>
                <w:highlight w:val="none"/>
              </w:rPr>
            </w:pPr>
          </w:p>
        </w:tc>
        <w:tc>
          <w:tcPr>
            <w:tcW w:w="3402" w:type="dxa"/>
            <w:vAlign w:val="center"/>
          </w:tcPr>
          <w:p w14:paraId="0B170265">
            <w:pPr>
              <w:widowControl/>
              <w:jc w:val="left"/>
              <w:rPr>
                <w:rFonts w:hint="eastAsia" w:ascii="仿宋" w:hAnsi="仿宋" w:eastAsia="仿宋" w:cs="仿宋"/>
                <w:color w:val="auto"/>
                <w:sz w:val="24"/>
                <w:szCs w:val="24"/>
                <w:highlight w:val="none"/>
              </w:rPr>
            </w:pPr>
          </w:p>
        </w:tc>
        <w:tc>
          <w:tcPr>
            <w:tcW w:w="992" w:type="dxa"/>
            <w:vAlign w:val="center"/>
          </w:tcPr>
          <w:p w14:paraId="39CB87D8">
            <w:pPr>
              <w:widowControl/>
              <w:jc w:val="center"/>
              <w:rPr>
                <w:rFonts w:hint="eastAsia" w:ascii="仿宋" w:hAnsi="仿宋" w:eastAsia="仿宋" w:cs="仿宋"/>
                <w:color w:val="auto"/>
                <w:sz w:val="24"/>
                <w:szCs w:val="24"/>
                <w:highlight w:val="none"/>
              </w:rPr>
            </w:pPr>
          </w:p>
        </w:tc>
        <w:tc>
          <w:tcPr>
            <w:tcW w:w="986" w:type="dxa"/>
            <w:vAlign w:val="center"/>
          </w:tcPr>
          <w:p w14:paraId="56787D71">
            <w:pPr>
              <w:widowControl/>
              <w:jc w:val="center"/>
              <w:rPr>
                <w:rFonts w:hint="eastAsia" w:ascii="仿宋" w:hAnsi="仿宋" w:eastAsia="仿宋" w:cs="仿宋"/>
                <w:color w:val="auto"/>
                <w:sz w:val="24"/>
                <w:szCs w:val="24"/>
                <w:highlight w:val="none"/>
              </w:rPr>
            </w:pPr>
          </w:p>
        </w:tc>
      </w:tr>
    </w:tbl>
    <w:p w14:paraId="11CEA715">
      <w:pPr>
        <w:widowControl/>
        <w:jc w:val="left"/>
        <w:rPr>
          <w:rFonts w:hint="eastAsia" w:ascii="仿宋" w:hAnsi="仿宋" w:eastAsia="仿宋" w:cs="仿宋"/>
          <w:color w:val="auto"/>
          <w:sz w:val="24"/>
          <w:szCs w:val="24"/>
          <w:highlight w:val="none"/>
        </w:rPr>
        <w:sectPr>
          <w:footerReference r:id="rId4" w:type="default"/>
          <w:pgSz w:w="11906" w:h="16838"/>
          <w:pgMar w:top="851" w:right="1134" w:bottom="851" w:left="1134" w:header="0" w:footer="567" w:gutter="0"/>
          <w:pgNumType w:fmt="decimal"/>
          <w:cols w:space="425" w:num="1"/>
          <w:docGrid w:linePitch="312" w:charSpace="0"/>
        </w:sectPr>
      </w:pPr>
    </w:p>
    <w:p w14:paraId="5D3AFDE1">
      <w:pPr>
        <w:widowControl/>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附件2：考核标准</w:t>
      </w:r>
    </w:p>
    <w:p w14:paraId="0422E736">
      <w:pPr>
        <w:rPr>
          <w:rFonts w:hint="eastAsia" w:ascii="仿宋" w:hAnsi="仿宋" w:eastAsia="仿宋" w:cs="仿宋"/>
          <w:color w:val="auto"/>
          <w:sz w:val="24"/>
          <w:szCs w:val="24"/>
          <w:highlight w:val="none"/>
        </w:rPr>
      </w:pPr>
    </w:p>
    <w:p w14:paraId="2D6E853A">
      <w:pPr>
        <w:rPr>
          <w:rFonts w:hint="eastAsia" w:ascii="仿宋" w:hAnsi="仿宋" w:eastAsia="仿宋" w:cs="仿宋"/>
          <w:color w:val="auto"/>
          <w:sz w:val="24"/>
          <w:szCs w:val="24"/>
          <w:highlight w:val="none"/>
        </w:rPr>
        <w:sectPr>
          <w:pgSz w:w="11906" w:h="16838"/>
          <w:pgMar w:top="851" w:right="1134" w:bottom="851" w:left="1134" w:header="0" w:footer="567" w:gutter="0"/>
          <w:pgNumType w:fmt="decimal"/>
          <w:cols w:space="425" w:num="1"/>
          <w:docGrid w:linePitch="312" w:charSpace="0"/>
        </w:sectPr>
      </w:pPr>
      <w:r>
        <w:rPr>
          <w:rFonts w:hint="eastAsia" w:ascii="仿宋" w:hAnsi="仿宋" w:eastAsia="仿宋" w:cs="仿宋"/>
          <w:color w:val="auto"/>
          <w:sz w:val="24"/>
          <w:szCs w:val="24"/>
          <w:highlight w:val="none"/>
        </w:rPr>
        <w:t>***</w:t>
      </w:r>
    </w:p>
    <w:p w14:paraId="434300DE">
      <w:pPr>
        <w:widowControl/>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附件3：服务方案</w:t>
      </w:r>
    </w:p>
    <w:p w14:paraId="4724C580">
      <w:pPr>
        <w:rPr>
          <w:rFonts w:hint="eastAsia" w:ascii="仿宋" w:hAnsi="仿宋" w:eastAsia="仿宋" w:cs="仿宋"/>
          <w:color w:val="auto"/>
          <w:sz w:val="24"/>
          <w:szCs w:val="24"/>
          <w:highlight w:val="none"/>
        </w:rPr>
      </w:pPr>
    </w:p>
    <w:p w14:paraId="04CF436B">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p w14:paraId="27ED6AAE">
      <w:pPr>
        <w:rPr>
          <w:color w:val="auto"/>
          <w:highlight w:val="none"/>
        </w:rPr>
      </w:pPr>
    </w:p>
    <w:p w14:paraId="7C4D7BCC">
      <w:pPr>
        <w:pStyle w:val="13"/>
        <w:rPr>
          <w:rFonts w:hint="eastAsia"/>
          <w:color w:val="auto"/>
          <w:highlight w:val="none"/>
          <w:lang w:val="en-US" w:eastAsia="zh-Hans"/>
        </w:rPr>
      </w:pPr>
    </w:p>
    <w:p w14:paraId="60E75B42">
      <w:pPr>
        <w:rPr>
          <w:highlight w:val="none"/>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Arial Unicode MS">
    <w:altName w:val="Arial"/>
    <w:panose1 w:val="020B0604020202020204"/>
    <w:charset w:val="80"/>
    <w:family w:val="swiss"/>
    <w:pitch w:val="default"/>
    <w:sig w:usb0="00000000" w:usb1="00000000" w:usb2="0000003F" w:usb3="00000000" w:csb0="003F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Wingdings 2">
    <w:altName w:val="Wingdings"/>
    <w:panose1 w:val="05020102010507070707"/>
    <w:charset w:val="4D"/>
    <w:family w:val="decorative"/>
    <w:pitch w:val="default"/>
    <w:sig w:usb0="00000000" w:usb1="00000000" w:usb2="00000000" w:usb3="00000000" w:csb0="80000001" w:csb1="00000000"/>
  </w:font>
  <w:font w:name="Kingsoft UE">
    <w:panose1 w:val="02000100010000000000"/>
    <w:charset w:val="00"/>
    <w:family w:val="auto"/>
    <w:pitch w:val="default"/>
    <w:sig w:usb0="00000001" w:usb1="00004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1B350">
    <w:pPr>
      <w:pStyle w:val="5"/>
      <w:contextualSpacing/>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77609B">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677609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E8ABBF">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3E30DA">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33E30DA">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CBE95">
    <w:pPr>
      <w:pStyle w:val="5"/>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612665">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2612665">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1E3D53"/>
    <w:multiLevelType w:val="multilevel"/>
    <w:tmpl w:val="001E3D5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28F69B0"/>
    <w:multiLevelType w:val="multilevel"/>
    <w:tmpl w:val="028F69B0"/>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2">
    <w:nsid w:val="03EA5847"/>
    <w:multiLevelType w:val="multilevel"/>
    <w:tmpl w:val="03EA5847"/>
    <w:lvl w:ilvl="0" w:tentative="0">
      <w:start w:val="1"/>
      <w:numFmt w:val="decimal"/>
      <w:lvlText w:val="（%1）"/>
      <w:lvlJc w:val="left"/>
      <w:pPr>
        <w:ind w:left="624" w:hanging="624"/>
      </w:pPr>
      <w:rPr>
        <w:rFonts w:hint="default"/>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3">
    <w:nsid w:val="0AD53ECF"/>
    <w:multiLevelType w:val="multilevel"/>
    <w:tmpl w:val="0AD53ECF"/>
    <w:lvl w:ilvl="0" w:tentative="0">
      <w:start w:val="1"/>
      <w:numFmt w:val="decimal"/>
      <w:lvlText w:val="%1)"/>
      <w:lvlJc w:val="left"/>
      <w:pPr>
        <w:ind w:left="454" w:firstLine="0"/>
      </w:pPr>
      <w:rPr>
        <w:rFonts w:hint="default" w:ascii="Times New Roman" w:hAnsi="Times New Roman"/>
        <w:sz w:val="21"/>
        <w:szCs w:val="24"/>
      </w:rPr>
    </w:lvl>
    <w:lvl w:ilvl="1" w:tentative="0">
      <w:start w:val="1"/>
      <w:numFmt w:val="lowerLetter"/>
      <w:lvlText w:val="%2)"/>
      <w:lvlJc w:val="left"/>
      <w:pPr>
        <w:ind w:left="1320" w:hanging="440"/>
      </w:pPr>
    </w:lvl>
    <w:lvl w:ilvl="2" w:tentative="0">
      <w:start w:val="1"/>
      <w:numFmt w:val="lowerRoman"/>
      <w:lvlText w:val="%3."/>
      <w:lvlJc w:val="right"/>
      <w:pPr>
        <w:ind w:left="1760" w:hanging="440"/>
      </w:pPr>
    </w:lvl>
    <w:lvl w:ilvl="3" w:tentative="0">
      <w:start w:val="1"/>
      <w:numFmt w:val="decimal"/>
      <w:lvlText w:val="%4."/>
      <w:lvlJc w:val="left"/>
      <w:pPr>
        <w:ind w:left="2200" w:hanging="440"/>
      </w:pPr>
    </w:lvl>
    <w:lvl w:ilvl="4" w:tentative="0">
      <w:start w:val="1"/>
      <w:numFmt w:val="lowerLetter"/>
      <w:lvlText w:val="%5)"/>
      <w:lvlJc w:val="left"/>
      <w:pPr>
        <w:ind w:left="2640" w:hanging="440"/>
      </w:pPr>
    </w:lvl>
    <w:lvl w:ilvl="5" w:tentative="0">
      <w:start w:val="1"/>
      <w:numFmt w:val="lowerRoman"/>
      <w:lvlText w:val="%6."/>
      <w:lvlJc w:val="right"/>
      <w:pPr>
        <w:ind w:left="3080" w:hanging="440"/>
      </w:pPr>
    </w:lvl>
    <w:lvl w:ilvl="6" w:tentative="0">
      <w:start w:val="1"/>
      <w:numFmt w:val="decimal"/>
      <w:lvlText w:val="%7."/>
      <w:lvlJc w:val="left"/>
      <w:pPr>
        <w:ind w:left="3520" w:hanging="440"/>
      </w:pPr>
    </w:lvl>
    <w:lvl w:ilvl="7" w:tentative="0">
      <w:start w:val="1"/>
      <w:numFmt w:val="lowerLetter"/>
      <w:lvlText w:val="%8)"/>
      <w:lvlJc w:val="left"/>
      <w:pPr>
        <w:ind w:left="3960" w:hanging="440"/>
      </w:pPr>
    </w:lvl>
    <w:lvl w:ilvl="8" w:tentative="0">
      <w:start w:val="1"/>
      <w:numFmt w:val="lowerRoman"/>
      <w:lvlText w:val="%9."/>
      <w:lvlJc w:val="right"/>
      <w:pPr>
        <w:ind w:left="4400" w:hanging="440"/>
      </w:pPr>
    </w:lvl>
  </w:abstractNum>
  <w:abstractNum w:abstractNumId="4">
    <w:nsid w:val="183604FB"/>
    <w:multiLevelType w:val="multilevel"/>
    <w:tmpl w:val="183604FB"/>
    <w:lvl w:ilvl="0" w:tentative="0">
      <w:start w:val="1"/>
      <w:numFmt w:val="decimal"/>
      <w:lvlText w:val="%1."/>
      <w:lvlJc w:val="left"/>
      <w:pPr>
        <w:ind w:left="420" w:hanging="420"/>
      </w:pPr>
      <w:rPr>
        <w:rFonts w:hint="eastAsia"/>
      </w:rPr>
    </w:lvl>
    <w:lvl w:ilvl="1" w:tentative="0">
      <w:start w:val="1"/>
      <w:numFmt w:val="ideographTraditional"/>
      <w:lvlText w:val="%2、"/>
      <w:lvlJc w:val="left"/>
      <w:pPr>
        <w:ind w:left="820" w:hanging="40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A085A1F"/>
    <w:multiLevelType w:val="multilevel"/>
    <w:tmpl w:val="1A085A1F"/>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6">
    <w:nsid w:val="1BE83E73"/>
    <w:multiLevelType w:val="multilevel"/>
    <w:tmpl w:val="1BE83E73"/>
    <w:lvl w:ilvl="0" w:tentative="0">
      <w:start w:val="1"/>
      <w:numFmt w:val="japaneseCounting"/>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7">
    <w:nsid w:val="21377D9F"/>
    <w:multiLevelType w:val="multilevel"/>
    <w:tmpl w:val="21377D9F"/>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3701AF"/>
    <w:multiLevelType w:val="multilevel"/>
    <w:tmpl w:val="543701A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573B3BF7"/>
    <w:multiLevelType w:val="multilevel"/>
    <w:tmpl w:val="573B3BF7"/>
    <w:lvl w:ilvl="0" w:tentative="0">
      <w:start w:val="1"/>
      <w:numFmt w:val="decimal"/>
      <w:lvlText w:val="（%1）"/>
      <w:lvlJc w:val="left"/>
      <w:pPr>
        <w:ind w:left="0" w:firstLine="0"/>
      </w:pPr>
      <w:rPr>
        <w:rFonts w:hint="default" w:ascii="Times New Roman" w:hAnsi="Times New Roman"/>
        <w:sz w:val="21"/>
        <w:szCs w:val="24"/>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58365A2B"/>
    <w:multiLevelType w:val="multilevel"/>
    <w:tmpl w:val="58365A2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61FE1EA8"/>
    <w:multiLevelType w:val="multilevel"/>
    <w:tmpl w:val="61FE1EA8"/>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2">
    <w:nsid w:val="63A571AA"/>
    <w:multiLevelType w:val="multilevel"/>
    <w:tmpl w:val="63A571AA"/>
    <w:lvl w:ilvl="0" w:tentative="0">
      <w:start w:val="1"/>
      <w:numFmt w:val="decimal"/>
      <w:lvlText w:val="%1."/>
      <w:lvlJc w:val="left"/>
      <w:pPr>
        <w:ind w:left="480" w:hanging="480"/>
      </w:pPr>
      <w:rPr>
        <w:rFonts w:hint="eastAsia"/>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3">
    <w:nsid w:val="648A4CE6"/>
    <w:multiLevelType w:val="multilevel"/>
    <w:tmpl w:val="648A4CE6"/>
    <w:lvl w:ilvl="0" w:tentative="0">
      <w:start w:val="1"/>
      <w:numFmt w:val="decimal"/>
      <w:lvlText w:val="（%1）"/>
      <w:lvlJc w:val="left"/>
      <w:pPr>
        <w:ind w:left="624" w:hanging="624"/>
      </w:pPr>
      <w:rPr>
        <w:rFonts w:hint="default" w:ascii="Times New Roman" w:hAnsi="Times New Roman"/>
        <w:sz w:val="21"/>
        <w:szCs w:val="24"/>
      </w:rPr>
    </w:lvl>
    <w:lvl w:ilvl="1" w:tentative="0">
      <w:start w:val="1"/>
      <w:numFmt w:val="lowerLetter"/>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lowerLetter"/>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lowerLetter"/>
      <w:lvlText w:val="%8)"/>
      <w:lvlJc w:val="left"/>
      <w:pPr>
        <w:ind w:left="3840" w:hanging="480"/>
      </w:pPr>
    </w:lvl>
    <w:lvl w:ilvl="8" w:tentative="0">
      <w:start w:val="1"/>
      <w:numFmt w:val="lowerRoman"/>
      <w:lvlText w:val="%9."/>
      <w:lvlJc w:val="right"/>
      <w:pPr>
        <w:ind w:left="4320" w:hanging="480"/>
      </w:pPr>
    </w:lvl>
  </w:abstractNum>
  <w:abstractNum w:abstractNumId="14">
    <w:nsid w:val="792C51F7"/>
    <w:multiLevelType w:val="multilevel"/>
    <w:tmpl w:val="792C51F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6"/>
  </w:num>
  <w:num w:numId="2">
    <w:abstractNumId w:val="11"/>
  </w:num>
  <w:num w:numId="3">
    <w:abstractNumId w:val="14"/>
  </w:num>
  <w:num w:numId="4">
    <w:abstractNumId w:val="9"/>
  </w:num>
  <w:num w:numId="5">
    <w:abstractNumId w:val="3"/>
  </w:num>
  <w:num w:numId="6">
    <w:abstractNumId w:val="1"/>
  </w:num>
  <w:num w:numId="7">
    <w:abstractNumId w:val="12"/>
  </w:num>
  <w:num w:numId="8">
    <w:abstractNumId w:val="8"/>
  </w:num>
  <w:num w:numId="9">
    <w:abstractNumId w:val="2"/>
  </w:num>
  <w:num w:numId="10">
    <w:abstractNumId w:val="5"/>
  </w:num>
  <w:num w:numId="11">
    <w:abstractNumId w:val="13"/>
  </w:num>
  <w:num w:numId="12">
    <w:abstractNumId w:val="0"/>
  </w:num>
  <w:num w:numId="13">
    <w:abstractNumId w:val="10"/>
  </w:num>
  <w:num w:numId="14">
    <w:abstractNumId w:val="4"/>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78412FC"/>
    <w:rsid w:val="3A415C18"/>
    <w:rsid w:val="4A35264E"/>
    <w:rsid w:val="678412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rPr>
  </w:style>
  <w:style w:type="paragraph" w:styleId="2">
    <w:name w:val="heading 1"/>
    <w:basedOn w:val="1"/>
    <w:next w:val="1"/>
    <w:qFormat/>
    <w:uiPriority w:val="0"/>
    <w:pPr>
      <w:keepNext/>
      <w:outlineLvl w:val="0"/>
    </w:pPr>
    <w:rPr>
      <w:rFonts w:ascii="Arial" w:hAnsi="Arial" w:eastAsia="黑体" w:cs="Arial"/>
      <w:b/>
      <w:bCs/>
      <w:sz w:val="52"/>
      <w:szCs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Body Text Indent 2"/>
    <w:basedOn w:val="1"/>
    <w:semiHidden/>
    <w:qFormat/>
    <w:uiPriority w:val="0"/>
    <w:pPr>
      <w:spacing w:after="120" w:line="480" w:lineRule="auto"/>
      <w:ind w:left="420" w:leftChars="200"/>
    </w:pPr>
  </w:style>
  <w:style w:type="paragraph" w:styleId="5">
    <w:name w:val="footer"/>
    <w:basedOn w:val="1"/>
    <w:semiHidden/>
    <w:qFormat/>
    <w:uiPriority w:val="0"/>
    <w:pPr>
      <w:tabs>
        <w:tab w:val="center" w:pos="4153"/>
        <w:tab w:val="right" w:pos="8306"/>
      </w:tabs>
      <w:snapToGrid w:val="0"/>
      <w:jc w:val="left"/>
    </w:pPr>
    <w:rPr>
      <w:sz w:val="18"/>
      <w:szCs w:val="18"/>
    </w:rPr>
  </w:style>
  <w:style w:type="paragraph" w:styleId="6">
    <w:name w:val="Body Text First Indent"/>
    <w:basedOn w:val="3"/>
    <w:qFormat/>
    <w:uiPriority w:val="0"/>
    <w:pPr>
      <w:ind w:firstLine="420" w:firstLineChars="100"/>
    </w:pPr>
    <w:rPr>
      <w:rFonts w:ascii="Calibri" w:hAnsi="Calibri"/>
      <w:szCs w:val="22"/>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sht标题1"/>
    <w:basedOn w:val="1"/>
    <w:next w:val="2"/>
    <w:qFormat/>
    <w:uiPriority w:val="0"/>
    <w:pPr>
      <w:jc w:val="center"/>
    </w:pPr>
    <w:rPr>
      <w:rFonts w:eastAsia="黑体"/>
      <w:b/>
      <w:sz w:val="52"/>
      <w:szCs w:val="24"/>
    </w:rPr>
  </w:style>
  <w:style w:type="paragraph" w:styleId="11">
    <w:name w:val="List Paragraph"/>
    <w:basedOn w:val="1"/>
    <w:qFormat/>
    <w:uiPriority w:val="0"/>
    <w:pPr>
      <w:ind w:firstLine="420" w:firstLineChars="200"/>
    </w:pPr>
  </w:style>
  <w:style w:type="paragraph" w:customStyle="1" w:styleId="12">
    <w:name w:val="正文 A"/>
    <w:qFormat/>
    <w:uiPriority w:val="0"/>
    <w:pPr>
      <w:widowControl w:val="0"/>
      <w:jc w:val="both"/>
    </w:pPr>
    <w:rPr>
      <w:rFonts w:ascii="Times New Roman" w:hAnsi="Arial Unicode MS" w:eastAsia="Arial Unicode MS" w:cs="Arial Unicode MS"/>
      <w:color w:val="000000"/>
      <w:kern w:val="2"/>
      <w:sz w:val="21"/>
      <w:szCs w:val="21"/>
      <w:lang w:val="en-US" w:eastAsia="zh-CN"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2025-09-30T02:56:00Z</dcterms:created>
  <dc:creator>Zyzb12</dc:creator>
  <cp:lastModifiedBy>Zyzb12</cp:lastModifiedBy>
  <dcterms:modified xsi:type="dcterms:W3CDTF">2025-09-30T02:59:57Z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C1FC1EA22C964864AC19C01AEC4C592A_11</vt:lpwstr>
  </property>
  <property fmtid="{D5CDD505-2E9C-101B-9397-08002B2CF9AE}" pid="4" name="KSOTemplateDocerSaveRecord">
    <vt:lpwstr>eyJoZGlkIjoiN2YwZmI5MTQ5N2NhNmZlYTNkMWZmNjlmMmRkOGM0YWQiLCJ1c2VySWQiOiI2NzEzMjE4NTkifQ==</vt:lpwstr>
  </property>
</Properties>
</file>