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版本号：N510001202600203220260715001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安逸四川宣传推广平台运维项目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N5100012026002032</w:t>
      </w:r>
    </w:p>
    <w:p>
      <w:pPr>
        <w:pStyle w:val="null3"/>
        <w:jc w:val="left"/>
        <w:outlineLvl w:val="2"/>
      </w:pPr>
      <w:r>
        <w:rPr>
          <w:rFonts w:ascii="仿宋_GB2312" w:hAnsi="仿宋_GB2312" w:cs="仿宋_GB2312" w:eastAsia="仿宋_GB2312"/>
          <w:sz w:val="28"/>
          <w:b/>
        </w:rPr>
        <w:t>四川省文化和旅游宣传信息中心</w:t>
      </w:r>
    </w:p>
    <w:p>
      <w:pPr>
        <w:pStyle w:val="null3"/>
        <w:jc w:val="center"/>
        <w:outlineLvl w:val="2"/>
      </w:pPr>
      <w:r>
        <w:rPr>
          <w:rFonts w:ascii="仿宋_GB2312" w:hAnsi="仿宋_GB2312" w:cs="仿宋_GB2312" w:eastAsia="仿宋_GB2312"/>
          <w:sz w:val="28"/>
          <w:b/>
        </w:rPr>
        <w:t>四川协友招标代理有限公司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四川协友招标代理有限公司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四川省文化和旅游宣传信息中心</w:t>
      </w:r>
      <w:r>
        <w:rPr>
          <w:rFonts w:ascii="仿宋_GB2312" w:hAnsi="仿宋_GB2312" w:cs="仿宋_GB2312" w:eastAsia="仿宋_GB2312"/>
        </w:rPr>
        <w:t xml:space="preserve"> 委托，拟对 </w:t>
      </w:r>
      <w:r>
        <w:rPr>
          <w:rFonts w:ascii="仿宋_GB2312" w:hAnsi="仿宋_GB2312" w:cs="仿宋_GB2312" w:eastAsia="仿宋_GB2312"/>
        </w:rPr>
        <w:t>安逸四川宣传推广平台运维项目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N5100012026002032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安逸四川宣传推广平台运维项目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四川省文化和旅游宣传信息中心拟采购安逸四川宣传推广平台运维项目一项，本项目分为3个包件。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1、投标人应具备有效期内的《中华人民共和国互联网新闻信息服务许可证》。（描述：投标人应具备有效期内的《中华人民共和国互联网新闻信息服务许可证》（提供证书复印件并进行电子签章）。）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1、投标人应具备有效期内的《中华人民共和国互联网新闻信息服务许可证》。（描述：投标人应具备有效期内的《中华人民共和国互联网新闻信息服务许可证》（提供证书复印件并进行电子签章）。）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四川省文化和旅游宣传信息中心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成都市锦江区青莲上街2号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610021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028-86702913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四川协友招标代理有限公司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成都市金牛区蜀西路48号西城国际506</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028-87517716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采购包1：900,000.00元</w:t>
            </w:r>
          </w:p>
          <w:p>
            <w:pPr>
              <w:pStyle w:val="null3"/>
              <w:jc w:val="left"/>
            </w:pPr>
            <w:r>
              <w:rPr>
                <w:rFonts w:ascii="仿宋_GB2312" w:hAnsi="仿宋_GB2312" w:cs="仿宋_GB2312" w:eastAsia="仿宋_GB2312"/>
              </w:rPr>
              <w:t>采购包2：1,000,000.00元</w:t>
            </w:r>
          </w:p>
          <w:p>
            <w:pPr>
              <w:pStyle w:val="null3"/>
              <w:jc w:val="left"/>
            </w:pPr>
            <w:r>
              <w:rPr>
                <w:rFonts w:ascii="仿宋_GB2312" w:hAnsi="仿宋_GB2312" w:cs="仿宋_GB2312" w:eastAsia="仿宋_GB2312"/>
              </w:rPr>
              <w:t>采购包3：200,000.00元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1.金    额：政府采购合同金额的10%。</w:t>
              <w:br/>
              <w:t>2.交款方式：以支票、汇票、本票或者金融机构、担保机构出具的保函等非现金形式提交至采购人(包括网银转账，电汇等方式)。</w:t>
              <w:br/>
              <w:t>3.交款时间：中标通知书发放后，政府采购合同签订前。投标人未按照采购文件的规定交纳履约保证金，且又无正当理由的，将视为放弃成交资格。</w:t>
              <w:br/>
              <w:t>注：（1）提供保函的担保机构必须是依法成立的具有相关资质和偿付能力的担保机构。保函是开户银行出具的，保函必须要在中国人民银行征信系统能够进行查询，否则将取消成交资格，采购人将重新确定成交投标人，并依法追究法律责任。</w:t>
              <w:br/>
              <w:t>（2）履约保证金退还时间及方式：投标人完成合同约定的所有内容并经采购人验收合格后10日内，由采购人一次性无息退还至成交投标人。</w:t>
              <w:br/>
              <w:t>（3）履约保证金不予退还情形：①成交投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（4）履约保证金不予退还的，将按照有关规定上缴国库。逾期退还履约保证金的，将依法承担法律责任，并赔偿投标人损失。</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1.金    额：政府采购合同金额的10%。</w:t>
              <w:br/>
              <w:t>2.交款方式：以支票、汇票、本票或者金融机构、担保机构出具的保函等非现金形式提交至采购人(包括网银转账，电汇等方式)。</w:t>
              <w:br/>
              <w:t>3.交款时间：中标通知书发放后，政府采购合同签订前。投标人未按照采购文件的规定交纳履约保证金，且又无正当理由的，将视为放弃成交资格。</w:t>
              <w:br/>
              <w:t>注：（1）提供保函的担保机构必须是依法成立的具有相关资质和偿付能力的担保机构。保函是开户银行出具的，保函必须要在中国人民银行征信系统能够进行查询，否则将取消成交资格，采购人将重新确定成交投标人，并依法追究法律责任。</w:t>
              <w:br/>
              <w:t>（2）履约保证金退还时间及方式：投标人完成合同约定的所有内容并经采购人验收合格后10日内，由采购人一次性无息退还至成交投标人。</w:t>
              <w:br/>
              <w:t>（3）履约保证金不予退还情形：①成交投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（4）履约保证金不予退还的，将按照有关规定上缴国库。逾期退还履约保证金的，将依法承担法律责任，并赔偿投标人损失。</w:t>
            </w:r>
          </w:p>
          <w:p>
            <w:pPr>
              <w:pStyle w:val="null3"/>
              <w:jc w:val="left"/>
            </w:pPr>
            <w:r>
              <w:rPr>
                <w:rFonts w:ascii="仿宋_GB2312" w:hAnsi="仿宋_GB2312" w:cs="仿宋_GB2312" w:eastAsia="仿宋_GB2312"/>
              </w:rPr>
              <w:t>采购包3：收取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1.金    额：政府采购合同金额的10%。</w:t>
              <w:br/>
              <w:t>2.交款方式：以支票、汇票、本票或者金融机构、担保机构出具的保函等非现金形式提交至采购人(包括网银转账，电汇等方式)。</w:t>
              <w:br/>
              <w:t>3.交款时间：中标通知书发放后，政府采购合同签订前。投标人未按照采购文件的规定交纳履约保证金，且又无正当理由的，将视为放弃成交资格。</w:t>
              <w:br/>
              <w:t>注：（1）提供保函的担保机构必须是依法成立的具有相关资质和偿付能力的担保机构。保函是开户银行出具的，保函必须要在中国人民银行征信系统能够进行查询，否则将取消成交资格，采购人将重新确定成交投标人，并依法追究法律责任。</w:t>
              <w:br/>
              <w:t>（2）履约保证金退还时间及方式：投标人完成合同约定的所有内容并经采购人验收合格后10日内，由采购人一次性无息退还至成交投标人。</w:t>
              <w:br/>
              <w:t>（3）履约保证金不予退还情形：①成交投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（4）履约保证金不予退还的，将按照有关规定上缴国库。逾期退还履约保证金的，将依法承担法律责任，并赔偿投标人损失。</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各采购包预算金额作为计算基数，按差额定率累进法进行计算，并按以下费率标准（服务采购项目）下浮30%收取：预算金额100万元以下，费率1.5%；预算金额100-500万元，费率0.8%（不足4800元按4800元收取），由各采购包中标人在签订采购合同前向代理机构支付。</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四川省文化和旅游宣传信息中心</w:t>
      </w:r>
      <w:r>
        <w:rPr>
          <w:rFonts w:ascii="仿宋_GB2312" w:hAnsi="仿宋_GB2312" w:cs="仿宋_GB2312" w:eastAsia="仿宋_GB2312"/>
        </w:rPr>
        <w:t xml:space="preserve"> 和 </w:t>
      </w:r>
      <w:r>
        <w:rPr>
          <w:rFonts w:ascii="仿宋_GB2312" w:hAnsi="仿宋_GB2312" w:cs="仿宋_GB2312" w:eastAsia="仿宋_GB2312"/>
        </w:rPr>
        <w:t>四川协友招标代理有限公司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四川省文化和旅游宣传信息中心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四川协友招标代理有限公司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采购包3：</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采购包3：</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采购包3：</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采购包3：</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pPr>
      <w:r>
        <w:rPr>
          <w:rFonts w:ascii="仿宋_GB2312" w:hAnsi="仿宋_GB2312" w:cs="仿宋_GB2312" w:eastAsia="仿宋_GB2312"/>
        </w:rPr>
        <w:t>采购包3：</w:t>
      </w: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四川省文化和旅游宣传信息中心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四川协友招标代理有限公司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四川协友招标代理有限公司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联系电话：028-86702913</w:t>
      </w:r>
    </w:p>
    <w:p>
      <w:pPr>
        <w:pStyle w:val="null3"/>
        <w:jc w:val="left"/>
      </w:pPr>
      <w:r>
        <w:rPr>
          <w:rFonts w:ascii="仿宋_GB2312" w:hAnsi="仿宋_GB2312" w:cs="仿宋_GB2312" w:eastAsia="仿宋_GB2312"/>
        </w:rPr>
        <w:t>地址：成都市锦江区青莲上街2号</w:t>
      </w:r>
    </w:p>
    <w:p>
      <w:pPr>
        <w:pStyle w:val="null3"/>
        <w:jc w:val="left"/>
      </w:pPr>
      <w:r>
        <w:rPr>
          <w:rFonts w:ascii="仿宋_GB2312" w:hAnsi="仿宋_GB2312" w:cs="仿宋_GB2312" w:eastAsia="仿宋_GB2312"/>
        </w:rPr>
        <w:t>邮编：610021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联系人：邓先生</w:t>
      </w:r>
    </w:p>
    <w:p>
      <w:pPr>
        <w:pStyle w:val="null3"/>
        <w:jc w:val="left"/>
      </w:pPr>
      <w:r>
        <w:rPr>
          <w:rFonts w:ascii="仿宋_GB2312" w:hAnsi="仿宋_GB2312" w:cs="仿宋_GB2312" w:eastAsia="仿宋_GB2312"/>
        </w:rPr>
        <w:t>联系电话：028-87517716</w:t>
      </w:r>
    </w:p>
    <w:p>
      <w:pPr>
        <w:pStyle w:val="null3"/>
        <w:jc w:val="left"/>
      </w:pPr>
      <w:r>
        <w:rPr>
          <w:rFonts w:ascii="仿宋_GB2312" w:hAnsi="仿宋_GB2312" w:cs="仿宋_GB2312" w:eastAsia="仿宋_GB2312"/>
        </w:rPr>
        <w:t>地址：成都市金牛区蜀西路48号西城国际506</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安逸四川宣传推广平台日常运营项目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安逸四川宣传推广平台重点活动策划项目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安逸四川宣传推广平台技术保障项目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安逸四川宣传推广平台日常运营项目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安逸四川宣传推广平台重点活动策划项目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安逸四川宣传推广平台技术保障项目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标的名称：安逸四川宣传推广平台日常运营项目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项目内容</w:t>
            </w:r>
          </w:p>
        </w:tc>
        <w:tc>
          <w:tcPr>
            <w:tcW w:type="dxa" w:w="5814"/>
          </w:tcPr>
          <w:p>
            <w:pPr>
              <w:pStyle w:val="null3"/>
              <w:spacing w:after="120"/>
              <w:ind w:firstLine="632"/>
              <w:jc w:val="both"/>
            </w:pPr>
            <w:r>
              <w:rPr>
                <w:rFonts w:ascii="仿宋_GB2312" w:hAnsi="仿宋_GB2312" w:cs="仿宋_GB2312" w:eastAsia="仿宋_GB2312"/>
                <w:sz w:val="24"/>
              </w:rPr>
              <w:t>主要负责宣传推广平台的日常整体运营，包括常规图文、视频等基础性内容的采编、内容生产，宣传推广等，并完成交办的其他相关工作。</w:t>
            </w:r>
          </w:p>
          <w:p>
            <w:pPr>
              <w:pStyle w:val="null3"/>
              <w:spacing w:after="120"/>
              <w:ind w:firstLine="632"/>
              <w:jc w:val="both"/>
            </w:pPr>
            <w:r>
              <w:rPr>
                <w:rFonts w:ascii="仿宋_GB2312" w:hAnsi="仿宋_GB2312" w:cs="仿宋_GB2312" w:eastAsia="仿宋_GB2312"/>
                <w:sz w:val="24"/>
              </w:rPr>
              <w:t>1.素材采编：主要负责对接文旅行政部门、文旅企业、行业协会、旅游景区、文化场馆、文艺院团、旅行社、星级旅游饭店等文旅单位，负责对数据库征集、采集的素材进行收集、初筛和分类等工作；对素材库进行分类，设置相关标签，可进行关键词、来源地、内容主题等多维度的搜索；根据工作需要，派遣相关专业人员到活动现场采集素材；重要旅游节点向各地征集宣传素材；按宣传需求通过其他宣传渠道主动采集素材。</w:t>
            </w:r>
          </w:p>
          <w:p>
            <w:pPr>
              <w:pStyle w:val="null3"/>
              <w:spacing w:after="120"/>
              <w:ind w:firstLine="632"/>
              <w:jc w:val="both"/>
            </w:pPr>
            <w:r>
              <w:rPr>
                <w:rFonts w:ascii="仿宋_GB2312" w:hAnsi="仿宋_GB2312" w:cs="仿宋_GB2312" w:eastAsia="仿宋_GB2312"/>
                <w:sz w:val="24"/>
              </w:rPr>
              <w:t>2.内容生产：主要负责对宣传推广平台从各渠道征集采集的文旅宣传素材进行二次创作，生产图文、视频等新媒体内容，并对所有输出内容进行审核和校对；所有二次创作内容需在四川文旅厅新媒体矩阵账号首发；负责与平台开发技术团队实时对接，保障平台操作的安全、稳定和顺利运行。</w:t>
            </w:r>
          </w:p>
          <w:p>
            <w:pPr>
              <w:pStyle w:val="null3"/>
              <w:spacing w:after="120"/>
              <w:ind w:firstLine="632"/>
              <w:jc w:val="both"/>
            </w:pPr>
            <w:r>
              <w:rPr>
                <w:rFonts w:ascii="仿宋_GB2312" w:hAnsi="仿宋_GB2312" w:cs="仿宋_GB2312" w:eastAsia="仿宋_GB2312"/>
                <w:sz w:val="24"/>
              </w:rPr>
              <w:t>3.发布推广：负责将生产图文、短视频等新媒体内容通过四川文旅全媒体渠道进行分发，在微博、抖音等新媒体平台创建相关话题，扩大传播边界，对各平台的分发情况和数据流量进行分析，适时调整投放推广力度，保证传播热度。</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项目绩效</w:t>
            </w:r>
          </w:p>
        </w:tc>
        <w:tc>
          <w:tcPr>
            <w:tcW w:type="dxa" w:w="5814"/>
          </w:tcPr>
          <w:p>
            <w:pPr>
              <w:pStyle w:val="null3"/>
              <w:spacing w:after="120"/>
              <w:ind w:firstLine="632"/>
              <w:jc w:val="both"/>
            </w:pPr>
            <w:r>
              <w:rPr>
                <w:rFonts w:ascii="仿宋_GB2312" w:hAnsi="仿宋_GB2312" w:cs="仿宋_GB2312" w:eastAsia="仿宋_GB2312"/>
                <w:sz w:val="24"/>
              </w:rPr>
              <w:t>1.项目合作期内，累计收集全省文旅视频不少于300条（1080P及以上），累计收集图文素材不少于3000条，派遣专业人员到活动现场或景区采集素材不少于6次。</w:t>
            </w:r>
          </w:p>
          <w:p>
            <w:pPr>
              <w:pStyle w:val="null3"/>
              <w:spacing w:after="120"/>
              <w:ind w:firstLine="632"/>
              <w:jc w:val="both"/>
            </w:pPr>
            <w:r>
              <w:rPr>
                <w:rFonts w:ascii="仿宋_GB2312" w:hAnsi="仿宋_GB2312" w:cs="仿宋_GB2312" w:eastAsia="仿宋_GB2312"/>
                <w:sz w:val="24"/>
              </w:rPr>
              <w:t>2.项目合作期内，一是生产原创文章不少于36篇（长图、小绿书、SVG推文等原创创意推文不少于6篇），其中，10万+阅读量的原创文章不少于 2 篇，1 万＋阅读量的原创文章不少于15 篇。二是剪辑制作短视频不少于120条（总时长不少于1小时），利用话题营销扩大短视频的传播边界，创建原创话题不少于20个，其中原创话题累计播放量800万以上的不少于2个，500万以上的不少于8个，登上微博或抖音热搜榜不少于10次，合作期限内，话题和短视频全网播放量不少于5000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after="120"/>
              <w:ind w:firstLine="632"/>
              <w:jc w:val="both"/>
            </w:pPr>
            <w:r>
              <w:rPr>
                <w:rFonts w:ascii="仿宋_GB2312" w:hAnsi="仿宋_GB2312" w:cs="仿宋_GB2312" w:eastAsia="仿宋_GB2312"/>
                <w:sz w:val="24"/>
              </w:rPr>
              <w:t>1.按采购人需求，安排不少于6人的专业运营团队专职服务该项目由采购人管理，依法依规开展围绕省厅新媒体平台所需的各类信息采编、文旅营销、活动宣传、文化创意等业务。</w:t>
            </w:r>
          </w:p>
          <w:p>
            <w:pPr>
              <w:pStyle w:val="null3"/>
              <w:spacing w:after="120"/>
              <w:ind w:firstLine="632"/>
              <w:jc w:val="both"/>
            </w:pPr>
            <w:r>
              <w:rPr>
                <w:rFonts w:ascii="仿宋_GB2312" w:hAnsi="仿宋_GB2312" w:cs="仿宋_GB2312" w:eastAsia="仿宋_GB2312"/>
                <w:sz w:val="24"/>
              </w:rPr>
              <w:t>2.按需定期对专业运营团队的内容生产、管理运维、宣传推广、互动联动、数据分析等工作进行量化考核。专业运营团队应严格执行三审制度，所有媒体产品在发布前须实行签发制。对于工作内容，运营团队平均每两月提交工作总结。对文化和旅游厅交办的工作任务，任务结束后10个工作日内，须纸质提交完成情况。</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标的名称：安逸四川宣传推广平台重点活动策划项目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项目内容</w:t>
            </w:r>
          </w:p>
        </w:tc>
        <w:tc>
          <w:tcPr>
            <w:tcW w:type="dxa" w:w="5814"/>
          </w:tcPr>
          <w:p>
            <w:pPr>
              <w:pStyle w:val="null3"/>
              <w:ind w:firstLine="632"/>
              <w:jc w:val="both"/>
            </w:pPr>
            <w:r>
              <w:rPr>
                <w:rFonts w:ascii="仿宋_GB2312" w:hAnsi="仿宋_GB2312" w:cs="仿宋_GB2312" w:eastAsia="仿宋_GB2312"/>
                <w:sz w:val="24"/>
              </w:rPr>
              <w:t>（一）根据我省宣传重点方向，通过策划执行、引进文旅共创项目资源、异业合作、制作推广爆款新媒体产品等方式，项目期内打造1场 IP 活动，至少产出3条以上20万+播放量的短视频（时长≥30S，4K）作品，须联动单平台粉丝量不低于100万的文旅达人进行共创1次，相关内容全网总阅读量和播放量不少于1000万，总互动量（转发、点赞、评论等）不少于8万。</w:t>
            </w:r>
          </w:p>
          <w:p>
            <w:pPr>
              <w:pStyle w:val="null3"/>
              <w:ind w:firstLine="632"/>
              <w:jc w:val="both"/>
            </w:pPr>
            <w:r>
              <w:rPr>
                <w:rFonts w:ascii="仿宋_GB2312" w:hAnsi="仿宋_GB2312" w:cs="仿宋_GB2312" w:eastAsia="仿宋_GB2312"/>
                <w:sz w:val="24"/>
              </w:rPr>
              <w:t>（二）主要负责原创选题、创意选题策划，重点围绕各时节和平台热点事件，联动各地进行热点追踪，项目期内开展不少于6次网络策划活动，包括但不限于策划直播、线上线下互动等形式，生产精品新媒体产品，包括但不限于短视频、漫画长图等形式，每场活动相关内容全网互动量（转发、点赞、评论等）不少于1万。</w:t>
            </w:r>
          </w:p>
          <w:p>
            <w:pPr>
              <w:pStyle w:val="null3"/>
              <w:ind w:firstLine="632"/>
              <w:jc w:val="both"/>
            </w:pPr>
            <w:r>
              <w:rPr>
                <w:rFonts w:ascii="仿宋_GB2312" w:hAnsi="仿宋_GB2312" w:cs="仿宋_GB2312" w:eastAsia="仿宋_GB2312"/>
                <w:sz w:val="24"/>
              </w:rPr>
              <w:t>（三）中标单位按采购人需求，安排不少于6人的专业团队专职服务该项目，并不少于1名人员根据工作需求在指定地点办公，由采购人直接管理，依法依规开展围绕省厅新媒体平台所需的各类信息采编、文旅营销、活动宣传、文化创意等业务。</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标的名称：安逸四川宣传推广平台技术保障项目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项目内容</w:t>
            </w:r>
          </w:p>
        </w:tc>
        <w:tc>
          <w:tcPr>
            <w:tcW w:type="dxa" w:w="5814"/>
          </w:tcPr>
          <w:p>
            <w:pPr>
              <w:pStyle w:val="null3"/>
              <w:ind w:firstLine="632"/>
              <w:jc w:val="both"/>
            </w:pPr>
            <w:r>
              <w:rPr>
                <w:rFonts w:ascii="仿宋_GB2312" w:hAnsi="仿宋_GB2312" w:cs="仿宋_GB2312" w:eastAsia="仿宋_GB2312"/>
                <w:sz w:val="24"/>
              </w:rPr>
              <w:t>四川文旅宣传推广平台采用分布式云部署架构，依托政务云资源，构建起集数据汇聚、内容生产、智能分发于一体的省级文旅宣传中枢。平台分为后台管理与前端展示两大体系：后台实现资源管理、创作管理、矩阵管理、信息管理及系统管理，支持视频、音频、图片、文本等多格式素材（如MP4、MP3、PNG、PDF等）的统一存储与标签化处理；创作管理模块集成智能搜索、信息抓取工具，形成“中央厨房”式的内容加工能力。</w:t>
            </w:r>
          </w:p>
          <w:p>
            <w:pPr>
              <w:pStyle w:val="null3"/>
              <w:ind w:firstLine="632"/>
              <w:jc w:val="both"/>
            </w:pPr>
            <w:r>
              <w:rPr>
                <w:rFonts w:ascii="仿宋_GB2312" w:hAnsi="仿宋_GB2312" w:cs="仿宋_GB2312" w:eastAsia="仿宋_GB2312"/>
                <w:sz w:val="24"/>
              </w:rPr>
              <w:t>（一）主要负责保障现有宣传推广平台的稳定运行及日常维护巡检工作，配合参与网络安全重保、网络安全应急演练等工作。</w:t>
            </w:r>
          </w:p>
          <w:p>
            <w:pPr>
              <w:pStyle w:val="null3"/>
              <w:ind w:firstLine="632"/>
              <w:jc w:val="both"/>
            </w:pPr>
            <w:r>
              <w:rPr>
                <w:rFonts w:ascii="仿宋_GB2312" w:hAnsi="仿宋_GB2312" w:cs="仿宋_GB2312" w:eastAsia="仿宋_GB2312"/>
                <w:sz w:val="24"/>
              </w:rPr>
              <w:t>（二）配合各组做好技术支撑工作，满足因新的应用场景需求的功能升级，包括栏目更新、专题页面制作、各平台和渠道技术端口的无碍对接等，保障平台操作的安全、稳定和顺利运行。</w:t>
            </w:r>
          </w:p>
          <w:p>
            <w:pPr>
              <w:pStyle w:val="null3"/>
              <w:ind w:firstLine="632"/>
              <w:jc w:val="both"/>
            </w:pPr>
            <w:r>
              <w:rPr>
                <w:rFonts w:ascii="仿宋_GB2312" w:hAnsi="仿宋_GB2312" w:cs="仿宋_GB2312" w:eastAsia="仿宋_GB2312"/>
                <w:sz w:val="24"/>
              </w:rPr>
              <w:t>（三）中标单位按采购人需求，安排不少于2人的专业团队专职服务该项目。</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2026年11月21日至2027年9月20日（具体以合同约定时间为准）</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1、合同签订且财政资金下达后，达到付款条件起10个工作日内，支付合同总金额的60.00%</w:t>
            </w:r>
          </w:p>
          <w:p>
            <w:pPr>
              <w:pStyle w:val="null3"/>
              <w:jc w:val="left"/>
            </w:pPr>
            <w:r>
              <w:rPr>
                <w:rFonts w:ascii="仿宋_GB2312" w:hAnsi="仿宋_GB2312" w:cs="仿宋_GB2312" w:eastAsia="仿宋_GB2312"/>
              </w:rPr>
              <w:t>2、验收合格，收到乙方出具合法有效完整的完税发票后且财政资金下达后，达到付款条件起10个工作日内，支付合同总金额的40.00%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按合同约定执行。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2026年11月21日至2027年9月20日（具体以合同约定时间为准）</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1、合同签订且财政资金下达后，达到付款条件起10个工作日内，支付合同总金额的60.00%</w:t>
            </w:r>
          </w:p>
          <w:p>
            <w:pPr>
              <w:pStyle w:val="null3"/>
              <w:jc w:val="left"/>
            </w:pPr>
            <w:r>
              <w:rPr>
                <w:rFonts w:ascii="仿宋_GB2312" w:hAnsi="仿宋_GB2312" w:cs="仿宋_GB2312" w:eastAsia="仿宋_GB2312"/>
              </w:rPr>
              <w:t>2、验收合格，收到乙方出具合法有效完整的完税发票后且财政资金下达后，达到付款条件起10个工作日内，支付合同总金额的40.00%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按合同约定执行。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2026年11月21日至2027年9月20日（具体以合同约定时间为准）</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本项目合同约定标准、招标文件的服务及质量要求和技术指标、中标人的投标文件及承诺进行验收；采购人及中标人双方如对质量要求和技术指标的约定标准有相互抵触或异议的事项，在满足相关规范标准的基础上按照有利于项目质量的原则确定该项的约定标准进行验收。其他未尽事宜按照《财政部关于进一步加强政府采购需求和履约验收管理的指导意见》（财库〔2016〕205号）及国家行业主管部门的标准执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1、合同签订且财政资金下达后，达到付款条件起10个工作日内，支付合同总金额的60.00%</w:t>
            </w:r>
          </w:p>
          <w:p>
            <w:pPr>
              <w:pStyle w:val="null3"/>
              <w:jc w:val="left"/>
            </w:pPr>
            <w:r>
              <w:rPr>
                <w:rFonts w:ascii="仿宋_GB2312" w:hAnsi="仿宋_GB2312" w:cs="仿宋_GB2312" w:eastAsia="仿宋_GB2312"/>
              </w:rPr>
              <w:t>2、验收合格，收到乙方出具合法有效完整的完税发票后且财政资金下达后，达到付款条件起10个工作日内，支付合同总金额的40.00%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按合同约定执行。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2024或2025年度经审计的财务报告复印件（包含审计报告和审计报告中所涉及的财务报表附注）或者提供2024或2025年度供应商内部的财务报表复印件（至少包含资产负债表）或者提供距文件递交截止日一年内银行出具的资信证明（复印件）或者提供在工商备案的公司章程（适用于供应商注册时间至文件递交截止日不足一年的）或者提供具有健全的财务会计制度承诺函原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2024或2025年度经审计的财务报告复印件（包含审计报告和审计报告中所涉及的财务报表附注）或者提供2024或2025年度供应商内部的财务报表复印件（至少包含资产负债表）或者提供距文件递交截止日一年内银行出具的资信证明（复印件）或者提供在工商备案的公司章程（适用于供应商注册时间至文件递交截止日不足一年的）或者提供具有健全的财务会计制度承诺函原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2024或2025年度经审计的财务报告复印件（包含审计报告和审计报告中所涉及的财务报表附注）或者提供2024或2025年度供应商内部的财务报表复印件（至少包含资产负债表）或者提供距文件递交截止日一年内银行出具的资信证明（复印件）或者提供在工商备案的公司章程（适用于供应商注册时间至文件递交截止日不足一年的）或者提供具有健全的财务会计制度承诺函原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投标人应具备有效期内的《中华人民共和国互联网新闻信息服务许可证》。</w:t>
            </w:r>
          </w:p>
        </w:tc>
        <w:tc>
          <w:tcPr>
            <w:tcW w:type="dxa" w:w="3322"/>
          </w:tcPr>
          <w:p>
            <w:pPr>
              <w:pStyle w:val="null3"/>
              <w:jc w:val="left"/>
            </w:pPr>
            <w:r>
              <w:rPr>
                <w:rFonts w:ascii="仿宋_GB2312" w:hAnsi="仿宋_GB2312" w:cs="仿宋_GB2312" w:eastAsia="仿宋_GB2312"/>
              </w:rPr>
              <w:t>投标人应具备有效期内的《中华人民共和国互联网新闻信息服务许可证》（提供证书复印件并进行电子签章）。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投标人应具备有效期内的《中华人民共和国互联网新闻信息服务许可证》。</w:t>
            </w:r>
          </w:p>
        </w:tc>
        <w:tc>
          <w:tcPr>
            <w:tcW w:type="dxa" w:w="3322"/>
          </w:tcPr>
          <w:p>
            <w:pPr>
              <w:pStyle w:val="null3"/>
              <w:jc w:val="left"/>
            </w:pPr>
            <w:r>
              <w:rPr>
                <w:rFonts w:ascii="仿宋_GB2312" w:hAnsi="仿宋_GB2312" w:cs="仿宋_GB2312" w:eastAsia="仿宋_GB2312"/>
              </w:rPr>
              <w:t>投标人应具备有效期内的《中华人民共和国互联网新闻信息服务许可证》（提供证书复印件并进行电子签章）。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投标人应提交的相关证明材料,技术服务应答表.docx,商务要求应答表.docx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满足招标文件其他实质性要求。</w:t>
            </w:r>
          </w:p>
        </w:tc>
        <w:tc>
          <w:tcPr>
            <w:tcW w:type="dxa" w:w="1661"/>
          </w:tcPr>
          <w:p>
            <w:pPr>
              <w:pStyle w:val="null3"/>
              <w:jc w:val="left"/>
            </w:pPr>
            <w:r>
              <w:rPr>
                <w:rFonts w:ascii="仿宋_GB2312" w:hAnsi="仿宋_GB2312" w:cs="仿宋_GB2312" w:eastAsia="仿宋_GB2312"/>
              </w:rPr>
              <w:t>投标人应提交的相关证明材料,技术服务应答表.docx,商务要求应答表.docx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投标人应提交的相关证明材料,技术服务应答表.docx,商务要求应答表.docx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满足招标文件其他实质性要求。</w:t>
            </w:r>
          </w:p>
        </w:tc>
        <w:tc>
          <w:tcPr>
            <w:tcW w:type="dxa" w:w="1661"/>
          </w:tcPr>
          <w:p>
            <w:pPr>
              <w:pStyle w:val="null3"/>
              <w:jc w:val="left"/>
            </w:pPr>
            <w:r>
              <w:rPr>
                <w:rFonts w:ascii="仿宋_GB2312" w:hAnsi="仿宋_GB2312" w:cs="仿宋_GB2312" w:eastAsia="仿宋_GB2312"/>
              </w:rPr>
              <w:t>投标人应提交的相关证明材料,技术服务应答表.docx,商务要求应答表.docx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投标人应提交的相关证明材料,技术服务应答表.docx,商务要求应答表.docx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满足招标文件其他实质性要求。</w:t>
            </w:r>
          </w:p>
        </w:tc>
        <w:tc>
          <w:tcPr>
            <w:tcW w:type="dxa" w:w="1661"/>
          </w:tcPr>
          <w:p>
            <w:pPr>
              <w:pStyle w:val="null3"/>
              <w:jc w:val="left"/>
            </w:pPr>
            <w:r>
              <w:rPr>
                <w:rFonts w:ascii="仿宋_GB2312" w:hAnsi="仿宋_GB2312" w:cs="仿宋_GB2312" w:eastAsia="仿宋_GB2312"/>
              </w:rPr>
              <w:t>投标人应提交的相关证明材料,技术服务应答表.docx,商务要求应答表.docx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素材管理方案：投标人应根据本项目采购需求，提供素材管理方案，内容至少包含：①素材采集；②素材筛选；③素材安全保障；④版权清理。以上方案内容完全满足采购需求的得12分，每有一项内容缺失的扣3分，每有一项内容有缺陷的扣1.5分，扣完为止。 注:缺陷是指存在项目名称错误、地点区域错误、内容与本项目需求无关与实际情况不匹配、不符合项目特点、仅有框架或标题、套用其他项目方案或存在明显与本项目无关的文字内容、适用的标准（方法）错误，等任意一种情形。 2.内容生产和发布方案：投标人应根据本项目采购需求，提供内容生产和发布方案，方案至少包含：①素材分类整理；②原创内容的创作数量保障措施；③二创内容的生产数量及频率保障措施。以上方案内容完全满足采购需求的得12分，每有一项内容缺失的扣4分，每有一项内容有缺陷的扣2分，扣完为止。 注:缺陷是指存在项目名称错误、地点区域错误、内容与本项目需求无关与实际情况不匹配、不符合项目特点、仅有框架或标题、套用其他项目方案或存在明显与本项目无关的文字内容、适用的标准（方法）错误，等任意一种情形。 3.推广方案：投标人应根据本项目采购需求，提供推广方案，方案至少包含：①宣传渠道的资源优势；②内容的分发选择、频率及数量保障措施；③数据流量分析。以上方案内容完全满足采购需求的得12分，每有一项内容缺失的扣4分，每有一项内容有缺陷的扣2分，扣完为止。 注:缺陷是指存在项目名称错误、地点区域错误、内容与本项目需求无关与实际情况不匹配、不符合项目特点、仅有框架或标题、套用其他项目方案或存在明显与本项目无关的文字内容、适用的标准（方法）错误，等任意一种情形。 4.平台用户的维护方案：投标人应根据本项目采购需求，提供平台用户的维护方案，方案至少包含：①日常联络机制的建立与活跃；②用户的活跃度保障；③平台操作的培训；④考评激励机制。以上方案内容完全满足采购需求的得12分，每有一项内容缺失的扣3分，每有一项内容有缺陷的扣1.5分，扣完为止。 注:缺陷是指存在项目名称错误、地点区域错误、内容与本项目需求无关与实际情况不匹配、不符合项目特点、仅有框架或标题、套用其他项目方案或存在明显与本项目无关的文字内容、适用的标准（方法）错误，等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团队人员</w:t>
            </w:r>
          </w:p>
        </w:tc>
        <w:tc>
          <w:tcPr>
            <w:tcW w:type="dxa" w:w="2575"/>
          </w:tcPr>
          <w:p>
            <w:pPr>
              <w:pStyle w:val="null3"/>
              <w:jc w:val="left"/>
            </w:pPr>
            <w:r>
              <w:rPr>
                <w:rFonts w:ascii="仿宋_GB2312" w:hAnsi="仿宋_GB2312" w:cs="仿宋_GB2312" w:eastAsia="仿宋_GB2312"/>
              </w:rPr>
              <w:t>1、投标人拟为本项目配备的项目负责人（1人）：具有3年（含）及以上新媒体宣传运营从业和团队带领工作经验的，得5分，未提供不得分。 2、投标人拟为本项目配备的专业运营团队（不包括项目负责人）：包括文字编辑（2人）、美工（1人）、剪辑（1人）、拍摄（1人）专业技能，且具备1年（含）及以上的新媒体运维从业工作经验的，满足以上要求的每有一人得1分，本项最多得5分。 3、投标人拟为本项目配备的所有人员（包含项目负责人或专业运营团队）中具有：每有1人具有中级职称（记者或编辑）得3分，每有1人具有高级职称（主任记者或主任编辑或高级记者或高级编辑）得6分，最多得12分。 注：1.提供人员清单花名册，需列出项目负责人及专业运营团队的人员姓名、性别、专业技能以及拟在团队中担任的岗位。 2.从业工作经验提供以下证明材料之一：合同扫描件（至少包含服务内容和对应人员姓名和服务时间）或验收报告扫描件（至少包含服务内容和对应人员姓名和服务时间）或业主单位出具的工作经验证明材料（至少包含服务内容和对应人员姓名和服务时间）或对应人员自行出具从业工作经验说明（至少包含服务内容和对应人员姓名和服务时间），职称证书提供对应证书扫描件。 3.所有材料加盖投标人电子章。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团队人员.docx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类似项目案例：投标人每提供一个2022年1月1日（含）至今与本项目内容类似（合同内容至少包含宣传类）的：视频类新媒体作品全网传播量达到100万（不含）以下，或图文类新媒体作品全网传播量达到10万（不含）以下的案例得1分，最多得5分；视频类新媒体作品全网传播量达到100万（含）及以上，或图文类新媒体作品全网传播量达到10万（含）及以上的得3分，最高得15分。 注：①案例附上作品数据清晰截图，包括发布时间、发布平台、运营账号及作品名称。②针对每个案例提供合同关键页扫描件（至少包含合同首页、合同主要服务内容、合同签字页）并加盖投标人电子章。不提供或未按要求提供材料的不得分，时间以作品发布时间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现象级的IP活动策划及执行方案：投标人应根据本项目采购需求，提供现象级的IP活动策划及执行方案，内容至少包含：①营销热点策划创作；②创意活动策划执行；③引进文旅共创项目资源；④爆款新媒体产品制作推广重点内容的执行。以上方案内容完全满足采购需求的得24分，每有一项内容缺失的扣6分，每有一项内容有缺陷的扣3分，扣完为止。 注:缺陷是指存在项目名称错误、地点区域错误、内容与本项目需求无关与实际情况不匹配、不符合项目特点、仅有框架或标题、套用其他项目方案或存在明显与本项目无关的文字内容、适用的标准（方法）错误，等任意一种情形。 2.原创选题、精品创意的策划方案：投标人应根据本项目采购需求，提供原创选题、精品创意的策划方案，方案至少包含：①热点追踪方案；②策划直播；③线上线下互动。以上方案内容完全满足采购需求的得15分，每有一项内容缺失的扣5分，每有一项内容有缺陷的扣2.5分，扣完为止。 注:缺陷是指存在项目名称错误、地点区域错误、内容与本项目需求无关与实际情况不匹配、不符合项目特点、仅有框架或标题、套用其他项目方案或存在明显与本项目无关的文字内容、适用的标准（方法）错误，等任意一种情形。</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团队人员</w:t>
            </w:r>
          </w:p>
        </w:tc>
        <w:tc>
          <w:tcPr>
            <w:tcW w:type="dxa" w:w="2575"/>
          </w:tcPr>
          <w:p>
            <w:pPr>
              <w:pStyle w:val="null3"/>
              <w:jc w:val="left"/>
            </w:pPr>
            <w:r>
              <w:rPr>
                <w:rFonts w:ascii="仿宋_GB2312" w:hAnsi="仿宋_GB2312" w:cs="仿宋_GB2312" w:eastAsia="仿宋_GB2312"/>
              </w:rPr>
              <w:t>1、投标人拟为本项目配备的项目负责人（1人）：具有3年（含）及以上新媒体宣传运营从业和团队带领工作经验的，得5分，未提供不得分。 2、投标人拟为本项目配备的专业团队（不包括项目负责人）：具有3年（含）及以上的新媒体从业工作经验的，满足以上要求的每有一人得3分，本项最多得9分。 注：1.提供人员清单花名册，需列出项目负责人及专业团队的人员姓名、性别以及拟在服务团队中担任的岗位。 2.从业工作经验提供以下证明材料之一：合同扫描件（至少包含服务内容和对应人员姓名和服务时间）或验收报告扫描件（至少包含服务内容和对应人员姓名和服务时间）或业主单位出具的工作经验证明材料（至少包含服务内容和对应人员姓名和服务时间）或对应人员自行出具从业工作经验说明（至少包含服务内容和对应人员姓名和服务时间）。 3.所有材料加盖投标人电子章。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团队人员.docx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1.类似项目案例：投标人每提供一个2022年1月1日（含）至今与本项目内容类似（内容为活动策划类）的项目的：视频类新媒体作品全网传播量达到100万（不含）以下，或图文类新媒体作品全网传播量达到10万（不含）以下的案例得1分，最多得10分；视频类新媒体作品全网传播量达到100万（含）及以上，或图文类新媒体作品全网传播量达到10万（含）及以上的得3分，最多得15分。本项最多得25分。 注：①案例附上作品数据清晰截图，包括发布时间、发布平台、运营账号及作品名称。②针对每个案例提供合同关键页扫描件（至少包含合同首页、合同主要服务内容、合同签字页）并加盖投标人电子章。不提供或未按要求提供材料的不得分，时间以作品发布时间为准。 2.达人共创经验：投标人2022年1月1日（含）至今：每提供1名抖音或微博或B站或小红书任一平台粉丝量≥1000万的网络达人合作记录得3分，最多得9分；每提供1名抖音或微博或B站或小红书任一平台粉丝量＜1000万的网络达人合作记录得1分，最多得3分。本项最多得12分。 注：①经验附上作品数据清晰截图，包括发布时间、发布平台、运营账号及作品名称。②针对每个经验提供合同关键页扫描件（至少包含合同首页、合同主要服务内容、合同签字页）或合作沟通记录或转账记录并加盖投标人电子章。不提供或未按要求提供材料的不得分，时间以作品发布时间为准。</w:t>
            </w:r>
          </w:p>
        </w:tc>
        <w:tc>
          <w:tcPr>
            <w:tcW w:type="dxa" w:w="831"/>
          </w:tcPr>
          <w:p>
            <w:pPr>
              <w:pStyle w:val="null3"/>
              <w:jc w:val="center"/>
            </w:pPr>
            <w:r>
              <w:rPr>
                <w:rFonts w:ascii="仿宋_GB2312" w:hAnsi="仿宋_GB2312" w:cs="仿宋_GB2312" w:eastAsia="仿宋_GB2312"/>
              </w:rPr>
              <w:t>37.0000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日常运行方案：投标人应根据本项目采购需求，提供日常运行方案，内容至少包含：①日常维护方案；②巡检方案；③配合参与网络安全重保、网络安全应急演练方案。以上方案内容完全满足采购需求的得15分，每有一项内容缺失的扣5分，每有一项内容有缺陷的扣2.5分，扣完为止。 注:缺陷是指存在项目名称错误、地点区域错误、内容与本项目需求无关与实际情况不匹配、不符合项目特点、仅有框架或标题、套用其他项目方案或存在明显与本项目无关的文字内容、适用的标准（方法）错误，等任意一种情形。 2.技术支撑方案：投标人应根据本项目采购需求，提供技术支撑方案，方案至少包含：①栏目更新方案；②专题页面制作方案；③平台端口对接方案。以上方案内容完全满足采购需求的得15分，每有一项内容缺失的扣5分，每有一项内容有缺陷的扣2.5分，扣完为止。 注:缺陷是指存在项目名称错误、地点区域错误、内容与本项目需求无关与实际情况不匹配、不符合项目特点、仅有框架或标题、套用其他项目方案或存在明显与本项目无关的文字内容、适用的标准（方法）错误，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投标人应根据本项目采购需求，提供质量保障方案，内容应包含：①质量保障措施；②安全保障方案；③应急预案；④项目风险控制。以上方案内容完全满足采购需求的得20分，每有一项内容缺失的扣5分，每有一项内容有缺陷的扣2.5分，扣完为止。 注:缺陷是指存在项目名称错误、地点区域错误、内容与本项目需求无关与实际情况不匹配、不符合项目特点、仅有框架或标题、套用其他项目方案或存在明显与本项目无关的文字内容、适用的标准（方法）错误，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质量保障方案.docx</w:t>
            </w:r>
          </w:p>
        </w:tc>
      </w:tr>
      <w:tr>
        <w:tc>
          <w:tcPr>
            <w:tcW w:type="dxa" w:w="831"/>
            <w:vMerge/>
          </w:tcPr>
          <w:p/>
        </w:tc>
        <w:tc>
          <w:tcPr>
            <w:tcW w:type="dxa" w:w="1661"/>
          </w:tcPr>
          <w:p>
            <w:pPr>
              <w:pStyle w:val="null3"/>
              <w:jc w:val="left"/>
            </w:pPr>
            <w:r>
              <w:rPr>
                <w:rFonts w:ascii="仿宋_GB2312" w:hAnsi="仿宋_GB2312" w:cs="仿宋_GB2312" w:eastAsia="仿宋_GB2312"/>
              </w:rPr>
              <w:t>团队人员</w:t>
            </w:r>
          </w:p>
        </w:tc>
        <w:tc>
          <w:tcPr>
            <w:tcW w:type="dxa" w:w="2575"/>
          </w:tcPr>
          <w:p>
            <w:pPr>
              <w:pStyle w:val="null3"/>
              <w:jc w:val="left"/>
            </w:pPr>
            <w:r>
              <w:rPr>
                <w:rFonts w:ascii="仿宋_GB2312" w:hAnsi="仿宋_GB2312" w:cs="仿宋_GB2312" w:eastAsia="仿宋_GB2312"/>
              </w:rPr>
              <w:t>1、投标人拟为本项目配备的项目负责人（1人）：具有信息化行业网站或平台技术保障经验，得4分，未提供不得分。 2、投标人拟为本项目配备的专业团队（不包括项目负责人）：具有具有信息化行业网站或平台技术保障经验，每有一人得4分，本项最多得8分。 3、投标人拟为本项目配备的所有人员（包含项目负责人或专业团队）中具有：电子信息工程相关专业中级及以上职称或计算机技术与软件专业技术中级及以上资格的，每有1人得4分，最多得8分。 注：1.提供人员清单花名册，需列出项目负责人及专业人员团队的人员姓名、性别及拟在服务团队中担任的岗位。 2.从业工作经验提供以下证明材料之一：合同扫描件（至少包含服务内容和对应人员姓名和服务时间）或验收报告扫描件（至少包含服务内容和对应人员姓名和服务时间）或业主单位出具的工作经验证明材料（至少包含服务内容和对应人员姓名和服务时间）或对应人员自行出具从业工作经验说明（至少包含服务内容和对应人员姓名和服务时间），证书提供对应证书扫描件。 3.所有材料加盖投标人电子章。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团队人员.docx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投标人每提供一个2022年1月1日（含）至今的类似业绩的得4分，最多得20分。 注：针对每个案例提供合同关键页扫描件（至少包含合同首页、合同主要服务内容、合同签字页）并加盖投标人电子章，不提供或未按要求提供材料的不得分，时间以合同签订时间为准。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详见附件：团队人员.docx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详见附件：团队人员.docx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详见附件：团队人员.docx</w:t>
      </w:r>
    </w:p>
    <w:p>
      <w:pPr>
        <w:pStyle w:val="null3"/>
        <w:ind w:firstLine="960"/>
        <w:jc w:val="left"/>
      </w:pPr>
      <w:r>
        <w:rPr>
          <w:rFonts w:ascii="仿宋_GB2312" w:hAnsi="仿宋_GB2312" w:cs="仿宋_GB2312" w:eastAsia="仿宋_GB2312"/>
        </w:rPr>
        <w:t>详见附件：质量保障方案.docx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