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440001-2024-52146</w:t>
      </w:r>
    </w:p>
    <w:p>
      <w:pPr>
        <w:pStyle w:val="null3"/>
        <w:jc w:val="center"/>
        <w:outlineLvl w:val="3"/>
      </w:pPr>
      <w:r>
        <w:rPr>
          <w:sz w:val="24"/>
          <w:b/>
        </w:rPr>
        <w:t>采购项目编号：</w:t>
      </w:r>
      <w:r>
        <w:rPr>
          <w:sz w:val="24"/>
          <w:b/>
        </w:rPr>
        <w:t>GZZJ-ZG-2024745</w:t>
      </w:r>
    </w:p>
    <w:p>
      <w:pPr>
        <w:pStyle w:val="null3"/>
        <w:jc w:val="center"/>
        <w:outlineLvl w:val="3"/>
      </w:pPr>
      <w:r>
        <w:rPr>
          <w:sz w:val="24"/>
          <w:b/>
        </w:rPr>
        <w:t>项目名称：</w:t>
      </w:r>
      <w:r>
        <w:rPr>
          <w:sz w:val="24"/>
          <w:b/>
        </w:rPr>
        <w:t>华南师范大学体能训练仪器设备采购项目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广州中经招标有限公司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广州中经招标有限公司</w:t>
      </w:r>
      <w:r>
        <w:rPr/>
        <w:t>受</w:t>
      </w:r>
      <w:r>
        <w:rPr/>
        <w:t>华南师范大学</w:t>
      </w:r>
      <w:r>
        <w:rPr/>
        <w:t>的委托，采用</w:t>
      </w:r>
      <w:r>
        <w:rPr/>
        <w:t>公开招标</w:t>
      </w:r>
      <w:r>
        <w:rPr/>
        <w:t>方式组织采购</w:t>
      </w:r>
      <w:r>
        <w:rPr/>
        <w:t>华南师范大学体能训练仪器设备采购项目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华南师范大学体能训练仪器设备采购项目</w:t>
      </w:r>
    </w:p>
    <w:p>
      <w:pPr>
        <w:pStyle w:val="null3"/>
        <w:ind w:firstLine="480"/>
      </w:pPr>
      <w:r>
        <w:rPr/>
        <w:t>采购计划编号：</w:t>
      </w:r>
      <w:r>
        <w:rPr/>
        <w:t>440001-2024-52146</w:t>
      </w:r>
    </w:p>
    <w:p>
      <w:pPr>
        <w:pStyle w:val="null3"/>
        <w:ind w:firstLine="480"/>
      </w:pPr>
      <w:r>
        <w:rPr/>
        <w:t>采购项目编号：</w:t>
      </w:r>
      <w:r>
        <w:rPr/>
        <w:t>GZZJ-ZG-2024745</w:t>
      </w:r>
    </w:p>
    <w:p>
      <w:pPr>
        <w:pStyle w:val="null3"/>
        <w:ind w:firstLine="480"/>
      </w:pPr>
      <w:r>
        <w:rPr/>
        <w:t>采购方式：</w:t>
      </w:r>
      <w:r>
        <w:rPr/>
        <w:t>公开招标</w:t>
      </w:r>
    </w:p>
    <w:p>
      <w:pPr>
        <w:pStyle w:val="null3"/>
        <w:ind w:firstLine="480"/>
      </w:pPr>
      <w:r>
        <w:rPr/>
        <w:t>预算金额：</w:t>
      </w:r>
      <w:r>
        <w:rPr/>
        <w:t>1,160,000.00</w:t>
      </w:r>
      <w:r>
        <w:rPr/>
        <w:t>元</w:t>
      </w:r>
    </w:p>
    <w:p>
      <w:pPr>
        <w:pStyle w:val="null3"/>
        <w:outlineLvl w:val="3"/>
      </w:pPr>
      <w:r>
        <w:rPr>
          <w:sz w:val="24"/>
          <w:b/>
        </w:rPr>
        <w:t>2.项目内容及需求情况（采购项目技术规格、参数及要求）</w:t>
      </w:r>
    </w:p>
    <w:p>
      <w:pPr>
        <w:pStyle w:val="null3"/>
      </w:pPr>
      <w:r>
        <w:rPr/>
        <w:t>采购包1(体能训练设备仪器):</w:t>
      </w:r>
    </w:p>
    <w:p>
      <w:pPr>
        <w:pStyle w:val="null3"/>
      </w:pPr>
      <w:r>
        <w:rPr/>
        <w:t>采购包预算金额：1,160,000.00元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其他体育设备设施</w:t>
            </w:r>
          </w:p>
        </w:tc>
        <w:tc>
          <w:tcPr>
            <w:tcW w:type="dxa" w:w="2052"/>
          </w:tcPr>
          <w:p>
            <w:pPr>
              <w:pStyle w:val="null3"/>
            </w:pPr>
            <w:r>
              <w:rPr/>
              <w:t>体能训练设备仪器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合同履行期限：自合同双方签字盖章之日起150日历天内完成投标产品的供货、安装、调试和验收，并交付使用。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2）有依法缴纳税收和社会保障资金的良好记录：①提供2023年或2024年任意一个月依法缴纳税收的相关证明材料，如依法免税的，应提供相应文件证明其依法免税； ②提供2023年或2024年任意一个月依法缴纳社会保险的证明复印件，如依法不需要缴纳社会保障资金的，应提供相应文件证明其依法不需要缴纳社会保障资金。</w:t>
      </w:r>
    </w:p>
    <w:p>
      <w:pPr>
        <w:pStyle w:val="null3"/>
      </w:pPr>
      <w:r>
        <w:rPr/>
        <w:t>3）具有良好的商业信誉和健全的财务会计制度：提供以下任一证明： ①2022年度或2023年度经审计的财务报告复印件； ②提供2024年至今任意1个月的财务状况报告复印件； ③银行出具的资信证明材料复印件。</w:t>
      </w:r>
    </w:p>
    <w:p>
      <w:pPr>
        <w:pStyle w:val="null3"/>
      </w:pPr>
      <w:r>
        <w:rPr/>
        <w:t>4）履行合同所必需的设备和专业技术能力：提供投标函。</w:t>
      </w:r>
    </w:p>
    <w:p>
      <w:pPr>
        <w:pStyle w:val="null3"/>
      </w:pPr>
      <w:r>
        <w:rPr/>
        <w:t>5）参加采购活动前3年内，在经营活动中没有重大违法记录：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采购包1（体能训练设备仪器）：</w:t>
      </w:r>
      <w:r>
        <w:rPr/>
        <w:t>本项目整体专门面向中小企业采购。 （1）提供货物的制造商须为符合本项目采购标的对应行业（工业）政策划分标准的中小企业（提供《中小企业声明函》）。 （2）根据有关政策，视同为小微企业的其他情形： ① 若提供货物的制造商为残疾人福利性单位，提供《残疾人福利性单位声明函》。 ② 若提供货物的制造商为监狱企业，提供由省级以上监狱管理局、戒毒管理局(含新疆生产建设兵团)出具的属于监狱企业的证明文件。</w:t>
      </w:r>
    </w:p>
    <w:p>
      <w:pPr>
        <w:pStyle w:val="null3"/>
        <w:outlineLvl w:val="3"/>
      </w:pPr>
      <w:r>
        <w:rPr>
          <w:sz w:val="24"/>
          <w:b/>
        </w:rPr>
        <w:t>3.本项目特定的资格要求：</w:t>
      </w:r>
    </w:p>
    <w:p>
      <w:pPr>
        <w:pStyle w:val="null3"/>
      </w:pPr>
      <w:r>
        <w:rPr/>
        <w:t>采购包1（体能训练设备仪器）：</w:t>
      </w:r>
    </w:p>
    <w:p>
      <w:pPr>
        <w:pStyle w:val="null3"/>
      </w:pPr>
      <w:r>
        <w:rPr/>
        <w:t>1)（1）单位负责人为同一人或者存在直接控股、管理关系的不同供应商，不得同时参加本采购项目（包组）投标。 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广州中经招标有限公司（http://www.gzbidding.cn/）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020-85210852</w:t>
      </w:r>
    </w:p>
    <w:p>
      <w:pPr>
        <w:pStyle w:val="null3"/>
        <w:outlineLvl w:val="3"/>
      </w:pPr>
      <w:r>
        <w:rPr>
          <w:sz w:val="24"/>
          <w:b/>
        </w:rPr>
        <w:t xml:space="preserve"> 2.采购代理机构信息</w:t>
      </w:r>
    </w:p>
    <w:p>
      <w:pPr>
        <w:pStyle w:val="null3"/>
        <w:ind w:firstLine="480"/>
      </w:pPr>
      <w:r>
        <w:rPr/>
        <w:t xml:space="preserve"> 名称：</w:t>
      </w:r>
      <w:r>
        <w:rPr/>
        <w:t>广州中经招标有限公司</w:t>
      </w:r>
    </w:p>
    <w:p>
      <w:pPr>
        <w:pStyle w:val="null3"/>
        <w:ind w:firstLine="480"/>
      </w:pPr>
      <w:r>
        <w:rPr/>
        <w:t xml:space="preserve"> 地址：</w:t>
      </w:r>
      <w:r>
        <w:rPr/>
        <w:t>广州市越秀区寺右一马路18号泰恒大厦14楼1409室</w:t>
      </w:r>
    </w:p>
    <w:p>
      <w:pPr>
        <w:pStyle w:val="null3"/>
        <w:ind w:firstLine="480"/>
      </w:pPr>
      <w:r>
        <w:rPr/>
        <w:t xml:space="preserve"> 联系方式：</w:t>
      </w:r>
      <w:r>
        <w:rPr/>
        <w:t>020-87385151、37639369、87371812、87372296</w:t>
      </w:r>
    </w:p>
    <w:p>
      <w:pPr>
        <w:pStyle w:val="null3"/>
        <w:outlineLvl w:val="3"/>
      </w:pPr>
      <w:r>
        <w:rPr>
          <w:sz w:val="24"/>
          <w:b/>
        </w:rPr>
        <w:t xml:space="preserve"> 3.项目联系方式</w:t>
      </w:r>
    </w:p>
    <w:p>
      <w:pPr>
        <w:pStyle w:val="null3"/>
        <w:ind w:firstLine="480"/>
      </w:pPr>
      <w:r>
        <w:rPr/>
        <w:t xml:space="preserve"> 项目联系人：</w:t>
      </w:r>
      <w:r>
        <w:rPr/>
        <w:t>梁小姐、庄小姐</w:t>
      </w:r>
    </w:p>
    <w:p>
      <w:pPr>
        <w:pStyle w:val="null3"/>
        <w:ind w:firstLine="480"/>
      </w:pPr>
      <w:r>
        <w:rPr/>
        <w:t xml:space="preserve"> 电话：</w:t>
      </w:r>
      <w:r>
        <w:rPr/>
        <w:t>020-87385151、37639369、87371812、87372296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广州中经招标有限公司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2372"/>
        <w:gridCol w:w="996"/>
        <w:gridCol w:w="1918"/>
        <w:gridCol w:w="1494"/>
        <w:gridCol w:w="1523"/>
      </w:tblGrid>
      <w:tr>
        <w:tc>
          <w:tcPr>
            <w:tcW w:type="dxa" w:w="2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c>
          <w:tcPr>
            <w:tcW w:type="dxa" w:w="1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体能训练设备仪器</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firstLine="2"/>
              <w:jc w:val="center"/>
            </w:pPr>
            <w:r>
              <w:rPr>
                <w:sz w:val="21"/>
              </w:rPr>
              <w:t>人民币</w:t>
            </w:r>
            <w:r>
              <w:rPr>
                <w:sz w:val="21"/>
              </w:rPr>
              <w:t>116万元</w:t>
            </w:r>
          </w:p>
        </w:tc>
        <w:tc>
          <w:tcPr>
            <w:tcW w:type="dxa" w:w="1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jc w:val="both"/>
      </w:pPr>
      <w:r>
        <w:rPr>
          <w:sz w:val="21"/>
          <w:b/>
        </w:rPr>
        <w:t>（二）项目属性：货物类</w:t>
      </w:r>
    </w:p>
    <w:p>
      <w:pPr>
        <w:pStyle w:val="null3"/>
        <w:jc w:val="left"/>
      </w:pPr>
      <w:r>
        <w:rPr>
          <w:sz w:val="21"/>
          <w:b/>
        </w:rPr>
        <w:t>（三）打</w:t>
      </w:r>
      <w:r>
        <w:rPr>
          <w:sz w:val="21"/>
          <w:b/>
        </w:rPr>
        <w:t>“</w:t>
      </w:r>
      <w:r>
        <w:rPr>
          <w:sz w:val="21"/>
          <w:b/>
        </w:rPr>
        <w:t>★</w:t>
      </w:r>
      <w:r>
        <w:rPr>
          <w:sz w:val="21"/>
          <w:b/>
        </w:rPr>
        <w:t>”</w:t>
      </w:r>
      <w:r>
        <w:rPr>
          <w:sz w:val="21"/>
          <w:b/>
        </w:rPr>
        <w:t>号条款为实质性</w:t>
      </w:r>
      <w:r>
        <w:rPr>
          <w:sz w:val="21"/>
          <w:b/>
          <w:color w:val="000000"/>
        </w:rPr>
        <w:t>条款，若有任何一条负偏离或不满足则导致投标（响应）无效。</w:t>
      </w:r>
      <w:r>
        <w:rPr>
          <w:sz w:val="21"/>
          <w:b/>
          <w:color w:val="000000"/>
        </w:rPr>
        <w:t>打</w:t>
      </w:r>
      <w:r>
        <w:rPr>
          <w:sz w:val="21"/>
          <w:b/>
          <w:color w:val="000000"/>
        </w:rPr>
        <w:t>“</w:t>
      </w:r>
      <w:r>
        <w:rPr>
          <w:sz w:val="21"/>
          <w:b/>
        </w:rPr>
        <w:t>▲”</w:t>
      </w:r>
      <w:r>
        <w:rPr>
          <w:sz w:val="21"/>
          <w:b/>
        </w:rPr>
        <w:t>号条款为重要技术参数（如有），若有部分</w:t>
      </w:r>
      <w:r>
        <w:rPr>
          <w:sz w:val="21"/>
          <w:b/>
        </w:rPr>
        <w:t>“▲”</w:t>
      </w:r>
      <w:r>
        <w:rPr>
          <w:sz w:val="21"/>
          <w:b/>
        </w:rPr>
        <w:t>条款未响应或不满足，将根据评审要求</w:t>
      </w:r>
      <w:r>
        <w:rPr>
          <w:sz w:val="21"/>
          <w:b/>
        </w:rPr>
        <w:t>影响其得分，但不作为无效投标（响应）条款。</w:t>
      </w:r>
    </w:p>
    <w:p>
      <w:pPr>
        <w:pStyle w:val="null3"/>
        <w:jc w:val="both"/>
      </w:pPr>
      <w:r>
        <w:rPr>
          <w:sz w:val="21"/>
          <w:b/>
        </w:rPr>
        <w:t>（四）采购货物清单：</w:t>
      </w:r>
    </w:p>
    <w:tbl>
      <w:tblPr>
        <w:tblW w:w="0" w:type="auto"/>
        <w:tblBorders>
          <w:top w:val="none" w:color="000000" w:sz="4"/>
          <w:left w:val="none" w:color="000000" w:sz="4"/>
          <w:bottom w:val="none" w:color="000000" w:sz="4"/>
          <w:right w:val="none" w:color="000000" w:sz="4"/>
          <w:insideH w:val="none"/>
          <w:insideV w:val="none"/>
        </w:tblBorders>
      </w:tblPr>
      <w:tblGrid>
        <w:gridCol w:w="572"/>
        <w:gridCol w:w="2449"/>
        <w:gridCol w:w="733"/>
        <w:gridCol w:w="733"/>
        <w:gridCol w:w="1965"/>
        <w:gridCol w:w="1848"/>
      </w:tblGrid>
      <w:tr>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单项最高限价</w:t>
            </w:r>
          </w:p>
          <w:p>
            <w:pPr>
              <w:pStyle w:val="null3"/>
              <w:jc w:val="center"/>
            </w:pPr>
            <w:r>
              <w:rPr>
                <w:sz w:val="21"/>
                <w:b/>
              </w:rPr>
              <w:t>（万元）</w:t>
            </w:r>
          </w:p>
        </w:tc>
        <w:tc>
          <w:tcPr>
            <w:tcW w:type="dxa" w:w="1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是否允许采购进口产品</w:t>
            </w:r>
          </w:p>
        </w:tc>
      </w:tr>
      <w:tr>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体能训练设备仪器</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jc w:val="left"/>
      </w:pPr>
      <w:r>
        <w:rPr>
          <w:sz w:val="21"/>
          <w:b/>
        </w:rPr>
        <w:t>（五）投标人需在投标文件中提供所投设备的详细配置清单。</w:t>
      </w:r>
    </w:p>
    <w:p>
      <w:pPr>
        <w:pStyle w:val="null3"/>
      </w:pPr>
      <w:r>
        <w:rPr/>
        <w:t>采购包1（体能训练设备仪器）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自合同双方签字盖章之日起150日历天内完成投标产品的供货、安装、调试和验收，并交付使用。</w:t>
            </w:r>
          </w:p>
        </w:tc>
      </w:tr>
      <w:tr>
        <w:tc>
          <w:tcPr>
            <w:tcW w:type="dxa" w:w="4153"/>
          </w:tcPr>
          <w:p>
            <w:pPr>
              <w:pStyle w:val="null3"/>
            </w:pPr>
            <w:r>
              <w:rPr/>
              <w:t>标的提供的地点</w:t>
            </w:r>
          </w:p>
        </w:tc>
        <w:tc>
          <w:tcPr>
            <w:tcW w:type="dxa" w:w="4153"/>
          </w:tcPr>
          <w:p>
            <w:pPr>
              <w:pStyle w:val="null3"/>
            </w:pPr>
            <w:r>
              <w:rPr/>
              <w:t>华南师范大学指定交付地点。</w:t>
            </w:r>
          </w:p>
        </w:tc>
      </w:tr>
      <w:tr>
        <w:tc>
          <w:tcPr>
            <w:tcW w:type="dxa" w:w="4153"/>
          </w:tcPr>
          <w:p>
            <w:pPr>
              <w:pStyle w:val="null3"/>
            </w:pPr>
            <w:r>
              <w:rPr/>
              <w:t>付款方式</w:t>
            </w:r>
          </w:p>
        </w:tc>
        <w:tc>
          <w:tcPr>
            <w:tcW w:type="dxa" w:w="4153"/>
          </w:tcPr>
          <w:p>
            <w:pPr>
              <w:pStyle w:val="null3"/>
            </w:pPr>
            <w:r>
              <w:rPr/>
              <w:t>1期：支付比例80%,支付比例80%，合同签订后，2024年12月25日前，货到采购人指定地点或提供与合同金额80%等额的保函，采购人支付80%合同金额至中标人指定账户（中标人须提供等额增值税专用发票）。如中标人为中小微企业的，则合同签订后5个工作日内，采购人通过银行转账方式支付同金额的30%给中标人作为预付款；2024年12月25日前，货到采购人指定地点或提供与合同金额50%等额的保函，支付合同金额的50%。</w:t>
            </w:r>
          </w:p>
          <w:p>
            <w:pPr>
              <w:pStyle w:val="null3"/>
            </w:pPr>
            <w:r>
              <w:rPr/>
              <w:t>2期：支付比例20%,支付比例20%,待采购人验收合格后，支付剩余合同金额的20%（中标人须提供等额增值税专用发票）。说明：采购人向中标人指定账户汇出款项后，即视为已履行付款义务。在汇款过程中，因中标人账户的原因（包括但不限于账号被注销、被冻结等）导致其无法收取款项的，由中标人承担相应后果。 本项目如执行国库支付的，采购人在验收合格后10个工作日内办理财政集中支付申请手续，付款按照财政部门国库集中支付的有关规定办理。付款时间为采购人向政府财政支付部门提出支付申请的时间（不含政府财政支付部门审查的时间）。 如项目履行过程中，采购人采取融资支付或其他支付方式，中标人应配合采购人签订补充协议。</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安装调试完毕且正常运行不少于3个月后，中标人应备齐采购人要求提供的验收文件，并提出书面验收申请。采购人将按流程进行验收，并出具采购物资验收报告给中标人。货物验收合格之日为采购人签署采购物资验收报告的日期。 2.货物验收标准：以招投标文件和合同项下约定的货物及价格、详细配置清单及技术指标、符合招标文件和投标承诺中采购人认可的合理最佳配置、参数及各项要求、国家相关标准和行业规范进行验收（该等标准不一致的，以较高为准）。 3.经采购人对中标人提供的货物进行验收，若发现中标人提供的货物不符合招投标文件及合同规定的质量要求，采购人有权拒收该货物，中标人应无条件更换被拒绝的货物，或者进行必要的修改以满足规定的要求；采购人也有权选择解除合同并要求中标人承担违约责任。</w:t>
            </w:r>
          </w:p>
        </w:tc>
      </w:tr>
      <w:tr>
        <w:tc>
          <w:tcPr>
            <w:tcW w:type="dxa" w:w="4153"/>
          </w:tcPr>
          <w:p>
            <w:pPr>
              <w:pStyle w:val="null3"/>
            </w:pPr>
            <w:r>
              <w:rPr/>
              <w:t>履约保证金</w:t>
            </w:r>
          </w:p>
        </w:tc>
        <w:tc>
          <w:tcPr>
            <w:tcW w:type="dxa" w:w="4153"/>
          </w:tcPr>
          <w:p>
            <w:pPr>
              <w:pStyle w:val="null3"/>
            </w:pPr>
            <w:r>
              <w:rPr/>
              <w:t>收取比例：5%,说明：中标人在合同签订后10日内，以支票、汇票、本票、保函或转账方式向采购人提交合同总额的5%作为履约保证金。项目验收合格2个月内，合同标的无质量问题，中标人凭收据向采购人申请退还，采购人在收到中标人申请单据之日起15个工作日内无息退还给中标人。履约保证金不予退还的情形：（1）未经采购人同意，中标人将本项目进行分包或转包给他人；（2）在履行合同期间，中标人未经采购人同意提前终止本项目合同；（3）在履行合同期间，中标人因在经营活动中存在违法被吊销营业执照或相关许可，导致本项目合同无法继续履行的。</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包装和运输，中标人提供的货物必须是制造厂商全新的原厂原装产品（含零部件、配件、随机工具、技术文件等），包装外观完好、表面无划损、破损，无任何缺陷及隐患，每台设备上均应钉有铭牌(内容包括：制造商,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一概由中标人负责赔偿。包装材料具有一定的缓冲性能,能够吸收外部冲击力,避免设备受损。包装以纸箱为主，内有泡沫或气泡膜填充进行隔振缓冲。运输过程，选择优质服务的物流公司，如：顺丰物流；运输过程需要对于仪器货物进行适当的固定，避免运输过程中发生碰撞。中标人承担货物运抵指定交货地点的运输费、保险费、包装费等，上述费用包含在货物的最终成交总额中。设备的包装均应有良好的防湿、防锈、防潮、防雨、防腐及防碰撞等的措施，符合《商品包装政府采购需求标准（试行）》及《快递包装政府采购需求标准（试行）》的要求。 二、货物安装调试， 1. 中标人应在签订合同后5天内向采购人提出产品安装、调试应准备的条件。中标人必须在货物测试与验收前，向采购人提供按本合同的技术规格、技术规范的要求进行的测试与验收方案。 2. 货物交付采购人后，双方商定日期，双方一起开箱验货，不得单方面开箱。采购人对货物的外观品质、数量、规格、型号、备件、随机资料等进行初步验收，中标人负责安装调试。 3．采购人在开箱验货中如发现货物不符合合同的约定，有权拒绝接受货物，经各方确认后，中标人应于5天内重新提供符合合同约定的货物，否则，视为中标人逾期交货。 4．中标人应于货到采购人指定交货地点之日起5天内完成安装调试。 5．采购人在货物到达交货地点后对货物进行检验、测试及必要时拒绝接受货物的权利将不会因为货物在中标人的驻地已通过了采购人或其代表的检验、测试和认可而受到限制或放弃。 三、质保期保障服务 1.质保期：中标人对本合同标的提供3年质保期（费用包含在投标报价中），对由于设计、制造工艺、材料和安装所造成的质量缺陷或质量问题负责，并进行修理、更换零部件或退换，并须对设备出现的有关技术性问题或安全问题负责处理、解决，同时中标人应相应延长被更换货物的质保期，软件提供终身升级，质保期自货物验收合格之日起计算。质保期内提供现场保修、包换或包退服务，由此产生的一切费用均由中标人承担。中标人不能修复、调换或不能退货的，应退回相应货款，并承担相应违约责任。 2.中标人应有专职工程师负责对所售产品安装，调试，培训，维修和处理。质保期内，在接到系统故障或问题告知后，中标人响应时间不得超过2小时，到达现场时间不得超过24小时，并应在48小时（前述响应及到达现场时间已包含计算在内）内排除故障。否则视为中标人不能修复货物。如果需要更换配件的，中标人须在3个工作日内完成配件更换服务，且更换的配件跟被更换的品牌、类型相一致或者是同类档次相当或更高的替代品，后者需征得采购人管理人员同意。如果故障在前述时间内仍无法排除，中标人应无条件在5个工作日内提供不低于故障设备规格型号档次的备用设备供采购人使用，直至故障设备修复。 3.质保期内，同一硬件一个月内连续2次出现同一故障，中标人应无条件更换性能指标不低于原规格型号的新部件。严重影响教学工作的，中标人无条件提供不低于该档次的设备给采购人使用。 4.质保期满后设备维修仅收取配件成本费，不收取上门费及人工费。中标人承诺配件更换的费用，以不高于市场价格八折提供给学校。 四、培训，中标人负责提供合同标的现场操作、运行、维护、修理的培训方案及必需的培训资料，并对采购人受训人员进行现场培训直至能熟练操作为止，培训次数不少于5次，每次培训应配置不少于1个工程师，培训天数应不少于1天，培训期间工程师的食宿由中标人负责。培训内容应至少包括：设备的操作使用和保养；设备安全注意事项；设备简易故障排除等。在后期使用过程中，如需增加培训环节，中标人负责根据采购人需要提供培训服务。以上相关费用已包含在投标报价中。 五、保险，由中标人投保，应包含货物（包括备品备件）运至最终目的地的相关保险费用，费用已包含在投标报价中。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其他体育设备设施</w:t>
            </w:r>
          </w:p>
        </w:tc>
        <w:tc>
          <w:tcPr>
            <w:tcW w:type="dxa" w:w="831"/>
          </w:tcPr>
          <w:p>
            <w:pPr>
              <w:pStyle w:val="null3"/>
              <w:jc w:val="left"/>
            </w:pPr>
            <w:r>
              <w:rPr/>
              <w:t>体能训练设备仪器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1,160,000.00</w:t>
            </w:r>
          </w:p>
        </w:tc>
        <w:tc>
          <w:tcPr>
            <w:tcW w:type="dxa" w:w="831"/>
          </w:tcPr>
          <w:p>
            <w:pPr>
              <w:pStyle w:val="null3"/>
              <w:jc w:val="right"/>
            </w:pPr>
            <w:r>
              <w:rPr/>
              <w:t>1,160,000.00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体能训练设备仪器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分段计时实时反馈系统</w:t>
            </w:r>
            <w:r>
              <w:rPr>
                <w:sz w:val="21"/>
                <w:b/>
              </w:rPr>
              <w:t>,，数量1套，</w:t>
            </w:r>
          </w:p>
          <w:p>
            <w:pPr>
              <w:pStyle w:val="null3"/>
              <w:jc w:val="both"/>
            </w:pPr>
            <w:r>
              <w:rPr>
                <w:sz w:val="21"/>
              </w:rPr>
              <w:t>功能参数：</w:t>
            </w:r>
          </w:p>
          <w:p>
            <w:pPr>
              <w:pStyle w:val="null3"/>
              <w:jc w:val="both"/>
            </w:pPr>
            <w:r>
              <w:rPr>
                <w:sz w:val="21"/>
              </w:rPr>
              <w:t>1. 无线便携式速度、灵敏分段计时，实时反馈系统；</w:t>
            </w:r>
          </w:p>
          <w:p>
            <w:pPr>
              <w:pStyle w:val="null3"/>
              <w:jc w:val="both"/>
            </w:pPr>
            <w:r>
              <w:rPr>
                <w:sz w:val="21"/>
              </w:rPr>
              <w:t>2. 彩色指示灯实时反馈；</w:t>
            </w:r>
          </w:p>
          <w:p>
            <w:pPr>
              <w:pStyle w:val="null3"/>
              <w:jc w:val="both"/>
            </w:pPr>
            <w:r>
              <w:rPr>
                <w:sz w:val="21"/>
              </w:rPr>
              <w:t>3. 适用于各种运动的反应速度测试、训练、教学、研究 ，自主设置测试流程，自定义创建测试方法及刺激方式，通过视觉(灯光)、声音等信号 ；</w:t>
            </w:r>
          </w:p>
          <w:p>
            <w:pPr>
              <w:pStyle w:val="null3"/>
              <w:jc w:val="both"/>
            </w:pPr>
            <w:r>
              <w:rPr>
                <w:sz w:val="21"/>
              </w:rPr>
              <w:t>4. 可以兼容，单独作为计时门使用；</w:t>
            </w:r>
          </w:p>
          <w:p>
            <w:pPr>
              <w:pStyle w:val="null3"/>
              <w:jc w:val="both"/>
            </w:pPr>
            <w:r>
              <w:rPr>
                <w:sz w:val="21"/>
              </w:rPr>
              <w:t>▲5. 具有内置360度</w:t>
            </w:r>
          </w:p>
          <w:p>
            <w:pPr>
              <w:pStyle w:val="null3"/>
              <w:jc w:val="both"/>
            </w:pPr>
            <w:r>
              <w:rPr>
                <w:sz w:val="21"/>
              </w:rPr>
              <w:t>显示包括但不限于运动员姓名，分段用时，结果以及电池状态；</w:t>
            </w:r>
          </w:p>
          <w:p>
            <w:pPr>
              <w:pStyle w:val="null3"/>
              <w:jc w:val="both"/>
            </w:pPr>
            <w:r>
              <w:rPr>
                <w:sz w:val="21"/>
              </w:rPr>
              <w:t xml:space="preserve">6. 个性化训练方式不同距离多条线路，具体如下：    </w:t>
            </w:r>
          </w:p>
          <w:p>
            <w:pPr>
              <w:pStyle w:val="null3"/>
              <w:jc w:val="both"/>
            </w:pPr>
            <w:r>
              <w:rPr>
                <w:sz w:val="21"/>
              </w:rPr>
              <w:t>6.1 直线跑计时（从起跑位置到终点，分段计时）；</w:t>
            </w:r>
          </w:p>
          <w:p>
            <w:pPr>
              <w:pStyle w:val="null3"/>
              <w:jc w:val="both"/>
            </w:pPr>
            <w:r>
              <w:rPr>
                <w:sz w:val="21"/>
              </w:rPr>
              <w:t>6.2 自由计时（任意分段计时，例如300码往返跑或预设的敏捷性测试）；</w:t>
            </w:r>
          </w:p>
          <w:p>
            <w:pPr>
              <w:pStyle w:val="null3"/>
              <w:jc w:val="both"/>
            </w:pPr>
            <w:r>
              <w:rPr>
                <w:sz w:val="21"/>
              </w:rPr>
              <w:t>6.3 可设定一个移动设备控制的多跑道计时，可实现400m跑道分段计时；</w:t>
            </w:r>
          </w:p>
          <w:p>
            <w:pPr>
              <w:pStyle w:val="null3"/>
              <w:jc w:val="both"/>
            </w:pPr>
            <w:r>
              <w:rPr>
                <w:sz w:val="21"/>
              </w:rPr>
              <w:t>6.4 自定义创建速度测试（例如间歇往返跑测试）；</w:t>
            </w:r>
          </w:p>
          <w:p>
            <w:pPr>
              <w:pStyle w:val="null3"/>
              <w:jc w:val="both"/>
            </w:pPr>
            <w:r>
              <w:rPr>
                <w:sz w:val="21"/>
              </w:rPr>
              <w:t>6.5 启动/反应时间测量；</w:t>
            </w:r>
          </w:p>
          <w:p>
            <w:pPr>
              <w:pStyle w:val="null3"/>
              <w:jc w:val="both"/>
            </w:pPr>
            <w:r>
              <w:rPr>
                <w:sz w:val="21"/>
              </w:rPr>
              <w:t>6.6 灵敏训练（网格跑，切式变向跑，蛇形跑等），包括自定义灵敏训练；</w:t>
            </w:r>
          </w:p>
          <w:p>
            <w:pPr>
              <w:pStyle w:val="null3"/>
              <w:jc w:val="both"/>
            </w:pPr>
            <w:r>
              <w:rPr>
                <w:sz w:val="21"/>
              </w:rPr>
              <w:t>▲6.7 全自动速度耐力测试（滴声测试，Yoyo测试，多阶段体能测试，自定义可编程起搏）。</w:t>
            </w:r>
          </w:p>
          <w:p>
            <w:pPr>
              <w:pStyle w:val="null3"/>
              <w:jc w:val="both"/>
            </w:pPr>
            <w:r>
              <w:rPr>
                <w:sz w:val="21"/>
              </w:rPr>
              <w:t>7. 手机端app：适用于包括但不限于苹果系统，所有测试数据实时反馈；</w:t>
            </w:r>
          </w:p>
          <w:p>
            <w:pPr>
              <w:pStyle w:val="null3"/>
              <w:jc w:val="both"/>
            </w:pPr>
            <w:r>
              <w:rPr>
                <w:sz w:val="21"/>
              </w:rPr>
              <w:t>▲8. 每次测试结束后，数据可通过无线网络实时传至云端网页版软件，所有数据可以Excel格式导出；</w:t>
            </w:r>
          </w:p>
          <w:p>
            <w:pPr>
              <w:pStyle w:val="null3"/>
              <w:jc w:val="both"/>
            </w:pPr>
            <w:r>
              <w:rPr>
                <w:sz w:val="21"/>
              </w:rPr>
              <w:t>技术参数：</w:t>
            </w:r>
          </w:p>
          <w:p>
            <w:pPr>
              <w:pStyle w:val="null3"/>
              <w:jc w:val="both"/>
            </w:pPr>
            <w:r>
              <w:rPr>
                <w:sz w:val="21"/>
              </w:rPr>
              <w:t>9. 尺寸：长</w:t>
            </w:r>
            <w:r>
              <w:rPr>
                <w:sz w:val="21"/>
              </w:rPr>
              <w:t>≥</w:t>
            </w:r>
            <w:r>
              <w:rPr>
                <w:sz w:val="21"/>
              </w:rPr>
              <w:t xml:space="preserve"> </w:t>
            </w:r>
            <w:r>
              <w:rPr>
                <w:sz w:val="21"/>
              </w:rPr>
              <w:t>10.3 cm ，宽</w:t>
            </w:r>
            <w:r>
              <w:rPr>
                <w:sz w:val="21"/>
              </w:rPr>
              <w:t>≥</w:t>
            </w:r>
            <w:r>
              <w:rPr>
                <w:sz w:val="21"/>
              </w:rPr>
              <w:t xml:space="preserve">10.3 cm  ，高 </w:t>
            </w:r>
            <w:r>
              <w:rPr>
                <w:sz w:val="21"/>
              </w:rPr>
              <w:t>≥</w:t>
            </w:r>
            <w:r>
              <w:rPr>
                <w:sz w:val="21"/>
              </w:rPr>
              <w:t>23.3cm；</w:t>
            </w:r>
          </w:p>
          <w:p>
            <w:pPr>
              <w:pStyle w:val="null3"/>
              <w:jc w:val="both"/>
            </w:pPr>
            <w:r>
              <w:rPr>
                <w:sz w:val="21"/>
              </w:rPr>
              <w:t>10. 重：</w:t>
            </w:r>
            <w:r>
              <w:rPr>
                <w:sz w:val="21"/>
              </w:rPr>
              <w:t>≥</w:t>
            </w:r>
            <w:r>
              <w:rPr>
                <w:sz w:val="21"/>
              </w:rPr>
              <w:t>920克；</w:t>
            </w:r>
          </w:p>
          <w:p>
            <w:pPr>
              <w:pStyle w:val="null3"/>
              <w:jc w:val="both"/>
            </w:pPr>
            <w:r>
              <w:rPr>
                <w:sz w:val="21"/>
              </w:rPr>
              <w:t>11. 反光板尺寸：长</w:t>
            </w:r>
            <w:r>
              <w:rPr>
                <w:sz w:val="21"/>
              </w:rPr>
              <w:t>≥</w:t>
            </w:r>
            <w:r>
              <w:rPr>
                <w:sz w:val="21"/>
              </w:rPr>
              <w:t>12.2 cm , 高</w:t>
            </w:r>
            <w:r>
              <w:rPr>
                <w:sz w:val="21"/>
              </w:rPr>
              <w:t>≥</w:t>
            </w:r>
            <w:r>
              <w:rPr>
                <w:sz w:val="21"/>
              </w:rPr>
              <w:t>9.94 cm ；</w:t>
            </w:r>
          </w:p>
          <w:p>
            <w:pPr>
              <w:pStyle w:val="null3"/>
              <w:jc w:val="both"/>
            </w:pPr>
            <w:r>
              <w:rPr>
                <w:sz w:val="21"/>
              </w:rPr>
              <w:t>12. 光电池到反光板的最大范围：</w:t>
            </w:r>
            <w:r>
              <w:rPr>
                <w:sz w:val="21"/>
              </w:rPr>
              <w:t>≥</w:t>
            </w:r>
            <w:r>
              <w:rPr>
                <w:sz w:val="21"/>
              </w:rPr>
              <w:t>4m；</w:t>
            </w:r>
          </w:p>
          <w:p>
            <w:pPr>
              <w:pStyle w:val="null3"/>
              <w:jc w:val="both"/>
            </w:pPr>
            <w:r>
              <w:rPr>
                <w:sz w:val="21"/>
              </w:rPr>
              <w:t>13. 激光器：可见光瞄准激光</w:t>
            </w:r>
            <w:r>
              <w:rPr>
                <w:sz w:val="21"/>
              </w:rPr>
              <w:t>≥</w:t>
            </w:r>
            <w:r>
              <w:rPr>
                <w:sz w:val="21"/>
              </w:rPr>
              <w:t>635 nm；</w:t>
            </w:r>
          </w:p>
          <w:p>
            <w:pPr>
              <w:pStyle w:val="null3"/>
              <w:jc w:val="both"/>
            </w:pPr>
            <w:r>
              <w:rPr>
                <w:sz w:val="21"/>
              </w:rPr>
              <w:t>14. 反馈方式：LED面板(分辨率≤40 x 16）；蜂鸣器</w:t>
            </w:r>
            <w:r>
              <w:rPr>
                <w:sz w:val="21"/>
              </w:rPr>
              <w:t>≥</w:t>
            </w:r>
            <w:r>
              <w:rPr>
                <w:sz w:val="21"/>
              </w:rPr>
              <w:t>95 dB ；</w:t>
            </w:r>
          </w:p>
          <w:p>
            <w:pPr>
              <w:pStyle w:val="null3"/>
              <w:jc w:val="both"/>
            </w:pPr>
            <w:r>
              <w:rPr>
                <w:sz w:val="21"/>
              </w:rPr>
              <w:t>15. 无线连接：UWB IEEE 802.15.4 星形网络；</w:t>
            </w:r>
          </w:p>
          <w:p>
            <w:pPr>
              <w:pStyle w:val="null3"/>
              <w:jc w:val="both"/>
            </w:pPr>
            <w:r>
              <w:rPr>
                <w:sz w:val="21"/>
              </w:rPr>
              <w:t>▲16. 时间单位：≤0.001秒；</w:t>
            </w:r>
          </w:p>
          <w:p>
            <w:pPr>
              <w:pStyle w:val="null3"/>
              <w:jc w:val="both"/>
            </w:pPr>
            <w:r>
              <w:rPr>
                <w:sz w:val="21"/>
              </w:rPr>
              <w:t>17. 电池寿命： 常规使用</w:t>
            </w:r>
            <w:r>
              <w:rPr>
                <w:sz w:val="21"/>
              </w:rPr>
              <w:t>≥</w:t>
            </w:r>
            <w:r>
              <w:rPr>
                <w:sz w:val="21"/>
              </w:rPr>
              <w:t>10小时；</w:t>
            </w:r>
          </w:p>
          <w:p>
            <w:pPr>
              <w:pStyle w:val="null3"/>
              <w:jc w:val="both"/>
            </w:pPr>
            <w:r>
              <w:rPr>
                <w:sz w:val="21"/>
              </w:rPr>
              <w:t>18. 充电时间：</w:t>
            </w:r>
            <w:r>
              <w:rPr>
                <w:sz w:val="21"/>
              </w:rPr>
              <w:t>≥</w:t>
            </w:r>
            <w:r>
              <w:rPr>
                <w:sz w:val="21"/>
              </w:rPr>
              <w:t>7小时；</w:t>
            </w:r>
          </w:p>
          <w:p>
            <w:pPr>
              <w:pStyle w:val="null3"/>
              <w:jc w:val="both"/>
            </w:pPr>
            <w:r>
              <w:rPr>
                <w:sz w:val="21"/>
              </w:rPr>
              <w:t>19. 连接方式：USB-C端口；</w:t>
            </w:r>
          </w:p>
          <w:p>
            <w:pPr>
              <w:pStyle w:val="null3"/>
              <w:jc w:val="both"/>
            </w:pPr>
            <w:r>
              <w:rPr>
                <w:sz w:val="21"/>
              </w:rPr>
              <w:t>20. 配置清单：</w:t>
            </w:r>
            <w:r>
              <w:rPr>
                <w:sz w:val="21"/>
              </w:rPr>
              <w:t>≥</w:t>
            </w:r>
            <w:r>
              <w:rPr>
                <w:sz w:val="21"/>
              </w:rPr>
              <w:t>4个远程计时单元；</w:t>
            </w:r>
            <w:r>
              <w:rPr>
                <w:sz w:val="21"/>
              </w:rPr>
              <w:t>≥</w:t>
            </w:r>
            <w:r>
              <w:rPr>
                <w:sz w:val="21"/>
              </w:rPr>
              <w:t>4个反光板；</w:t>
            </w:r>
            <w:r>
              <w:rPr>
                <w:sz w:val="21"/>
              </w:rPr>
              <w:t>≥</w:t>
            </w:r>
            <w:r>
              <w:rPr>
                <w:sz w:val="21"/>
              </w:rPr>
              <w:t>8个三脚支架；</w:t>
            </w:r>
            <w:r>
              <w:rPr>
                <w:sz w:val="21"/>
              </w:rPr>
              <w:t>≥</w:t>
            </w:r>
            <w:r>
              <w:rPr>
                <w:sz w:val="21"/>
              </w:rPr>
              <w:t>1个包装箱；</w:t>
            </w:r>
            <w:r>
              <w:rPr>
                <w:sz w:val="21"/>
              </w:rPr>
              <w:t>≥</w:t>
            </w:r>
            <w:r>
              <w:rPr>
                <w:sz w:val="21"/>
              </w:rPr>
              <w:t>4位充电座；</w:t>
            </w:r>
            <w:r>
              <w:rPr>
                <w:sz w:val="21"/>
              </w:rPr>
              <w:t>≥</w:t>
            </w:r>
            <w:r>
              <w:rPr>
                <w:sz w:val="21"/>
              </w:rPr>
              <w:t>1个移动数据终端；</w:t>
            </w:r>
            <w:r>
              <w:rPr>
                <w:sz w:val="21"/>
              </w:rPr>
              <w:t>≥</w:t>
            </w:r>
            <w:r>
              <w:rPr>
                <w:sz w:val="21"/>
              </w:rPr>
              <w:t>4年设备软件使用权；</w:t>
            </w:r>
          </w:p>
          <w:p>
            <w:pPr>
              <w:pStyle w:val="null3"/>
              <w:jc w:val="both"/>
            </w:pPr>
            <w:r>
              <w:rPr>
                <w:sz w:val="21"/>
                <w:b/>
              </w:rPr>
              <w:t>双侧测力平台系统，数量</w:t>
            </w:r>
            <w:r>
              <w:rPr>
                <w:sz w:val="21"/>
                <w:b/>
              </w:rPr>
              <w:t>1套，</w:t>
            </w:r>
          </w:p>
          <w:p>
            <w:pPr>
              <w:pStyle w:val="null3"/>
              <w:jc w:val="both"/>
            </w:pPr>
            <w:r>
              <w:rPr>
                <w:sz w:val="21"/>
              </w:rPr>
              <w:t>功能参数：</w:t>
            </w:r>
          </w:p>
          <w:p>
            <w:pPr>
              <w:pStyle w:val="null3"/>
              <w:jc w:val="both"/>
            </w:pPr>
            <w:r>
              <w:rPr>
                <w:sz w:val="21"/>
              </w:rPr>
              <w:t>1. ≤一分钟快速、精准评测双边力量及左右力量平衡性；</w:t>
            </w:r>
          </w:p>
          <w:p>
            <w:pPr>
              <w:pStyle w:val="null3"/>
              <w:jc w:val="both"/>
            </w:pPr>
            <w:r>
              <w:rPr>
                <w:sz w:val="21"/>
              </w:rPr>
              <w:t>2. 仅由2块测力台组成，总重≤10kg；</w:t>
            </w:r>
          </w:p>
          <w:p>
            <w:pPr>
              <w:pStyle w:val="null3"/>
              <w:jc w:val="both"/>
            </w:pPr>
            <w:r>
              <w:rPr>
                <w:sz w:val="21"/>
              </w:rPr>
              <w:t>3. 测试类型包括大不限于：反向跳跃（CMJ），单腿跳，蹲跳，跳深，单腿跳下，跳下与保持姿势（land and hold），单腿连续跳，等长测试和力-时间分析测试等；</w:t>
            </w:r>
          </w:p>
          <w:p>
            <w:pPr>
              <w:pStyle w:val="null3"/>
              <w:jc w:val="both"/>
            </w:pPr>
            <w:r>
              <w:rPr>
                <w:sz w:val="21"/>
              </w:rPr>
              <w:t>4. 每个测力台都包含</w:t>
            </w:r>
            <w:r>
              <w:rPr>
                <w:sz w:val="21"/>
              </w:rPr>
              <w:t>≥</w:t>
            </w:r>
            <w:r>
              <w:rPr>
                <w:sz w:val="21"/>
              </w:rPr>
              <w:t>4个高精准度的力量感应器（load cell），每个传感器均经过单独校准和认证，保证了超过99.98％的精准度；</w:t>
            </w:r>
          </w:p>
          <w:p>
            <w:pPr>
              <w:pStyle w:val="null3"/>
              <w:jc w:val="both"/>
            </w:pPr>
            <w:r>
              <w:rPr>
                <w:sz w:val="21"/>
              </w:rPr>
              <w:t>▲5. 软件操作简单，具有自动检测和一键式分析功能，可快速捕获体重识别跳跃阶段并自动处理数据生成分析报告。节约时间成本避免了手动输入误差；</w:t>
            </w:r>
          </w:p>
          <w:p>
            <w:pPr>
              <w:pStyle w:val="null3"/>
              <w:jc w:val="both"/>
            </w:pPr>
            <w:r>
              <w:rPr>
                <w:sz w:val="21"/>
              </w:rPr>
              <w:t>6. 配有坚固的铝制顶板，满足重量级运动员测试需求；</w:t>
            </w:r>
          </w:p>
          <w:p>
            <w:pPr>
              <w:pStyle w:val="null3"/>
              <w:jc w:val="both"/>
            </w:pPr>
            <w:r>
              <w:rPr>
                <w:sz w:val="21"/>
              </w:rPr>
              <w:t>技术参数</w:t>
            </w:r>
            <w:r>
              <w:rPr>
                <w:sz w:val="21"/>
              </w:rPr>
              <w:t>:</w:t>
            </w:r>
          </w:p>
          <w:p>
            <w:pPr>
              <w:pStyle w:val="null3"/>
              <w:jc w:val="both"/>
            </w:pPr>
            <w:r>
              <w:rPr>
                <w:sz w:val="21"/>
              </w:rPr>
              <w:t>7. 规格：长</w:t>
            </w:r>
            <w:r>
              <w:rPr>
                <w:sz w:val="21"/>
              </w:rPr>
              <w:t>≥</w:t>
            </w:r>
            <w:r>
              <w:rPr>
                <w:sz w:val="21"/>
              </w:rPr>
              <w:t>40cm，宽</w:t>
            </w:r>
            <w:r>
              <w:rPr>
                <w:sz w:val="21"/>
              </w:rPr>
              <w:t>≥</w:t>
            </w:r>
            <w:r>
              <w:rPr>
                <w:sz w:val="21"/>
              </w:rPr>
              <w:t>22.5cm，高</w:t>
            </w:r>
            <w:r>
              <w:rPr>
                <w:sz w:val="21"/>
              </w:rPr>
              <w:t>≥</w:t>
            </w:r>
            <w:r>
              <w:rPr>
                <w:sz w:val="21"/>
              </w:rPr>
              <w:t>4.2cm；</w:t>
            </w:r>
          </w:p>
          <w:p>
            <w:pPr>
              <w:pStyle w:val="null3"/>
              <w:jc w:val="both"/>
            </w:pPr>
            <w:r>
              <w:rPr>
                <w:sz w:val="21"/>
              </w:rPr>
              <w:t>8. 重量：</w:t>
            </w:r>
            <w:r>
              <w:rPr>
                <w:sz w:val="21"/>
              </w:rPr>
              <w:t>≥</w:t>
            </w:r>
            <w:r>
              <w:rPr>
                <w:sz w:val="21"/>
              </w:rPr>
              <w:t>5kg（单个测力台），总重</w:t>
            </w:r>
            <w:r>
              <w:rPr>
                <w:sz w:val="21"/>
              </w:rPr>
              <w:t>≥</w:t>
            </w:r>
            <w:r>
              <w:rPr>
                <w:sz w:val="21"/>
              </w:rPr>
              <w:t>10kg；</w:t>
            </w:r>
          </w:p>
          <w:p>
            <w:pPr>
              <w:pStyle w:val="null3"/>
              <w:jc w:val="both"/>
            </w:pPr>
            <w:r>
              <w:rPr>
                <w:sz w:val="21"/>
              </w:rPr>
              <w:t>9. 采样率：最高</w:t>
            </w:r>
            <w:r>
              <w:rPr>
                <w:sz w:val="21"/>
              </w:rPr>
              <w:t>≥</w:t>
            </w:r>
            <w:r>
              <w:rPr>
                <w:sz w:val="21"/>
              </w:rPr>
              <w:t>1000Hz；</w:t>
            </w:r>
          </w:p>
          <w:p>
            <w:pPr>
              <w:pStyle w:val="null3"/>
              <w:jc w:val="both"/>
            </w:pPr>
            <w:r>
              <w:rPr>
                <w:sz w:val="21"/>
              </w:rPr>
              <w:t>10. 最大承重：</w:t>
            </w:r>
            <w:r>
              <w:rPr>
                <w:sz w:val="21"/>
              </w:rPr>
              <w:t>≥</w:t>
            </w:r>
            <w:r>
              <w:rPr>
                <w:sz w:val="21"/>
              </w:rPr>
              <w:t>2000kg；</w:t>
            </w:r>
          </w:p>
          <w:p>
            <w:pPr>
              <w:pStyle w:val="null3"/>
              <w:jc w:val="both"/>
            </w:pPr>
            <w:r>
              <w:rPr>
                <w:sz w:val="21"/>
              </w:rPr>
              <w:t>11. 量程：包括但不限于0-1000kg（垂直方向）；</w:t>
            </w:r>
          </w:p>
          <w:p>
            <w:pPr>
              <w:pStyle w:val="null3"/>
              <w:jc w:val="both"/>
            </w:pPr>
            <w:r>
              <w:rPr>
                <w:sz w:val="21"/>
              </w:rPr>
              <w:t>12. 精准度：≤15g/0.15N；</w:t>
            </w:r>
          </w:p>
          <w:p>
            <w:pPr>
              <w:pStyle w:val="null3"/>
              <w:jc w:val="both"/>
            </w:pPr>
            <w:r>
              <w:rPr>
                <w:sz w:val="21"/>
              </w:rPr>
              <w:t>13. 校准误差：＜0.05%测量范围；</w:t>
            </w:r>
          </w:p>
          <w:p>
            <w:pPr>
              <w:pStyle w:val="null3"/>
              <w:jc w:val="both"/>
            </w:pPr>
            <w:r>
              <w:rPr>
                <w:sz w:val="21"/>
              </w:rPr>
              <w:t>14. 运输箱维度：长</w:t>
            </w:r>
            <w:r>
              <w:rPr>
                <w:sz w:val="21"/>
              </w:rPr>
              <w:t>≥</w:t>
            </w:r>
            <w:r>
              <w:rPr>
                <w:sz w:val="21"/>
              </w:rPr>
              <w:t>51.2cm，宽</w:t>
            </w:r>
            <w:r>
              <w:rPr>
                <w:sz w:val="21"/>
              </w:rPr>
              <w:t>≥</w:t>
            </w:r>
            <w:r>
              <w:rPr>
                <w:sz w:val="21"/>
              </w:rPr>
              <w:t>28.5cm，高</w:t>
            </w:r>
            <w:r>
              <w:rPr>
                <w:sz w:val="21"/>
              </w:rPr>
              <w:t>≥</w:t>
            </w:r>
            <w:r>
              <w:rPr>
                <w:sz w:val="21"/>
              </w:rPr>
              <w:t>4.2cm；重</w:t>
            </w:r>
            <w:r>
              <w:rPr>
                <w:sz w:val="21"/>
              </w:rPr>
              <w:t>≥</w:t>
            </w:r>
            <w:r>
              <w:rPr>
                <w:sz w:val="21"/>
              </w:rPr>
              <w:t>1.3kg；</w:t>
            </w:r>
          </w:p>
          <w:p>
            <w:pPr>
              <w:pStyle w:val="null3"/>
              <w:jc w:val="both"/>
            </w:pPr>
            <w:r>
              <w:rPr>
                <w:sz w:val="21"/>
              </w:rPr>
              <w:t>15. 电源：锂离子电池(电池寿命</w:t>
            </w:r>
            <w:r>
              <w:rPr>
                <w:sz w:val="21"/>
              </w:rPr>
              <w:t>≥</w:t>
            </w:r>
            <w:r>
              <w:rPr>
                <w:sz w:val="21"/>
              </w:rPr>
              <w:t>50小时) ；</w:t>
            </w:r>
          </w:p>
          <w:p>
            <w:pPr>
              <w:pStyle w:val="null3"/>
              <w:jc w:val="both"/>
            </w:pPr>
            <w:r>
              <w:rPr>
                <w:sz w:val="21"/>
              </w:rPr>
              <w:t>16. 连接：USB或蓝牙（iOS 需要 蓝牙4.2 或更高版本）；</w:t>
            </w:r>
          </w:p>
          <w:p>
            <w:pPr>
              <w:pStyle w:val="null3"/>
              <w:jc w:val="both"/>
            </w:pPr>
            <w:r>
              <w:rPr>
                <w:sz w:val="21"/>
              </w:rPr>
              <w:t>17. 电脑软硬件要求：</w:t>
            </w:r>
            <w:r>
              <w:rPr>
                <w:sz w:val="21"/>
              </w:rPr>
              <w:t>≥</w:t>
            </w:r>
            <w:r>
              <w:rPr>
                <w:sz w:val="21"/>
              </w:rPr>
              <w:t>8GB内存、</w:t>
            </w:r>
            <w:r>
              <w:rPr>
                <w:sz w:val="21"/>
              </w:rPr>
              <w:t>≥</w:t>
            </w:r>
            <w:r>
              <w:rPr>
                <w:sz w:val="21"/>
              </w:rPr>
              <w:t>500MB存储空间、</w:t>
            </w:r>
            <w:r>
              <w:rPr>
                <w:sz w:val="21"/>
              </w:rPr>
              <w:t>≥</w:t>
            </w:r>
            <w:r>
              <w:rPr>
                <w:sz w:val="21"/>
              </w:rPr>
              <w:t>1个USB2.0或USB3.0插口；</w:t>
            </w:r>
          </w:p>
          <w:p>
            <w:pPr>
              <w:pStyle w:val="null3"/>
              <w:jc w:val="both"/>
            </w:pPr>
            <w:r>
              <w:rPr>
                <w:sz w:val="21"/>
              </w:rPr>
              <w:t>18. 材质: 侧面由铝框包裹，上层为碳纤维材料与3MTM防滑表面 ；</w:t>
            </w:r>
          </w:p>
          <w:p>
            <w:pPr>
              <w:pStyle w:val="null3"/>
              <w:jc w:val="both"/>
            </w:pPr>
            <w:r>
              <w:rPr>
                <w:sz w:val="21"/>
              </w:rPr>
              <w:t>19. 配置清单：</w:t>
            </w:r>
            <w:r>
              <w:rPr>
                <w:sz w:val="21"/>
              </w:rPr>
              <w:t>≥</w:t>
            </w:r>
            <w:r>
              <w:rPr>
                <w:sz w:val="21"/>
              </w:rPr>
              <w:t>1个左测力台（主控）；</w:t>
            </w:r>
            <w:r>
              <w:rPr>
                <w:sz w:val="21"/>
              </w:rPr>
              <w:t>≥</w:t>
            </w:r>
            <w:r>
              <w:rPr>
                <w:sz w:val="21"/>
              </w:rPr>
              <w:t>1个右测力台；</w:t>
            </w:r>
            <w:r>
              <w:rPr>
                <w:sz w:val="21"/>
              </w:rPr>
              <w:t>≥</w:t>
            </w:r>
            <w:r>
              <w:rPr>
                <w:sz w:val="21"/>
              </w:rPr>
              <w:t>1根左右测力台连接线；</w:t>
            </w:r>
            <w:r>
              <w:rPr>
                <w:sz w:val="21"/>
              </w:rPr>
              <w:t>≥</w:t>
            </w:r>
            <w:r>
              <w:rPr>
                <w:sz w:val="21"/>
              </w:rPr>
              <w:t>1根电脑USB连接线；</w:t>
            </w:r>
            <w:r>
              <w:rPr>
                <w:sz w:val="21"/>
              </w:rPr>
              <w:t>≥</w:t>
            </w:r>
            <w:r>
              <w:rPr>
                <w:sz w:val="21"/>
              </w:rPr>
              <w:t>1根主电源线；</w:t>
            </w:r>
            <w:r>
              <w:rPr>
                <w:sz w:val="21"/>
              </w:rPr>
              <w:t>≥</w:t>
            </w:r>
            <w:r>
              <w:rPr>
                <w:sz w:val="21"/>
              </w:rPr>
              <w:t>1个电源插头；</w:t>
            </w:r>
            <w:r>
              <w:rPr>
                <w:sz w:val="21"/>
              </w:rPr>
              <w:t>≥</w:t>
            </w:r>
            <w:r>
              <w:rPr>
                <w:sz w:val="21"/>
              </w:rPr>
              <w:t>1台配套控制设备；</w:t>
            </w:r>
            <w:r>
              <w:rPr>
                <w:sz w:val="21"/>
              </w:rPr>
              <w:t>≥</w:t>
            </w:r>
            <w:r>
              <w:rPr>
                <w:sz w:val="21"/>
              </w:rPr>
              <w:t>4年设备软件使用权。</w:t>
            </w:r>
          </w:p>
          <w:p>
            <w:pPr>
              <w:pStyle w:val="null3"/>
              <w:jc w:val="left"/>
            </w:pPr>
            <w:r>
              <w:rPr>
                <w:sz w:val="21"/>
              </w:rPr>
              <w:t>20. 提供培训服务所需要详细的产品</w:t>
            </w:r>
            <w:r>
              <w:rPr>
                <w:sz w:val="21"/>
                <w:color w:val="121212"/>
              </w:rPr>
              <w:t>使用手册、培训人员名单及简历。</w:t>
            </w:r>
            <w:r>
              <w:rPr>
                <w:sz w:val="21"/>
                <w:color w:val="121212"/>
              </w:rPr>
              <w:t>拟投入本项目的团队人员应为体育专业，并需同时提供本科及以上学历证书，学士及以上学位证书</w:t>
            </w:r>
          </w:p>
          <w:p>
            <w:pPr>
              <w:pStyle w:val="null3"/>
              <w:jc w:val="both"/>
            </w:pPr>
            <w:r>
              <w:rPr>
                <w:sz w:val="21"/>
                <w:b/>
                <w:color w:val="121212"/>
              </w:rPr>
              <w:t>数字化离心训练系统，数量</w:t>
            </w:r>
            <w:r>
              <w:rPr>
                <w:sz w:val="21"/>
                <w:b/>
                <w:color w:val="121212"/>
              </w:rPr>
              <w:t>1套，</w:t>
            </w:r>
          </w:p>
          <w:p>
            <w:pPr>
              <w:pStyle w:val="null3"/>
              <w:jc w:val="both"/>
            </w:pPr>
            <w:r>
              <w:rPr>
                <w:sz w:val="21"/>
                <w:color w:val="121212"/>
              </w:rPr>
              <w:t>（一）功能参数</w:t>
            </w:r>
          </w:p>
          <w:p>
            <w:pPr>
              <w:pStyle w:val="null3"/>
              <w:jc w:val="both"/>
            </w:pPr>
            <w:r>
              <w:rPr>
                <w:sz w:val="21"/>
              </w:rPr>
              <w:t>▲1. 配有力板分析系统，可对双侧负重进行实时监测，直观数据显示。从而进行对称性分析，在训练时可发现双侧负重对称性问题，指导康复或训练计划的设定；</w:t>
            </w:r>
          </w:p>
          <w:p>
            <w:pPr>
              <w:pStyle w:val="null3"/>
              <w:jc w:val="both"/>
            </w:pPr>
            <w:r>
              <w:rPr>
                <w:sz w:val="21"/>
              </w:rPr>
              <w:t>2. 配有一键式制动系统、座椅及安全扶手，安全系数高；</w:t>
            </w:r>
          </w:p>
          <w:p>
            <w:pPr>
              <w:pStyle w:val="null3"/>
              <w:jc w:val="both"/>
            </w:pPr>
            <w:r>
              <w:rPr>
                <w:sz w:val="21"/>
              </w:rPr>
              <w:t>3. 训练动作不受限，可以进行从单关节到多关节到整个动力链的运动；</w:t>
            </w:r>
          </w:p>
          <w:p>
            <w:pPr>
              <w:pStyle w:val="null3"/>
              <w:jc w:val="both"/>
            </w:pPr>
            <w:r>
              <w:rPr>
                <w:sz w:val="21"/>
              </w:rPr>
              <w:t>4. 配有</w:t>
            </w:r>
            <w:r>
              <w:rPr>
                <w:sz w:val="21"/>
              </w:rPr>
              <w:t>≥</w:t>
            </w:r>
            <w:r>
              <w:rPr>
                <w:sz w:val="21"/>
              </w:rPr>
              <w:t>10英寸的平板装载软件系统，可以对训练进行实时监测，进行训练反馈和数据收集；</w:t>
            </w:r>
          </w:p>
          <w:p>
            <w:pPr>
              <w:pStyle w:val="null3"/>
              <w:jc w:val="both"/>
            </w:pPr>
            <w:r>
              <w:rPr>
                <w:sz w:val="21"/>
              </w:rPr>
              <w:t>5. 软件可进行训练前测试以设定身体基准线，根据测试结果制定个性化的运动计划，调整运动强度；</w:t>
            </w:r>
          </w:p>
          <w:p>
            <w:pPr>
              <w:pStyle w:val="null3"/>
              <w:jc w:val="both"/>
            </w:pPr>
            <w:r>
              <w:rPr>
                <w:sz w:val="21"/>
              </w:rPr>
              <w:t>6. 软件含等长测试、等长耐力测试、平衡测试、最大功率测试、训练方案测试和训练几个模块；</w:t>
            </w:r>
          </w:p>
          <w:p>
            <w:pPr>
              <w:pStyle w:val="null3"/>
              <w:jc w:val="both"/>
            </w:pPr>
            <w:r>
              <w:rPr>
                <w:sz w:val="21"/>
              </w:rPr>
              <w:t>7. 数据将会用柱状图、表格以及精准数字的形式呈现，反映训练的质量并及时给予使用者直观的生物信息反馈以指导训练；</w:t>
            </w:r>
          </w:p>
          <w:p>
            <w:pPr>
              <w:pStyle w:val="null3"/>
              <w:jc w:val="both"/>
            </w:pPr>
            <w:r>
              <w:rPr>
                <w:sz w:val="21"/>
              </w:rPr>
              <w:t>8. 训练后可得到总做功、总时间、总消耗卡路里、向心时间和离心时间比例、向心最大力量、向心平均力量、离心最大力量、离心平均力量、有效做功、有效做功与总做功比例、在目标范围内个数、向心标准差、离心标准差、左右两侧平衡占比等数据；</w:t>
            </w:r>
          </w:p>
          <w:p>
            <w:pPr>
              <w:pStyle w:val="null3"/>
              <w:jc w:val="both"/>
            </w:pPr>
            <w:r>
              <w:rPr>
                <w:sz w:val="21"/>
              </w:rPr>
              <w:t>▲9. 软件可进行向心、离心、等长训练，通过软件系统实时监测数据，在训练时即可通过柱状图和精准数字来观察自身训练质量，形成对自身的生物反馈。软件在训练后会自动生成报告保存上传至云端以便日后查看，将训练效果数据化；</w:t>
            </w:r>
          </w:p>
          <w:p>
            <w:pPr>
              <w:pStyle w:val="null3"/>
              <w:jc w:val="both"/>
            </w:pPr>
            <w:r>
              <w:rPr>
                <w:sz w:val="21"/>
              </w:rPr>
              <w:t>技术参数：</w:t>
            </w:r>
          </w:p>
          <w:p>
            <w:pPr>
              <w:pStyle w:val="null3"/>
              <w:jc w:val="both"/>
            </w:pPr>
            <w:r>
              <w:rPr>
                <w:sz w:val="21"/>
              </w:rPr>
              <w:t>10. 尺寸：长</w:t>
            </w:r>
            <w:r>
              <w:rPr>
                <w:sz w:val="21"/>
              </w:rPr>
              <w:t>≥</w:t>
            </w:r>
            <w:r>
              <w:rPr>
                <w:sz w:val="21"/>
              </w:rPr>
              <w:t xml:space="preserve">0.95m ，宽 </w:t>
            </w:r>
            <w:r>
              <w:rPr>
                <w:sz w:val="21"/>
              </w:rPr>
              <w:t>≥</w:t>
            </w:r>
            <w:r>
              <w:rPr>
                <w:sz w:val="21"/>
              </w:rPr>
              <w:t>0.85m ，高</w:t>
            </w:r>
            <w:r>
              <w:rPr>
                <w:sz w:val="21"/>
              </w:rPr>
              <w:t>≥</w:t>
            </w:r>
            <w:r>
              <w:rPr>
                <w:sz w:val="21"/>
              </w:rPr>
              <w:t>0.30m；重量</w:t>
            </w:r>
            <w:r>
              <w:rPr>
                <w:sz w:val="21"/>
              </w:rPr>
              <w:t>≥</w:t>
            </w:r>
            <w:r>
              <w:rPr>
                <w:sz w:val="21"/>
              </w:rPr>
              <w:t>75Kg；</w:t>
            </w:r>
          </w:p>
          <w:p>
            <w:pPr>
              <w:pStyle w:val="null3"/>
              <w:jc w:val="both"/>
            </w:pPr>
            <w:r>
              <w:rPr>
                <w:sz w:val="21"/>
              </w:rPr>
              <w:t>11. 力量范围：包括但不限于0-4000w；</w:t>
            </w:r>
          </w:p>
          <w:p>
            <w:pPr>
              <w:pStyle w:val="null3"/>
              <w:jc w:val="both"/>
            </w:pPr>
            <w:r>
              <w:rPr>
                <w:sz w:val="21"/>
              </w:rPr>
              <w:t>12. 力量最大值：</w:t>
            </w:r>
            <w:r>
              <w:rPr>
                <w:sz w:val="21"/>
              </w:rPr>
              <w:t>≥</w:t>
            </w:r>
            <w:r>
              <w:rPr>
                <w:sz w:val="21"/>
              </w:rPr>
              <w:t>500kg；</w:t>
            </w:r>
          </w:p>
          <w:p>
            <w:pPr>
              <w:pStyle w:val="null3"/>
              <w:jc w:val="both"/>
            </w:pPr>
            <w:r>
              <w:rPr>
                <w:sz w:val="21"/>
              </w:rPr>
              <w:t>13. 惯性转轮配置：1超大-2大-1中-1小；</w:t>
            </w:r>
          </w:p>
          <w:p>
            <w:pPr>
              <w:pStyle w:val="null3"/>
              <w:jc w:val="both"/>
            </w:pPr>
            <w:r>
              <w:rPr>
                <w:sz w:val="21"/>
              </w:rPr>
              <w:t>超大</w:t>
            </w:r>
            <w:r>
              <w:rPr>
                <w:sz w:val="21"/>
              </w:rPr>
              <w:t>-半径285mm-厚度12mm-重量6KG</w:t>
            </w:r>
          </w:p>
          <w:p>
            <w:pPr>
              <w:pStyle w:val="null3"/>
              <w:jc w:val="both"/>
            </w:pPr>
            <w:r>
              <w:rPr>
                <w:sz w:val="21"/>
              </w:rPr>
              <w:t>大</w:t>
            </w:r>
            <w:r>
              <w:rPr>
                <w:sz w:val="21"/>
              </w:rPr>
              <w:t>-半径285mm-厚度4mm-重量2kg</w:t>
            </w:r>
          </w:p>
          <w:p>
            <w:pPr>
              <w:pStyle w:val="null3"/>
              <w:jc w:val="both"/>
            </w:pPr>
            <w:r>
              <w:rPr>
                <w:sz w:val="21"/>
              </w:rPr>
              <w:t>中</w:t>
            </w:r>
            <w:r>
              <w:rPr>
                <w:sz w:val="21"/>
              </w:rPr>
              <w:t>-半径240mm-厚度4mm-重量1.1kg</w:t>
            </w:r>
          </w:p>
          <w:p>
            <w:pPr>
              <w:pStyle w:val="null3"/>
              <w:jc w:val="both"/>
            </w:pPr>
            <w:r>
              <w:rPr>
                <w:sz w:val="21"/>
              </w:rPr>
              <w:t>小</w:t>
            </w:r>
            <w:r>
              <w:rPr>
                <w:sz w:val="21"/>
              </w:rPr>
              <w:t>-半径220mm-厚度4mm-重量1kg</w:t>
            </w:r>
          </w:p>
          <w:p>
            <w:pPr>
              <w:pStyle w:val="null3"/>
              <w:jc w:val="both"/>
            </w:pPr>
            <w:r>
              <w:rPr>
                <w:sz w:val="21"/>
              </w:rPr>
              <w:t xml:space="preserve">14. 配置清单: </w:t>
            </w:r>
            <w:r>
              <w:rPr>
                <w:sz w:val="21"/>
              </w:rPr>
              <w:t>≥</w:t>
            </w:r>
            <w:r>
              <w:rPr>
                <w:sz w:val="21"/>
              </w:rPr>
              <w:t>1台主机(含座椅、扶手)；1台</w:t>
            </w:r>
            <w:r>
              <w:rPr>
                <w:sz w:val="21"/>
              </w:rPr>
              <w:t>≥</w:t>
            </w:r>
            <w:r>
              <w:rPr>
                <w:sz w:val="21"/>
              </w:rPr>
              <w:t>10英寸平板；</w:t>
            </w:r>
            <w:r>
              <w:rPr>
                <w:sz w:val="21"/>
              </w:rPr>
              <w:t>≥</w:t>
            </w:r>
            <w:r>
              <w:rPr>
                <w:sz w:val="21"/>
              </w:rPr>
              <w:t>1套软件系统；</w:t>
            </w:r>
            <w:r>
              <w:rPr>
                <w:sz w:val="21"/>
              </w:rPr>
              <w:t>≥</w:t>
            </w:r>
            <w:r>
              <w:rPr>
                <w:sz w:val="21"/>
              </w:rPr>
              <w:t>5个惯性转轮（1超大-2大-1中-1小）；</w:t>
            </w:r>
            <w:r>
              <w:rPr>
                <w:sz w:val="21"/>
              </w:rPr>
              <w:t>≥</w:t>
            </w:r>
            <w:r>
              <w:rPr>
                <w:sz w:val="21"/>
              </w:rPr>
              <w:t>1个全身式防护带(L号)；</w:t>
            </w:r>
            <w:r>
              <w:rPr>
                <w:sz w:val="21"/>
              </w:rPr>
              <w:t>≥</w:t>
            </w:r>
            <w:r>
              <w:rPr>
                <w:sz w:val="21"/>
              </w:rPr>
              <w:t>1个腰部防护带；</w:t>
            </w:r>
            <w:r>
              <w:rPr>
                <w:sz w:val="21"/>
              </w:rPr>
              <w:t>≥</w:t>
            </w:r>
            <w:r>
              <w:rPr>
                <w:sz w:val="21"/>
              </w:rPr>
              <w:t>1个横杆。</w:t>
            </w:r>
          </w:p>
          <w:p>
            <w:pPr>
              <w:pStyle w:val="null3"/>
              <w:jc w:val="both"/>
            </w:pPr>
            <w:r>
              <w:rPr>
                <w:sz w:val="21"/>
                <w:b/>
              </w:rPr>
              <w:t>综合训练架，数量</w:t>
            </w:r>
            <w:r>
              <w:rPr>
                <w:sz w:val="21"/>
                <w:b/>
              </w:rPr>
              <w:t>3台</w:t>
            </w:r>
          </w:p>
          <w:p>
            <w:pPr>
              <w:pStyle w:val="null3"/>
              <w:jc w:val="both"/>
            </w:pPr>
            <w:r>
              <w:rPr>
                <w:sz w:val="21"/>
              </w:rPr>
              <w:t>1. 规格：2500 mm *2000 mm *2400mm(±5%)；</w:t>
            </w:r>
          </w:p>
          <w:p>
            <w:pPr>
              <w:pStyle w:val="null3"/>
              <w:jc w:val="both"/>
            </w:pPr>
            <w:r>
              <w:rPr>
                <w:sz w:val="21"/>
              </w:rPr>
              <w:t>2. 重量≥1000kg；</w:t>
            </w:r>
          </w:p>
          <w:p>
            <w:pPr>
              <w:pStyle w:val="null3"/>
              <w:jc w:val="both"/>
            </w:pPr>
            <w:r>
              <w:rPr>
                <w:sz w:val="21"/>
              </w:rPr>
              <w:t>3. 管材壁厚≥5mm；</w:t>
            </w:r>
          </w:p>
          <w:p>
            <w:pPr>
              <w:pStyle w:val="null3"/>
              <w:jc w:val="both"/>
            </w:pPr>
            <w:r>
              <w:rPr>
                <w:sz w:val="21"/>
              </w:rPr>
              <w:t>4. 最大冲击载荷</w:t>
            </w:r>
            <w:r>
              <w:rPr>
                <w:sz w:val="21"/>
              </w:rPr>
              <w:t>≥</w:t>
            </w:r>
            <w:r>
              <w:rPr>
                <w:sz w:val="21"/>
              </w:rPr>
              <w:t>400kg；</w:t>
            </w:r>
          </w:p>
          <w:p>
            <w:pPr>
              <w:pStyle w:val="null3"/>
              <w:jc w:val="both"/>
            </w:pPr>
            <w:r>
              <w:rPr>
                <w:sz w:val="21"/>
              </w:rPr>
              <w:t>5. 挂钩调节范围包括但不限于35-2300cm；</w:t>
            </w:r>
          </w:p>
          <w:p>
            <w:pPr>
              <w:pStyle w:val="null3"/>
              <w:jc w:val="both"/>
            </w:pPr>
            <w:r>
              <w:rPr>
                <w:sz w:val="21"/>
              </w:rPr>
              <w:t>6. 挂钩最小调节距离</w:t>
            </w:r>
            <w:r>
              <w:rPr>
                <w:sz w:val="21"/>
              </w:rPr>
              <w:t>≥</w:t>
            </w:r>
            <w:r>
              <w:rPr>
                <w:sz w:val="21"/>
              </w:rPr>
              <w:t>40cm；</w:t>
            </w:r>
          </w:p>
          <w:p>
            <w:pPr>
              <w:pStyle w:val="null3"/>
              <w:jc w:val="both"/>
            </w:pPr>
            <w:r>
              <w:rPr>
                <w:sz w:val="21"/>
              </w:rPr>
              <w:t>7. 采用100 mm *75 mm高强度管材，≥5毫米壁厚；</w:t>
            </w:r>
          </w:p>
          <w:p>
            <w:pPr>
              <w:pStyle w:val="null3"/>
              <w:jc w:val="both"/>
            </w:pPr>
            <w:r>
              <w:rPr>
                <w:sz w:val="21"/>
              </w:rPr>
              <w:t>8. 漆面表面附着力</w:t>
            </w:r>
            <w:r>
              <w:rPr>
                <w:sz w:val="21"/>
              </w:rPr>
              <w:t>≥</w:t>
            </w:r>
            <w:r>
              <w:rPr>
                <w:sz w:val="21"/>
              </w:rPr>
              <w:t>50kg/cm；</w:t>
            </w:r>
          </w:p>
          <w:p>
            <w:pPr>
              <w:pStyle w:val="null3"/>
              <w:jc w:val="both"/>
            </w:pPr>
            <w:r>
              <w:rPr>
                <w:sz w:val="21"/>
              </w:rPr>
              <w:t>9. 所有螺栓均采用</w:t>
            </w:r>
            <w:r>
              <w:rPr>
                <w:sz w:val="21"/>
              </w:rPr>
              <w:t>≥</w:t>
            </w:r>
            <w:r>
              <w:rPr>
                <w:sz w:val="21"/>
              </w:rPr>
              <w:t>8.8级高强度螺栓，保证连接的稳固性以及整机的高强度；</w:t>
            </w:r>
          </w:p>
          <w:p>
            <w:pPr>
              <w:pStyle w:val="null3"/>
              <w:jc w:val="both"/>
            </w:pPr>
            <w:r>
              <w:rPr>
                <w:sz w:val="21"/>
              </w:rPr>
              <w:t>10. 采用直径</w:t>
            </w:r>
            <w:r>
              <w:rPr>
                <w:sz w:val="21"/>
              </w:rPr>
              <w:t>≥</w:t>
            </w:r>
            <w:r>
              <w:rPr>
                <w:sz w:val="21"/>
              </w:rPr>
              <w:t>60mm加大垫片，确保连接稳固；</w:t>
            </w:r>
          </w:p>
          <w:p>
            <w:pPr>
              <w:pStyle w:val="null3"/>
              <w:jc w:val="both"/>
            </w:pPr>
            <w:r>
              <w:rPr>
                <w:sz w:val="21"/>
              </w:rPr>
              <w:t>11. 杠铃杆托架与杠铃杆挂架均可根据使用者身高和臂长自由调节；</w:t>
            </w:r>
          </w:p>
          <w:p>
            <w:pPr>
              <w:pStyle w:val="null3"/>
              <w:jc w:val="both"/>
            </w:pPr>
            <w:r>
              <w:rPr>
                <w:sz w:val="21"/>
              </w:rPr>
              <w:t>12. 配有安全保护档位，保证使用者不受伤害；</w:t>
            </w:r>
          </w:p>
          <w:p>
            <w:pPr>
              <w:pStyle w:val="null3"/>
              <w:jc w:val="both"/>
            </w:pPr>
            <w:r>
              <w:rPr>
                <w:sz w:val="21"/>
              </w:rPr>
              <w:t>13. 满足倾斜卧推、肩推、下蹲、硬拉等需求；</w:t>
            </w:r>
          </w:p>
          <w:p>
            <w:pPr>
              <w:pStyle w:val="null3"/>
              <w:jc w:val="both"/>
            </w:pPr>
            <w:r>
              <w:rPr>
                <w:sz w:val="21"/>
              </w:rPr>
              <w:t>14. 训练架后端集成logo板，可根据要求定制；</w:t>
            </w:r>
          </w:p>
          <w:p>
            <w:pPr>
              <w:pStyle w:val="null3"/>
              <w:jc w:val="both"/>
            </w:pPr>
            <w:r>
              <w:rPr>
                <w:sz w:val="21"/>
              </w:rPr>
              <w:t>15. 配备两个多功能挂钩，每个挂钩可以收纳两根标准奥杆，或多根弹力带；</w:t>
            </w:r>
          </w:p>
          <w:p>
            <w:pPr>
              <w:pStyle w:val="null3"/>
              <w:jc w:val="both"/>
            </w:pPr>
            <w:r>
              <w:rPr>
                <w:sz w:val="21"/>
              </w:rPr>
              <w:t>16. 实现爆发力及平衡能力的训练；</w:t>
            </w:r>
          </w:p>
          <w:p>
            <w:pPr>
              <w:pStyle w:val="null3"/>
              <w:jc w:val="both"/>
            </w:pPr>
            <w:r>
              <w:rPr>
                <w:sz w:val="21"/>
              </w:rPr>
              <w:t>17. 可以加装各种拓展功能附件；</w:t>
            </w:r>
          </w:p>
          <w:p>
            <w:pPr>
              <w:pStyle w:val="null3"/>
              <w:jc w:val="both"/>
            </w:pPr>
            <w:r>
              <w:rPr>
                <w:sz w:val="21"/>
              </w:rPr>
              <w:t>18. 拓展附件模块化，可根据训练者需要自由调节；</w:t>
            </w:r>
          </w:p>
          <w:p>
            <w:pPr>
              <w:pStyle w:val="null3"/>
              <w:jc w:val="both"/>
            </w:pPr>
            <w:r>
              <w:rPr>
                <w:sz w:val="21"/>
              </w:rPr>
              <w:t>19. 训练架下铺设12平PVC运动地板，</w:t>
            </w:r>
            <w:r>
              <w:rPr>
                <w:sz w:val="21"/>
              </w:rPr>
              <w:t>厚度：</w:t>
            </w:r>
            <w:r>
              <w:rPr>
                <w:sz w:val="21"/>
              </w:rPr>
              <w:t>≥4.5mm，</w:t>
            </w:r>
            <w:r>
              <w:rPr>
                <w:sz w:val="21"/>
              </w:rPr>
              <w:t>反弹率</w:t>
            </w:r>
            <w:r>
              <w:rPr>
                <w:sz w:val="21"/>
              </w:rPr>
              <w:t>≥90%，邵氏硬度（邵A）≥80；</w:t>
            </w:r>
          </w:p>
          <w:p>
            <w:pPr>
              <w:pStyle w:val="null3"/>
              <w:jc w:val="both"/>
            </w:pPr>
            <w:r>
              <w:rPr>
                <w:sz w:val="21"/>
              </w:rPr>
              <w:t>★20. 减震吸收性能良好，孔隙率49.5%-59.5%；（</w:t>
            </w:r>
            <w:r>
              <w:rPr>
                <w:sz w:val="21"/>
              </w:rPr>
              <w:t>提供具有</w:t>
            </w:r>
            <w:r>
              <w:rPr>
                <w:sz w:val="21"/>
              </w:rPr>
              <w:t>CMA标识的检测报告扫描件及其在全国认证认可信息公共服务平台查询截图</w:t>
            </w:r>
            <w:r>
              <w:rPr>
                <w:sz w:val="21"/>
              </w:rPr>
              <w:t>）</w:t>
            </w:r>
          </w:p>
          <w:p>
            <w:pPr>
              <w:pStyle w:val="null3"/>
              <w:jc w:val="both"/>
            </w:pPr>
            <w:r>
              <w:rPr>
                <w:sz w:val="21"/>
              </w:rPr>
              <w:t>★21. 为保证产品生产稳定性，产品每年测试玻纤含量连续三年≥19%；（</w:t>
            </w:r>
            <w:r>
              <w:rPr>
                <w:sz w:val="21"/>
              </w:rPr>
              <w:t>提供具有</w:t>
            </w:r>
            <w:r>
              <w:rPr>
                <w:sz w:val="21"/>
              </w:rPr>
              <w:t>CMA标识的检测报告扫描件及其在全国认证认可信息公共服务平台查询截图</w:t>
            </w:r>
            <w:r>
              <w:rPr>
                <w:sz w:val="21"/>
              </w:rPr>
              <w:t>）</w:t>
            </w:r>
          </w:p>
          <w:p>
            <w:pPr>
              <w:pStyle w:val="null3"/>
              <w:jc w:val="both"/>
            </w:pPr>
            <w:r>
              <w:rPr>
                <w:sz w:val="21"/>
              </w:rPr>
              <w:t>★22.</w:t>
            </w:r>
            <w:r>
              <w:rPr>
                <w:sz w:val="21"/>
              </w:rPr>
              <w:t xml:space="preserve"> </w:t>
            </w:r>
            <w:r>
              <w:rPr>
                <w:sz w:val="21"/>
              </w:rPr>
              <w:t>为保证产品的耐用性，产品应在盐雾沉降量（</w:t>
            </w:r>
            <w:r>
              <w:rPr>
                <w:sz w:val="21"/>
              </w:rPr>
              <w:t>ml/80cm2/h）1.0~2.0的条件下酸性盐雾实验不低于2000h后，样品表面无明显变化，无起泡、无开裂、无剥落，拉伸强度变化率≤2%；尺寸变化率：横向：0.04%，纵向：0.04%，灰卡等级≥5级；（</w:t>
            </w:r>
            <w:r>
              <w:rPr>
                <w:sz w:val="21"/>
              </w:rPr>
              <w:t>提供具有</w:t>
            </w:r>
            <w:r>
              <w:rPr>
                <w:sz w:val="21"/>
              </w:rPr>
              <w:t>CMA标识的检测报告扫描件及其在全国认证认可信息公共服务平台查询截图</w:t>
            </w:r>
            <w:r>
              <w:rPr>
                <w:sz w:val="21"/>
              </w:rPr>
              <w:t>）</w:t>
            </w:r>
          </w:p>
          <w:p>
            <w:pPr>
              <w:pStyle w:val="null3"/>
              <w:jc w:val="both"/>
            </w:pPr>
            <w:r>
              <w:rPr>
                <w:sz w:val="21"/>
              </w:rPr>
              <w:t>★23.为保证产品质量老化后的颜色稳定性及耐污染性，参考GB/T 1690-2010标准，产品连续耐化学试剂（矿物油）1000h、1500h、2000h、2500h、3000h、3500h后，样品无明显变化，无变色，无起泡，无开裂等现象，且耐化学试剂（矿物油）后灰卡评级均≥5级；（</w:t>
            </w:r>
            <w:r>
              <w:rPr>
                <w:sz w:val="21"/>
              </w:rPr>
              <w:t>提供具有</w:t>
            </w:r>
            <w:r>
              <w:rPr>
                <w:sz w:val="21"/>
              </w:rPr>
              <w:t>CMA标识的检测报告扫描件及其在全国认证认可信息公共服务平台查询截图</w:t>
            </w:r>
            <w:r>
              <w:rPr>
                <w:sz w:val="21"/>
              </w:rPr>
              <w:t>）</w:t>
            </w:r>
          </w:p>
          <w:p>
            <w:pPr>
              <w:pStyle w:val="null3"/>
              <w:jc w:val="both"/>
            </w:pPr>
            <w:r>
              <w:rPr>
                <w:sz w:val="21"/>
              </w:rPr>
              <w:t>★24.提供连续两个年度产品总体积收缩率≤0.5%的证明；（</w:t>
            </w:r>
            <w:r>
              <w:rPr>
                <w:sz w:val="21"/>
              </w:rPr>
              <w:t>提供具有</w:t>
            </w:r>
            <w:r>
              <w:rPr>
                <w:sz w:val="21"/>
              </w:rPr>
              <w:t>CMA标识的检测报告扫描件及其在全国认证认可信息公共服务平台查询截图</w:t>
            </w:r>
            <w:r>
              <w:rPr>
                <w:sz w:val="21"/>
              </w:rPr>
              <w:t>）</w:t>
            </w:r>
          </w:p>
          <w:p>
            <w:pPr>
              <w:pStyle w:val="null3"/>
              <w:jc w:val="both"/>
            </w:pPr>
            <w:r>
              <w:rPr>
                <w:sz w:val="21"/>
              </w:rPr>
              <w:t>★25.为保证产品的耐用性，产品应在盐雾沉降量（ml/80cm2/h）1.0~2.0的条件下酸性盐雾实验不低于2000h后，样品表面无明显变化，无起泡、无开裂、无剥落，拉伸强度变化率≤2%；尺寸变化率：横向：0.04%，纵向：0.04%，灰卡等级≥5级；（</w:t>
            </w:r>
            <w:r>
              <w:rPr>
                <w:sz w:val="21"/>
              </w:rPr>
              <w:t>提供具有</w:t>
            </w:r>
            <w:r>
              <w:rPr>
                <w:sz w:val="21"/>
              </w:rPr>
              <w:t>CMA标识的检测报告扫描件及其在全国认证认可信息公共服务平台查询截图</w:t>
            </w:r>
            <w:r>
              <w:rPr>
                <w:sz w:val="21"/>
              </w:rPr>
              <w:t>）</w:t>
            </w:r>
          </w:p>
          <w:p>
            <w:pPr>
              <w:pStyle w:val="null3"/>
              <w:jc w:val="both"/>
            </w:pPr>
            <w:r>
              <w:rPr>
                <w:sz w:val="21"/>
              </w:rPr>
              <w:t>★26.</w:t>
            </w:r>
            <w:r>
              <w:rPr>
                <w:sz w:val="21"/>
              </w:rPr>
              <w:t xml:space="preserve"> </w:t>
            </w:r>
            <w:r>
              <w:rPr>
                <w:sz w:val="21"/>
              </w:rPr>
              <w:t>为保证产品在夏季湿热条件下、冬季湿冷条件下产品稳定不粉化、不破损，产品经过冷冻箱、干燥箱及其他循环测试</w:t>
            </w:r>
            <w:r>
              <w:rPr>
                <w:sz w:val="21"/>
              </w:rPr>
              <w:t>1500h后；2500后；3000h后，灰卡等级一直保持≥5级。试验后试样无粉化，无破损、起皮和分层；（</w:t>
            </w:r>
            <w:r>
              <w:rPr>
                <w:sz w:val="21"/>
              </w:rPr>
              <w:t>提供具有</w:t>
            </w:r>
            <w:r>
              <w:rPr>
                <w:sz w:val="21"/>
              </w:rPr>
              <w:t>CMA标识的检测报告扫描件及其在全国认证认可信息公共服务平台查询截图</w:t>
            </w:r>
            <w:r>
              <w:rPr>
                <w:sz w:val="21"/>
              </w:rPr>
              <w:t>）</w:t>
            </w:r>
          </w:p>
          <w:p>
            <w:pPr>
              <w:pStyle w:val="null3"/>
              <w:jc w:val="both"/>
            </w:pPr>
            <w:r>
              <w:rPr>
                <w:sz w:val="21"/>
                <w:b/>
              </w:rPr>
              <w:t>定向小型化设备，数量</w:t>
            </w:r>
            <w:r>
              <w:rPr>
                <w:sz w:val="21"/>
                <w:b/>
              </w:rPr>
              <w:t>1套</w:t>
            </w:r>
          </w:p>
          <w:p>
            <w:pPr>
              <w:pStyle w:val="null3"/>
              <w:jc w:val="both"/>
            </w:pPr>
            <w:r>
              <w:rPr>
                <w:sz w:val="21"/>
              </w:rPr>
              <w:t>点签器、起点站、终点站、清除</w:t>
            </w:r>
            <w:r>
              <w:rPr>
                <w:sz w:val="21"/>
              </w:rPr>
              <w:t>/核查站</w:t>
            </w:r>
          </w:p>
          <w:p>
            <w:pPr>
              <w:pStyle w:val="null3"/>
              <w:jc w:val="both"/>
            </w:pPr>
            <w:r>
              <w:rPr>
                <w:sz w:val="21"/>
              </w:rPr>
              <w:t>1. 微功耗省电设计，耗电</w:t>
            </w:r>
            <w:r>
              <w:rPr>
                <w:sz w:val="21"/>
              </w:rPr>
              <w:t>≤</w:t>
            </w:r>
            <w:r>
              <w:rPr>
                <w:sz w:val="21"/>
              </w:rPr>
              <w:t>0.15MA，支持工作及睡眠模式（可通过软件以及计时卡调整）；</w:t>
            </w:r>
          </w:p>
          <w:p>
            <w:pPr>
              <w:pStyle w:val="null3"/>
              <w:jc w:val="both"/>
            </w:pPr>
            <w:r>
              <w:rPr>
                <w:sz w:val="21"/>
              </w:rPr>
              <w:t>▲2. 要求采用≥2600mah非充电锂电池供电，可实现超长时间应用，待机时间五年（</w:t>
            </w:r>
            <w:r>
              <w:rPr>
                <w:sz w:val="21"/>
              </w:rPr>
              <w:t>投标文件需提供</w:t>
            </w:r>
            <w:r>
              <w:rPr>
                <w:sz w:val="21"/>
              </w:rPr>
              <w:t>电池参数资料）；</w:t>
            </w:r>
          </w:p>
          <w:p>
            <w:pPr>
              <w:pStyle w:val="null3"/>
              <w:jc w:val="both"/>
            </w:pPr>
            <w:r>
              <w:rPr>
                <w:sz w:val="21"/>
              </w:rPr>
              <w:t>3. 可存储≥10000条指卡数据；具有软硬件防冲突设置；</w:t>
            </w:r>
          </w:p>
          <w:p>
            <w:pPr>
              <w:pStyle w:val="null3"/>
              <w:jc w:val="both"/>
            </w:pPr>
            <w:r>
              <w:rPr>
                <w:sz w:val="21"/>
              </w:rPr>
              <w:t>4. 具备NFC通讯功能，可进行时间校对、更改号码、更改为功能站（起点、终点、清除等）；</w:t>
            </w:r>
          </w:p>
          <w:p>
            <w:pPr>
              <w:pStyle w:val="null3"/>
              <w:jc w:val="both"/>
            </w:pPr>
            <w:r>
              <w:rPr>
                <w:sz w:val="21"/>
              </w:rPr>
              <w:t>5. 内置实时时钟，开机即用，日常训练，无需对时，使用方便；</w:t>
            </w:r>
          </w:p>
          <w:p>
            <w:pPr>
              <w:pStyle w:val="null3"/>
              <w:jc w:val="both"/>
            </w:pPr>
            <w:r>
              <w:rPr>
                <w:sz w:val="21"/>
              </w:rPr>
              <w:t>6. 外形尺寸≤12*7*2.5cm,含电池重量≤90g；</w:t>
            </w:r>
          </w:p>
          <w:p>
            <w:pPr>
              <w:pStyle w:val="null3"/>
              <w:jc w:val="both"/>
            </w:pPr>
            <w:r>
              <w:rPr>
                <w:sz w:val="21"/>
              </w:rPr>
              <w:t>7. 防潮，防震，温度范围包括但不限于－40℃～＋80℃；</w:t>
            </w:r>
          </w:p>
          <w:p>
            <w:pPr>
              <w:pStyle w:val="null3"/>
              <w:jc w:val="both"/>
            </w:pPr>
            <w:r>
              <w:rPr>
                <w:sz w:val="21"/>
              </w:rPr>
              <w:t>8. 具有声光反馈，限位圈设计确保打卡唯一性；</w:t>
            </w:r>
          </w:p>
          <w:p>
            <w:pPr>
              <w:pStyle w:val="null3"/>
              <w:jc w:val="both"/>
            </w:pPr>
            <w:r>
              <w:rPr>
                <w:sz w:val="21"/>
              </w:rPr>
              <w:t>9. 能在两种模式下工作:普通模式和路线模式（无需电脑自动判断运动员成绩的有效性）；</w:t>
            </w:r>
          </w:p>
          <w:p>
            <w:pPr>
              <w:pStyle w:val="null3"/>
              <w:jc w:val="both"/>
            </w:pPr>
            <w:r>
              <w:rPr>
                <w:sz w:val="21"/>
              </w:rPr>
              <w:t xml:space="preserve">10. 起点具有指卡自动写入路线功能,可配合路线卡制定不同的路线.  </w:t>
            </w:r>
          </w:p>
          <w:p>
            <w:pPr>
              <w:pStyle w:val="null3"/>
            </w:pPr>
            <w:r>
              <w:rPr>
                <w:sz w:val="21"/>
              </w:rPr>
              <w:t>11. 支持中文成绩打印输出（路线模式时直接打印成绩的有效性）；</w:t>
            </w:r>
          </w:p>
          <w:p>
            <w:pPr>
              <w:pStyle w:val="null3"/>
            </w:pPr>
            <w:r>
              <w:rPr>
                <w:sz w:val="21"/>
              </w:rPr>
              <w:t>主站</w:t>
            </w:r>
          </w:p>
          <w:p>
            <w:pPr>
              <w:pStyle w:val="null3"/>
              <w:jc w:val="both"/>
            </w:pPr>
            <w:r>
              <w:rPr>
                <w:sz w:val="21"/>
              </w:rPr>
              <w:t>12. 同时支持USB和232接口，连接电脑无需转换器，可同时连接打印机和电脑进行成绩输出；</w:t>
            </w:r>
          </w:p>
          <w:p>
            <w:pPr>
              <w:pStyle w:val="null3"/>
              <w:jc w:val="both"/>
            </w:pPr>
            <w:r>
              <w:rPr>
                <w:sz w:val="21"/>
              </w:rPr>
              <w:t>13. 可存储≥4000个运动员全部比赛数据信息，可进行离线提取，用于备份和仲裁使用；</w:t>
            </w:r>
          </w:p>
          <w:p>
            <w:pPr>
              <w:pStyle w:val="null3"/>
              <w:jc w:val="both"/>
            </w:pPr>
            <w:r>
              <w:rPr>
                <w:sz w:val="21"/>
              </w:rPr>
              <w:t>14. 具有对时功能，可在≤0.5秒内完成点签器的时间校对；</w:t>
            </w:r>
          </w:p>
          <w:p>
            <w:pPr>
              <w:pStyle w:val="null3"/>
              <w:jc w:val="both"/>
            </w:pPr>
            <w:r>
              <w:rPr>
                <w:sz w:val="21"/>
              </w:rPr>
              <w:t>15. 微功耗省电设计，支持工作及睡眠模式（可通过软件以及计时卡调整）；</w:t>
            </w:r>
          </w:p>
          <w:p>
            <w:pPr>
              <w:pStyle w:val="null3"/>
              <w:jc w:val="both"/>
            </w:pPr>
            <w:r>
              <w:rPr>
                <w:sz w:val="21"/>
              </w:rPr>
              <w:t>16. 外形尺寸≥11*6*2cm，可采用主站进行对点签器统一对时校准。</w:t>
            </w:r>
          </w:p>
          <w:p>
            <w:pPr>
              <w:pStyle w:val="null3"/>
              <w:jc w:val="both"/>
            </w:pPr>
            <w:r>
              <w:rPr>
                <w:sz w:val="21"/>
              </w:rPr>
              <w:t>站点配置系统（对时器）</w:t>
            </w:r>
          </w:p>
          <w:p>
            <w:pPr>
              <w:pStyle w:val="null3"/>
              <w:jc w:val="both"/>
            </w:pPr>
            <w:r>
              <w:rPr>
                <w:sz w:val="21"/>
              </w:rPr>
              <w:t>17. 采用触摸式按键和液晶显示.具有校时,检测电量，点签器编号修改等功能．高效方便，防水效果好.</w:t>
            </w:r>
          </w:p>
          <w:p>
            <w:pPr>
              <w:pStyle w:val="null3"/>
              <w:jc w:val="both"/>
            </w:pPr>
            <w:r>
              <w:rPr>
                <w:sz w:val="21"/>
              </w:rPr>
              <w:t>18. 快速读取、校对点签器时钟（可自行设置大赛时间,每次校对仅需≤0.5秒钟）；</w:t>
            </w:r>
          </w:p>
          <w:p>
            <w:pPr>
              <w:pStyle w:val="null3"/>
              <w:jc w:val="both"/>
            </w:pPr>
            <w:r>
              <w:rPr>
                <w:sz w:val="21"/>
              </w:rPr>
              <w:t>19. 无需连接电脑直接使用点签配置系统修改点签器号码；</w:t>
            </w:r>
          </w:p>
          <w:p>
            <w:pPr>
              <w:pStyle w:val="null3"/>
              <w:jc w:val="both"/>
            </w:pPr>
            <w:r>
              <w:rPr>
                <w:sz w:val="21"/>
              </w:rPr>
              <w:t>20. 快速检测点签器电池电量低报警(液晶屏提示)；</w:t>
            </w:r>
          </w:p>
          <w:p>
            <w:pPr>
              <w:pStyle w:val="null3"/>
              <w:jc w:val="both"/>
            </w:pPr>
            <w:r>
              <w:rPr>
                <w:sz w:val="21"/>
              </w:rPr>
              <w:t>21. 用启动棒开机，触摸关机，关机后没有功耗，电池无需经常取出；</w:t>
            </w:r>
          </w:p>
          <w:p>
            <w:pPr>
              <w:pStyle w:val="null3"/>
              <w:jc w:val="both"/>
            </w:pPr>
            <w:r>
              <w:rPr>
                <w:sz w:val="21"/>
              </w:rPr>
              <w:t>22. 点签配置系统连续工作时间≥500小时。</w:t>
            </w:r>
          </w:p>
          <w:p>
            <w:pPr>
              <w:pStyle w:val="null3"/>
              <w:jc w:val="both"/>
            </w:pPr>
            <w:r>
              <w:rPr>
                <w:sz w:val="21"/>
              </w:rPr>
              <w:t>CH计时卡</w:t>
            </w:r>
          </w:p>
          <w:p>
            <w:pPr>
              <w:pStyle w:val="null3"/>
              <w:jc w:val="both"/>
            </w:pPr>
            <w:r>
              <w:rPr>
                <w:sz w:val="21"/>
              </w:rPr>
              <w:t>23. 外形尺寸≥32mm *26 mm *3.8mm，两端弧形设计，配以松紧指带，松紧自动调节；</w:t>
            </w:r>
          </w:p>
          <w:p>
            <w:pPr>
              <w:pStyle w:val="null3"/>
              <w:jc w:val="both"/>
            </w:pPr>
            <w:r>
              <w:rPr>
                <w:sz w:val="21"/>
              </w:rPr>
              <w:t>24. 存储容量达到≥180个站点打卡数据；</w:t>
            </w:r>
          </w:p>
          <w:p>
            <w:pPr>
              <w:pStyle w:val="null3"/>
              <w:jc w:val="both"/>
            </w:pPr>
            <w:r>
              <w:rPr>
                <w:sz w:val="21"/>
              </w:rPr>
              <w:t>25. 指卡编号不少于8位，确保指卡号码全球唯一性；</w:t>
            </w:r>
          </w:p>
          <w:p>
            <w:pPr>
              <w:pStyle w:val="null3"/>
              <w:jc w:val="both"/>
            </w:pPr>
            <w:r>
              <w:rPr>
                <w:sz w:val="21"/>
              </w:rPr>
              <w:t>26. 具备≥3次DES密钥认证；</w:t>
            </w:r>
          </w:p>
          <w:p>
            <w:pPr>
              <w:pStyle w:val="null3"/>
              <w:jc w:val="both"/>
            </w:pPr>
            <w:r>
              <w:rPr>
                <w:sz w:val="21"/>
              </w:rPr>
              <w:t>27. 可以将姓名和单位信息写入指卡，实现实名制；</w:t>
            </w:r>
          </w:p>
          <w:p>
            <w:pPr>
              <w:pStyle w:val="null3"/>
              <w:jc w:val="both"/>
            </w:pPr>
            <w:r>
              <w:rPr>
                <w:sz w:val="21"/>
              </w:rPr>
              <w:t>28. 防水，防潮，防腐蚀，温度范围包括但不限于－40℃～＋80℃；</w:t>
            </w:r>
          </w:p>
          <w:p>
            <w:pPr>
              <w:pStyle w:val="null3"/>
              <w:jc w:val="both"/>
            </w:pPr>
            <w:r>
              <w:rPr>
                <w:sz w:val="21"/>
              </w:rPr>
              <w:t>29. 指卡弧度与点签器物理限位圈配合，确保进入限位圈指卡的唯一性，满足防抢打要求。</w:t>
            </w:r>
          </w:p>
          <w:p>
            <w:pPr>
              <w:pStyle w:val="null3"/>
              <w:jc w:val="both"/>
            </w:pPr>
            <w:r>
              <w:rPr>
                <w:sz w:val="21"/>
              </w:rPr>
              <w:t>30. 清除卡：可快速清除主站和点签器中的存储数据。</w:t>
            </w:r>
          </w:p>
          <w:p>
            <w:pPr>
              <w:pStyle w:val="null3"/>
            </w:pPr>
            <w:r>
              <w:rPr>
                <w:sz w:val="21"/>
              </w:rPr>
              <w:t>31. 排序打印卡：具备成绩排序功能，自动对录入主站的数据进行排序输出。</w:t>
            </w:r>
          </w:p>
          <w:p>
            <w:pPr>
              <w:pStyle w:val="null3"/>
            </w:pPr>
            <w:r>
              <w:rPr>
                <w:sz w:val="21"/>
              </w:rPr>
              <w:t>32. 关机卡：用于所有点签器关机。</w:t>
            </w:r>
          </w:p>
          <w:p>
            <w:pPr>
              <w:pStyle w:val="null3"/>
              <w:jc w:val="both"/>
            </w:pPr>
            <w:r>
              <w:rPr>
                <w:sz w:val="21"/>
              </w:rPr>
              <w:t>33. 发令卡：管理卡参数跟计时卡一样，可实现发令功能。</w:t>
            </w:r>
          </w:p>
          <w:p>
            <w:pPr>
              <w:pStyle w:val="null3"/>
              <w:jc w:val="both"/>
            </w:pPr>
            <w:r>
              <w:rPr>
                <w:sz w:val="21"/>
              </w:rPr>
              <w:t>34. 通讯卡：开启主站通讯模式，可进行时间校对、更改号码、更改为功能站（起点、终点、清除等）和参数设备。</w:t>
            </w:r>
          </w:p>
          <w:p>
            <w:pPr>
              <w:pStyle w:val="null3"/>
              <w:jc w:val="both"/>
            </w:pPr>
            <w:r>
              <w:rPr>
                <w:sz w:val="21"/>
              </w:rPr>
              <w:t>35. 开机棒：特殊强磁非接触式启动模式，带保护膜，防破损，尺寸≥7*30mm。</w:t>
            </w:r>
          </w:p>
          <w:p>
            <w:pPr>
              <w:pStyle w:val="null3"/>
              <w:jc w:val="both"/>
            </w:pPr>
            <w:r>
              <w:rPr>
                <w:sz w:val="21"/>
              </w:rPr>
              <w:t>成统软件（个人赛）：</w:t>
            </w:r>
          </w:p>
          <w:p>
            <w:pPr>
              <w:pStyle w:val="null3"/>
            </w:pPr>
            <w:r>
              <w:rPr>
                <w:sz w:val="21"/>
              </w:rPr>
              <w:t>36. 支持短距离、中距离、长距离以及百米定向赛的成绩统计，支持打起点和按时刻表两种出发方式；</w:t>
            </w:r>
          </w:p>
          <w:p>
            <w:pPr>
              <w:pStyle w:val="null3"/>
              <w:jc w:val="both"/>
            </w:pPr>
            <w:r>
              <w:rPr>
                <w:sz w:val="21"/>
              </w:rPr>
              <w:t>37. 可导入运动员数据、分组数据、路线；</w:t>
            </w:r>
          </w:p>
          <w:p>
            <w:pPr>
              <w:pStyle w:val="null3"/>
              <w:jc w:val="both"/>
            </w:pPr>
            <w:r>
              <w:rPr>
                <w:sz w:val="21"/>
              </w:rPr>
              <w:t>38. 可对运动员的成绩进行分段分析；</w:t>
            </w:r>
          </w:p>
          <w:p>
            <w:pPr>
              <w:pStyle w:val="null3"/>
              <w:jc w:val="both"/>
            </w:pPr>
            <w:r>
              <w:rPr>
                <w:sz w:val="21"/>
              </w:rPr>
              <w:t>39. 可输出出发时刻、成绩等多种报表；</w:t>
            </w:r>
          </w:p>
          <w:p>
            <w:pPr>
              <w:pStyle w:val="null3"/>
              <w:jc w:val="both"/>
            </w:pPr>
            <w:r>
              <w:rPr>
                <w:sz w:val="21"/>
              </w:rPr>
              <w:t>40. 可设置硬件设备，对点签器进行对时，查看电量，并支持读取备份数据。</w:t>
            </w:r>
          </w:p>
          <w:p>
            <w:pPr>
              <w:pStyle w:val="null3"/>
              <w:jc w:val="both"/>
            </w:pPr>
            <w:r>
              <w:rPr>
                <w:sz w:val="21"/>
              </w:rPr>
              <w:t>成绩输出终端</w:t>
            </w:r>
          </w:p>
          <w:p>
            <w:pPr>
              <w:pStyle w:val="null3"/>
            </w:pPr>
            <w:r>
              <w:rPr>
                <w:sz w:val="21"/>
              </w:rPr>
              <w:t>41. 外观尺寸：≥108(L)×78(W)×45(H)mm；重量：≥150g（不含纸卷和电池）；纸卷直径为≥40mm；纸宽：≥57mm；打印宽度：≥48mm；打印速度：≤50-80mm/s；分辨率：≥8点/mm。</w:t>
            </w:r>
          </w:p>
          <w:p>
            <w:pPr>
              <w:pStyle w:val="null3"/>
              <w:jc w:val="both"/>
            </w:pPr>
            <w:r>
              <w:rPr>
                <w:sz w:val="21"/>
              </w:rPr>
              <w:t>42. 可电池供电，亦可接电源直接工作；</w:t>
            </w:r>
          </w:p>
          <w:p>
            <w:pPr>
              <w:pStyle w:val="null3"/>
              <w:jc w:val="both"/>
            </w:pPr>
            <w:r>
              <w:rPr>
                <w:sz w:val="21"/>
              </w:rPr>
              <w:t>43. 一次充电，待机时间≤10个小时；轻便型与实用性相结合，可安装直径为40的大卷热敏打印纸（一次更换，可输出200-500人成绩，方便实用）。</w:t>
            </w:r>
          </w:p>
          <w:p>
            <w:pPr>
              <w:pStyle w:val="null3"/>
              <w:jc w:val="both"/>
            </w:pPr>
            <w:r>
              <w:rPr>
                <w:sz w:val="21"/>
              </w:rPr>
              <w:t>44. 支持汉字输出；支持姓名、单位打印输出；支持排序打印；</w:t>
            </w:r>
          </w:p>
          <w:p>
            <w:pPr>
              <w:pStyle w:val="null3"/>
              <w:jc w:val="both"/>
            </w:pPr>
            <w:r>
              <w:rPr>
                <w:sz w:val="21"/>
              </w:rPr>
              <w:t>45. 要求≤40分钟快速充电；</w:t>
            </w:r>
          </w:p>
          <w:p>
            <w:pPr>
              <w:pStyle w:val="null3"/>
              <w:jc w:val="both"/>
            </w:pPr>
            <w:r>
              <w:rPr>
                <w:sz w:val="21"/>
              </w:rPr>
              <w:t>便携设备箱</w:t>
            </w:r>
          </w:p>
          <w:p>
            <w:pPr>
              <w:pStyle w:val="null3"/>
            </w:pPr>
            <w:r>
              <w:rPr>
                <w:sz w:val="21"/>
              </w:rPr>
              <w:t>46. 尺寸：≥392 mm *281*103/52mm，箱体采用钻石纹铝片，4mm夹板，内贴2mmEVA；</w:t>
            </w:r>
          </w:p>
          <w:p>
            <w:pPr>
              <w:pStyle w:val="null3"/>
              <w:jc w:val="both"/>
            </w:pPr>
            <w:r>
              <w:rPr>
                <w:sz w:val="21"/>
              </w:rPr>
              <w:t>47. 内设缓冲隔离挡板，防止设备撞击、磨损。</w:t>
            </w:r>
          </w:p>
          <w:p>
            <w:pPr>
              <w:pStyle w:val="null3"/>
              <w:jc w:val="both"/>
            </w:pPr>
            <w:r>
              <w:rPr>
                <w:sz w:val="21"/>
              </w:rPr>
              <w:t>48. USB数据线：专业订制，实现数据线的接口转换，制作的工艺符合国家标准</w:t>
            </w:r>
          </w:p>
          <w:p>
            <w:pPr>
              <w:pStyle w:val="null3"/>
              <w:jc w:val="both"/>
            </w:pPr>
            <w:r>
              <w:rPr>
                <w:sz w:val="21"/>
              </w:rPr>
              <w:t>49. 防盗锁链：采用带胶软钢绳，防磨防盗，直径为≥2MM，绳长≥1.5米，带锁扣和扳手，携带方便，牢固耐用。</w:t>
            </w:r>
          </w:p>
          <w:p>
            <w:pPr>
              <w:pStyle w:val="null3"/>
              <w:jc w:val="both"/>
            </w:pPr>
            <w:r>
              <w:rPr>
                <w:sz w:val="21"/>
              </w:rPr>
              <w:t>50. 点标旗：符合国际定联标准，尺寸≥30*30mm，防雨布料，且不褪色，特制合金支架，不易变形、不生锈，高密度织带挂绳。</w:t>
            </w:r>
          </w:p>
          <w:p>
            <w:pPr>
              <w:pStyle w:val="null3"/>
              <w:jc w:val="both"/>
            </w:pPr>
            <w:r>
              <w:rPr>
                <w:sz w:val="21"/>
              </w:rPr>
              <w:t>电子发令器</w:t>
            </w:r>
          </w:p>
          <w:p>
            <w:pPr>
              <w:pStyle w:val="null3"/>
            </w:pPr>
            <w:r>
              <w:rPr>
                <w:sz w:val="21"/>
              </w:rPr>
              <w:t>51. 可设置发令时间间隔；通过按键校正时钟或用软件校正时钟；</w:t>
            </w:r>
          </w:p>
          <w:p>
            <w:pPr>
              <w:pStyle w:val="null3"/>
            </w:pPr>
            <w:r>
              <w:rPr>
                <w:sz w:val="21"/>
              </w:rPr>
              <w:t>52. 检测发令器电池电量低报警；</w:t>
            </w:r>
          </w:p>
          <w:p>
            <w:pPr>
              <w:pStyle w:val="null3"/>
            </w:pPr>
            <w:r>
              <w:rPr>
                <w:sz w:val="21"/>
              </w:rPr>
              <w:t>53. 发令器连续工作时间可达≥17小时以上；</w:t>
            </w:r>
          </w:p>
          <w:p>
            <w:pPr>
              <w:pStyle w:val="null3"/>
              <w:jc w:val="both"/>
            </w:pPr>
            <w:r>
              <w:rPr>
                <w:sz w:val="21"/>
              </w:rPr>
              <w:t>54. 发令器可对电池充电；</w:t>
            </w:r>
          </w:p>
          <w:p>
            <w:pPr>
              <w:pStyle w:val="null3"/>
              <w:jc w:val="both"/>
            </w:pPr>
            <w:r>
              <w:rPr>
                <w:sz w:val="21"/>
              </w:rPr>
              <w:t>55. 可输出音频信号；</w:t>
            </w:r>
          </w:p>
          <w:p>
            <w:pPr>
              <w:pStyle w:val="null3"/>
              <w:jc w:val="both"/>
            </w:pPr>
            <w:r>
              <w:rPr>
                <w:sz w:val="21"/>
              </w:rPr>
              <w:t>56. 操作简单易用等。</w:t>
            </w:r>
          </w:p>
          <w:p>
            <w:pPr>
              <w:pStyle w:val="null3"/>
              <w:jc w:val="left"/>
            </w:pPr>
            <w:r>
              <w:rPr>
                <w:sz w:val="21"/>
              </w:rPr>
              <w:t>57. 配置清单：</w:t>
            </w:r>
          </w:p>
          <w:p>
            <w:pPr>
              <w:pStyle w:val="null3"/>
              <w:jc w:val="left"/>
            </w:pPr>
            <w:r>
              <w:rPr>
                <w:sz w:val="21"/>
              </w:rPr>
              <w:t>（</w:t>
            </w:r>
            <w:r>
              <w:rPr>
                <w:sz w:val="21"/>
              </w:rPr>
              <w:t>1）点签器30台</w:t>
            </w:r>
          </w:p>
          <w:p>
            <w:pPr>
              <w:pStyle w:val="null3"/>
              <w:jc w:val="left"/>
            </w:pPr>
            <w:r>
              <w:rPr>
                <w:sz w:val="21"/>
              </w:rPr>
              <w:t>（</w:t>
            </w:r>
            <w:r>
              <w:rPr>
                <w:sz w:val="21"/>
              </w:rPr>
              <w:t>2）起点站2台</w:t>
            </w:r>
          </w:p>
          <w:p>
            <w:pPr>
              <w:pStyle w:val="null3"/>
              <w:jc w:val="left"/>
            </w:pPr>
            <w:r>
              <w:rPr>
                <w:sz w:val="21"/>
              </w:rPr>
              <w:t>（</w:t>
            </w:r>
            <w:r>
              <w:rPr>
                <w:sz w:val="21"/>
              </w:rPr>
              <w:t>3）终点站2台</w:t>
            </w:r>
          </w:p>
          <w:p>
            <w:pPr>
              <w:pStyle w:val="null3"/>
              <w:jc w:val="left"/>
            </w:pPr>
            <w:r>
              <w:rPr>
                <w:sz w:val="21"/>
              </w:rPr>
              <w:t>（</w:t>
            </w:r>
            <w:r>
              <w:rPr>
                <w:sz w:val="21"/>
              </w:rPr>
              <w:t>4）清除/核查站1台</w:t>
            </w:r>
          </w:p>
          <w:p>
            <w:pPr>
              <w:pStyle w:val="null3"/>
              <w:jc w:val="left"/>
            </w:pPr>
            <w:r>
              <w:rPr>
                <w:sz w:val="21"/>
              </w:rPr>
              <w:t>（</w:t>
            </w:r>
            <w:r>
              <w:rPr>
                <w:sz w:val="21"/>
              </w:rPr>
              <w:t>5）主站1台</w:t>
            </w:r>
          </w:p>
          <w:p>
            <w:pPr>
              <w:pStyle w:val="null3"/>
              <w:jc w:val="left"/>
            </w:pPr>
            <w:r>
              <w:rPr>
                <w:sz w:val="21"/>
              </w:rPr>
              <w:t>（</w:t>
            </w:r>
            <w:r>
              <w:rPr>
                <w:sz w:val="21"/>
              </w:rPr>
              <w:t>6）站点配置系统（对时器）1台</w:t>
            </w:r>
          </w:p>
          <w:p>
            <w:pPr>
              <w:pStyle w:val="null3"/>
              <w:jc w:val="left"/>
            </w:pPr>
            <w:r>
              <w:rPr>
                <w:sz w:val="21"/>
              </w:rPr>
              <w:t>（</w:t>
            </w:r>
            <w:r>
              <w:rPr>
                <w:sz w:val="21"/>
              </w:rPr>
              <w:t>7）CH计时卡50个</w:t>
            </w:r>
          </w:p>
          <w:p>
            <w:pPr>
              <w:pStyle w:val="null3"/>
              <w:jc w:val="left"/>
            </w:pPr>
            <w:r>
              <w:rPr>
                <w:sz w:val="21"/>
              </w:rPr>
              <w:t>（</w:t>
            </w:r>
            <w:r>
              <w:rPr>
                <w:sz w:val="21"/>
              </w:rPr>
              <w:t>8）清除卡1张</w:t>
            </w:r>
          </w:p>
          <w:p>
            <w:pPr>
              <w:pStyle w:val="null3"/>
              <w:jc w:val="left"/>
            </w:pPr>
            <w:r>
              <w:rPr>
                <w:sz w:val="21"/>
              </w:rPr>
              <w:t>（</w:t>
            </w:r>
            <w:r>
              <w:rPr>
                <w:sz w:val="21"/>
              </w:rPr>
              <w:t>9）排序打印卡1张</w:t>
            </w:r>
          </w:p>
          <w:p>
            <w:pPr>
              <w:pStyle w:val="null3"/>
              <w:jc w:val="left"/>
            </w:pPr>
            <w:r>
              <w:rPr>
                <w:sz w:val="21"/>
              </w:rPr>
              <w:t>（</w:t>
            </w:r>
            <w:r>
              <w:rPr>
                <w:sz w:val="21"/>
              </w:rPr>
              <w:t>10）关机卡1张</w:t>
            </w:r>
          </w:p>
          <w:p>
            <w:pPr>
              <w:pStyle w:val="null3"/>
              <w:jc w:val="left"/>
            </w:pPr>
            <w:r>
              <w:rPr>
                <w:sz w:val="21"/>
              </w:rPr>
              <w:t>（</w:t>
            </w:r>
            <w:r>
              <w:rPr>
                <w:sz w:val="21"/>
              </w:rPr>
              <w:t>11）发令卡1张</w:t>
            </w:r>
          </w:p>
          <w:p>
            <w:pPr>
              <w:pStyle w:val="null3"/>
              <w:jc w:val="left"/>
            </w:pPr>
            <w:r>
              <w:rPr>
                <w:sz w:val="21"/>
              </w:rPr>
              <w:t>（</w:t>
            </w:r>
            <w:r>
              <w:rPr>
                <w:sz w:val="21"/>
              </w:rPr>
              <w:t>12）通讯卡1张</w:t>
            </w:r>
          </w:p>
          <w:p>
            <w:pPr>
              <w:pStyle w:val="null3"/>
              <w:jc w:val="left"/>
            </w:pPr>
            <w:r>
              <w:rPr>
                <w:sz w:val="21"/>
              </w:rPr>
              <w:t>（</w:t>
            </w:r>
            <w:r>
              <w:rPr>
                <w:sz w:val="21"/>
              </w:rPr>
              <w:t>13）开机棒1个</w:t>
            </w:r>
          </w:p>
          <w:p>
            <w:pPr>
              <w:pStyle w:val="null3"/>
              <w:jc w:val="left"/>
            </w:pPr>
            <w:r>
              <w:rPr>
                <w:sz w:val="21"/>
              </w:rPr>
              <w:t>（</w:t>
            </w:r>
            <w:r>
              <w:rPr>
                <w:sz w:val="21"/>
              </w:rPr>
              <w:t>14）成统软件（个人赛）1套</w:t>
            </w:r>
          </w:p>
          <w:p>
            <w:pPr>
              <w:pStyle w:val="null3"/>
              <w:jc w:val="left"/>
            </w:pPr>
            <w:r>
              <w:rPr>
                <w:sz w:val="21"/>
              </w:rPr>
              <w:t>（</w:t>
            </w:r>
            <w:r>
              <w:rPr>
                <w:sz w:val="21"/>
              </w:rPr>
              <w:t>15）成绩输出终端1台</w:t>
            </w:r>
          </w:p>
          <w:p>
            <w:pPr>
              <w:pStyle w:val="null3"/>
              <w:jc w:val="left"/>
            </w:pPr>
            <w:r>
              <w:rPr>
                <w:sz w:val="21"/>
              </w:rPr>
              <w:t>（</w:t>
            </w:r>
            <w:r>
              <w:rPr>
                <w:sz w:val="21"/>
              </w:rPr>
              <w:t>16）便携设备箱2个</w:t>
            </w:r>
          </w:p>
          <w:p>
            <w:pPr>
              <w:pStyle w:val="null3"/>
              <w:jc w:val="left"/>
            </w:pPr>
            <w:r>
              <w:rPr>
                <w:sz w:val="21"/>
              </w:rPr>
              <w:t>（</w:t>
            </w:r>
            <w:r>
              <w:rPr>
                <w:sz w:val="21"/>
              </w:rPr>
              <w:t>17）USB数据线2个</w:t>
            </w:r>
          </w:p>
          <w:p>
            <w:pPr>
              <w:pStyle w:val="null3"/>
              <w:jc w:val="left"/>
            </w:pPr>
            <w:r>
              <w:rPr>
                <w:sz w:val="21"/>
              </w:rPr>
              <w:t>（</w:t>
            </w:r>
            <w:r>
              <w:rPr>
                <w:sz w:val="21"/>
              </w:rPr>
              <w:t>18）防盗锁链30个</w:t>
            </w:r>
          </w:p>
          <w:p>
            <w:pPr>
              <w:pStyle w:val="null3"/>
              <w:jc w:val="left"/>
            </w:pPr>
            <w:r>
              <w:rPr>
                <w:sz w:val="21"/>
              </w:rPr>
              <w:t>（</w:t>
            </w:r>
            <w:r>
              <w:rPr>
                <w:sz w:val="21"/>
              </w:rPr>
              <w:t>19）点标旗30个</w:t>
            </w:r>
          </w:p>
          <w:p>
            <w:pPr>
              <w:pStyle w:val="null3"/>
              <w:jc w:val="left"/>
            </w:pPr>
            <w:r>
              <w:rPr>
                <w:sz w:val="21"/>
              </w:rPr>
              <w:t>（</w:t>
            </w:r>
            <w:r>
              <w:rPr>
                <w:sz w:val="21"/>
              </w:rPr>
              <w:t>20）电子发令器1台</w:t>
            </w:r>
          </w:p>
          <w:p>
            <w:pPr>
              <w:pStyle w:val="null3"/>
              <w:jc w:val="both"/>
            </w:pPr>
            <w:r>
              <w:rPr>
                <w:sz w:val="21"/>
              </w:rPr>
              <w:t>（</w:t>
            </w:r>
            <w:r>
              <w:rPr>
                <w:sz w:val="21"/>
              </w:rPr>
              <w:t>21）打印纸30卷。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采购包1：保证金人民币：23,200.00元整。</w:t>
            </w:r>
          </w:p>
          <w:p>
            <w:pPr>
              <w:pStyle w:val="null3"/>
            </w:pPr>
            <w:r>
              <w:rPr/>
              <w:t xml:space="preserve">开户单位： </w:t>
            </w:r>
            <w:r>
              <w:rPr/>
              <w:t>广州中经招标有限公司</w:t>
            </w:r>
          </w:p>
          <w:p>
            <w:pPr>
              <w:pStyle w:val="null3"/>
            </w:pPr>
            <w:r>
              <w:rPr/>
              <w:t xml:space="preserve">开户账号： </w:t>
            </w:r>
            <w:r>
              <w:rPr/>
              <w:t>9550880203416300174</w:t>
            </w:r>
          </w:p>
          <w:p>
            <w:pPr>
              <w:pStyle w:val="null3"/>
            </w:pPr>
            <w:r>
              <w:rPr/>
              <w:t xml:space="preserve">开户银行： </w:t>
            </w:r>
            <w:r>
              <w:rPr/>
              <w:t>广发银行广州五羊新城支行</w:t>
            </w:r>
          </w:p>
          <w:p>
            <w:pPr>
              <w:pStyle w:val="null3"/>
            </w:pPr>
            <w:r>
              <w:rPr/>
              <w:t xml:space="preserve">支票提交方式： </w:t>
            </w:r>
            <w:r>
              <w:rPr/>
              <w:t>非现金形式</w:t>
            </w:r>
          </w:p>
          <w:p>
            <w:pPr>
              <w:pStyle w:val="null3"/>
            </w:pPr>
            <w:r>
              <w:rPr/>
              <w:t xml:space="preserve">汇票、本票提交方式： </w:t>
            </w:r>
            <w:r>
              <w:rPr/>
              <w:t>非现金形式</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人在领取《中标通知书》时须向采购代理机构交纳服务费，该中标服务费参考《招标代理服务收费管理暂行办法》（计价格[2002]1980号）、2003（857）号文、《国家发展改革委关于降低部分建设项目收费标准规范收费行为等有关问题的通知》（发改价格[2011]534号）及《广州市招标代理服务费计费规则》（穗招代理协[2017]3号）文件规定的标准下浮20%收取，按货物类计算，不足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广州中经招标有限公司</w:t>
      </w:r>
      <w:r>
        <w:rPr/>
        <w:t>代收。具体操作要求详见</w:t>
      </w:r>
      <w:r>
        <w:rPr/>
        <w:t>广州中经招标有限公司</w:t>
      </w:r>
      <w:r>
        <w:rPr/>
        <w:t>有关指引，递交事宜请自行咨询</w:t>
      </w:r>
      <w:r>
        <w:rPr/>
        <w:t>广州中经招标有限公司</w:t>
      </w:r>
      <w:r>
        <w:rPr/>
        <w:t>；请各投标人在投标文件递交截止时间前按须知前附表规定的金额递交至</w:t>
      </w:r>
      <w:r>
        <w:rPr/>
        <w:t>广州中经招标有限公司</w:t>
      </w:r>
      <w:r>
        <w:rPr/>
        <w:t>，到账情况以开标时</w:t>
      </w:r>
      <w:r>
        <w:rPr/>
        <w:t>广州中经招标有限公司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广州中经招标有限公司（http://www.gzbidding.cn/）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广州中经招标有限公司（http://www.gzbidding.cn/）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采购包1(体能训练设备仪器)：综合评分法,是指投标文件满足招标文件全部实质性要求，且按照评审因素的量化指标评审得分最高的投标人为中标候选人的评标方法。（最低报价不是中标的唯一依据。）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采购包1（体能训练设备仪器）：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采购包1（体能训练设备仪器）：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①提供2023年或2024年任意一个月依法缴纳税收的相关证明材料，如依法免税的，应提供相应文件证明其依法免税； ②提供2023年或2024年任意一个月依法缴纳社会保险的证明复印件，如依法不需要缴纳社会保障资金的，应提供相应文件证明其依法不需要缴纳社会保障资金。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 ①2022年度或2023年度经审计的财务报告复印件； ②提供2024年至今任意1个月的财务状况报告复印件； ③银行出具的资信证明材料复印件。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（1）单位负责人为同一人或者存在直接控股、管理关系的不同供应商，不得同时参加本采购项目（包组）投标。 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本项目整体专门面向中小企业采购。 （1）提供货物的制造商须为符合本项目采购标的对应行业（工业）政策划分标准的中小企业（提供《中小企业声明函》）。 （2）根据有关政策，视同为小微企业的其他情形： ① 若提供货物的制造商为残疾人福利性单位，提供《残疾人福利性单位声明函》。 ② 若提供货物的制造商为监狱企业，提供由省级以上监狱管理局、戒毒管理局(含新疆生产建设兵团)出具的属于监狱企业的证明文件。</w:t>
            </w:r>
          </w:p>
        </w:tc>
      </w:tr>
    </w:tbl>
    <w:p>
      <w:pPr>
        <w:pStyle w:val="null3"/>
        <w:ind w:firstLine="480"/>
      </w:pPr>
      <w:r>
        <w:rPr/>
        <w:t>表二符合性审查表：</w:t>
      </w:r>
    </w:p>
    <w:p>
      <w:pPr>
        <w:pStyle w:val="null3"/>
      </w:pPr>
      <w:r>
        <w:rPr/>
        <w:t>采购包1（体能训练设备仪器）：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投标保证金</w:t>
            </w:r>
          </w:p>
        </w:tc>
        <w:tc>
          <w:tcPr>
            <w:tcW w:type="dxa" w:w="4238"/>
          </w:tcPr>
          <w:p>
            <w:pPr>
              <w:pStyle w:val="null3"/>
            </w:pPr>
            <w:r>
              <w:rPr/>
              <w:t>投标人按招标文件要求缴纳投标保证金的。</w:t>
            </w:r>
          </w:p>
        </w:tc>
      </w:tr>
      <w:tr>
        <w:tc>
          <w:tcPr>
            <w:tcW w:type="dxa" w:w="890"/>
          </w:tcPr>
          <w:p>
            <w:pPr>
              <w:pStyle w:val="null3"/>
            </w:pPr>
            <w:r>
              <w:rPr/>
              <w:t>8</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采购包1(体能训练设备仪器):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技术重要条款响应情况 (20.0分)</w:t>
            </w:r>
          </w:p>
        </w:tc>
        <w:tc>
          <w:tcPr>
            <w:tcW w:type="dxa" w:w="5076"/>
          </w:tcPr>
          <w:p>
            <w:pPr>
              <w:pStyle w:val="null3"/>
              <w:jc w:val="left"/>
            </w:pPr>
            <w:r>
              <w:rPr/>
              <w:t>根据投标人对招标文件“技术标准与要求”中▲号参数（共8条）响应进行评审，每满足一个▲号，得2.5分，满分20分。（备注：如采购需求中有明确要求提供证明材料的，则以采购需求要求的为准；如采购需求中无明确要求证明材料的，则投标人须提供投标产品的产品彩页或产品使用说明书 （如为英文版，请同时提供中文版加盖投标人公章）或原厂公开发表的证明文件或第三方检测机构出具的检测报告作为技术证明文件。凡不符合上述要求的，将视为无效技术支持资料，未提供或提供不符合上述要求的证明文件视为不响应，不得分。）</w:t>
            </w:r>
          </w:p>
        </w:tc>
      </w:tr>
      <w:tr>
        <w:tc>
          <w:tcPr>
            <w:tcW w:type="dxa" w:w="922"/>
            <w:gridSpan w:val="2"/>
            <w:vMerge/>
          </w:tcPr>
          <w:p/>
        </w:tc>
        <w:tc>
          <w:tcPr>
            <w:tcW w:type="dxa" w:w="2307"/>
          </w:tcPr>
          <w:p>
            <w:pPr>
              <w:pStyle w:val="null3"/>
              <w:jc w:val="left"/>
            </w:pPr>
            <w:r>
              <w:rPr/>
              <w:t>技术一般条款响应情况 (10.0分)</w:t>
            </w:r>
          </w:p>
        </w:tc>
        <w:tc>
          <w:tcPr>
            <w:tcW w:type="dxa" w:w="5076"/>
          </w:tcPr>
          <w:p>
            <w:pPr>
              <w:pStyle w:val="null3"/>
              <w:jc w:val="left"/>
            </w:pPr>
            <w:r>
              <w:rPr/>
              <w:t>根据投标人对招标文件“技术标准与要求”中不带▲号参数（除“双侧测力平台系统 第20条条款外”）的响应程度进行评审 ：完全满足得10分；负偏离总数≤10项的，每出现一项负偏离，扣1分；负偏离总数＞10项的，得0分。 （备注：如采购需求中有明确要求提供证明材料的，则以采购需求中要求的为准，如采购需求中无明确要求证明材料的，则以投标人提供的《技术和服务要求响应表》的响应情况进行评审。未提供上述技术证明文件的视为不响应，不得分。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安装调试方案 (7.0分)</w:t>
            </w:r>
            <w:r>
              <w:rPr/>
              <w:t>，（等次分值选择：</w:t>
            </w:r>
            <w:r>
              <w:rPr/>
              <w:t>0.0;</w:t>
            </w:r>
            <w:r>
              <w:rPr/>
              <w:t>2.0;</w:t>
            </w:r>
            <w:r>
              <w:rPr/>
              <w:t>4.0;</w:t>
            </w:r>
            <w:r>
              <w:rPr/>
              <w:t>7.0;</w:t>
            </w:r>
            <w:r>
              <w:rPr/>
              <w:t>）</w:t>
            </w:r>
          </w:p>
        </w:tc>
        <w:tc>
          <w:tcPr>
            <w:tcW w:type="dxa" w:w="5076"/>
          </w:tcPr>
          <w:p>
            <w:pPr>
              <w:pStyle w:val="null3"/>
              <w:jc w:val="left"/>
            </w:pPr>
            <w:r>
              <w:rPr/>
              <w:t>对投标人根据招标文件商务要求中“货物安装调试（包括但不限于安装调试计划、安装调试步骤、安装调试人员安排）”提供的方案计划进行评审： （1）安装调试方案具体科学涵盖上述全部要点，实施方案具体可行，完全满足招标文件要求，得7分； （2）安装调试方案较具体科学涵盖上述全部要点，实施方案基本可行，基本满足招标文件要求，得4 分； （3）安装调试方案不够具体科学未涵盖上述全部要点，实施方案可行性不强，低于招标文件要求，得2分； （4）未提供相关方案的，不得分。</w:t>
            </w:r>
          </w:p>
        </w:tc>
      </w:tr>
      <w:tr>
        <w:tc>
          <w:tcPr>
            <w:tcW w:type="dxa" w:w="922"/>
            <w:gridSpan w:val="2"/>
            <w:vMerge/>
          </w:tcPr>
          <w:p/>
        </w:tc>
        <w:tc>
          <w:tcPr>
            <w:tcW w:type="dxa" w:w="2307"/>
          </w:tcPr>
          <w:p>
            <w:pPr>
              <w:pStyle w:val="null3"/>
              <w:jc w:val="left"/>
            </w:pPr>
            <w:r>
              <w:rPr/>
              <w:t>培训计划 (6.0分)</w:t>
            </w:r>
            <w:r>
              <w:rPr/>
              <w:t>，（等次分值选择：</w:t>
            </w:r>
            <w:r>
              <w:rPr/>
              <w:t>0.0;</w:t>
            </w:r>
            <w:r>
              <w:rPr/>
              <w:t>2.0;</w:t>
            </w:r>
            <w:r>
              <w:rPr/>
              <w:t>4.0;</w:t>
            </w:r>
            <w:r>
              <w:rPr/>
              <w:t>6.0;</w:t>
            </w:r>
            <w:r>
              <w:rPr/>
              <w:t>）</w:t>
            </w:r>
          </w:p>
        </w:tc>
        <w:tc>
          <w:tcPr>
            <w:tcW w:type="dxa" w:w="5076"/>
          </w:tcPr>
          <w:p>
            <w:pPr>
              <w:pStyle w:val="null3"/>
              <w:jc w:val="left"/>
            </w:pPr>
            <w:r>
              <w:rPr/>
              <w:t>对投标人根据招标文件商务要求中详细的针对本项目产品的技术操作培训方案进行评审，详细的针对本项目产品的技术操作培训方案： （1）技术培训方案内容完整多样，培训计划安排合理，培训内容合理，有产品手册，有同类项目培训服务满意证明，得6分； （2）技术培训方案内容有不完整，培训计划安排一般，无产品手册，无同类项目培训服务满意证明，得4 分； （3）技术培训方案有缺陷，培训计划安排有缺陷，无产品手册，无同类项目培训服务满意证明，得2分； （4）未提供相关方案的，不得分。</w:t>
            </w:r>
          </w:p>
        </w:tc>
      </w:tr>
      <w:tr>
        <w:tc>
          <w:tcPr>
            <w:tcW w:type="dxa" w:w="922"/>
            <w:gridSpan w:val="2"/>
            <w:vMerge/>
          </w:tcPr>
          <w:p/>
        </w:tc>
        <w:tc>
          <w:tcPr>
            <w:tcW w:type="dxa" w:w="2307"/>
          </w:tcPr>
          <w:p>
            <w:pPr>
              <w:pStyle w:val="null3"/>
              <w:jc w:val="left"/>
            </w:pPr>
            <w:r>
              <w:rPr/>
              <w:t>质量保证方案 (7.0分)</w:t>
            </w:r>
            <w:r>
              <w:rPr/>
              <w:t>，（等次分值选择：</w:t>
            </w:r>
            <w:r>
              <w:rPr/>
              <w:t>0.0;</w:t>
            </w:r>
            <w:r>
              <w:rPr/>
              <w:t>2.0;</w:t>
            </w:r>
            <w:r>
              <w:rPr/>
              <w:t>4.0;</w:t>
            </w:r>
            <w:r>
              <w:rPr/>
              <w:t>7.0;</w:t>
            </w:r>
            <w:r>
              <w:rPr/>
              <w:t>）</w:t>
            </w:r>
          </w:p>
        </w:tc>
        <w:tc>
          <w:tcPr>
            <w:tcW w:type="dxa" w:w="5076"/>
          </w:tcPr>
          <w:p>
            <w:pPr>
              <w:pStyle w:val="null3"/>
              <w:jc w:val="left"/>
            </w:pPr>
            <w:r>
              <w:rPr/>
              <w:t>对投标人根据招标文件商务要求中“质保期保障服务”提供的方案（包括但不限于质量保证期、质量保证期内响应时间、响应措施）进行评审： （1）针对本项目的质量保证方案涵盖上述全部要点，详细具体，可行性强，有针对性，完全满足招标文件要求，得7分 ； （2）针对本项目的质量保证方案涵盖上述全部要点，较详细具体，可行性较强，有较强的 针对性，基本满足招标文件要求，得4分； （3）针对本项目的质量保证方案未涵盖上述全部要点，不够详细具体，可行性不强，低于招标文件要求，无针对性，得2分； （4）未提供相关方案的，不得分。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(2.0分)</w:t>
            </w:r>
            <w:r>
              <w:rPr/>
              <w:t>，（等次分值选择：</w:t>
            </w:r>
            <w:r>
              <w:rPr/>
              <w:t>0.0;</w:t>
            </w:r>
            <w:r>
              <w:rPr/>
              <w:t>2.0;</w:t>
            </w:r>
            <w:r>
              <w:rPr/>
              <w:t>）</w:t>
            </w:r>
          </w:p>
        </w:tc>
        <w:tc>
          <w:tcPr>
            <w:tcW w:type="dxa" w:w="5076"/>
          </w:tcPr>
          <w:p>
            <w:pPr>
              <w:pStyle w:val="null3"/>
              <w:jc w:val="left"/>
            </w:pPr>
            <w:r>
              <w:rPr/>
              <w:t>根据投标人的商务条款（标的提供时间、标的提供地点）响应程度，进行评审： 1.完全满足招标文件要求，得2分； 2.其他情况不得分。</w:t>
            </w:r>
          </w:p>
        </w:tc>
      </w:tr>
      <w:tr>
        <w:tc>
          <w:tcPr>
            <w:tcW w:type="dxa" w:w="922"/>
            <w:gridSpan w:val="2"/>
            <w:vMerge/>
          </w:tcPr>
          <w:p/>
        </w:tc>
        <w:tc>
          <w:tcPr>
            <w:tcW w:type="dxa" w:w="2307"/>
          </w:tcPr>
          <w:p>
            <w:pPr>
              <w:pStyle w:val="null3"/>
              <w:jc w:val="left"/>
            </w:pPr>
            <w:r>
              <w:rPr/>
              <w:t>同类项目业绩 (5.0分)</w:t>
            </w:r>
            <w:r>
              <w:rPr/>
              <w:t>，（等次分值选择：</w:t>
            </w:r>
            <w:r>
              <w:rPr/>
              <w:t>0.0;</w:t>
            </w:r>
            <w:r>
              <w:rPr/>
              <w:t>1.0;</w:t>
            </w:r>
            <w:r>
              <w:rPr/>
              <w:t>2.0;</w:t>
            </w:r>
            <w:r>
              <w:rPr/>
              <w:t>3.0;</w:t>
            </w:r>
            <w:r>
              <w:rPr/>
              <w:t>4.0;</w:t>
            </w:r>
            <w:r>
              <w:rPr/>
              <w:t>5.0;</w:t>
            </w:r>
            <w:r>
              <w:rPr/>
              <w:t>）</w:t>
            </w:r>
          </w:p>
        </w:tc>
        <w:tc>
          <w:tcPr>
            <w:tcW w:type="dxa" w:w="5076"/>
          </w:tcPr>
          <w:p>
            <w:pPr>
              <w:pStyle w:val="null3"/>
              <w:jc w:val="left"/>
            </w:pPr>
            <w:r>
              <w:rPr/>
              <w:t>根据投标人自2021年1月1日起至今完成的本项目同类项目业绩进行评审，每提供一项得1分，最高得5分。 注：须提供合同关键页【含项目名称、项目内容、甲乙双方签字盖章页】复印件并加盖投标人公章，以合同签订时间为准，不提供证明材料或专家无法认定的不得分。同类项目是指提供的合同清单中应包含本次项目采购清单任一相同品名的产品。</w:t>
            </w:r>
          </w:p>
        </w:tc>
      </w:tr>
      <w:tr>
        <w:tc>
          <w:tcPr>
            <w:tcW w:type="dxa" w:w="922"/>
            <w:gridSpan w:val="2"/>
            <w:vMerge/>
          </w:tcPr>
          <w:p/>
        </w:tc>
        <w:tc>
          <w:tcPr>
            <w:tcW w:type="dxa" w:w="2307"/>
          </w:tcPr>
          <w:p>
            <w:pPr>
              <w:pStyle w:val="null3"/>
              <w:jc w:val="left"/>
            </w:pPr>
            <w:r>
              <w:rPr/>
              <w:t>服务承诺方案 (5.0分)</w:t>
            </w:r>
            <w:r>
              <w:rPr/>
              <w:t>，（等次分值选择：</w:t>
            </w:r>
            <w:r>
              <w:rPr/>
              <w:t>0.0;</w:t>
            </w:r>
            <w:r>
              <w:rPr/>
              <w:t>1.0;</w:t>
            </w:r>
            <w:r>
              <w:rPr/>
              <w:t>3.0;</w:t>
            </w:r>
            <w:r>
              <w:rPr/>
              <w:t>5.0;</w:t>
            </w:r>
            <w:r>
              <w:rPr/>
              <w:t>）</w:t>
            </w:r>
          </w:p>
        </w:tc>
        <w:tc>
          <w:tcPr>
            <w:tcW w:type="dxa" w:w="5076"/>
          </w:tcPr>
          <w:p>
            <w:pPr>
              <w:pStyle w:val="null3"/>
              <w:jc w:val="left"/>
            </w:pPr>
            <w:r>
              <w:rPr/>
              <w:t>投标人针对本项目的服务承诺（包括但不限于服务承诺、售后服务技术力量、售后服务便利）及售后服务体系制定相关方案：  （1）服务承诺实际、详细、针对性强；售后服务技术力量构架完善，搭配合理；售后服务便利方案具体明确，得5分； （2）服务承诺较实际、较详细、针对性较强；售后服务技术力量构架较完善，搭配较合理；售后服务便利方案不够明确，得3分； （3）服务承诺不实际、不详细、无针对性；售后服务技术力量构架不完善，搭配不合理；售后服务便利方案不明确，得1分； （4）未提供相关方案的，不得分。</w:t>
            </w:r>
          </w:p>
        </w:tc>
      </w:tr>
      <w:tr>
        <w:tc>
          <w:tcPr>
            <w:tcW w:type="dxa" w:w="922"/>
            <w:gridSpan w:val="2"/>
            <w:vMerge/>
          </w:tcPr>
          <w:p/>
        </w:tc>
        <w:tc>
          <w:tcPr>
            <w:tcW w:type="dxa" w:w="2307"/>
          </w:tcPr>
          <w:p>
            <w:pPr>
              <w:pStyle w:val="null3"/>
              <w:jc w:val="left"/>
            </w:pPr>
            <w:r>
              <w:rPr/>
              <w:t>拟投入本项目的团队人员情况 (8.0分)</w:t>
            </w:r>
            <w:r>
              <w:rPr/>
              <w:t>，（等次分值选择：</w:t>
            </w:r>
            <w:r>
              <w:rPr/>
              <w:t>0.0;</w:t>
            </w:r>
            <w:r>
              <w:rPr/>
              <w:t>1.0;</w:t>
            </w:r>
            <w:r>
              <w:rPr/>
              <w:t>2.0;</w:t>
            </w:r>
            <w:r>
              <w:rPr/>
              <w:t>3.0;</w:t>
            </w:r>
            <w:r>
              <w:rPr/>
              <w:t>4.0;</w:t>
            </w:r>
            <w:r>
              <w:rPr/>
              <w:t>5.0;</w:t>
            </w:r>
            <w:r>
              <w:rPr/>
              <w:t>6.0;</w:t>
            </w:r>
            <w:r>
              <w:rPr/>
              <w:t>7.0;</w:t>
            </w:r>
            <w:r>
              <w:rPr/>
              <w:t>8.0;</w:t>
            </w:r>
            <w:r>
              <w:rPr/>
              <w:t>）</w:t>
            </w:r>
          </w:p>
        </w:tc>
        <w:tc>
          <w:tcPr>
            <w:tcW w:type="dxa" w:w="5076"/>
          </w:tcPr>
          <w:p>
            <w:pPr>
              <w:pStyle w:val="null3"/>
              <w:jc w:val="left"/>
            </w:pPr>
            <w:r>
              <w:rPr/>
              <w:t>根据投标人提供的拟投入本项目的团队人员进行综合评审： 投入本项目的团队人员是体育专业，并需同时提供本科及以上学历证书，学士及以上学位证书，每提供1个人员，得1分，本项目评审满分8分。 1.提供毕业证及学位证书复印件，并加盖投标人公章。2.关于上述人员用工形式的证明（投标人满足以下任意一项即可，未按要求提供的不得分）： （1）提供投标人为其购买的至投标截止时间为止近1年内任意1个月的社保证明复印件（代缴个税税单或参加社会保险的《投保单》或《社会保险参保人员证明》等证明均可）；（2）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2"/>
          <w:b/>
        </w:rPr>
        <w:t>国产设备：</w:t>
      </w:r>
    </w:p>
    <w:p>
      <w:pPr>
        <w:pStyle w:val="null3"/>
        <w:spacing w:before="315" w:after="150"/>
        <w:jc w:val="center"/>
      </w:pPr>
      <w:r>
        <w:rPr>
          <w:sz w:val="56"/>
          <w:b/>
        </w:rPr>
        <w:t>华南师范大学货物采购合同书</w:t>
      </w:r>
    </w:p>
    <w:p>
      <w:pPr>
        <w:pStyle w:val="null3"/>
        <w:spacing w:before="315" w:after="150"/>
        <w:jc w:val="center"/>
      </w:pPr>
      <w:r>
        <w:rPr>
          <w:sz w:val="44"/>
          <w:b/>
        </w:rPr>
        <w:t>（仅供参考）</w:t>
      </w:r>
    </w:p>
    <w:p>
      <w:pPr>
        <w:pStyle w:val="null3"/>
        <w:jc w:val="both"/>
      </w:pPr>
      <w:r>
        <w:rPr>
          <w:sz w:val="28"/>
          <w:b/>
        </w:rPr>
        <w:t>甲方：</w:t>
      </w:r>
      <w:r>
        <w:rPr>
          <w:sz w:val="28"/>
          <w:b/>
          <w:u w:val="single"/>
        </w:rPr>
        <w:t xml:space="preserve">   </w:t>
      </w:r>
      <w:r>
        <w:rPr>
          <w:sz w:val="28"/>
          <w:b/>
          <w:u w:val="single"/>
        </w:rPr>
        <w:t>华南师范大学</w:t>
      </w:r>
    </w:p>
    <w:p>
      <w:pPr>
        <w:pStyle w:val="null3"/>
        <w:ind w:firstLine="1968"/>
        <w:jc w:val="left"/>
      </w:pPr>
      <w:r>
        <w:rPr>
          <w:sz w:val="28"/>
          <w:b/>
        </w:rPr>
        <w:t>乙方：</w:t>
      </w:r>
      <w:r>
        <w:rPr>
          <w:sz w:val="28"/>
          <w:b/>
          <w:u w:val="single"/>
        </w:rPr>
        <w:t>（必填项）</w:t>
      </w:r>
    </w:p>
    <w:p>
      <w:pPr>
        <w:pStyle w:val="null3"/>
        <w:ind w:firstLine="1968"/>
        <w:jc w:val="left"/>
      </w:pPr>
      <w:r>
        <w:rPr>
          <w:sz w:val="28"/>
          <w:b/>
        </w:rPr>
        <w:t>签订地点：</w:t>
      </w:r>
      <w:r>
        <w:rPr>
          <w:sz w:val="28"/>
          <w:b/>
          <w:u w:val="single"/>
        </w:rPr>
        <w:t xml:space="preserve">   </w:t>
      </w:r>
      <w:r>
        <w:rPr>
          <w:sz w:val="28"/>
          <w:b/>
          <w:u w:val="single"/>
        </w:rPr>
        <w:t>广州市</w:t>
      </w:r>
      <w:r>
        <w:rPr>
          <w:sz w:val="28"/>
          <w:b/>
          <w:u w:val="single"/>
        </w:rPr>
        <w:t>天河区</w:t>
      </w:r>
      <w:r>
        <w:rPr>
          <w:sz w:val="28"/>
          <w:b/>
          <w:u w:val="single"/>
        </w:rPr>
        <w:t xml:space="preserve">   </w:t>
      </w:r>
    </w:p>
    <w:p>
      <w:pPr>
        <w:pStyle w:val="null3"/>
        <w:ind w:firstLine="1968"/>
        <w:jc w:val="left"/>
      </w:pPr>
      <w:r>
        <w:rPr>
          <w:sz w:val="28"/>
          <w:b/>
        </w:rPr>
        <w:t>合同名称：</w:t>
      </w:r>
      <w:r>
        <w:rPr>
          <w:sz w:val="28"/>
          <w:b/>
          <w:u w:val="single"/>
        </w:rPr>
        <w:t>华南师范大学</w:t>
      </w:r>
      <w:r>
        <w:rPr>
          <w:sz w:val="28"/>
          <w:b/>
          <w:u w:val="single"/>
        </w:rPr>
        <w:t>+二级单位名称+采购+货物名称</w:t>
      </w:r>
    </w:p>
    <w:p>
      <w:pPr>
        <w:pStyle w:val="null3"/>
        <w:ind w:firstLine="1925"/>
        <w:jc w:val="left"/>
      </w:pPr>
      <w:r>
        <w:rPr>
          <w:sz w:val="28"/>
          <w:b/>
        </w:rPr>
        <w:t>合同编号：</w:t>
      </w:r>
      <w:r>
        <w:rPr>
          <w:sz w:val="28"/>
          <w:b/>
          <w:u w:val="single"/>
        </w:rPr>
        <w:t>（示例：</w:t>
      </w:r>
      <w:r>
        <w:rPr>
          <w:sz w:val="28"/>
          <w:b/>
          <w:u w:val="single"/>
        </w:rPr>
        <w:t>HT2020XXXXX</w:t>
      </w:r>
      <w:r>
        <w:rPr>
          <w:sz w:val="28"/>
          <w:b/>
          <w:u w:val="single"/>
        </w:rPr>
        <w:t>）</w:t>
      </w:r>
    </w:p>
    <w:p>
      <w:pPr>
        <w:pStyle w:val="null3"/>
        <w:ind w:firstLine="1968"/>
        <w:jc w:val="left"/>
      </w:pPr>
      <w:r>
        <w:rPr>
          <w:sz w:val="28"/>
          <w:b/>
        </w:rPr>
        <w:t>采购编号：</w:t>
      </w:r>
      <w:r>
        <w:rPr>
          <w:sz w:val="28"/>
          <w:b/>
          <w:u w:val="single"/>
        </w:rPr>
        <w:t>（</w:t>
      </w:r>
      <w:r>
        <w:rPr>
          <w:sz w:val="28"/>
          <w:b/>
          <w:u w:val="single"/>
        </w:rPr>
        <w:t>原思必得系统产生</w:t>
      </w:r>
      <w:r>
        <w:rPr>
          <w:sz w:val="28"/>
          <w:b/>
          <w:u w:val="single"/>
        </w:rPr>
        <w:t>）</w:t>
      </w:r>
    </w:p>
    <w:p>
      <w:pPr>
        <w:pStyle w:val="null3"/>
        <w:ind w:firstLine="2168"/>
        <w:jc w:val="left"/>
      </w:pPr>
      <w:r>
        <w:rPr>
          <w:sz w:val="28"/>
          <w:b/>
        </w:rPr>
        <w:t>华南师范大学采购与招投标中心拟制</w:t>
      </w:r>
    </w:p>
    <w:p>
      <w:pPr>
        <w:pStyle w:val="null3"/>
        <w:jc w:val="center"/>
      </w:pPr>
      <w:r>
        <w:rPr>
          <w:sz w:val="28"/>
          <w:b/>
        </w:rPr>
        <w:t>二〇二〇年三月版</w:t>
      </w:r>
    </w:p>
    <w:p>
      <w:pPr>
        <w:pStyle w:val="null3"/>
        <w:ind w:firstLine="562"/>
        <w:jc w:val="center"/>
      </w:pPr>
      <w:r>
        <w:rPr>
          <w:sz w:val="28"/>
          <w:b/>
        </w:rPr>
        <w:t>合同使用指引</w:t>
      </w:r>
    </w:p>
    <w:p>
      <w:pPr>
        <w:pStyle w:val="null3"/>
        <w:ind w:firstLine="420"/>
        <w:jc w:val="left"/>
      </w:pPr>
      <w:r>
        <w:rPr>
          <w:sz w:val="21"/>
        </w:rPr>
        <w:t>一、本合同书为华南师范大学</w:t>
      </w:r>
      <w:r>
        <w:rPr>
          <w:sz w:val="21"/>
          <w:b/>
        </w:rPr>
        <w:t>国内</w:t>
      </w:r>
      <w:r>
        <w:rPr>
          <w:sz w:val="21"/>
        </w:rPr>
        <w:t>货物采购合同范本，</w:t>
      </w:r>
      <w:r>
        <w:rPr>
          <w:sz w:val="21"/>
          <w:b/>
        </w:rPr>
        <w:t>适用于公开招标、邀请招标、单一来源、竞争性谈判、竞争性磋商、询价等采购方式产生的合同</w:t>
      </w:r>
      <w:r>
        <w:rPr>
          <w:sz w:val="21"/>
        </w:rPr>
        <w:t>。</w:t>
      </w:r>
    </w:p>
    <w:p>
      <w:pPr>
        <w:pStyle w:val="null3"/>
        <w:ind w:firstLine="420"/>
        <w:jc w:val="left"/>
      </w:pPr>
      <w:r>
        <w:rPr>
          <w:sz w:val="21"/>
        </w:rPr>
        <w:t>二、</w:t>
      </w:r>
      <w:r>
        <w:rPr>
          <w:sz w:val="21"/>
          <w:b/>
        </w:rPr>
        <w:t>本合同书原则上不得随意修改、删减</w:t>
      </w:r>
      <w:r>
        <w:rPr>
          <w:sz w:val="21"/>
        </w:rPr>
        <w:t>，如有特殊约定可增加补充条款或附件，但所补充内容不得与已有条款内容相冲突。</w:t>
      </w:r>
    </w:p>
    <w:p>
      <w:pPr>
        <w:pStyle w:val="null3"/>
        <w:ind w:firstLine="420"/>
        <w:jc w:val="left"/>
      </w:pPr>
      <w:r>
        <w:rPr>
          <w:sz w:val="21"/>
        </w:rPr>
        <w:t>三、在使用本合同书时，</w:t>
      </w:r>
      <w:r>
        <w:rPr>
          <w:sz w:val="21"/>
          <w:b/>
        </w:rPr>
        <w:t>应当结合具体情况正确选择文本中所提供的选择项条款；画横线处及空格的内容则由双方根据实际情况填写</w:t>
      </w:r>
      <w:r>
        <w:rPr>
          <w:sz w:val="21"/>
        </w:rPr>
        <w:t>。对于无需填写的条款，应根据文本提示在该条款处注明</w:t>
      </w:r>
      <w:r>
        <w:rPr>
          <w:sz w:val="21"/>
        </w:rPr>
        <w:t>“无”字样。</w:t>
      </w:r>
    </w:p>
    <w:p>
      <w:pPr>
        <w:pStyle w:val="null3"/>
        <w:ind w:firstLine="420"/>
        <w:jc w:val="left"/>
      </w:pPr>
      <w:r>
        <w:rPr>
          <w:sz w:val="21"/>
        </w:rPr>
        <w:t>四、甲乙双方信息应全部填写完整，合同结尾处的双方签名及签订日期</w:t>
      </w:r>
      <w:r>
        <w:rPr>
          <w:sz w:val="21"/>
          <w:b/>
        </w:rPr>
        <w:t>均应为亲笔签名</w:t>
      </w:r>
      <w:r>
        <w:rPr>
          <w:sz w:val="21"/>
        </w:rPr>
        <w:t>。</w:t>
      </w:r>
    </w:p>
    <w:p>
      <w:pPr>
        <w:pStyle w:val="null3"/>
        <w:ind w:firstLine="420"/>
        <w:jc w:val="left"/>
      </w:pPr>
      <w:r>
        <w:rPr>
          <w:sz w:val="21"/>
        </w:rPr>
        <w:t>五、</w:t>
      </w:r>
      <w:r>
        <w:rPr>
          <w:sz w:val="21"/>
          <w:b/>
        </w:rPr>
        <w:t>本合同书应按规定格式双面打印，大小为</w:t>
      </w:r>
      <w:r>
        <w:rPr>
          <w:sz w:val="21"/>
          <w:b/>
        </w:rPr>
        <w:t>A4幅面，正文内容所用字体应不小于5号字</w:t>
      </w:r>
      <w:r>
        <w:rPr>
          <w:sz w:val="21"/>
        </w:rPr>
        <w:t>。合同附件应与合同书装订在一起，其规格大小应与合同书一致。</w:t>
      </w:r>
    </w:p>
    <w:p>
      <w:pPr>
        <w:pStyle w:val="null3"/>
        <w:ind w:firstLine="420"/>
        <w:jc w:val="left"/>
      </w:pPr>
      <w:r>
        <w:rPr>
          <w:sz w:val="21"/>
        </w:rPr>
        <w:t>六、本合同书经甲乙双方法定代表人或委托代理人签署、加盖单位公章后，送贰份至采购与招投标中心存档备案。</w:t>
      </w:r>
    </w:p>
    <w:p>
      <w:pPr>
        <w:pStyle w:val="null3"/>
        <w:ind w:firstLine="420"/>
        <w:jc w:val="left"/>
      </w:pPr>
      <w:r>
        <w:rPr>
          <w:sz w:val="21"/>
        </w:rPr>
        <w:t>七、甲乙双方应保管好合同书原件。</w:t>
      </w:r>
    </w:p>
    <w:p>
      <w:pPr>
        <w:pStyle w:val="null3"/>
        <w:ind w:firstLine="420"/>
        <w:jc w:val="left"/>
      </w:pPr>
      <w:r>
        <w:rPr>
          <w:sz w:val="21"/>
        </w:rPr>
        <w:t>八、如有疑问请与采购中心采购一部联系，联系电话：</w:t>
      </w:r>
      <w:r>
        <w:rPr>
          <w:sz w:val="21"/>
        </w:rPr>
        <w:t>85211082。</w:t>
      </w:r>
    </w:p>
    <w:p>
      <w:pPr>
        <w:pStyle w:val="null3"/>
        <w:ind w:firstLine="420"/>
        <w:jc w:val="left"/>
      </w:pPr>
      <w:r>
        <w:rPr>
          <w:sz w:val="21"/>
        </w:rPr>
        <w:t>根据《中华人民共和国政府采购法》、《中华人民共和国招标投标法》、《中华人民共和国民法典》等法律法规，以及甲方委托</w:t>
      </w:r>
      <w:r>
        <w:rPr>
          <w:sz w:val="21"/>
        </w:rPr>
        <w:t>__________（代理机构名称）组织的_____项目（项目名称）(采购编号_________)的成交结果，经甲乙双方协商一致，签订本合同，由双方共同恪守如下内容：</w:t>
      </w:r>
    </w:p>
    <w:p>
      <w:pPr>
        <w:pStyle w:val="null3"/>
        <w:ind w:firstLine="422"/>
        <w:jc w:val="left"/>
      </w:pPr>
      <w:r>
        <w:rPr>
          <w:sz w:val="21"/>
          <w:b/>
        </w:rPr>
        <w:t>一、合同标的</w:t>
      </w:r>
    </w:p>
    <w:p>
      <w:pPr>
        <w:pStyle w:val="null3"/>
        <w:ind w:firstLine="420"/>
        <w:jc w:val="left"/>
      </w:pPr>
      <w:r>
        <w:rPr>
          <w:sz w:val="21"/>
        </w:rPr>
        <w:t>1．</w:t>
      </w:r>
      <w:r>
        <w:rPr>
          <w:sz w:val="21"/>
        </w:rPr>
        <w:t>标的物明细</w:t>
      </w:r>
    </w:p>
    <w:p>
      <w:pPr>
        <w:pStyle w:val="null3"/>
        <w:ind w:firstLine="420"/>
        <w:jc w:val="left"/>
      </w:pPr>
      <w:r>
        <w:rPr>
          <w:sz w:val="21"/>
        </w:rPr>
        <w:t>本合同标的为</w:t>
      </w:r>
      <w:r>
        <w:rPr>
          <w:sz w:val="21"/>
        </w:rPr>
        <w:t>___________（货物名称），包括设计、货物供货、安装、调试、培训、验收、技术服务、质保期保障等的全部内容，详细内容见下表：</w:t>
      </w:r>
    </w:p>
    <w:p>
      <w:pPr>
        <w:pStyle w:val="null3"/>
        <w:ind w:firstLine="420"/>
        <w:jc w:val="center"/>
      </w:pPr>
      <w:r>
        <w:rPr>
          <w:sz w:val="21"/>
        </w:rPr>
        <w:t>请选择填写方式：</w:t>
      </w:r>
      <w:r>
        <w:rPr>
          <w:sz w:val="21"/>
          <w:u w:val="single"/>
        </w:rPr>
        <w:t>_______</w:t>
      </w:r>
      <w:r>
        <w:rPr>
          <w:sz w:val="21"/>
        </w:rPr>
        <w:t>(</w:t>
      </w:r>
      <w:r>
        <w:rPr>
          <w:sz w:val="21"/>
        </w:rPr>
        <w:t>1.</w:t>
      </w:r>
      <w:r>
        <w:rPr>
          <w:sz w:val="21"/>
        </w:rPr>
        <w:t>在下方表格中填写；</w:t>
      </w:r>
      <w:r>
        <w:rPr>
          <w:sz w:val="21"/>
        </w:rPr>
        <w:t>2.</w:t>
      </w:r>
      <w:r>
        <w:rPr>
          <w:sz w:val="21"/>
        </w:rPr>
        <w:t>在合同附件</w:t>
      </w:r>
      <w:r>
        <w:rPr>
          <w:sz w:val="21"/>
        </w:rPr>
        <w:t>1里填写）</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08"/>
        <w:gridCol w:w="508"/>
        <w:gridCol w:w="825"/>
        <w:gridCol w:w="921"/>
        <w:gridCol w:w="2791"/>
        <w:gridCol w:w="646"/>
        <w:gridCol w:w="646"/>
        <w:gridCol w:w="701"/>
        <w:gridCol w:w="715"/>
      </w:tblGrid>
      <w:tr>
        <w:tc>
          <w:tcPr>
            <w:tcW w:type="dxa" w:w="508"/>
            <w:tcBorders>
              <w:top w:val="outset"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项数</w:t>
            </w:r>
          </w:p>
        </w:tc>
        <w:tc>
          <w:tcPr>
            <w:tcW w:type="dxa" w:w="508"/>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货物</w:t>
            </w:r>
            <w:r>
              <w:rPr>
                <w:sz w:val="21"/>
              </w:rPr>
              <w:t>名称</w:t>
            </w:r>
          </w:p>
        </w:tc>
        <w:tc>
          <w:tcPr>
            <w:tcW w:type="dxa" w:w="825"/>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品牌</w:t>
            </w:r>
          </w:p>
        </w:tc>
        <w:tc>
          <w:tcPr>
            <w:tcW w:type="dxa" w:w="921"/>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型号</w:t>
            </w:r>
          </w:p>
        </w:tc>
        <w:tc>
          <w:tcPr>
            <w:tcW w:type="dxa" w:w="2791"/>
            <w:tcBorders>
              <w:top w:val="outset" w:color="000000" w:sz="4"/>
              <w:left w:val="singl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r>
              <w:rPr>
                <w:sz w:val="21"/>
              </w:rPr>
              <w:t>详细</w:t>
            </w:r>
            <w:r>
              <w:rPr>
                <w:sz w:val="21"/>
              </w:rPr>
              <w:t>配置</w:t>
            </w:r>
            <w:r>
              <w:rPr>
                <w:sz w:val="21"/>
              </w:rPr>
              <w:t>清单</w:t>
            </w:r>
          </w:p>
        </w:tc>
        <w:tc>
          <w:tcPr>
            <w:tcW w:type="dxa" w:w="64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单位</w:t>
            </w:r>
          </w:p>
        </w:tc>
        <w:tc>
          <w:tcPr>
            <w:tcW w:type="dxa" w:w="646"/>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数量</w:t>
            </w:r>
          </w:p>
        </w:tc>
        <w:tc>
          <w:tcPr>
            <w:tcW w:type="dxa" w:w="701"/>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单价</w:t>
            </w:r>
          </w:p>
        </w:tc>
        <w:tc>
          <w:tcPr>
            <w:tcW w:type="dxa" w:w="715"/>
            <w:tcBorders>
              <w:top w:val="outset"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总价</w:t>
            </w:r>
          </w:p>
        </w:tc>
      </w:tr>
      <w:tr>
        <w:tc>
          <w:tcPr>
            <w:tcW w:type="dxa" w:w="508"/>
            <w:tcBorders>
              <w:top w:val="non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r>
              <w:rPr>
                <w:sz w:val="21"/>
              </w:rPr>
              <w:t>1</w:t>
            </w:r>
          </w:p>
        </w:tc>
        <w:tc>
          <w:tcPr>
            <w:tcW w:type="dxa" w:w="508"/>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pPr>
              <w:pStyle w:val="null3"/>
              <w:ind w:firstLine="420"/>
              <w:jc w:val="left"/>
            </w:pPr>
          </w:p>
        </w:tc>
        <w:tc>
          <w:tcPr>
            <w:tcW w:type="dxa" w:w="825"/>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921"/>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2791"/>
            <w:tcBorders>
              <w:top w:val="none" w:color="000000" w:sz="4"/>
              <w:left w:val="single" w:color="000000" w:sz="4"/>
              <w:bottom w:val="outset" w:color="000000" w:sz="4"/>
              <w:right w:val="outset" w:color="000000" w:sz="4"/>
            </w:tcBorders>
            <w:tcMar>
              <w:top w:type="dxa" w:w="15"/>
              <w:left w:type="dxa" w:w="15"/>
              <w:bottom w:type="dxa" w:w="15"/>
              <w:right w:type="dxa" w:w="15"/>
            </w:tcMar>
            <w:vAlign w:val="top"/>
          </w:tcPr>
          <w:p/>
        </w:tc>
        <w:tc>
          <w:tcPr>
            <w:tcW w:type="dxa" w:w="64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646"/>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701"/>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c>
          <w:tcPr>
            <w:tcW w:type="dxa" w:w="715"/>
            <w:tcBorders>
              <w:top w:val="none" w:color="000000" w:sz="4"/>
              <w:left w:val="none" w:color="000000" w:sz="4"/>
              <w:bottom w:val="outset" w:color="000000" w:sz="4"/>
              <w:right w:val="outset" w:color="000000" w:sz="4"/>
            </w:tcBorders>
            <w:tcMar>
              <w:top w:type="dxa" w:w="15"/>
              <w:left w:type="dxa" w:w="15"/>
              <w:bottom w:type="dxa" w:w="15"/>
              <w:right w:type="dxa" w:w="15"/>
            </w:tcMar>
            <w:vAlign w:val="top"/>
          </w:tcPr>
          <w:p/>
        </w:tc>
      </w:tr>
      <w:tr>
        <w:tc>
          <w:tcPr>
            <w:tcW w:type="dxa" w:w="8261"/>
            <w:gridSpan w:val="9"/>
            <w:tcBorders>
              <w:top w:val="none" w:color="000000" w:sz="4"/>
              <w:left w:val="outset" w:color="000000" w:sz="4"/>
              <w:bottom w:val="outset" w:color="000000" w:sz="4"/>
              <w:right w:val="outset" w:color="000000" w:sz="4"/>
            </w:tcBorders>
            <w:tcMar>
              <w:top w:type="dxa" w:w="15"/>
              <w:left w:type="dxa" w:w="15"/>
              <w:bottom w:type="dxa" w:w="15"/>
              <w:right w:type="dxa" w:w="15"/>
            </w:tcMar>
            <w:vAlign w:val="top"/>
          </w:tcPr>
          <w:p>
            <w:pPr>
              <w:pStyle w:val="null3"/>
              <w:jc w:val="left"/>
            </w:pPr>
            <w:r>
              <w:rPr>
                <w:sz w:val="21"/>
              </w:rPr>
              <w:t>合同总价（人民币）：</w:t>
            </w:r>
            <w:r>
              <w:rPr>
                <w:sz w:val="21"/>
              </w:rPr>
              <w:t>佰拾万仟佰拾元角分</w:t>
            </w:r>
            <w:r>
              <w:rPr>
                <w:sz w:val="21"/>
              </w:rPr>
              <w:t>（￥</w:t>
            </w:r>
            <w:r>
              <w:rPr>
                <w:sz w:val="21"/>
              </w:rPr>
              <w:t xml:space="preserve">           </w:t>
            </w:r>
            <w:r>
              <w:rPr>
                <w:sz w:val="21"/>
              </w:rPr>
              <w:t>）</w:t>
            </w:r>
          </w:p>
        </w:tc>
      </w:tr>
    </w:tbl>
    <w:p>
      <w:pPr>
        <w:pStyle w:val="null3"/>
        <w:ind w:firstLine="420"/>
        <w:jc w:val="left"/>
      </w:pPr>
      <w:r>
        <w:rPr>
          <w:sz w:val="21"/>
        </w:rPr>
        <w:t>2．</w:t>
      </w:r>
      <w:r>
        <w:rPr>
          <w:sz w:val="21"/>
        </w:rPr>
        <w:t>上述合同总价为乙方按照合同约定完成合同全部义务后所适用的总价格，包括但不限于货物（包括备品备件）的设计、制造、包装、仓储、运输、保险、货物运输保险费、装卸费、安装、调试、试运行、验收、培训、技术服务（包括技术资料、图纸的提供）、质保期保障服务等的全部含税费用。除本合同明确约定的费用外，甲方无需支付任何额外费用和承担任何额外义务。</w:t>
      </w:r>
    </w:p>
    <w:p>
      <w:pPr>
        <w:pStyle w:val="null3"/>
        <w:ind w:firstLine="422"/>
        <w:jc w:val="left"/>
      </w:pPr>
      <w:r>
        <w:rPr>
          <w:sz w:val="21"/>
          <w:b/>
        </w:rPr>
        <w:t>二、货物要求</w:t>
      </w:r>
    </w:p>
    <w:p>
      <w:pPr>
        <w:pStyle w:val="null3"/>
        <w:ind w:firstLine="420"/>
        <w:jc w:val="left"/>
      </w:pPr>
      <w:r>
        <w:rPr>
          <w:sz w:val="21"/>
        </w:rPr>
        <w:t>1. 质量要求：乙方提供的货物必须符合（1）中华人民共和国国家标准；（2）行业标准；（3）地方标准；（4）货物生产商的产品质量标准；（5）其他标准：</w:t>
      </w:r>
      <w:r>
        <w:rPr>
          <w:sz w:val="21"/>
          <w:u w:val="single"/>
        </w:rPr>
        <w:t>（如有请补充，否则请填无）</w:t>
      </w:r>
      <w:r>
        <w:rPr>
          <w:sz w:val="21"/>
        </w:rPr>
        <w:t>等质量标准，否则甲方有权作退货处理。</w:t>
      </w:r>
    </w:p>
    <w:p>
      <w:pPr>
        <w:pStyle w:val="null3"/>
        <w:ind w:firstLine="420"/>
        <w:jc w:val="left"/>
      </w:pPr>
      <w:r>
        <w:rPr>
          <w:sz w:val="21"/>
        </w:rPr>
        <w:t>2</w:t>
      </w:r>
      <w:r>
        <w:rPr>
          <w:sz w:val="21"/>
        </w:rPr>
        <w:t>．</w:t>
      </w:r>
      <w:r>
        <w:rPr>
          <w:sz w:val="21"/>
        </w:rPr>
        <w:t>技术要求：乙方承诺提供的货物完全符合招投标文件中作出的承诺，否则甲方有权作退货处理。</w:t>
      </w:r>
    </w:p>
    <w:p>
      <w:pPr>
        <w:pStyle w:val="null3"/>
        <w:ind w:firstLine="420"/>
        <w:jc w:val="left"/>
      </w:pPr>
      <w:r>
        <w:rPr>
          <w:sz w:val="21"/>
        </w:rPr>
        <w:t>3．</w:t>
      </w:r>
      <w:r>
        <w:rPr>
          <w:sz w:val="21"/>
        </w:rPr>
        <w:t>包装及运输要求：乙方提供的货物必须是制造厂商全新的原厂原装产品（含零部件、配件、随机工具、技术文件等），包装外观完好、表面无划损、破损，无任何缺陷及隐患，每台设备上均应钉有铭牌</w:t>
      </w:r>
      <w:r>
        <w:rPr>
          <w:sz w:val="21"/>
        </w:rPr>
        <w:t>(</w:t>
      </w:r>
      <w:r>
        <w:rPr>
          <w:sz w:val="21"/>
        </w:rPr>
        <w:t>内容包括：制造商</w:t>
      </w:r>
      <w:r>
        <w:rPr>
          <w:sz w:val="21"/>
        </w:rPr>
        <w:t>,</w:t>
      </w:r>
      <w:r>
        <w:rPr>
          <w:sz w:val="21"/>
        </w:rPr>
        <w:t>设备名称、型号规格、序列号等并附有产品质量检验合格标志，且进货渠道合法，在中国境内可依常规安全合法使用。并应使用产品标准出厂包装，适合于空运、海运、陆运等长途运输方式及气候变化，防潮、防震、防雨、防锈、防冻等（若需特殊包装方式如冷冻等，请列明）。如因包装造成的一切损失（包括但不限于商品损坏、损失、锈蚀、费用增长等），概由乙方负责赔偿。</w:t>
      </w:r>
    </w:p>
    <w:p>
      <w:pPr>
        <w:pStyle w:val="null3"/>
        <w:ind w:firstLine="420"/>
        <w:jc w:val="left"/>
      </w:pPr>
      <w:r>
        <w:rPr>
          <w:sz w:val="21"/>
        </w:rPr>
        <w:t>4．</w:t>
      </w:r>
      <w:r>
        <w:rPr>
          <w:sz w:val="21"/>
        </w:rPr>
        <w:t>乙方应免费提供中文的产品正式说明书，场地准备书，使用手册及维护手册等，以及所有有关本合同执行的技术文件。如果项目必需但合同又未作规定的，需要乙方才能提供的技术文件，乙方也应及时向甲方提供。技术文件可以是手册、图纸或其他形式的文件资料。上述技术文件应包含保证甲方能够正确进行安装、操作、检查、维修、维护、测试、调试、验收和运作的需要的所有内容。</w:t>
      </w:r>
    </w:p>
    <w:p>
      <w:pPr>
        <w:pStyle w:val="null3"/>
        <w:ind w:firstLine="422"/>
        <w:jc w:val="left"/>
      </w:pPr>
      <w:r>
        <w:rPr>
          <w:sz w:val="21"/>
          <w:b/>
        </w:rPr>
        <w:t>三、货物交付</w:t>
      </w:r>
    </w:p>
    <w:p>
      <w:pPr>
        <w:pStyle w:val="null3"/>
        <w:ind w:firstLine="420"/>
        <w:jc w:val="left"/>
      </w:pPr>
      <w:r>
        <w:rPr>
          <w:sz w:val="21"/>
        </w:rPr>
        <w:t>1．</w:t>
      </w:r>
      <w:r>
        <w:rPr>
          <w:sz w:val="21"/>
        </w:rPr>
        <w:t>交货地点：甲方指定交付地点。（联系人：</w:t>
      </w:r>
      <w:r>
        <w:rPr>
          <w:sz w:val="21"/>
        </w:rPr>
        <w:t>__________电话：______________）；</w:t>
      </w:r>
    </w:p>
    <w:p>
      <w:pPr>
        <w:pStyle w:val="null3"/>
        <w:ind w:firstLine="420"/>
        <w:jc w:val="left"/>
      </w:pPr>
      <w:r>
        <w:rPr>
          <w:sz w:val="21"/>
        </w:rPr>
        <w:t>2</w:t>
      </w:r>
      <w:r>
        <w:rPr>
          <w:sz w:val="21"/>
        </w:rPr>
        <w:t>．交货时间：</w:t>
      </w:r>
      <w:r>
        <w:rPr>
          <w:sz w:val="21"/>
        </w:rPr>
        <w:t>__________。</w:t>
      </w:r>
    </w:p>
    <w:p>
      <w:pPr>
        <w:pStyle w:val="null3"/>
        <w:ind w:firstLine="422"/>
        <w:jc w:val="left"/>
      </w:pPr>
      <w:r>
        <w:rPr>
          <w:sz w:val="21"/>
          <w:b/>
        </w:rPr>
        <w:t>四、货物安装及验收</w:t>
      </w:r>
    </w:p>
    <w:p>
      <w:pPr>
        <w:pStyle w:val="null3"/>
        <w:ind w:firstLine="420"/>
        <w:jc w:val="left"/>
      </w:pPr>
      <w:r>
        <w:rPr>
          <w:sz w:val="21"/>
        </w:rPr>
        <w:t xml:space="preserve">1. </w:t>
      </w:r>
      <w:r>
        <w:rPr>
          <w:sz w:val="21"/>
        </w:rPr>
        <w:t>乙方应在签订合同后</w:t>
      </w:r>
      <w:r>
        <w:rPr>
          <w:sz w:val="21"/>
        </w:rPr>
        <w:t>5天内向甲方提出产品安装、调试应准备的条件。乙方必须在货物测试与验收前，向甲方提供按本合同的技术规格、技术规范的要求进行的测试与验收方案。</w:t>
      </w:r>
    </w:p>
    <w:p>
      <w:pPr>
        <w:pStyle w:val="null3"/>
        <w:ind w:firstLine="420"/>
        <w:jc w:val="left"/>
      </w:pPr>
      <w:r>
        <w:rPr>
          <w:sz w:val="21"/>
        </w:rPr>
        <w:t xml:space="preserve">2. </w:t>
      </w:r>
      <w:r>
        <w:rPr>
          <w:sz w:val="21"/>
        </w:rPr>
        <w:t>货物交付甲方后，甲乙双方商定日期，双方一起开箱验货，不得单方面开箱，由乙方免费现场安装调试。</w:t>
      </w:r>
    </w:p>
    <w:p>
      <w:pPr>
        <w:pStyle w:val="null3"/>
        <w:ind w:firstLine="420"/>
        <w:jc w:val="left"/>
      </w:pPr>
      <w:r>
        <w:rPr>
          <w:sz w:val="21"/>
        </w:rPr>
        <w:t>3．</w:t>
      </w:r>
      <w:r>
        <w:rPr>
          <w:sz w:val="21"/>
        </w:rPr>
        <w:t>甲方在开箱验货中如发现货物不符合合同的约定，有权拒绝接受货物，经各方确认后，乙方应于</w:t>
      </w:r>
      <w:r>
        <w:rPr>
          <w:sz w:val="21"/>
        </w:rPr>
        <w:t>5天内重新提供符合合同约定的货物，否则，视为乙方逾期交货。</w:t>
      </w:r>
    </w:p>
    <w:p>
      <w:pPr>
        <w:pStyle w:val="null3"/>
        <w:ind w:firstLine="420"/>
        <w:jc w:val="left"/>
      </w:pPr>
      <w:r>
        <w:rPr>
          <w:sz w:val="21"/>
        </w:rPr>
        <w:t>4</w:t>
      </w:r>
      <w:r>
        <w:rPr>
          <w:sz w:val="21"/>
        </w:rPr>
        <w:t>．乙方应于</w:t>
      </w:r>
      <w:r>
        <w:rPr>
          <w:sz w:val="21"/>
        </w:rPr>
        <w:t>货到甲方指定交货地点之日起</w:t>
      </w:r>
      <w:r>
        <w:rPr>
          <w:sz w:val="21"/>
        </w:rPr>
        <w:t>5天</w:t>
      </w:r>
      <w:r>
        <w:rPr>
          <w:sz w:val="21"/>
        </w:rPr>
        <w:t>内完成安装调试</w:t>
      </w:r>
      <w:r>
        <w:rPr>
          <w:sz w:val="21"/>
        </w:rPr>
        <w:t>。</w:t>
      </w:r>
      <w:r>
        <w:rPr>
          <w:sz w:val="21"/>
        </w:rPr>
        <w:t>货物安装调试完毕</w:t>
      </w:r>
      <w:r>
        <w:rPr>
          <w:sz w:val="21"/>
        </w:rPr>
        <w:t>且</w:t>
      </w:r>
      <w:r>
        <w:rPr>
          <w:sz w:val="21"/>
        </w:rPr>
        <w:t>正常运行</w:t>
      </w:r>
      <w:r>
        <w:rPr>
          <w:sz w:val="21"/>
        </w:rPr>
        <w:t>7天后，乙方应备齐甲方要求提供的验收文件，并提出</w:t>
      </w:r>
      <w:r>
        <w:rPr>
          <w:sz w:val="21"/>
        </w:rPr>
        <w:t>书面</w:t>
      </w:r>
      <w:r>
        <w:rPr>
          <w:sz w:val="21"/>
        </w:rPr>
        <w:t>验收申请。甲方</w:t>
      </w:r>
      <w:r>
        <w:rPr>
          <w:sz w:val="21"/>
        </w:rPr>
        <w:t>将按流程进行验收</w:t>
      </w:r>
      <w:r>
        <w:rPr>
          <w:sz w:val="21"/>
        </w:rPr>
        <w:t>，</w:t>
      </w:r>
      <w:r>
        <w:rPr>
          <w:sz w:val="21"/>
        </w:rPr>
        <w:t>并</w:t>
      </w:r>
      <w:r>
        <w:rPr>
          <w:sz w:val="21"/>
        </w:rPr>
        <w:t>出具采购物资验收报告给乙方。</w:t>
      </w:r>
      <w:r>
        <w:rPr>
          <w:sz w:val="21"/>
        </w:rPr>
        <w:t>货物</w:t>
      </w:r>
      <w:r>
        <w:rPr>
          <w:sz w:val="21"/>
        </w:rPr>
        <w:t>验收合格之日为甲方签署采购物资验收报告的日期。</w:t>
      </w:r>
    </w:p>
    <w:p>
      <w:pPr>
        <w:pStyle w:val="null3"/>
        <w:ind w:firstLine="420"/>
        <w:jc w:val="left"/>
      </w:pPr>
      <w:r>
        <w:rPr>
          <w:sz w:val="21"/>
        </w:rPr>
        <w:t>5</w:t>
      </w:r>
      <w:r>
        <w:rPr>
          <w:sz w:val="21"/>
        </w:rPr>
        <w:t>．</w:t>
      </w:r>
      <w:r>
        <w:rPr>
          <w:sz w:val="21"/>
        </w:rPr>
        <w:t>货物验收标准：</w:t>
      </w:r>
      <w:r>
        <w:rPr>
          <w:sz w:val="21"/>
        </w:rPr>
        <w:t>以招</w:t>
      </w:r>
      <w:r>
        <w:rPr>
          <w:sz w:val="21"/>
        </w:rPr>
        <w:t>投</w:t>
      </w:r>
      <w:r>
        <w:rPr>
          <w:sz w:val="21"/>
        </w:rPr>
        <w:t>标文件和合同项下所述的标准和要求进行验收，如招</w:t>
      </w:r>
      <w:r>
        <w:rPr>
          <w:sz w:val="21"/>
        </w:rPr>
        <w:t>投</w:t>
      </w:r>
      <w:r>
        <w:rPr>
          <w:sz w:val="21"/>
        </w:rPr>
        <w:t>标文件与合同的标准和要求有冲突的，以招</w:t>
      </w:r>
      <w:r>
        <w:rPr>
          <w:sz w:val="21"/>
        </w:rPr>
        <w:t>投</w:t>
      </w:r>
      <w:r>
        <w:rPr>
          <w:sz w:val="21"/>
        </w:rPr>
        <w:t>标文件为准。</w:t>
      </w:r>
    </w:p>
    <w:p>
      <w:pPr>
        <w:pStyle w:val="null3"/>
        <w:ind w:firstLine="420"/>
        <w:jc w:val="left"/>
      </w:pPr>
      <w:r>
        <w:rPr>
          <w:sz w:val="21"/>
        </w:rPr>
        <w:t>6. 乙方在申请货物验收之前，应向甲方提交本合同总价5%，即人民币_________元整（ CNY￥_________ ）作为履约保证金。项目验收合格2个月内，乙方凭收据向甲方申请退还，甲方在收到乙方申请单据之日起1</w:t>
      </w:r>
      <w:r>
        <w:rPr>
          <w:sz w:val="21"/>
        </w:rPr>
        <w:t>5</w:t>
      </w:r>
      <w:r>
        <w:rPr>
          <w:sz w:val="21"/>
        </w:rPr>
        <w:t>个工作日内无息退还给乙方。</w:t>
      </w:r>
    </w:p>
    <w:p>
      <w:pPr>
        <w:pStyle w:val="null3"/>
        <w:ind w:firstLine="420"/>
        <w:jc w:val="left"/>
      </w:pPr>
      <w:r>
        <w:rPr>
          <w:sz w:val="21"/>
        </w:rPr>
        <w:t>7. 经甲方对乙方提供的货物进行验收，若发现乙方提供的货物不符合招投标文件及合同规定的质量要求，甲方有权拒收该货物，乙方应无条件更换被拒绝的货物，或者免费进行必要的修改以满足规定的要求；甲方也有权选择解除合同并要求乙方承担违约责任。</w:t>
      </w:r>
    </w:p>
    <w:p>
      <w:pPr>
        <w:pStyle w:val="null3"/>
        <w:ind w:firstLine="420"/>
        <w:jc w:val="left"/>
      </w:pPr>
      <w:r>
        <w:rPr>
          <w:sz w:val="21"/>
        </w:rPr>
        <w:t>8. 甲方在货物到达交货地点后对货物进行检验、测试及必要时拒绝接受货物的权利将不会因为货物在乙方或其分包人的驻地已通过了甲方或其代表的检验、测试和认可而受到限制或放弃。</w:t>
      </w:r>
    </w:p>
    <w:p>
      <w:pPr>
        <w:pStyle w:val="null3"/>
        <w:ind w:firstLine="422"/>
        <w:jc w:val="left"/>
      </w:pPr>
      <w:r>
        <w:rPr>
          <w:sz w:val="21"/>
          <w:b/>
        </w:rPr>
        <w:t>五、付款</w:t>
      </w:r>
    </w:p>
    <w:p>
      <w:pPr>
        <w:pStyle w:val="null3"/>
        <w:ind w:firstLine="420"/>
        <w:jc w:val="left"/>
      </w:pPr>
      <w:r>
        <w:rPr>
          <w:sz w:val="21"/>
        </w:rPr>
        <w:t>1. 本合同采用以下第____种付款方式：</w:t>
      </w:r>
    </w:p>
    <w:p>
      <w:pPr>
        <w:pStyle w:val="null3"/>
        <w:ind w:firstLine="420"/>
        <w:jc w:val="left"/>
      </w:pPr>
      <w:r>
        <w:rPr>
          <w:sz w:val="21"/>
        </w:rPr>
        <w:t>A. 一次性结算</w:t>
      </w:r>
    </w:p>
    <w:p>
      <w:pPr>
        <w:pStyle w:val="null3"/>
        <w:ind w:firstLine="420"/>
        <w:jc w:val="left"/>
      </w:pPr>
      <w:r>
        <w:rPr>
          <w:sz w:val="21"/>
        </w:rPr>
        <w:t>货到交货地点、验收合格，且甲方收到乙方开具的等额增值税专用发票后</w:t>
      </w:r>
      <w:r>
        <w:rPr>
          <w:sz w:val="21"/>
        </w:rPr>
        <w:t>15个工作日内一次付清货款。</w:t>
      </w:r>
    </w:p>
    <w:p>
      <w:pPr>
        <w:pStyle w:val="null3"/>
        <w:ind w:firstLine="420"/>
        <w:jc w:val="left"/>
      </w:pPr>
      <w:r>
        <w:rPr>
          <w:sz w:val="21"/>
        </w:rPr>
        <w:t>B.分期结算</w:t>
      </w:r>
    </w:p>
    <w:p>
      <w:pPr>
        <w:pStyle w:val="null3"/>
        <w:ind w:firstLine="420"/>
        <w:jc w:val="left"/>
      </w:pPr>
      <w:r>
        <w:rPr>
          <w:sz w:val="21"/>
        </w:rPr>
        <w:t>本合同价款为￥</w:t>
      </w:r>
      <w:r>
        <w:rPr>
          <w:sz w:val="21"/>
        </w:rPr>
        <w:t>____________，分2次结算。</w:t>
      </w:r>
    </w:p>
    <w:p>
      <w:pPr>
        <w:pStyle w:val="null3"/>
        <w:ind w:firstLine="420"/>
        <w:jc w:val="left"/>
      </w:pPr>
      <w:r>
        <w:rPr>
          <w:sz w:val="21"/>
        </w:rPr>
        <w:t>第一期：签订合同后</w:t>
      </w:r>
      <w:r>
        <w:rPr>
          <w:sz w:val="21"/>
        </w:rPr>
        <w:t>___个工作日内支付￥______（即合同总金额的____％）（注：第一期付款金额不得超过合同总金额的30%）。</w:t>
      </w:r>
    </w:p>
    <w:p>
      <w:pPr>
        <w:pStyle w:val="null3"/>
        <w:ind w:firstLine="420"/>
        <w:jc w:val="left"/>
      </w:pPr>
      <w:r>
        <w:rPr>
          <w:sz w:val="21"/>
        </w:rPr>
        <w:t>第二期：货到交货地点、验收合格，且甲方收到乙方开具的等额增值税专用发票后</w:t>
      </w:r>
      <w:r>
        <w:rPr>
          <w:sz w:val="21"/>
        </w:rPr>
        <w:t>___个工作日内支付￥______（即合同总金额的____％）。</w:t>
      </w:r>
    </w:p>
    <w:p>
      <w:pPr>
        <w:pStyle w:val="null3"/>
        <w:ind w:firstLine="420"/>
        <w:jc w:val="left"/>
      </w:pPr>
      <w:r>
        <w:rPr>
          <w:sz w:val="21"/>
        </w:rPr>
        <w:t>C.</w:t>
      </w:r>
      <w:r>
        <w:rPr>
          <w:sz w:val="21"/>
        </w:rPr>
        <w:t>其他</w:t>
      </w:r>
      <w:r>
        <w:rPr>
          <w:sz w:val="21"/>
        </w:rPr>
        <w:t>_________。</w:t>
      </w:r>
    </w:p>
    <w:p>
      <w:pPr>
        <w:pStyle w:val="null3"/>
        <w:ind w:firstLine="420"/>
        <w:jc w:val="left"/>
      </w:pPr>
      <w:r>
        <w:rPr>
          <w:sz w:val="21"/>
        </w:rPr>
        <w:t>（甲方纳税人识别号</w:t>
      </w:r>
      <w:r>
        <w:rPr>
          <w:sz w:val="21"/>
        </w:rPr>
        <w:t>:</w:t>
      </w:r>
      <w:r>
        <w:rPr>
          <w:sz w:val="21"/>
        </w:rPr>
        <w:t xml:space="preserve"> </w:t>
      </w:r>
      <w:r>
        <w:rPr>
          <w:sz w:val="21"/>
        </w:rPr>
        <w:t>124400004558589190</w:t>
      </w:r>
      <w:r>
        <w:rPr>
          <w:sz w:val="21"/>
        </w:rPr>
        <w:t>）</w:t>
      </w:r>
    </w:p>
    <w:p>
      <w:pPr>
        <w:pStyle w:val="null3"/>
        <w:ind w:firstLine="420"/>
        <w:jc w:val="left"/>
      </w:pPr>
      <w:r>
        <w:rPr>
          <w:sz w:val="21"/>
        </w:rPr>
        <w:t>2</w:t>
      </w:r>
      <w:r>
        <w:rPr>
          <w:sz w:val="21"/>
        </w:rPr>
        <w:t>．甲方向乙方指定账户汇出款项后，即视为已履行付款义务。在汇款过程中，因乙方账户的原因（包括但不限于账号被注销、被冻结等）导致其无法收取款项的，由乙方承担相应后果。</w:t>
      </w:r>
    </w:p>
    <w:p>
      <w:pPr>
        <w:pStyle w:val="null3"/>
        <w:ind w:firstLine="420"/>
        <w:jc w:val="left"/>
      </w:pPr>
      <w:r>
        <w:rPr>
          <w:sz w:val="21"/>
        </w:rPr>
        <w:t>3</w:t>
      </w:r>
      <w:r>
        <w:rPr>
          <w:sz w:val="21"/>
        </w:rPr>
        <w:t>．</w:t>
      </w:r>
      <w:r>
        <w:rPr>
          <w:sz w:val="21"/>
        </w:rPr>
        <w:t>本项目如执行国库支付的，甲方在验收合格后</w:t>
      </w:r>
      <w:r>
        <w:rPr>
          <w:sz w:val="21"/>
        </w:rPr>
        <w:t>1</w:t>
      </w:r>
      <w:r>
        <w:rPr>
          <w:sz w:val="21"/>
        </w:rPr>
        <w:t>5</w:t>
      </w:r>
      <w:r>
        <w:rPr>
          <w:sz w:val="21"/>
        </w:rPr>
        <w:t>个工作日内办理财政集中支付申请手续，付款按照财政部门国库集中支付的有关规定办理。付款时间为甲方向政府财政支付部门提出支付申请的时间（不含政府财政支付部门审查的时间）</w:t>
      </w:r>
    </w:p>
    <w:p>
      <w:pPr>
        <w:pStyle w:val="null3"/>
        <w:ind w:firstLine="420"/>
        <w:jc w:val="left"/>
      </w:pPr>
      <w:r>
        <w:rPr>
          <w:sz w:val="21"/>
        </w:rPr>
        <w:t>4．</w:t>
      </w:r>
      <w:r>
        <w:rPr>
          <w:sz w:val="21"/>
        </w:rPr>
        <w:t>付款时间如遇甲方寒暑假，甲方有权将付款时间顺延至假期结束之后。</w:t>
      </w:r>
    </w:p>
    <w:p>
      <w:pPr>
        <w:pStyle w:val="null3"/>
        <w:ind w:firstLine="422"/>
        <w:jc w:val="left"/>
      </w:pPr>
      <w:r>
        <w:rPr>
          <w:sz w:val="21"/>
          <w:b/>
        </w:rPr>
        <w:t>六、质保期保障服务</w:t>
      </w:r>
    </w:p>
    <w:p>
      <w:pPr>
        <w:pStyle w:val="null3"/>
        <w:ind w:firstLine="420"/>
        <w:jc w:val="left"/>
      </w:pPr>
      <w:r>
        <w:rPr>
          <w:sz w:val="21"/>
        </w:rPr>
        <w:t>1．</w:t>
      </w:r>
      <w:r>
        <w:rPr>
          <w:sz w:val="21"/>
        </w:rPr>
        <w:t>质保期：</w:t>
      </w:r>
      <w:r>
        <w:rPr>
          <w:sz w:val="21"/>
        </w:rPr>
        <w:t>乙方对本合同标的提供</w:t>
      </w:r>
      <w:r>
        <w:rPr>
          <w:sz w:val="21"/>
          <w:u w:val="single"/>
        </w:rPr>
        <w:t>___</w:t>
      </w:r>
      <w:r>
        <w:rPr>
          <w:sz w:val="21"/>
        </w:rPr>
        <w:t>年免费质保期，软件提供终身免费升级，质保期自货物验收合格之日起计算。</w:t>
      </w:r>
    </w:p>
    <w:p>
      <w:pPr>
        <w:pStyle w:val="null3"/>
        <w:ind w:firstLine="420"/>
        <w:jc w:val="left"/>
      </w:pPr>
      <w:r>
        <w:rPr>
          <w:sz w:val="21"/>
        </w:rPr>
        <w:t>2．</w:t>
      </w:r>
      <w:r>
        <w:rPr>
          <w:sz w:val="21"/>
        </w:rPr>
        <w:t>质保期内，</w:t>
      </w:r>
      <w:r>
        <w:rPr>
          <w:sz w:val="21"/>
        </w:rPr>
        <w:t>乙方为甲方提供现场</w:t>
      </w:r>
      <w:r>
        <w:rPr>
          <w:sz w:val="21"/>
        </w:rPr>
        <w:t>保修、包换或包退服务</w:t>
      </w:r>
      <w:r>
        <w:rPr>
          <w:sz w:val="21"/>
        </w:rPr>
        <w:t>，由此产生的一切费用均由乙方承担。</w:t>
      </w:r>
      <w:r>
        <w:rPr>
          <w:sz w:val="21"/>
        </w:rPr>
        <w:t>乙方不能修复、调换或不能退货的，应退回相应货款，并承担相应违约责任。</w:t>
      </w:r>
    </w:p>
    <w:p>
      <w:pPr>
        <w:pStyle w:val="null3"/>
        <w:ind w:firstLine="420"/>
        <w:jc w:val="left"/>
      </w:pPr>
      <w:r>
        <w:rPr>
          <w:sz w:val="21"/>
        </w:rPr>
        <w:t>3．</w:t>
      </w:r>
      <w:r>
        <w:rPr>
          <w:sz w:val="21"/>
        </w:rPr>
        <w:t>质保期内，在接到系统故障或问题告知后，乙方响应时间</w:t>
      </w:r>
      <w:r>
        <w:rPr>
          <w:sz w:val="21"/>
        </w:rPr>
        <w:t>(</w:t>
      </w:r>
      <w:r>
        <w:rPr>
          <w:sz w:val="21"/>
        </w:rPr>
        <w:t>7天×24小时热线电话</w:t>
      </w:r>
      <w:r>
        <w:rPr>
          <w:sz w:val="21"/>
        </w:rPr>
        <w:t xml:space="preserve">: </w:t>
      </w:r>
      <w:r>
        <w:rPr>
          <w:sz w:val="21"/>
          <w:u w:val="single"/>
        </w:rPr>
        <w:t>__</w:t>
      </w:r>
      <w:r>
        <w:rPr>
          <w:sz w:val="21"/>
        </w:rPr>
        <w:t>)</w:t>
      </w:r>
      <w:r>
        <w:rPr>
          <w:sz w:val="21"/>
        </w:rPr>
        <w:t>不得超过</w:t>
      </w:r>
      <w:r>
        <w:rPr>
          <w:sz w:val="21"/>
          <w:u w:val="single"/>
        </w:rPr>
        <w:t>___</w:t>
      </w:r>
      <w:r>
        <w:rPr>
          <w:sz w:val="21"/>
        </w:rPr>
        <w:t>小时，到达现场时间不得超过</w:t>
      </w:r>
      <w:r>
        <w:rPr>
          <w:sz w:val="21"/>
          <w:u w:val="single"/>
        </w:rPr>
        <w:t>___</w:t>
      </w:r>
      <w:r>
        <w:rPr>
          <w:sz w:val="21"/>
        </w:rPr>
        <w:t>个小时，并应在</w:t>
      </w:r>
      <w:r>
        <w:rPr>
          <w:sz w:val="21"/>
          <w:u w:val="single"/>
        </w:rPr>
        <w:t>___</w:t>
      </w:r>
      <w:r>
        <w:rPr>
          <w:sz w:val="21"/>
        </w:rPr>
        <w:t>小时（前述响应及到达现场时间已包含计算在内）内排除故障。如果故障在前述时间内仍无法排除，乙方应无条件在</w:t>
      </w:r>
      <w:r>
        <w:rPr>
          <w:sz w:val="21"/>
          <w:u w:val="single"/>
        </w:rPr>
        <w:t>___</w:t>
      </w:r>
      <w:r>
        <w:rPr>
          <w:sz w:val="21"/>
        </w:rPr>
        <w:t>小时内提供不低于故障设备规格型号档次的备用设备供甲方使用，直至故障设备修复。</w:t>
      </w:r>
    </w:p>
    <w:p>
      <w:pPr>
        <w:pStyle w:val="null3"/>
        <w:ind w:firstLine="420"/>
        <w:jc w:val="left"/>
      </w:pPr>
      <w:r>
        <w:rPr>
          <w:sz w:val="21"/>
        </w:rPr>
        <w:t>4．</w:t>
      </w:r>
      <w:r>
        <w:rPr>
          <w:sz w:val="21"/>
        </w:rPr>
        <w:t>质保期内，同一硬件一个月内连续</w:t>
      </w:r>
      <w:r>
        <w:rPr>
          <w:sz w:val="21"/>
        </w:rPr>
        <w:t>2</w:t>
      </w:r>
      <w:r>
        <w:rPr>
          <w:sz w:val="21"/>
        </w:rPr>
        <w:t>次出现同一故障，乙方应无条件更换性能指标不低于原规格型号的新部件。严重影响教学工作的，乙方无条件提供不低于该档次的设备给甲方使用。</w:t>
      </w:r>
    </w:p>
    <w:p>
      <w:pPr>
        <w:pStyle w:val="null3"/>
        <w:ind w:firstLine="420"/>
        <w:jc w:val="left"/>
      </w:pPr>
      <w:r>
        <w:rPr>
          <w:sz w:val="21"/>
        </w:rPr>
        <w:t>5．</w:t>
      </w:r>
      <w:r>
        <w:rPr>
          <w:sz w:val="21"/>
        </w:rPr>
        <w:t>免费</w:t>
      </w:r>
      <w:r>
        <w:rPr>
          <w:sz w:val="21"/>
        </w:rPr>
        <w:t>质保期届满后，若有零部件出现故障，经权威部门鉴定属于寿命异常问题（明显短于该零部件正常寿命）时，则由乙方负责免费更换及维修。</w:t>
      </w:r>
    </w:p>
    <w:p>
      <w:pPr>
        <w:pStyle w:val="null3"/>
        <w:ind w:firstLine="420"/>
        <w:jc w:val="left"/>
      </w:pPr>
      <w:r>
        <w:rPr>
          <w:sz w:val="21"/>
        </w:rPr>
        <w:t>6．</w:t>
      </w:r>
      <w:r>
        <w:rPr>
          <w:sz w:val="21"/>
        </w:rPr>
        <w:t>其他条款</w:t>
      </w:r>
      <w:r>
        <w:rPr>
          <w:sz w:val="21"/>
        </w:rPr>
        <w:t>以乙方投标文件为准。</w:t>
      </w:r>
    </w:p>
    <w:p>
      <w:pPr>
        <w:pStyle w:val="null3"/>
        <w:ind w:firstLine="422"/>
        <w:jc w:val="left"/>
      </w:pPr>
      <w:r>
        <w:rPr>
          <w:sz w:val="21"/>
          <w:b/>
        </w:rPr>
        <w:t>七、培训</w:t>
      </w:r>
    </w:p>
    <w:p>
      <w:pPr>
        <w:pStyle w:val="null3"/>
        <w:ind w:firstLine="420"/>
        <w:jc w:val="left"/>
      </w:pPr>
      <w:r>
        <w:rPr>
          <w:sz w:val="21"/>
        </w:rPr>
        <w:t>乙方负责提供合同标的现场操作、运行、维护、修理的培训方案及必需的培训资料，并对甲方受训人员进行仪器设备的维护、使用及开发等方面的培训，直至能熟练操作为止。</w:t>
      </w:r>
    </w:p>
    <w:p>
      <w:pPr>
        <w:pStyle w:val="null3"/>
        <w:ind w:firstLine="422"/>
        <w:jc w:val="left"/>
      </w:pPr>
      <w:r>
        <w:rPr>
          <w:sz w:val="21"/>
          <w:b/>
        </w:rPr>
        <w:t>八、知识产权、风险转移</w:t>
      </w:r>
    </w:p>
    <w:p>
      <w:pPr>
        <w:pStyle w:val="null3"/>
        <w:ind w:firstLine="420"/>
        <w:jc w:val="left"/>
      </w:pPr>
      <w:r>
        <w:rPr>
          <w:sz w:val="21"/>
        </w:rPr>
        <w:t>1</w:t>
      </w:r>
      <w:r>
        <w:rPr>
          <w:sz w:val="21"/>
        </w:rPr>
        <w:t>．</w:t>
      </w:r>
      <w:r>
        <w:rPr>
          <w:sz w:val="21"/>
        </w:rPr>
        <w:t>乙方保证，甲方在中华人民共和国使用该货物或货物的任何一部分时，如受第三方提出的侵犯其</w:t>
      </w:r>
      <w:r>
        <w:rPr>
          <w:sz w:val="21"/>
        </w:rPr>
        <w:t>知识产权、肖像权、技术秘密、商业秘密或其他任何权益</w:t>
      </w:r>
      <w:r>
        <w:rPr>
          <w:sz w:val="21"/>
        </w:rPr>
        <w:t>的起诉，由乙方承担一切责任。</w:t>
      </w:r>
    </w:p>
    <w:p>
      <w:pPr>
        <w:pStyle w:val="null3"/>
        <w:ind w:firstLine="420"/>
        <w:jc w:val="left"/>
      </w:pPr>
      <w:r>
        <w:rPr>
          <w:sz w:val="21"/>
        </w:rPr>
        <w:t>2</w:t>
      </w:r>
      <w:r>
        <w:rPr>
          <w:sz w:val="21"/>
        </w:rPr>
        <w:t>．乙方为执行本合同而提供的技术资料、软件的使用权归甲方所有。</w:t>
      </w:r>
    </w:p>
    <w:p>
      <w:pPr>
        <w:pStyle w:val="null3"/>
        <w:ind w:firstLine="420"/>
        <w:jc w:val="left"/>
      </w:pPr>
      <w:r>
        <w:rPr>
          <w:sz w:val="21"/>
        </w:rPr>
        <w:t>3</w:t>
      </w:r>
      <w:r>
        <w:rPr>
          <w:sz w:val="21"/>
        </w:rPr>
        <w:t>．乙方交由承运人运输的在途货物，毁损、灭失的风险由乙方承担。货物的产权，损坏、灭失的风险，在货物通过甲方验收合格交付使用时起，由乙方转移至甲方。</w:t>
      </w:r>
    </w:p>
    <w:p>
      <w:pPr>
        <w:pStyle w:val="null3"/>
        <w:ind w:firstLine="420"/>
        <w:jc w:val="left"/>
      </w:pPr>
      <w:r>
        <w:rPr>
          <w:sz w:val="21"/>
        </w:rPr>
        <w:t>4</w:t>
      </w:r>
      <w:r>
        <w:rPr>
          <w:sz w:val="21"/>
        </w:rPr>
        <w:t>．因货物验收不合格甲方拒收，或者双方解除合同的，合同标的物毁损、丢失的风险由乙方承担。</w:t>
      </w:r>
    </w:p>
    <w:p>
      <w:pPr>
        <w:pStyle w:val="null3"/>
        <w:ind w:firstLine="420"/>
        <w:jc w:val="left"/>
      </w:pPr>
      <w:r>
        <w:rPr>
          <w:sz w:val="21"/>
        </w:rPr>
        <w:t>5</w:t>
      </w:r>
      <w:r>
        <w:rPr>
          <w:sz w:val="21"/>
        </w:rPr>
        <w:t>．产权和风险的转移，不影响因乙方履行合同义务不符合约定，甲方要求其承担违约责任的权利。</w:t>
      </w:r>
    </w:p>
    <w:p>
      <w:pPr>
        <w:pStyle w:val="null3"/>
        <w:ind w:firstLine="422"/>
        <w:jc w:val="left"/>
      </w:pPr>
      <w:r>
        <w:rPr>
          <w:sz w:val="21"/>
          <w:b/>
        </w:rPr>
        <w:t>九、保密责任</w:t>
      </w:r>
    </w:p>
    <w:p>
      <w:pPr>
        <w:pStyle w:val="null3"/>
        <w:ind w:firstLine="420"/>
        <w:jc w:val="left"/>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pStyle w:val="null3"/>
        <w:ind w:firstLine="422"/>
        <w:jc w:val="left"/>
      </w:pPr>
      <w:r>
        <w:rPr>
          <w:sz w:val="21"/>
          <w:b/>
        </w:rPr>
        <w:t>十、违约责任</w:t>
      </w:r>
    </w:p>
    <w:p>
      <w:pPr>
        <w:pStyle w:val="null3"/>
        <w:ind w:firstLine="420"/>
        <w:jc w:val="left"/>
      </w:pPr>
      <w:r>
        <w:rPr>
          <w:sz w:val="21"/>
        </w:rPr>
        <w:t>1</w:t>
      </w:r>
      <w:r>
        <w:rPr>
          <w:sz w:val="21"/>
        </w:rPr>
        <w:t>．乙方交付的货物不符合合同规定的，甲方有权拒收并解除合同，乙方需向甲方支付合同总价</w:t>
      </w:r>
      <w:r>
        <w:rPr>
          <w:sz w:val="21"/>
        </w:rPr>
        <w:t>10%的违约金。如甲方同意更换的，乙方应于</w:t>
      </w:r>
      <w:r>
        <w:rPr>
          <w:sz w:val="21"/>
        </w:rPr>
        <w:t>5天内重新提供符合合同约定的货物，乙方未能按期调换的，按逾期交付货物处理，逾期时点自最初约定的交付日期起计。</w:t>
      </w:r>
    </w:p>
    <w:p>
      <w:pPr>
        <w:pStyle w:val="null3"/>
        <w:ind w:firstLine="420"/>
        <w:jc w:val="left"/>
      </w:pPr>
      <w:r>
        <w:rPr>
          <w:sz w:val="21"/>
        </w:rPr>
        <w:t>2</w:t>
      </w:r>
      <w:r>
        <w:rPr>
          <w:sz w:val="21"/>
        </w:rPr>
        <w:t>．乙方逾期交付货物的，每逾期一天，按合同总价的</w:t>
      </w:r>
      <w:r>
        <w:rPr>
          <w:sz w:val="21"/>
        </w:rPr>
        <w:t>0.8</w:t>
      </w:r>
      <w:r>
        <w:rPr>
          <w:sz w:val="21"/>
        </w:rPr>
        <w:t>‰向甲方支付违约金，甲方有权直接从应付给乙方的合同款项中扣除该违约金，且甲方有权要求乙方继续向甲方交付直至符合要求。</w:t>
      </w:r>
      <w:r>
        <w:rPr>
          <w:sz w:val="21"/>
        </w:rPr>
        <w:t>误期超过</w:t>
      </w:r>
      <w:r>
        <w:rPr>
          <w:sz w:val="21"/>
        </w:rPr>
        <w:t>15</w:t>
      </w:r>
      <w:r>
        <w:rPr>
          <w:sz w:val="21"/>
        </w:rPr>
        <w:t>天，甲方有权解除合同，乙方需退还甲方已支付的所有款项，并按合同总价的</w:t>
      </w:r>
      <w:r>
        <w:rPr>
          <w:sz w:val="21"/>
        </w:rPr>
        <w:t>10%向甲方支付违约金，违约金不足以弥补甲方损失的，乙方应另行赔偿。</w:t>
      </w:r>
    </w:p>
    <w:p>
      <w:pPr>
        <w:pStyle w:val="null3"/>
        <w:ind w:firstLine="420"/>
        <w:jc w:val="left"/>
      </w:pPr>
      <w:r>
        <w:rPr>
          <w:sz w:val="21"/>
        </w:rPr>
        <w:t>3</w:t>
      </w:r>
      <w:r>
        <w:rPr>
          <w:sz w:val="21"/>
        </w:rPr>
        <w:t>．若乙方未按本合同的约定提供质保期保障服务，甲方有权自行委托第三方提供甲方所需要的技术支持和售后服务，由此造成的包括但不限于第三方维保费用、甲方其他经济损失等均由乙方承担赔偿。</w:t>
      </w:r>
    </w:p>
    <w:p>
      <w:pPr>
        <w:pStyle w:val="null3"/>
        <w:ind w:firstLine="420"/>
        <w:jc w:val="left"/>
      </w:pPr>
      <w:r>
        <w:rPr>
          <w:sz w:val="21"/>
        </w:rPr>
        <w:t>4. 乙方有以下情形之一的，甲方有权解除合同，乙方需退还甲方已支付的所有款项，并按合同总价的10%向甲方支付违约金，违约金不足以弥补甲方损失的，乙方应另行赔偿，具体情形如下：</w:t>
      </w:r>
    </w:p>
    <w:p>
      <w:pPr>
        <w:pStyle w:val="null3"/>
        <w:ind w:firstLine="420"/>
        <w:jc w:val="left"/>
      </w:pPr>
      <w:r>
        <w:rPr>
          <w:sz w:val="21"/>
        </w:rPr>
        <w:t>（</w:t>
      </w:r>
      <w:r>
        <w:rPr>
          <w:sz w:val="21"/>
        </w:rPr>
        <w:t>1）乙方交付的货物存在侵犯他人知识产权、肖像权、技术秘密、商业秘密或其他任何权益的；</w:t>
      </w:r>
    </w:p>
    <w:p>
      <w:pPr>
        <w:pStyle w:val="null3"/>
        <w:ind w:firstLine="420"/>
        <w:jc w:val="left"/>
      </w:pPr>
      <w:r>
        <w:rPr>
          <w:sz w:val="21"/>
        </w:rPr>
        <w:t>（</w:t>
      </w:r>
      <w:r>
        <w:rPr>
          <w:sz w:val="21"/>
        </w:rPr>
        <w:t>2）乙方履行义务不符合约定，经甲方提出后在合理期限内仍未改正的；</w:t>
      </w:r>
    </w:p>
    <w:p>
      <w:pPr>
        <w:pStyle w:val="null3"/>
        <w:ind w:firstLine="420"/>
        <w:jc w:val="left"/>
      </w:pPr>
      <w:r>
        <w:rPr>
          <w:sz w:val="21"/>
        </w:rPr>
        <w:t>（</w:t>
      </w:r>
      <w:r>
        <w:rPr>
          <w:sz w:val="21"/>
        </w:rPr>
        <w:t>3）未经甲方书面同意，乙方将本合同项下的权利或义务转让，或将本合同项下服务转包或分包的；</w:t>
      </w:r>
    </w:p>
    <w:p>
      <w:pPr>
        <w:pStyle w:val="null3"/>
        <w:ind w:firstLine="420"/>
        <w:jc w:val="left"/>
      </w:pPr>
      <w:r>
        <w:rPr>
          <w:sz w:val="21"/>
        </w:rPr>
        <w:t>（</w:t>
      </w:r>
      <w:r>
        <w:rPr>
          <w:sz w:val="21"/>
        </w:rPr>
        <w:t>4）乙方无正当理由逾期交货超过15日的；</w:t>
      </w:r>
    </w:p>
    <w:p>
      <w:pPr>
        <w:pStyle w:val="null3"/>
        <w:ind w:firstLine="420"/>
        <w:jc w:val="left"/>
      </w:pPr>
      <w:r>
        <w:rPr>
          <w:sz w:val="21"/>
        </w:rPr>
        <w:t>（</w:t>
      </w:r>
      <w:r>
        <w:rPr>
          <w:sz w:val="21"/>
        </w:rPr>
        <w:t>5）国家法律规定的其他合同解除情形。</w:t>
      </w:r>
    </w:p>
    <w:p>
      <w:pPr>
        <w:pStyle w:val="null3"/>
        <w:ind w:firstLine="420"/>
        <w:jc w:val="left"/>
      </w:pPr>
      <w:r>
        <w:rPr>
          <w:sz w:val="21"/>
        </w:rPr>
        <w:t>5. 甲方逾期支付货款，经乙方催告后无正当理由仍不支付的，自催告后每逾期一日，应按逾期付款金额每日0.8‰向乙方支付违约金。违约金累计总额不超过合同总价的10%。</w:t>
      </w:r>
    </w:p>
    <w:p>
      <w:pPr>
        <w:pStyle w:val="null3"/>
        <w:ind w:firstLine="420"/>
        <w:jc w:val="left"/>
      </w:pPr>
      <w:r>
        <w:rPr>
          <w:sz w:val="21"/>
        </w:rPr>
        <w:t>6. 本合同所称之损失，包括守约方的直接经济损失和合同履行后可以获得的利益及合理的调查费、评估费、公证费、诉讼费、交通费、律师费等相关法律费用。</w:t>
      </w:r>
    </w:p>
    <w:p>
      <w:pPr>
        <w:pStyle w:val="null3"/>
        <w:ind w:firstLine="422"/>
        <w:jc w:val="left"/>
      </w:pPr>
      <w:r>
        <w:rPr>
          <w:sz w:val="21"/>
          <w:b/>
        </w:rPr>
        <w:t>十一、不可抗力</w:t>
      </w:r>
    </w:p>
    <w:p>
      <w:pPr>
        <w:pStyle w:val="null3"/>
        <w:ind w:firstLine="420"/>
        <w:jc w:val="left"/>
      </w:pPr>
      <w:r>
        <w:rPr>
          <w:sz w:val="21"/>
        </w:rPr>
        <w:t>一方由于</w:t>
      </w:r>
      <w:r>
        <w:rPr>
          <w:sz w:val="21"/>
          <w:shd w:fill="FFFFFF" w:val="clear"/>
        </w:rPr>
        <w:t>不能预见、不能避免并不能克服的客观情况（也即法定不可抗力事由），且该情况是在合同生效后发生的，</w:t>
      </w:r>
      <w:r>
        <w:rPr>
          <w:sz w:val="21"/>
        </w:rPr>
        <w:t>导致不能或暂时不能全部或部分履行本合同，该方可以免责。但是，受不可抗力事件影响的一方须尽快将事件发生状况通知另一方，并在不可抗力事件影响消除之日起</w:t>
      </w:r>
      <w:r>
        <w:rPr>
          <w:sz w:val="21"/>
        </w:rPr>
        <w:t>10</w:t>
      </w:r>
      <w:r>
        <w:rPr>
          <w:sz w:val="21"/>
        </w:rPr>
        <w:t>日内将有关机构出具的不可抗力事件证明寄交对方。逾期未提供以上证明的，不能免除违约责任。</w:t>
      </w:r>
    </w:p>
    <w:p>
      <w:pPr>
        <w:pStyle w:val="null3"/>
        <w:ind w:firstLine="422"/>
        <w:jc w:val="left"/>
      </w:pPr>
      <w:r>
        <w:rPr>
          <w:sz w:val="21"/>
          <w:b/>
        </w:rPr>
        <w:t>十二、法律适用与争议解决</w:t>
      </w:r>
    </w:p>
    <w:p>
      <w:pPr>
        <w:pStyle w:val="null3"/>
        <w:ind w:firstLine="420"/>
        <w:jc w:val="left"/>
      </w:pPr>
      <w:r>
        <w:rPr>
          <w:sz w:val="21"/>
        </w:rPr>
        <w:t>1</w:t>
      </w:r>
      <w:r>
        <w:rPr>
          <w:sz w:val="21"/>
        </w:rPr>
        <w:t>．本合同的成立、有效性、解释、履行、签署、修订和终止以及争议的解决等均应适用中华人民共和国法律。</w:t>
      </w:r>
    </w:p>
    <w:p>
      <w:pPr>
        <w:pStyle w:val="null3"/>
        <w:ind w:firstLine="420"/>
        <w:jc w:val="left"/>
      </w:pPr>
      <w:r>
        <w:rPr>
          <w:sz w:val="21"/>
        </w:rPr>
        <w:t>2</w:t>
      </w:r>
      <w:r>
        <w:rPr>
          <w:sz w:val="21"/>
        </w:rPr>
        <w:t>．</w:t>
      </w:r>
      <w:r>
        <w:rPr>
          <w:sz w:val="21"/>
        </w:rPr>
        <w:t>甲乙双方在履行本合同时发生的争议</w:t>
      </w:r>
      <w:r>
        <w:rPr>
          <w:sz w:val="21"/>
        </w:rPr>
        <w:t>，都应首先由双方通过友好协商解决。双方通过协商仍不能解决争议，双方一致同意向甲方所在地（即广州市天河区）人民法院提起诉讼。</w:t>
      </w:r>
    </w:p>
    <w:p>
      <w:pPr>
        <w:pStyle w:val="null3"/>
        <w:ind w:firstLine="422"/>
        <w:jc w:val="left"/>
      </w:pPr>
      <w:r>
        <w:rPr>
          <w:sz w:val="21"/>
          <w:b/>
        </w:rPr>
        <w:t>十三、通知与送达</w:t>
      </w:r>
    </w:p>
    <w:p>
      <w:pPr>
        <w:pStyle w:val="null3"/>
        <w:ind w:firstLine="420"/>
        <w:jc w:val="left"/>
      </w:pPr>
      <w:r>
        <w:rPr>
          <w:sz w:val="21"/>
        </w:rPr>
        <w:t>一方在本合同履行过程中向对方发出或者提供的所有通知、文件、文书、资料等，均以本合同所列明的地址送达。一方如果迁址、变更电话，应当在变更之日起</w:t>
      </w:r>
      <w:r>
        <w:rPr>
          <w:sz w:val="21"/>
        </w:rPr>
        <w:t>5日内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left"/>
      </w:pPr>
      <w:r>
        <w:rPr>
          <w:sz w:val="21"/>
          <w:b/>
        </w:rPr>
        <w:t>十四、其他约定</w:t>
      </w:r>
    </w:p>
    <w:p>
      <w:pPr>
        <w:pStyle w:val="null3"/>
        <w:ind w:firstLine="420"/>
        <w:jc w:val="left"/>
      </w:pPr>
      <w:r>
        <w:rPr>
          <w:sz w:val="21"/>
        </w:rPr>
        <w:t>1</w:t>
      </w:r>
      <w:r>
        <w:rPr>
          <w:sz w:val="21"/>
        </w:rPr>
        <w:t>．</w:t>
      </w:r>
      <w:r>
        <w:rPr>
          <w:sz w:val="21"/>
        </w:rPr>
        <w:t>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pStyle w:val="null3"/>
        <w:ind w:firstLine="420"/>
        <w:jc w:val="left"/>
      </w:pPr>
      <w:r>
        <w:rPr>
          <w:sz w:val="21"/>
        </w:rPr>
        <w:t xml:space="preserve">2. </w:t>
      </w:r>
      <w:r>
        <w:rPr>
          <w:sz w:val="21"/>
        </w:rPr>
        <w:t>组成本合同的材料包括</w:t>
      </w:r>
      <w:r>
        <w:rPr>
          <w:sz w:val="21"/>
        </w:rPr>
        <w:t>_______采购项目(</w:t>
      </w:r>
      <w:r>
        <w:rPr>
          <w:sz w:val="21"/>
        </w:rPr>
        <w:t>采购编号</w:t>
      </w:r>
      <w:r>
        <w:rPr>
          <w:sz w:val="21"/>
        </w:rPr>
        <w:t>：</w:t>
      </w:r>
      <w:r>
        <w:rPr>
          <w:sz w:val="21"/>
        </w:rPr>
        <w:t>_______）的招标文件、乙方投标文件、承诺以及本项目经双方确认的相关材料</w:t>
      </w:r>
      <w:r>
        <w:rPr>
          <w:sz w:val="21"/>
        </w:rPr>
        <w:t>，合同附件为本合同不可分割的部分。若附件与合同正文有任何不一致，以合同正文为准。</w:t>
      </w:r>
    </w:p>
    <w:p>
      <w:pPr>
        <w:pStyle w:val="null3"/>
        <w:ind w:firstLine="420"/>
        <w:jc w:val="left"/>
      </w:pPr>
      <w:r>
        <w:rPr>
          <w:sz w:val="21"/>
        </w:rPr>
        <w:t>3. 本合同经甲乙双方签字盖章后正式生效。一式</w:t>
      </w:r>
      <w:r>
        <w:rPr>
          <w:sz w:val="21"/>
        </w:rPr>
        <w:t>6</w:t>
      </w:r>
      <w:r>
        <w:rPr>
          <w:sz w:val="21"/>
        </w:rPr>
        <w:t>份，甲方持</w:t>
      </w:r>
      <w:r>
        <w:rPr>
          <w:sz w:val="21"/>
        </w:rPr>
        <w:t>4</w:t>
      </w:r>
      <w:r>
        <w:rPr>
          <w:sz w:val="21"/>
        </w:rPr>
        <w:t>份，乙方持</w:t>
      </w:r>
      <w:r>
        <w:rPr>
          <w:sz w:val="21"/>
        </w:rPr>
        <w:t>2</w:t>
      </w:r>
      <w:r>
        <w:rPr>
          <w:sz w:val="21"/>
        </w:rPr>
        <w:t>份，均为正本，具有同等法律效力。</w:t>
      </w:r>
    </w:p>
    <w:p>
      <w:pPr>
        <w:pStyle w:val="null3"/>
        <w:ind w:firstLine="422"/>
        <w:jc w:val="both"/>
      </w:pPr>
      <w:r>
        <w:rPr>
          <w:sz w:val="21"/>
          <w:b/>
        </w:rPr>
        <w:t>甲乙双方在此确认，本合同为甲乙双方合法之授权代表于广州市天河区签订。</w:t>
      </w:r>
    </w:p>
    <w:p>
      <w:pPr>
        <w:pStyle w:val="null3"/>
        <w:ind w:left="420"/>
        <w:jc w:val="left"/>
      </w:pP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795"/>
        <w:gridCol w:w="1206"/>
        <w:gridCol w:w="780"/>
        <w:gridCol w:w="1206"/>
        <w:gridCol w:w="667"/>
        <w:gridCol w:w="624"/>
        <w:gridCol w:w="624"/>
        <w:gridCol w:w="866"/>
        <w:gridCol w:w="1505"/>
      </w:tblGrid>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甲方</w:t>
            </w:r>
            <w:r>
              <w:br/>
            </w:r>
            <w:r>
              <w:rPr>
                <w:sz w:val="18"/>
              </w:rPr>
              <w:t>名称</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华南师范大学</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乙方</w:t>
            </w:r>
            <w:r>
              <w:br/>
            </w:r>
            <w:r>
              <w:rPr>
                <w:sz w:val="18"/>
              </w:rPr>
              <w:t>名称</w:t>
            </w:r>
          </w:p>
        </w:tc>
        <w:tc>
          <w:tcPr>
            <w:tcW w:type="dxa" w:w="3619"/>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单位</w:t>
            </w:r>
            <w:r>
              <w:br/>
            </w:r>
            <w:r>
              <w:rPr>
                <w:sz w:val="18"/>
              </w:rPr>
              <w:t>地址</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广州市中山大道西</w:t>
            </w:r>
            <w:r>
              <w:rPr>
                <w:sz w:val="18"/>
              </w:rPr>
              <w:t>55</w:t>
            </w:r>
            <w:r>
              <w:rPr>
                <w:sz w:val="18"/>
              </w:rPr>
              <w:t>号</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单位</w:t>
            </w:r>
            <w:r>
              <w:br/>
            </w:r>
            <w:r>
              <w:rPr>
                <w:sz w:val="18"/>
              </w:rPr>
              <w:t>地址</w:t>
            </w:r>
          </w:p>
        </w:tc>
        <w:tc>
          <w:tcPr>
            <w:tcW w:type="dxa" w:w="3619"/>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联系人</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电话</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联系人</w:t>
            </w:r>
          </w:p>
        </w:tc>
        <w:tc>
          <w:tcPr>
            <w:tcW w:type="dxa" w:w="1248"/>
            <w:gridSpan w:val="2"/>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90"/>
              <w:jc w:val="left"/>
            </w:pPr>
            <w:r>
              <w:rPr>
                <w:sz w:val="18"/>
              </w:rPr>
              <w:t>电话</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传真</w:t>
            </w:r>
          </w:p>
        </w:tc>
        <w:tc>
          <w:tcPr>
            <w:tcW w:type="dxa" w:w="1206"/>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780"/>
            <w:tcBorders>
              <w:top w:val="single" w:color="000000" w:sz="4"/>
              <w:left w:val="non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邮编</w:t>
            </w:r>
          </w:p>
        </w:tc>
        <w:tc>
          <w:tcPr>
            <w:tcW w:type="dxa" w:w="1206"/>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传真</w:t>
            </w:r>
          </w:p>
        </w:tc>
        <w:tc>
          <w:tcPr>
            <w:tcW w:type="dxa" w:w="1248"/>
            <w:gridSpan w:val="2"/>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c>
          <w:tcPr>
            <w:tcW w:type="dxa" w:w="866"/>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90"/>
              <w:jc w:val="left"/>
            </w:pPr>
            <w:r>
              <w:rPr>
                <w:sz w:val="18"/>
              </w:rPr>
              <w:t>邮编</w:t>
            </w:r>
          </w:p>
        </w:tc>
        <w:tc>
          <w:tcPr>
            <w:tcW w:type="dxa" w:w="1505"/>
            <w:tcBorders>
              <w:top w:val="single" w:color="000000" w:sz="4"/>
              <w:left w:val="none" w:color="000000" w:sz="4"/>
              <w:bottom w:val="none" w:color="000000" w:sz="4"/>
              <w:right w:val="single" w:color="000000" w:sz="4"/>
            </w:tcBorders>
            <w:tcMar>
              <w:top w:type="dxa" w:w="0"/>
              <w:left w:type="dxa" w:w="0"/>
              <w:bottom w:type="dxa" w:w="0"/>
              <w:right w:type="dxa" w:w="0"/>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开户</w:t>
            </w:r>
            <w:r>
              <w:br/>
            </w:r>
            <w:r>
              <w:rPr>
                <w:sz w:val="18"/>
              </w:rPr>
              <w:t>银行</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工商银行广州市高新区支行</w:t>
            </w:r>
            <w:r>
              <w:rPr>
                <w:sz w:val="21"/>
              </w:rPr>
              <w:t xml:space="preserve">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开户</w:t>
            </w:r>
            <w:r>
              <w:rPr>
                <w:sz w:val="21"/>
              </w:rPr>
              <w:t xml:space="preserve"> </w:t>
            </w:r>
            <w:r>
              <w:br/>
            </w:r>
            <w:r>
              <w:rPr>
                <w:sz w:val="18"/>
              </w:rPr>
              <w:t>银行</w:t>
            </w:r>
          </w:p>
        </w:tc>
        <w:tc>
          <w:tcPr>
            <w:tcW w:type="dxa" w:w="3619"/>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银行</w:t>
            </w:r>
            <w:r>
              <w:br/>
            </w:r>
            <w:r>
              <w:rPr>
                <w:sz w:val="18"/>
              </w:rPr>
              <w:t>帐号</w:t>
            </w:r>
          </w:p>
        </w:tc>
        <w:tc>
          <w:tcPr>
            <w:tcW w:type="dxa" w:w="3192"/>
            <w:gridSpan w:val="3"/>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ind w:firstLine="90"/>
              <w:jc w:val="left"/>
            </w:pPr>
            <w:r>
              <w:rPr>
                <w:sz w:val="18"/>
              </w:rPr>
              <w:t xml:space="preserve">3602008109000386071  </w:t>
            </w:r>
          </w:p>
        </w:tc>
        <w:tc>
          <w:tcPr>
            <w:tcW w:type="dxa" w:w="667"/>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银行</w:t>
            </w:r>
            <w:r>
              <w:rPr>
                <w:sz w:val="21"/>
              </w:rPr>
              <w:t xml:space="preserve"> </w:t>
            </w:r>
            <w:r>
              <w:br/>
            </w:r>
            <w:r>
              <w:rPr>
                <w:sz w:val="18"/>
              </w:rPr>
              <w:t>帐号</w:t>
            </w:r>
          </w:p>
        </w:tc>
        <w:tc>
          <w:tcPr>
            <w:tcW w:type="dxa" w:w="3619"/>
            <w:gridSpan w:val="4"/>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法定代表人</w:t>
            </w:r>
            <w:r>
              <w:rPr>
                <w:sz w:val="18"/>
              </w:rPr>
              <w:t>/委托代理人</w:t>
            </w:r>
          </w:p>
        </w:tc>
        <w:tc>
          <w:tcPr>
            <w:tcW w:type="dxa" w:w="3192"/>
            <w:gridSpan w:val="3"/>
            <w:vMerge w:val="restart"/>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c>
          <w:tcPr>
            <w:tcW w:type="dxa" w:w="1291"/>
            <w:gridSpan w:val="2"/>
            <w:tcBorders>
              <w:top w:val="single" w:color="000000" w:sz="4"/>
              <w:left w:val="single" w:color="000000" w:sz="4"/>
              <w:bottom w:val="none" w:color="000000" w:sz="4"/>
              <w:right w:val="none" w:color="000000" w:sz="4"/>
            </w:tcBorders>
            <w:tcMar>
              <w:top w:type="dxa" w:w="15"/>
              <w:left w:type="dxa" w:w="15"/>
              <w:bottom w:type="dxa" w:w="15"/>
              <w:right w:type="dxa" w:w="15"/>
            </w:tcMar>
            <w:vAlign w:val="top"/>
          </w:tcPr>
          <w:p>
            <w:pPr>
              <w:pStyle w:val="null3"/>
              <w:jc w:val="center"/>
            </w:pPr>
            <w:r>
              <w:rPr>
                <w:sz w:val="18"/>
              </w:rPr>
              <w:t>法定代表人</w:t>
            </w:r>
            <w:r>
              <w:rPr>
                <w:sz w:val="18"/>
              </w:rPr>
              <w:t>/委托代理人</w:t>
            </w:r>
          </w:p>
        </w:tc>
        <w:tc>
          <w:tcPr>
            <w:tcW w:type="dxa" w:w="2995"/>
            <w:gridSpan w:val="3"/>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 xml:space="preserve"> </w:t>
            </w:r>
            <w:r>
              <w:rPr>
                <w:sz w:val="21"/>
              </w:rPr>
              <w:t>（必填项）</w:t>
            </w:r>
          </w:p>
        </w:tc>
      </w:tr>
      <w:tr>
        <w:tc>
          <w:tcPr>
            <w:tcW w:type="dxa" w:w="795"/>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18"/>
              </w:rPr>
              <w:t>签订日期、甲方盖章</w:t>
            </w:r>
          </w:p>
        </w:tc>
        <w:tc>
          <w:tcPr>
            <w:tcW w:type="dxa" w:w="3192"/>
            <w:gridSpan w:val="3"/>
            <w:vMerge/>
            <w:tcBorders>
              <w:top w:val="single" w:color="000000" w:sz="4"/>
              <w:left w:val="single" w:color="000000" w:sz="4"/>
              <w:bottom w:val="single" w:color="000000" w:sz="4"/>
              <w:right w:val="none" w:color="000000" w:sz="4"/>
            </w:tcBorders>
          </w:tcPr>
          <w:p/>
        </w:tc>
        <w:tc>
          <w:tcPr>
            <w:tcW w:type="dxa" w:w="1291"/>
            <w:gridSpan w:val="2"/>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sz w:val="18"/>
              </w:rPr>
              <w:t>签订日期、乙方盖章</w:t>
            </w:r>
          </w:p>
        </w:tc>
        <w:tc>
          <w:tcPr>
            <w:tcW w:type="dxa" w:w="2995"/>
            <w:gridSpan w:val="3"/>
            <w:vMerge/>
            <w:tcBorders>
              <w:top w:val="single" w:color="000000" w:sz="4"/>
              <w:left w:val="single" w:color="000000" w:sz="4"/>
              <w:bottom w:val="single" w:color="000000" w:sz="4"/>
              <w:right w:val="single" w:color="000000" w:sz="4"/>
            </w:tcBorders>
          </w:tcPr>
          <w:p/>
        </w:tc>
      </w:tr>
    </w:tbl>
    <w:p>
      <w:pPr>
        <w:pStyle w:val="null3"/>
        <w:ind w:firstLine="200"/>
        <w:jc w:val="left"/>
      </w:pPr>
      <w:r>
        <w:rPr>
          <w:sz w:val="21"/>
        </w:rPr>
        <w:t>附件</w:t>
      </w:r>
      <w:r>
        <w:rPr>
          <w:sz w:val="21"/>
        </w:rPr>
        <w:t>1</w:t>
      </w:r>
      <w:r>
        <w:rPr>
          <w:sz w:val="21"/>
        </w:rPr>
        <w:t>：</w:t>
      </w:r>
    </w:p>
    <w:p>
      <w:pPr>
        <w:pStyle w:val="null3"/>
        <w:jc w:val="center"/>
      </w:pPr>
      <w:r>
        <w:rPr>
          <w:sz w:val="28"/>
          <w:b/>
        </w:rPr>
        <w:t>合同标的</w:t>
      </w:r>
    </w:p>
    <w:p>
      <w:pPr>
        <w:pStyle w:val="null3"/>
        <w:jc w:val="both"/>
      </w:pPr>
      <w:r>
        <w:rPr>
          <w:sz w:val="21"/>
        </w:rPr>
        <w:t>货币单位：人民币元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502"/>
        <w:gridCol w:w="988"/>
        <w:gridCol w:w="1062"/>
        <w:gridCol w:w="1357"/>
        <w:gridCol w:w="1652"/>
        <w:gridCol w:w="664"/>
        <w:gridCol w:w="620"/>
        <w:gridCol w:w="620"/>
        <w:gridCol w:w="841"/>
        <w:gridCol w:w="0"/>
      </w:tblGrid>
      <w:tr>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项数</w:t>
            </w:r>
          </w:p>
        </w:tc>
        <w:tc>
          <w:tcPr>
            <w:tcW w:type="dxa" w:w="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w:t>
            </w:r>
            <w:r>
              <w:rPr>
                <w:sz w:val="21"/>
              </w:rPr>
              <w:t>名称</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1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1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详细配置清单</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84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w:t>
            </w:r>
          </w:p>
        </w:tc>
        <w:tc>
          <w:tcPr>
            <w:tcW w:type="dxa" w:w="681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（人民币）：</w:t>
            </w:r>
            <w:r>
              <w:rPr>
                <w:sz w:val="21"/>
              </w:rPr>
              <w:t>佰拾万仟佰拾元角分</w:t>
            </w:r>
            <w:r>
              <w:rPr>
                <w:sz w:val="21"/>
              </w:rPr>
              <w:t>（￥</w:t>
            </w:r>
            <w:r>
              <w:rPr>
                <w:sz w:val="21"/>
              </w:rPr>
              <w:t xml:space="preserve">           </w:t>
            </w:r>
            <w:r>
              <w:rPr>
                <w:sz w:val="21"/>
              </w:rPr>
              <w:t>）</w:t>
            </w:r>
            <w:r>
              <w:rPr>
                <w:sz w:val="21"/>
              </w:rPr>
              <w:t>，（</w:t>
            </w:r>
            <w:r>
              <w:rPr>
                <w:sz w:val="21"/>
              </w:rPr>
              <w:t>CNY</w:t>
            </w:r>
            <w:r>
              <w:rPr>
                <w:sz w:val="21"/>
              </w:rPr>
              <w:t>）</w:t>
            </w:r>
          </w:p>
        </w:tc>
        <w:tc>
          <w:tcPr>
            <w:tcW w:type="dxa" w:w="0"/>
            <w:tcBorders>
              <w:top w:val="none" w:color="000000" w:sz="4"/>
              <w:left w:val="none" w:color="000000" w:sz="4"/>
              <w:bottom w:val="none" w:color="000000" w:sz="4"/>
              <w:right w:val="none" w:color="000000" w:sz="4"/>
            </w:tcBorders>
          </w:tcPr>
          <w:p>
            <w:pPr>
              <w:pStyle w:val="null3"/>
            </w:pPr>
            <w:r>
              <w:rPr>
                <w:sz w:val="21"/>
              </w:rPr>
              <w:t xml:space="preserve"> </w:t>
            </w:r>
          </w:p>
        </w:tc>
      </w:tr>
    </w:tbl>
    <w:p>
      <w:pPr>
        <w:pStyle w:val="null3"/>
        <w:jc w:val="both"/>
      </w:pPr>
      <w:r>
        <w:rPr>
          <w:sz w:val="21"/>
        </w:rPr>
        <w:t>注：此表由双方的法定代表人或委托代理人手写签名确认。如果多页的，则每页均需手写签名确认。</w:t>
      </w:r>
    </w:p>
    <w:p>
      <w:pPr>
        <w:pStyle w:val="null3"/>
        <w:spacing w:before="150"/>
        <w:jc w:val="both"/>
      </w:pPr>
      <w:r>
        <w:rPr>
          <w:sz w:val="28"/>
          <w:b/>
        </w:rPr>
        <w:t>甲方</w:t>
      </w:r>
      <w:r>
        <w:rPr>
          <w:sz w:val="28"/>
          <w:b/>
        </w:rPr>
        <w:t xml:space="preserve">:        </w:t>
      </w:r>
      <w:r>
        <w:rPr>
          <w:sz w:val="28"/>
          <w:b/>
        </w:rPr>
        <w:t>乙方</w:t>
      </w:r>
      <w:r>
        <w:rPr>
          <w:sz w:val="28"/>
          <w:b/>
        </w:rPr>
        <w:t>:</w:t>
      </w:r>
    </w:p>
    <w:p>
      <w:pPr>
        <w:pStyle w:val="null3"/>
        <w:spacing w:before="150"/>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440001-2024-52146</w:t>
      </w:r>
    </w:p>
    <w:p>
      <w:pPr>
        <w:pStyle w:val="null3"/>
        <w:jc w:val="center"/>
        <w:outlineLvl w:val="3"/>
      </w:pPr>
      <w:r>
        <w:rPr>
          <w:sz w:val="24"/>
          <w:b/>
        </w:rPr>
        <w:t>采购项目编号：</w:t>
      </w:r>
      <w:r>
        <w:rPr>
          <w:sz w:val="24"/>
          <w:b/>
        </w:rPr>
        <w:t>GZZJ-ZG-2024745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广州中经招标有限公司</w:t>
      </w:r>
    </w:p>
    <w:p>
      <w:pPr>
        <w:pStyle w:val="null3"/>
        <w:ind w:firstLine="480"/>
      </w:pPr>
      <w:r>
        <w:rPr/>
        <w:t xml:space="preserve"> 你方组织的</w:t>
      </w:r>
      <w:r>
        <w:rPr>
          <w:u w:val="single"/>
        </w:rPr>
        <w:t>“</w:t>
      </w:r>
      <w:r>
        <w:rPr>
          <w:u w:val="single"/>
        </w:rPr>
        <w:t>华南师范大学体能训练仪器设备采购项目</w:t>
      </w:r>
      <w:r>
        <w:rPr>
          <w:u w:val="single"/>
        </w:rPr>
        <w:t>”</w:t>
      </w:r>
      <w:r>
        <w:rPr/>
        <w:t>项目的招标[采购项目编号为：</w:t>
      </w:r>
      <w:r>
        <w:rPr>
          <w:u w:val="single"/>
        </w:rPr>
        <w:t>GZZJ-ZG-2024745</w:t>
      </w:r>
      <w:r>
        <w:rPr/>
        <w:t>]，我方愿参与投标。</w:t>
      </w:r>
    </w:p>
    <w:p>
      <w:pPr>
        <w:pStyle w:val="null3"/>
        <w:ind w:firstLine="480"/>
      </w:pPr>
      <w:r>
        <w:rPr/>
        <w:t>我方确认收到贵方提供的</w:t>
      </w:r>
      <w:r>
        <w:rPr>
          <w:u w:val="single"/>
        </w:rPr>
        <w:t>“</w:t>
      </w:r>
      <w:r>
        <w:rPr>
          <w:u w:val="single"/>
        </w:rPr>
        <w:t>华南师范大学体能训练仪器设备采购项目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广州中经招标有限公司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华南师范大学体能训练仪器设备采购项目</w:t>
      </w:r>
      <w:r>
        <w:rPr/>
        <w:t>”项目采购[采购项目编号为</w:t>
      </w:r>
      <w:r>
        <w:rPr/>
        <w:t>GZZJ-ZG-2024745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广州中经招标有限公司</w:t>
      </w:r>
    </w:p>
    <w:p>
      <w:pPr>
        <w:pStyle w:val="null3"/>
        <w:ind w:firstLine="480"/>
      </w:pPr>
      <w:r>
        <w:rPr/>
        <w:t xml:space="preserve"> 如果我方在贵采购代理机构组织的</w:t>
      </w:r>
      <w:r>
        <w:rPr/>
        <w:t>华南师范大学体能训练仪器设备采购项目</w:t>
      </w:r>
      <w:r>
        <w:rPr/>
        <w:t>招标中获中标（采购项目编号：</w:t>
      </w:r>
      <w:r>
        <w:rPr/>
        <w:t>GZZJ-ZG-2024745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广州中经招标有限公司</w:t>
      </w:r>
    </w:p>
    <w:p>
      <w:pPr>
        <w:pStyle w:val="null3"/>
        <w:ind w:firstLine="480"/>
      </w:pPr>
      <w:r>
        <w:rPr/>
        <w:t>我单位已登记并准备参与“</w:t>
      </w:r>
      <w:r>
        <w:rPr/>
        <w:t>华南师范大学体能训练仪器设备采购项目</w:t>
      </w:r>
      <w:r>
        <w:rPr/>
        <w:t>”项目（采购项目编号：</w:t>
      </w:r>
      <w:r>
        <w:rPr/>
        <w:t>GZZJ-ZG-2024745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