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版本号：N511421202500006420250605001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食堂食材配送及劳务服务(二次)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N5114212025000064</w:t>
      </w:r>
    </w:p>
    <w:p>
      <w:pPr>
        <w:pStyle w:val="null3"/>
        <w:jc w:val="center"/>
        <w:outlineLvl w:val="2"/>
      </w:pPr>
      <w:r>
        <w:rPr>
          <w:rFonts w:ascii="仿宋_GB2312" w:hAnsi="仿宋_GB2312" w:cs="仿宋_GB2312" w:eastAsia="仿宋_GB2312"/>
          <w:sz w:val="28"/>
          <w:b/>
        </w:rPr>
        <w:t>仁寿县精神卫生保健院</w:t>
      </w:r>
    </w:p>
    <w:p>
      <w:pPr>
        <w:pStyle w:val="null3"/>
        <w:jc w:val="center"/>
        <w:outlineLvl w:val="2"/>
      </w:pPr>
      <w:r>
        <w:rPr>
          <w:rFonts w:ascii="仿宋_GB2312" w:hAnsi="仿宋_GB2312" w:cs="仿宋_GB2312" w:eastAsia="仿宋_GB2312"/>
          <w:sz w:val="28"/>
          <w:b/>
        </w:rPr>
        <w:t>四川省君唯源工程项目管理有限责任公司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仁寿县精神卫生保健院</w:t>
      </w:r>
      <w:r>
        <w:rPr>
          <w:rFonts w:ascii="仿宋_GB2312" w:hAnsi="仿宋_GB2312" w:cs="仿宋_GB2312" w:eastAsia="仿宋_GB2312"/>
        </w:rPr>
        <w:t xml:space="preserve"> 委托，拟对 </w:t>
      </w:r>
      <w:r>
        <w:rPr>
          <w:rFonts w:ascii="仿宋_GB2312" w:hAnsi="仿宋_GB2312" w:cs="仿宋_GB2312" w:eastAsia="仿宋_GB2312"/>
        </w:rPr>
        <w:t>食堂食材配送及劳务服务(二次)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眉山市仁寿县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N5114212025000064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食堂食材配送及劳务服务(二次)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1、按时向采购人单位职工提供中、晚餐服务，医院病人及家属提供早、中、晚餐服务。 2、完成采购人其他餐饮任务。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1、供应商须具有合法有效的食品经营许可证（描述：供应商须具有合法有效的食品经营许可证）</w:t>
      </w:r>
    </w:p>
    <w:p>
      <w:pPr>
        <w:pStyle w:val="null3"/>
        <w:jc w:val="left"/>
      </w:pPr>
      <w:r>
        <w:rPr>
          <w:rFonts w:ascii="仿宋_GB2312" w:hAnsi="仿宋_GB2312" w:cs="仿宋_GB2312" w:eastAsia="仿宋_GB2312"/>
        </w:rPr>
        <w:t>2、本项目专门面向中小企业采购（描述：提供中小企业声明函）</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仁寿县精神卫生保健院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仁寿县文林镇伴山路150号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028-36262707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四川省君唯源工程项目管理有限责任公司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仁寿县南新街186号2楼（时代茗城后门新华保险旁)</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028-38176616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采购包1：3,350,000.00元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代理服务费收费标准：本项目按照成本支出加合理利润的原则确定代理费服务费收费标准，招标代理费服务费为34000.00元，由中标（成交）供应商支付。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仁寿县精神卫生保健院</w:t>
      </w:r>
      <w:r>
        <w:rPr>
          <w:rFonts w:ascii="仿宋_GB2312" w:hAnsi="仿宋_GB2312" w:cs="仿宋_GB2312" w:eastAsia="仿宋_GB2312"/>
        </w:rPr>
        <w:t xml:space="preserve"> 和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仁寿县精神卫生保健院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满足国家、地方相关规范、行业标准及采购文件要求。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满足国家、地方相关规范、行业标准及采购文件要求。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的通知（财库〔2016〕205号）等相关法律法规组织验收。由本项目业主协调领导组织，按照合同和相关文件的要求对整个成果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仁寿县精神卫生保健院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联系人：徐女士</w:t>
      </w:r>
    </w:p>
    <w:p>
      <w:pPr>
        <w:pStyle w:val="null3"/>
        <w:jc w:val="left"/>
      </w:pPr>
      <w:r>
        <w:rPr>
          <w:rFonts w:ascii="仿宋_GB2312" w:hAnsi="仿宋_GB2312" w:cs="仿宋_GB2312" w:eastAsia="仿宋_GB2312"/>
        </w:rPr>
        <w:t>联系电话：028-38176616</w:t>
      </w:r>
    </w:p>
    <w:p>
      <w:pPr>
        <w:pStyle w:val="null3"/>
        <w:jc w:val="left"/>
      </w:pPr>
      <w:r>
        <w:rPr>
          <w:rFonts w:ascii="仿宋_GB2312" w:hAnsi="仿宋_GB2312" w:cs="仿宋_GB2312" w:eastAsia="仿宋_GB2312"/>
        </w:rPr>
        <w:t>地址：仁寿县南新街186号2楼（时代茗城后门新华保险旁)</w:t>
      </w:r>
    </w:p>
    <w:p>
      <w:pPr>
        <w:pStyle w:val="null3"/>
        <w:jc w:val="left"/>
      </w:pPr>
      <w:r>
        <w:rPr>
          <w:rFonts w:ascii="仿宋_GB2312" w:hAnsi="仿宋_GB2312" w:cs="仿宋_GB2312" w:eastAsia="仿宋_GB2312"/>
        </w:rPr>
        <w:t>邮编：620500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3,350,000.00</w:t>
      </w:r>
    </w:p>
    <w:p>
      <w:pPr>
        <w:pStyle w:val="null3"/>
        <w:jc w:val="left"/>
      </w:pPr>
      <w:r>
        <w:rPr>
          <w:rFonts w:ascii="仿宋_GB2312" w:hAnsi="仿宋_GB2312" w:cs="仿宋_GB2312" w:eastAsia="仿宋_GB2312"/>
        </w:rPr>
        <w:t>采购包最高限价（元）: 3,350,000.00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C22040000 餐饮服务</w:t>
            </w:r>
          </w:p>
        </w:tc>
        <w:tc>
          <w:tcPr>
            <w:tcW w:type="dxa" w:w="821"/>
          </w:tcPr>
          <w:p>
            <w:pPr>
              <w:pStyle w:val="null3"/>
              <w:jc w:val="left"/>
            </w:pPr>
            <w:r>
              <w:rPr>
                <w:rFonts w:ascii="仿宋_GB2312" w:hAnsi="仿宋_GB2312" w:cs="仿宋_GB2312" w:eastAsia="仿宋_GB2312"/>
              </w:rPr>
              <w:t>食堂食材配送及劳务服务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3,350,000.00</w:t>
            </w:r>
          </w:p>
        </w:tc>
        <w:tc>
          <w:tcPr>
            <w:tcW w:type="dxa" w:w="821"/>
          </w:tcPr>
          <w:p>
            <w:pPr>
              <w:pStyle w:val="null3"/>
              <w:jc w:val="left"/>
            </w:pPr>
            <w:r>
              <w:rPr>
                <w:rFonts w:ascii="仿宋_GB2312" w:hAnsi="仿宋_GB2312" w:cs="仿宋_GB2312" w:eastAsia="仿宋_GB2312"/>
              </w:rPr>
              <w:t>餐饮业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食堂食材配送及劳务服务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3,350,000.00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标的名称：食堂食材配送及劳务服务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项目技术、商务及其他要求</w:t>
            </w:r>
          </w:p>
        </w:tc>
        <w:tc>
          <w:tcPr>
            <w:tcW w:type="dxa" w:w="5814"/>
          </w:tcPr>
          <w:p>
            <w:pPr>
              <w:pStyle w:val="null3"/>
              <w:ind w:firstLine="482"/>
              <w:jc w:val="both"/>
            </w:pPr>
            <w:r>
              <w:rPr>
                <w:rFonts w:ascii="仿宋_GB2312" w:hAnsi="仿宋_GB2312" w:cs="仿宋_GB2312" w:eastAsia="仿宋_GB2312"/>
                <w:sz w:val="24"/>
                <w:b/>
              </w:rPr>
              <w:t>（一）总体经营目标：</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、按时向采购人单位职工提供中、晚餐服务，医院病人及家属提供早、中、晚餐服务。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、完成采购人其他餐饮任务。</w:t>
            </w:r>
          </w:p>
          <w:p>
            <w:pPr>
              <w:pStyle w:val="null3"/>
              <w:ind w:firstLine="482"/>
              <w:jc w:val="both"/>
            </w:pPr>
            <w:r>
              <w:rPr>
                <w:rFonts w:ascii="仿宋_GB2312" w:hAnsi="仿宋_GB2312" w:cs="仿宋_GB2312" w:eastAsia="仿宋_GB2312"/>
                <w:sz w:val="24"/>
                <w:b/>
              </w:rPr>
              <w:t>（二）食堂所需配备人员</w:t>
            </w:r>
          </w:p>
          <w:p>
            <w:pPr>
              <w:pStyle w:val="null3"/>
              <w:ind w:firstLine="480"/>
              <w:jc w:val="both"/>
            </w:pPr>
            <w:r>
              <w:rPr>
                <w:rFonts w:ascii="仿宋_GB2312" w:hAnsi="仿宋_GB2312" w:cs="仿宋_GB2312" w:eastAsia="仿宋_GB2312"/>
                <w:sz w:val="24"/>
              </w:rPr>
              <w:t>管理人员：1名</w:t>
            </w:r>
          </w:p>
          <w:p>
            <w:pPr>
              <w:pStyle w:val="null3"/>
              <w:ind w:firstLine="480"/>
              <w:jc w:val="both"/>
            </w:pPr>
            <w:r>
              <w:rPr>
                <w:rFonts w:ascii="仿宋_GB2312" w:hAnsi="仿宋_GB2312" w:cs="仿宋_GB2312" w:eastAsia="仿宋_GB2312"/>
                <w:sz w:val="24"/>
              </w:rPr>
              <w:t>厨师：2名</w:t>
            </w:r>
          </w:p>
          <w:p>
            <w:pPr>
              <w:pStyle w:val="null3"/>
              <w:ind w:firstLine="480"/>
              <w:jc w:val="both"/>
            </w:pPr>
            <w:r>
              <w:rPr>
                <w:rFonts w:ascii="仿宋_GB2312" w:hAnsi="仿宋_GB2312" w:cs="仿宋_GB2312" w:eastAsia="仿宋_GB2312"/>
                <w:sz w:val="24"/>
              </w:rPr>
              <w:t>高级营养师：1名（提供证书复印件，实质性要求）</w:t>
            </w:r>
          </w:p>
          <w:p>
            <w:pPr>
              <w:pStyle w:val="null3"/>
              <w:ind w:firstLine="480"/>
              <w:jc w:val="both"/>
            </w:pPr>
            <w:r>
              <w:rPr>
                <w:rFonts w:ascii="仿宋_GB2312" w:hAnsi="仿宋_GB2312" w:cs="仿宋_GB2312" w:eastAsia="仿宋_GB2312"/>
                <w:sz w:val="24"/>
              </w:rPr>
              <w:t>服务人员：6名</w:t>
            </w:r>
          </w:p>
          <w:p>
            <w:pPr>
              <w:pStyle w:val="null3"/>
              <w:ind w:firstLine="482"/>
              <w:jc w:val="both"/>
            </w:pPr>
            <w:r>
              <w:rPr>
                <w:rFonts w:ascii="仿宋_GB2312" w:hAnsi="仿宋_GB2312" w:cs="仿宋_GB2312" w:eastAsia="仿宋_GB2312"/>
                <w:sz w:val="24"/>
                <w:b/>
              </w:rPr>
              <w:t>（三）供餐模式：</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病人及家属用餐</w:t>
            </w:r>
          </w:p>
          <w:p>
            <w:pPr>
              <w:pStyle w:val="null3"/>
              <w:ind w:firstLine="480"/>
              <w:jc w:val="both"/>
            </w:pPr>
            <w:r>
              <w:rPr>
                <w:rFonts w:ascii="仿宋_GB2312" w:hAnsi="仿宋_GB2312" w:cs="仿宋_GB2312" w:eastAsia="仿宋_GB2312"/>
                <w:sz w:val="24"/>
              </w:rPr>
              <w:t>食堂服务员送餐到病房，合理搭配用餐饮食，保证病人及家属吃饱吃好</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（1）餐标：</w:t>
            </w:r>
          </w:p>
          <w:p>
            <w:pPr>
              <w:pStyle w:val="null3"/>
              <w:ind w:firstLine="480"/>
              <w:jc w:val="both"/>
            </w:pPr>
            <w:r>
              <w:rPr>
                <w:rFonts w:ascii="仿宋_GB2312" w:hAnsi="仿宋_GB2312" w:cs="仿宋_GB2312" w:eastAsia="仿宋_GB2312"/>
                <w:sz w:val="24"/>
              </w:rPr>
              <w:t>早餐：面点、蛋类、稀饭、开胃小菜，4元/餐；</w:t>
            </w:r>
          </w:p>
          <w:p>
            <w:pPr>
              <w:pStyle w:val="null3"/>
              <w:ind w:firstLine="480"/>
              <w:jc w:val="both"/>
            </w:pPr>
            <w:r>
              <w:rPr>
                <w:rFonts w:ascii="仿宋_GB2312" w:hAnsi="仿宋_GB2312" w:cs="仿宋_GB2312" w:eastAsia="仿宋_GB2312"/>
                <w:sz w:val="24"/>
              </w:rPr>
              <w:t>午餐：1荤1素1汤，7元/餐；</w:t>
            </w:r>
          </w:p>
          <w:p>
            <w:pPr>
              <w:pStyle w:val="null3"/>
              <w:ind w:firstLine="480"/>
              <w:jc w:val="both"/>
            </w:pPr>
            <w:r>
              <w:rPr>
                <w:rFonts w:ascii="仿宋_GB2312" w:hAnsi="仿宋_GB2312" w:cs="仿宋_GB2312" w:eastAsia="仿宋_GB2312"/>
                <w:sz w:val="24"/>
              </w:rPr>
              <w:t>晚餐：1荤1素1汤，7元/餐。</w:t>
            </w:r>
          </w:p>
          <w:p>
            <w:pPr>
              <w:pStyle w:val="null3"/>
              <w:ind w:firstLine="482"/>
              <w:jc w:val="both"/>
            </w:pPr>
            <w:r>
              <w:rPr>
                <w:rFonts w:ascii="仿宋_GB2312" w:hAnsi="仿宋_GB2312" w:cs="仿宋_GB2312" w:eastAsia="仿宋_GB2312"/>
                <w:sz w:val="24"/>
                <w:b/>
              </w:rPr>
              <w:t>（2）费用：</w:t>
            </w:r>
            <w:r>
              <w:rPr>
                <w:rFonts w:ascii="仿宋_GB2312" w:hAnsi="仿宋_GB2312" w:cs="仿宋_GB2312" w:eastAsia="仿宋_GB2312"/>
                <w:sz w:val="24"/>
              </w:rPr>
              <w:t>18</w:t>
            </w:r>
            <w:r>
              <w:rPr>
                <w:rFonts w:ascii="仿宋_GB2312" w:hAnsi="仿宋_GB2312" w:cs="仿宋_GB2312" w:eastAsia="仿宋_GB2312"/>
                <w:sz w:val="24"/>
              </w:rPr>
              <w:t>元/人/天，按就餐人数据实结算。</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职工工作餐</w:t>
            </w:r>
          </w:p>
          <w:p>
            <w:pPr>
              <w:pStyle w:val="null3"/>
              <w:ind w:firstLine="480"/>
              <w:jc w:val="both"/>
            </w:pPr>
            <w:r>
              <w:rPr>
                <w:rFonts w:ascii="仿宋_GB2312" w:hAnsi="仿宋_GB2312" w:cs="仿宋_GB2312" w:eastAsia="仿宋_GB2312"/>
                <w:sz w:val="24"/>
              </w:rPr>
              <w:t>提供午餐和晚餐，实行自助餐，合理搭配用餐饮食，保证职工吃饱吃好。</w:t>
            </w:r>
          </w:p>
          <w:p>
            <w:pPr>
              <w:pStyle w:val="null3"/>
              <w:ind w:firstLine="482"/>
              <w:jc w:val="both"/>
            </w:pPr>
            <w:r>
              <w:rPr>
                <w:rFonts w:ascii="仿宋_GB2312" w:hAnsi="仿宋_GB2312" w:cs="仿宋_GB2312" w:eastAsia="仿宋_GB2312"/>
                <w:sz w:val="24"/>
                <w:b/>
              </w:rPr>
              <w:t>（1）餐标：</w:t>
            </w:r>
            <w:r>
              <w:rPr>
                <w:rFonts w:ascii="仿宋_GB2312" w:hAnsi="仿宋_GB2312" w:cs="仿宋_GB2312" w:eastAsia="仿宋_GB2312"/>
                <w:sz w:val="24"/>
              </w:rPr>
              <w:t>每餐2荤1素1汤。</w:t>
            </w:r>
          </w:p>
          <w:p>
            <w:pPr>
              <w:pStyle w:val="null3"/>
              <w:ind w:firstLine="482"/>
              <w:jc w:val="both"/>
            </w:pPr>
            <w:r>
              <w:rPr>
                <w:rFonts w:ascii="仿宋_GB2312" w:hAnsi="仿宋_GB2312" w:cs="仿宋_GB2312" w:eastAsia="仿宋_GB2312"/>
                <w:sz w:val="24"/>
                <w:b/>
              </w:rPr>
              <w:t>（2）费用：</w:t>
            </w:r>
            <w:r>
              <w:rPr>
                <w:rFonts w:ascii="仿宋_GB2312" w:hAnsi="仿宋_GB2312" w:cs="仿宋_GB2312" w:eastAsia="仿宋_GB2312"/>
                <w:sz w:val="24"/>
              </w:rPr>
              <w:t>15</w:t>
            </w:r>
            <w:r>
              <w:rPr>
                <w:rFonts w:ascii="仿宋_GB2312" w:hAnsi="仿宋_GB2312" w:cs="仿宋_GB2312" w:eastAsia="仿宋_GB2312"/>
                <w:sz w:val="24"/>
              </w:rPr>
              <w:t>元/人/餐，按就餐人数据实结算。</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会议用餐</w:t>
            </w:r>
          </w:p>
          <w:p>
            <w:pPr>
              <w:pStyle w:val="null3"/>
              <w:ind w:firstLine="480"/>
              <w:jc w:val="both"/>
            </w:pPr>
            <w:r>
              <w:rPr>
                <w:rFonts w:ascii="仿宋_GB2312" w:hAnsi="仿宋_GB2312" w:cs="仿宋_GB2312" w:eastAsia="仿宋_GB2312"/>
                <w:sz w:val="24"/>
              </w:rPr>
              <w:t>由采购人根据需求，决定用餐人数和餐标。</w:t>
            </w:r>
          </w:p>
          <w:p>
            <w:pPr>
              <w:pStyle w:val="null3"/>
              <w:ind w:firstLine="482"/>
              <w:jc w:val="both"/>
            </w:pPr>
            <w:r>
              <w:rPr>
                <w:rFonts w:ascii="仿宋_GB2312" w:hAnsi="仿宋_GB2312" w:cs="仿宋_GB2312" w:eastAsia="仿宋_GB2312"/>
                <w:sz w:val="24"/>
                <w:b/>
              </w:rPr>
              <w:t>（四）具体服务要求：</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服务工作内容</w:t>
            </w:r>
          </w:p>
          <w:p>
            <w:pPr>
              <w:pStyle w:val="null3"/>
              <w:ind w:firstLine="480"/>
              <w:jc w:val="both"/>
            </w:pPr>
            <w:r>
              <w:rPr>
                <w:rFonts w:ascii="仿宋_GB2312" w:hAnsi="仿宋_GB2312" w:cs="仿宋_GB2312" w:eastAsia="仿宋_GB2312"/>
                <w:sz w:val="24"/>
              </w:rPr>
              <w:t>（1）按时向就餐人员提供早、中、晚用餐服务</w:t>
            </w:r>
          </w:p>
          <w:p>
            <w:pPr>
              <w:pStyle w:val="null3"/>
              <w:ind w:firstLine="480"/>
              <w:jc w:val="both"/>
            </w:pPr>
            <w:r>
              <w:rPr>
                <w:rFonts w:ascii="仿宋_GB2312" w:hAnsi="仿宋_GB2312" w:cs="仿宋_GB2312" w:eastAsia="仿宋_GB2312"/>
                <w:sz w:val="24"/>
              </w:rPr>
              <w:t>（2）开餐时间：早餐：</w:t>
            </w:r>
            <w:r>
              <w:rPr>
                <w:rFonts w:ascii="仿宋_GB2312" w:hAnsi="仿宋_GB2312" w:cs="仿宋_GB2312" w:eastAsia="仿宋_GB2312"/>
                <w:sz w:val="24"/>
              </w:rPr>
              <w:t>6:30-8:30</w:t>
            </w:r>
            <w:r>
              <w:rPr>
                <w:rFonts w:ascii="仿宋_GB2312" w:hAnsi="仿宋_GB2312" w:cs="仿宋_GB2312" w:eastAsia="仿宋_GB2312"/>
                <w:sz w:val="24"/>
              </w:rPr>
              <w:t>，</w:t>
            </w:r>
            <w:r>
              <w:rPr>
                <w:rFonts w:ascii="仿宋_GB2312" w:hAnsi="仿宋_GB2312" w:cs="仿宋_GB2312" w:eastAsia="仿宋_GB2312"/>
                <w:sz w:val="24"/>
              </w:rPr>
              <w:t>中餐：11：30—13：30，晚餐：17:30-18:30</w:t>
            </w:r>
          </w:p>
          <w:p>
            <w:pPr>
              <w:pStyle w:val="null3"/>
              <w:ind w:firstLine="480"/>
              <w:jc w:val="both"/>
            </w:pPr>
            <w:r>
              <w:rPr>
                <w:rFonts w:ascii="仿宋_GB2312" w:hAnsi="仿宋_GB2312" w:cs="仿宋_GB2312" w:eastAsia="仿宋_GB2312"/>
                <w:sz w:val="24"/>
              </w:rPr>
              <w:t>（3）根据采购人工作安排，确保采购人的日常会议工作用餐</w:t>
            </w:r>
          </w:p>
          <w:p>
            <w:pPr>
              <w:pStyle w:val="null3"/>
              <w:ind w:firstLine="480"/>
              <w:jc w:val="both"/>
            </w:pPr>
            <w:r>
              <w:rPr>
                <w:rFonts w:ascii="仿宋_GB2312" w:hAnsi="仿宋_GB2312" w:cs="仿宋_GB2312" w:eastAsia="仿宋_GB2312"/>
                <w:sz w:val="24"/>
              </w:rPr>
              <w:t>（4）完成采购人其他日常对外用餐任务。</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服务工作要求</w:t>
            </w:r>
          </w:p>
          <w:p>
            <w:pPr>
              <w:pStyle w:val="null3"/>
              <w:ind w:firstLine="480"/>
              <w:jc w:val="both"/>
            </w:pPr>
            <w:r>
              <w:rPr>
                <w:rFonts w:ascii="仿宋_GB2312" w:hAnsi="仿宋_GB2312" w:cs="仿宋_GB2312" w:eastAsia="仿宋_GB2312"/>
                <w:sz w:val="24"/>
              </w:rPr>
              <w:t>（1）保证准时、保质、保量地提供膳食服务、日常会议用餐以及重要用餐接待任务；</w:t>
            </w:r>
          </w:p>
          <w:p>
            <w:pPr>
              <w:pStyle w:val="null3"/>
              <w:ind w:firstLine="480"/>
              <w:jc w:val="both"/>
            </w:pPr>
            <w:r>
              <w:rPr>
                <w:rFonts w:ascii="仿宋_GB2312" w:hAnsi="仿宋_GB2312" w:cs="仿宋_GB2312" w:eastAsia="仿宋_GB2312"/>
                <w:sz w:val="24"/>
              </w:rPr>
              <w:t>（2）保证微笑服务，满足采购人的各种合理要求；</w:t>
            </w:r>
          </w:p>
          <w:p>
            <w:pPr>
              <w:pStyle w:val="null3"/>
              <w:ind w:firstLine="480"/>
              <w:jc w:val="both"/>
            </w:pPr>
            <w:r>
              <w:rPr>
                <w:rFonts w:ascii="仿宋_GB2312" w:hAnsi="仿宋_GB2312" w:cs="仿宋_GB2312" w:eastAsia="仿宋_GB2312"/>
                <w:sz w:val="24"/>
              </w:rPr>
              <w:t>（3）每周五公布下一周所有菜单。实行分批、分时段就餐，分批炒菜，保持菜肴色、香、味、形、营养俱全；实行预约服务，就餐人员因公经预约可提前或推迟就餐。</w:t>
            </w:r>
          </w:p>
          <w:p>
            <w:pPr>
              <w:pStyle w:val="null3"/>
              <w:ind w:firstLine="480"/>
              <w:jc w:val="both"/>
            </w:pPr>
            <w:r>
              <w:rPr>
                <w:rFonts w:ascii="仿宋_GB2312" w:hAnsi="仿宋_GB2312" w:cs="仿宋_GB2312" w:eastAsia="仿宋_GB2312"/>
                <w:sz w:val="24"/>
              </w:rPr>
              <w:t>（4）严格控制食品加工、售卖过程中的卫生标准，保证食品卫生符合我国《食品安全法》、《食品加工销售卫生五•四制》的要求，保障采购人就餐人员的饮食卫生安全；由于原材料采购导致的食品安全责任由供应商自行承担。（实质性要求，提供承诺函，格式自拟）</w:t>
            </w:r>
          </w:p>
          <w:p>
            <w:pPr>
              <w:pStyle w:val="null3"/>
              <w:ind w:firstLine="480"/>
              <w:jc w:val="both"/>
            </w:pPr>
            <w:r>
              <w:rPr>
                <w:rFonts w:ascii="仿宋_GB2312" w:hAnsi="仿宋_GB2312" w:cs="仿宋_GB2312" w:eastAsia="仿宋_GB2312"/>
                <w:sz w:val="24"/>
              </w:rPr>
              <w:t>（5）无条件接受就餐人员和采购人对食品卫生、质量及服务等各方面的监督；</w:t>
            </w:r>
          </w:p>
          <w:p>
            <w:pPr>
              <w:pStyle w:val="null3"/>
              <w:ind w:firstLine="480"/>
              <w:jc w:val="both"/>
            </w:pPr>
            <w:r>
              <w:rPr>
                <w:rFonts w:ascii="仿宋_GB2312" w:hAnsi="仿宋_GB2312" w:cs="仿宋_GB2312" w:eastAsia="仿宋_GB2312"/>
                <w:sz w:val="24"/>
              </w:rPr>
              <w:t>（6）接受采购人和就餐人员合理的建议和意见，不断提高服务水平。</w:t>
            </w:r>
          </w:p>
          <w:p>
            <w:pPr>
              <w:pStyle w:val="null3"/>
              <w:ind w:firstLine="480"/>
              <w:jc w:val="both"/>
            </w:pPr>
            <w:r>
              <w:rPr>
                <w:rFonts w:ascii="仿宋_GB2312" w:hAnsi="仿宋_GB2312" w:cs="仿宋_GB2312" w:eastAsia="仿宋_GB2312"/>
                <w:sz w:val="24"/>
              </w:rPr>
              <w:t>（7）按照季节不同，提供适宜的食品。冬天菜肴保暖，夏天提供清凉食品。</w:t>
            </w:r>
          </w:p>
          <w:p>
            <w:pPr>
              <w:pStyle w:val="null3"/>
              <w:ind w:firstLine="480"/>
              <w:jc w:val="both"/>
            </w:pPr>
            <w:r>
              <w:rPr>
                <w:rFonts w:ascii="仿宋_GB2312" w:hAnsi="仿宋_GB2312" w:cs="仿宋_GB2312" w:eastAsia="仿宋_GB2312"/>
                <w:sz w:val="24"/>
              </w:rPr>
              <w:t>（8）每餐前后必须对餐桌、餐厅进行清洁，保持用餐环境整洁无污迹、无油腻。每周定期对餐厅进行消毒。</w:t>
            </w:r>
          </w:p>
          <w:p>
            <w:pPr>
              <w:pStyle w:val="null3"/>
              <w:ind w:firstLine="480"/>
              <w:jc w:val="both"/>
            </w:pPr>
            <w:r>
              <w:rPr>
                <w:rFonts w:ascii="仿宋_GB2312" w:hAnsi="仿宋_GB2312" w:cs="仿宋_GB2312" w:eastAsia="仿宋_GB2312"/>
                <w:sz w:val="24"/>
              </w:rPr>
              <w:t>（9）保持餐厅各设施设备运行正常。</w:t>
            </w:r>
          </w:p>
          <w:p>
            <w:pPr>
              <w:pStyle w:val="null3"/>
              <w:ind w:firstLine="480"/>
              <w:jc w:val="both"/>
            </w:pPr>
            <w:r>
              <w:rPr>
                <w:rFonts w:ascii="仿宋_GB2312" w:hAnsi="仿宋_GB2312" w:cs="仿宋_GB2312" w:eastAsia="仿宋_GB2312"/>
                <w:sz w:val="24"/>
              </w:rPr>
              <w:t>（10）食品储存符合国家级卫生标准。生、熟食分开，环境卫生整洁。</w:t>
            </w:r>
          </w:p>
          <w:p>
            <w:pPr>
              <w:pStyle w:val="null3"/>
              <w:ind w:firstLine="480"/>
              <w:jc w:val="both"/>
            </w:pPr>
            <w:r>
              <w:rPr>
                <w:rFonts w:ascii="仿宋_GB2312" w:hAnsi="仿宋_GB2312" w:cs="仿宋_GB2312" w:eastAsia="仿宋_GB2312"/>
                <w:sz w:val="24"/>
              </w:rPr>
              <w:t>（11）厨房内的清洁标准符合国家卫生要求。灶面、灶台、冰箱等列为日常清洁任务。油烟通道、排风通道、管道、由供应商定期请专业清洗公司进行清洗。</w:t>
            </w:r>
          </w:p>
          <w:p>
            <w:pPr>
              <w:pStyle w:val="null3"/>
              <w:ind w:firstLine="480"/>
              <w:jc w:val="both"/>
            </w:pPr>
            <w:r>
              <w:rPr>
                <w:rFonts w:ascii="仿宋_GB2312" w:hAnsi="仿宋_GB2312" w:cs="仿宋_GB2312" w:eastAsia="仿宋_GB2312"/>
                <w:sz w:val="24"/>
              </w:rPr>
              <w:t>（12）每餐消毒后对餐具卫生进行抽查，每季由县疾控中心随机抽样送检；每餐食品留样72小时。</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shd w:fill="FFFFFF" w:val="clear"/>
              </w:rPr>
              <w:t>食堂不得对外经营，必须满足医院工作需要，确保住院患者及其家属陪护的订餐、就餐、送餐、治疗膳食、职工就餐。</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原材料采购要求</w:t>
            </w:r>
          </w:p>
          <w:p>
            <w:pPr>
              <w:pStyle w:val="null3"/>
              <w:ind w:firstLine="480"/>
              <w:jc w:val="both"/>
            </w:pPr>
            <w:r>
              <w:rPr>
                <w:rFonts w:ascii="仿宋_GB2312" w:hAnsi="仿宋_GB2312" w:cs="仿宋_GB2312" w:eastAsia="仿宋_GB2312"/>
                <w:sz w:val="24"/>
              </w:rPr>
              <w:t>（1）本项目原材料（食材）统一由供应商向依法取得食品卫生许可证的生产经营单位和依法设置的食用农产品交易市场采购原料、半成品和食用农产品；</w:t>
            </w:r>
          </w:p>
          <w:p>
            <w:pPr>
              <w:pStyle w:val="null3"/>
              <w:ind w:firstLine="480"/>
              <w:jc w:val="both"/>
            </w:pPr>
            <w:r>
              <w:rPr>
                <w:rFonts w:ascii="仿宋_GB2312" w:hAnsi="仿宋_GB2312" w:cs="仿宋_GB2312" w:eastAsia="仿宋_GB2312"/>
                <w:sz w:val="24"/>
              </w:rPr>
              <w:t>（2）严禁使用人工色素、瘦肉精、过期产品等；仓库里储存的备用品时间一般不超过一周，不能长时间存放以免受潮、霉变、生虫等。</w:t>
            </w:r>
          </w:p>
          <w:p>
            <w:pPr>
              <w:pStyle w:val="null3"/>
              <w:ind w:firstLine="480"/>
              <w:jc w:val="both"/>
            </w:pPr>
            <w:r>
              <w:rPr>
                <w:rFonts w:ascii="仿宋_GB2312" w:hAnsi="仿宋_GB2312" w:cs="仿宋_GB2312" w:eastAsia="仿宋_GB2312"/>
                <w:sz w:val="24"/>
              </w:rPr>
              <w:t>（3）供应商采购的食材由采购人安排专人检查，并形成检查报告存档。</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原料加工</w:t>
            </w:r>
          </w:p>
          <w:p>
            <w:pPr>
              <w:pStyle w:val="null3"/>
              <w:ind w:firstLine="480"/>
              <w:jc w:val="both"/>
            </w:pPr>
            <w:r>
              <w:rPr>
                <w:rFonts w:ascii="仿宋_GB2312" w:hAnsi="仿宋_GB2312" w:cs="仿宋_GB2312" w:eastAsia="仿宋_GB2312"/>
                <w:sz w:val="24"/>
              </w:rPr>
              <w:t>（1）供应商对原料进行初加工时，将按照有关操作规程的要求，查验、拣选、浸泡、冲洗原料，保证盛放容器和加工用具符合卫生要求。</w:t>
            </w:r>
          </w:p>
          <w:p>
            <w:pPr>
              <w:pStyle w:val="null3"/>
              <w:ind w:firstLine="480"/>
              <w:jc w:val="both"/>
            </w:pPr>
            <w:r>
              <w:rPr>
                <w:rFonts w:ascii="仿宋_GB2312" w:hAnsi="仿宋_GB2312" w:cs="仿宋_GB2312" w:eastAsia="仿宋_GB2312"/>
                <w:sz w:val="24"/>
              </w:rPr>
              <w:t>（2）供应商制作的所有膳食可以采用冷藏、加热保温或者高温灭菌以及符合要求的其他方式进行加工；保证餐厅内的食品卫生，生、熟食分开，环境卫生整洁。</w:t>
            </w:r>
          </w:p>
          <w:p>
            <w:pPr>
              <w:pStyle w:val="null3"/>
              <w:ind w:firstLine="480"/>
              <w:jc w:val="both"/>
            </w:pPr>
            <w:r>
              <w:rPr>
                <w:rFonts w:ascii="仿宋_GB2312" w:hAnsi="仿宋_GB2312" w:cs="仿宋_GB2312" w:eastAsia="仿宋_GB2312"/>
                <w:sz w:val="24"/>
              </w:rPr>
              <w:t>（3）采用冷藏方式加工的，将在膳食烧熟后充分冷却（在2小时内中心温度降至10℃以下），并在10℃以下分装、储存、运输，食用前须加热至中心温度75℃以上；</w:t>
            </w:r>
          </w:p>
          <w:p>
            <w:pPr>
              <w:pStyle w:val="null3"/>
              <w:ind w:firstLine="480"/>
              <w:jc w:val="both"/>
            </w:pPr>
            <w:r>
              <w:rPr>
                <w:rFonts w:ascii="仿宋_GB2312" w:hAnsi="仿宋_GB2312" w:cs="仿宋_GB2312" w:eastAsia="仿宋_GB2312"/>
                <w:sz w:val="24"/>
              </w:rPr>
              <w:t>（4）采用加热保温方式加工的，将在膳食烧煮后加热保温，使膳食在食用前中心温度始终保持在65℃以上；</w:t>
            </w:r>
          </w:p>
          <w:p>
            <w:pPr>
              <w:pStyle w:val="null3"/>
              <w:ind w:firstLine="480"/>
              <w:jc w:val="both"/>
            </w:pPr>
            <w:r>
              <w:rPr>
                <w:rFonts w:ascii="仿宋_GB2312" w:hAnsi="仿宋_GB2312" w:cs="仿宋_GB2312" w:eastAsia="仿宋_GB2312"/>
                <w:sz w:val="24"/>
              </w:rPr>
              <w:t>（5）采用高温灭菌方式加工的，将膳食盛装于密闭容器中经高温灭菌，达到商业无菌要求。</w:t>
            </w:r>
          </w:p>
          <w:p>
            <w:pPr>
              <w:pStyle w:val="null3"/>
              <w:ind w:firstLine="480"/>
              <w:jc w:val="both"/>
            </w:pPr>
            <w:r>
              <w:rPr>
                <w:rFonts w:ascii="仿宋_GB2312" w:hAnsi="仿宋_GB2312" w:cs="仿宋_GB2312" w:eastAsia="仿宋_GB2312"/>
                <w:sz w:val="24"/>
                <w:shd w:fill="FFFFFF" w:val="clear"/>
              </w:rPr>
              <w:t>（6）冷藏方式加工的膳食从烧熟至食用的时间不得超过24小时；加热保温方式加工的膳食从烧熟至食用的时间不得超过3小时。</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卫生管理</w:t>
            </w:r>
          </w:p>
          <w:p>
            <w:pPr>
              <w:pStyle w:val="null3"/>
              <w:ind w:firstLine="480"/>
              <w:jc w:val="both"/>
            </w:pPr>
            <w:r>
              <w:rPr>
                <w:rFonts w:ascii="仿宋_GB2312" w:hAnsi="仿宋_GB2312" w:cs="仿宋_GB2312" w:eastAsia="仿宋_GB2312"/>
                <w:sz w:val="24"/>
              </w:rPr>
              <w:t>（1）个人卫生：工作人员上岗必须穿戴整洁统一的工作衣帽，直接接触食品的人员必须做到“三白”（口罩白、服装白、帽子白）；食品操作人员不得留长指甲，涂指甲油，不得留长发、留胡子，不得带戒指、手镯，在直接用手接触食品前，必须洗手消毒；工作人员不得在厨房、切配间等食品加工和出售场所抽烟、吃零食，不得有对着食品咳嗽、打喷嚏等有碍食品卫生的行为。</w:t>
            </w:r>
          </w:p>
          <w:p>
            <w:pPr>
              <w:pStyle w:val="null3"/>
              <w:ind w:firstLine="480"/>
              <w:jc w:val="both"/>
            </w:pPr>
            <w:r>
              <w:rPr>
                <w:rFonts w:ascii="仿宋_GB2312" w:hAnsi="仿宋_GB2312" w:cs="仿宋_GB2312" w:eastAsia="仿宋_GB2312"/>
                <w:sz w:val="24"/>
              </w:rPr>
              <w:t>（2）环境卫生：厨房备有固定专用的残菜容器，残菜必须一天一清，不得久放；食品操作场所和供应场所有防尘、防蝇措施，有灭鼠、蝇、蟑螂的设备；餐厅、厨房保持整洁，地面、墙壁无污垢，天花板无蛛网，门窗明亮，空调风口无积灰，餐桌整洁，餐厅、厨房区域内的消防设施设备定期清洁，所有工作场所和餐厅无杂物；过道及堆放泔水的场所每天由专人负责清扫，保持环境整洁；</w:t>
            </w:r>
          </w:p>
          <w:p>
            <w:pPr>
              <w:pStyle w:val="null3"/>
              <w:ind w:firstLine="480"/>
              <w:jc w:val="both"/>
            </w:pPr>
            <w:r>
              <w:rPr>
                <w:rFonts w:ascii="仿宋_GB2312" w:hAnsi="仿宋_GB2312" w:cs="仿宋_GB2312" w:eastAsia="仿宋_GB2312"/>
                <w:sz w:val="24"/>
              </w:rPr>
              <w:t>（3）食品卫生：食品操作生熟分开、盛器分开、人员分开、工具分开、存放场所分开；所有食品应分类、分架存放，做到隔墙隔地、防潮、防四害、防异物；餐具消毒符合卫生标准，未经消毒的餐具不得投入使用，已消毒的餐具存放专用保洁柜，柜内定期清洗，保持整洁，工具、用具、盛器保持无油腻、无污垢、无异味、无水渍；洗涤水池，专池专用分设餐具、蔬菜、水产品、肉类水池；每天提供的所有食物、菜肴均需留样，留样食品应按品种分别盛放于清洗消毒后的密闭专用容器内，在冷藏条件下存放三天以上，每个品种留样量不少于 100g，并落实专人负责；</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设备设施维护保养和节约使用能耗</w:t>
            </w:r>
          </w:p>
          <w:p>
            <w:pPr>
              <w:pStyle w:val="null3"/>
              <w:ind w:firstLine="480"/>
              <w:jc w:val="both"/>
            </w:pPr>
            <w:r>
              <w:rPr>
                <w:rFonts w:ascii="仿宋_GB2312" w:hAnsi="仿宋_GB2312" w:cs="仿宋_GB2312" w:eastAsia="仿宋_GB2312"/>
                <w:sz w:val="24"/>
              </w:rPr>
              <w:t>（1）分类建立厨房餐厅设备设施台账制度，专人负责保管和保养。</w:t>
            </w:r>
          </w:p>
          <w:p>
            <w:pPr>
              <w:pStyle w:val="null3"/>
              <w:ind w:firstLine="480"/>
              <w:jc w:val="both"/>
            </w:pPr>
            <w:r>
              <w:rPr>
                <w:rFonts w:ascii="仿宋_GB2312" w:hAnsi="仿宋_GB2312" w:cs="仿宋_GB2312" w:eastAsia="仿宋_GB2312"/>
                <w:sz w:val="24"/>
              </w:rPr>
              <w:t>（2）对因不负责或违章造成设备设施损坏的实行维修费用由成交供应商承担。</w:t>
            </w:r>
          </w:p>
          <w:p>
            <w:pPr>
              <w:pStyle w:val="null3"/>
              <w:ind w:firstLine="480"/>
              <w:jc w:val="both"/>
            </w:pPr>
            <w:r>
              <w:rPr>
                <w:rFonts w:ascii="仿宋_GB2312" w:hAnsi="仿宋_GB2312" w:cs="仿宋_GB2312" w:eastAsia="仿宋_GB2312"/>
                <w:sz w:val="24"/>
              </w:rPr>
              <w:t>（3）指派专人对厨房专用设备定期检查维护，发现问题及时报请修复。</w:t>
            </w:r>
          </w:p>
          <w:p>
            <w:pPr>
              <w:pStyle w:val="null3"/>
              <w:ind w:firstLine="480"/>
              <w:jc w:val="both"/>
            </w:pPr>
            <w:r>
              <w:rPr>
                <w:rFonts w:ascii="仿宋_GB2312" w:hAnsi="仿宋_GB2312" w:cs="仿宋_GB2312" w:eastAsia="仿宋_GB2312"/>
                <w:sz w:val="24"/>
              </w:rPr>
              <w:t>（4）由专人负责管理水、电、气的节能工作，并建立相关的制度。</w:t>
            </w:r>
          </w:p>
          <w:p>
            <w:pPr>
              <w:pStyle w:val="null3"/>
              <w:ind w:firstLine="480"/>
              <w:jc w:val="both"/>
            </w:pPr>
            <w:r>
              <w:rPr>
                <w:rFonts w:ascii="仿宋_GB2312" w:hAnsi="仿宋_GB2312" w:cs="仿宋_GB2312" w:eastAsia="仿宋_GB2312"/>
                <w:sz w:val="24"/>
              </w:rPr>
              <w:t>（5）建立值班巡查制度，负责对水电气的使用进行检查，杜绝人为浪费。</w:t>
            </w:r>
          </w:p>
          <w:p>
            <w:pPr>
              <w:pStyle w:val="null3"/>
              <w:ind w:firstLine="480"/>
              <w:jc w:val="both"/>
            </w:pPr>
            <w:r>
              <w:rPr>
                <w:rFonts w:ascii="仿宋_GB2312" w:hAnsi="仿宋_GB2312" w:cs="仿宋_GB2312" w:eastAsia="仿宋_GB2312"/>
                <w:sz w:val="24"/>
                <w:shd w:fill="FFFFFF" w:val="clear"/>
              </w:rPr>
              <w:t>（6）服务期限内的水电气及设备损耗等相关费用均由供应商自行承担。</w:t>
            </w:r>
          </w:p>
          <w:p>
            <w:pPr>
              <w:pStyle w:val="null3"/>
              <w:ind w:firstLine="482"/>
              <w:jc w:val="both"/>
            </w:pPr>
            <w:r>
              <w:rPr>
                <w:rFonts w:ascii="仿宋_GB2312" w:hAnsi="仿宋_GB2312" w:cs="仿宋_GB2312" w:eastAsia="仿宋_GB2312"/>
                <w:sz w:val="24"/>
                <w:b/>
              </w:rPr>
              <w:t>7.</w:t>
            </w:r>
            <w:r>
              <w:rPr>
                <w:rFonts w:ascii="仿宋_GB2312" w:hAnsi="仿宋_GB2312" w:cs="仿宋_GB2312" w:eastAsia="仿宋_GB2312"/>
                <w:sz w:val="24"/>
                <w:b/>
              </w:rPr>
              <w:t>食品加工场所及设备的清洁</w:t>
            </w:r>
          </w:p>
          <w:p>
            <w:pPr>
              <w:pStyle w:val="null3"/>
              <w:ind w:firstLine="480"/>
              <w:jc w:val="both"/>
            </w:pPr>
            <w:r>
              <w:rPr>
                <w:rFonts w:ascii="仿宋_GB2312" w:hAnsi="仿宋_GB2312" w:cs="仿宋_GB2312" w:eastAsia="仿宋_GB2312"/>
                <w:sz w:val="24"/>
              </w:rPr>
              <w:t>（1）食品加工结束后，必须将调味台上的调味品入冷库封存；清除灶台上的残留食物，洗净灶台；扫清厨房地面垃圾，冲净地面污迹；</w:t>
            </w:r>
          </w:p>
          <w:p>
            <w:pPr>
              <w:pStyle w:val="null3"/>
              <w:ind w:firstLine="480"/>
              <w:jc w:val="both"/>
            </w:pPr>
            <w:r>
              <w:rPr>
                <w:rFonts w:ascii="仿宋_GB2312" w:hAnsi="仿宋_GB2312" w:cs="仿宋_GB2312" w:eastAsia="仿宋_GB2312"/>
                <w:sz w:val="24"/>
              </w:rPr>
              <w:t>（2）11—3月每周至少一次清洗保温车、蒸饭箱，并更换车（箱）内用水；4—10月每周至少二次清洗保温车、蒸饭箱，并更换车（箱）内用水；</w:t>
            </w:r>
          </w:p>
          <w:p>
            <w:pPr>
              <w:pStyle w:val="null3"/>
              <w:ind w:firstLine="480"/>
              <w:jc w:val="both"/>
            </w:pPr>
            <w:r>
              <w:rPr>
                <w:rFonts w:ascii="仿宋_GB2312" w:hAnsi="仿宋_GB2312" w:cs="仿宋_GB2312" w:eastAsia="仿宋_GB2312"/>
                <w:sz w:val="24"/>
              </w:rPr>
              <w:t>（3）烟道清洗：由供应商提出申报，采购人请专业公司定期进行清洗，并有每次清洗合格证明。</w:t>
            </w:r>
          </w:p>
          <w:p>
            <w:pPr>
              <w:pStyle w:val="null3"/>
              <w:ind w:firstLine="482"/>
              <w:jc w:val="both"/>
            </w:pPr>
            <w:r>
              <w:rPr>
                <w:rFonts w:ascii="仿宋_GB2312" w:hAnsi="仿宋_GB2312" w:cs="仿宋_GB2312" w:eastAsia="仿宋_GB2312"/>
                <w:sz w:val="24"/>
                <w:b/>
              </w:rPr>
              <w:t>8.</w:t>
            </w:r>
            <w:r>
              <w:rPr>
                <w:rFonts w:ascii="仿宋_GB2312" w:hAnsi="仿宋_GB2312" w:cs="仿宋_GB2312" w:eastAsia="仿宋_GB2312"/>
                <w:sz w:val="24"/>
                <w:b/>
              </w:rPr>
              <w:t>事故报告</w:t>
            </w:r>
          </w:p>
          <w:p>
            <w:pPr>
              <w:pStyle w:val="null3"/>
              <w:ind w:firstLine="480"/>
              <w:jc w:val="both"/>
            </w:pPr>
            <w:r>
              <w:rPr>
                <w:rFonts w:ascii="仿宋_GB2312" w:hAnsi="仿宋_GB2312" w:cs="仿宋_GB2312" w:eastAsia="仿宋_GB2312"/>
                <w:sz w:val="24"/>
              </w:rPr>
              <w:t>（1）供应商发生疑似食物中毒事故的，应当立即采取有效措施，组织救治，控制剩余膳食，并在事发2小时内，向所在地的区、县食品药品监管局报告，同时配合开展中毒事故的相关调查；</w:t>
            </w:r>
          </w:p>
          <w:p>
            <w:pPr>
              <w:pStyle w:val="null3"/>
              <w:ind w:firstLine="480"/>
              <w:jc w:val="both"/>
            </w:pPr>
            <w:r>
              <w:rPr>
                <w:rFonts w:ascii="仿宋_GB2312" w:hAnsi="仿宋_GB2312" w:cs="仿宋_GB2312" w:eastAsia="仿宋_GB2312"/>
                <w:sz w:val="24"/>
              </w:rPr>
              <w:t>（2）供应商不得隐瞒不报、谎报或者缓报疑似食物中毒事故的情况；</w:t>
            </w:r>
          </w:p>
          <w:p>
            <w:pPr>
              <w:pStyle w:val="null3"/>
              <w:ind w:firstLine="480"/>
              <w:jc w:val="both"/>
            </w:pPr>
            <w:r>
              <w:rPr>
                <w:rFonts w:ascii="仿宋_GB2312" w:hAnsi="仿宋_GB2312" w:cs="仿宋_GB2312" w:eastAsia="仿宋_GB2312"/>
                <w:sz w:val="24"/>
              </w:rPr>
              <w:t>（3）封存造成食物中毒或者可能造成食物中毒的膳食及其原料。</w:t>
            </w:r>
          </w:p>
          <w:p>
            <w:pPr>
              <w:pStyle w:val="null3"/>
              <w:ind w:firstLine="482"/>
              <w:jc w:val="both"/>
            </w:pPr>
            <w:r>
              <w:rPr>
                <w:rFonts w:ascii="仿宋_GB2312" w:hAnsi="仿宋_GB2312" w:cs="仿宋_GB2312" w:eastAsia="仿宋_GB2312"/>
                <w:sz w:val="24"/>
                <w:b/>
              </w:rPr>
              <w:t>（五）商务要求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付款方式：本项目支持预付款（合同金额的40%）。服务费用按季度支付，中标单位在完成季度服务工作后，采购人对中标单位的服务工作进行考核，采购人根据该季度考核结果于季度末向中标单位付款（采购人在每季度支付服务费时扣除预付款金额的10%）；若中标价有下浮比例，在实际结算标准不变的情况下，下浮比例作为提高餐食质量；最终结算金额不超过合同总金额。</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服务期限：</w:t>
            </w:r>
            <w:r>
              <w:rPr>
                <w:rFonts w:ascii="仿宋_GB2312" w:hAnsi="仿宋_GB2312" w:cs="仿宋_GB2312" w:eastAsia="仿宋_GB2312"/>
                <w:sz w:val="24"/>
              </w:rPr>
              <w:t>自合同签订之日起1年。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服务地点：</w:t>
            </w:r>
            <w:r>
              <w:rPr>
                <w:rFonts w:ascii="仿宋_GB2312" w:hAnsi="仿宋_GB2312" w:cs="仿宋_GB2312" w:eastAsia="仿宋_GB2312"/>
                <w:sz w:val="24"/>
              </w:rPr>
              <w:t>采购人指定地点。</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、验收方式：严格按照《财政部关于进一步加强政府采购需求和履约验收管理的指导意见》的通知（财库</w:t>
            </w:r>
            <w:r>
              <w:rPr>
                <w:rFonts w:ascii="仿宋_GB2312" w:hAnsi="仿宋_GB2312" w:cs="仿宋_GB2312" w:eastAsia="仿宋_GB2312"/>
                <w:sz w:val="24"/>
              </w:rPr>
              <w:t>〔2016〕</w:t>
            </w:r>
            <w:r>
              <w:rPr>
                <w:rFonts w:ascii="仿宋_GB2312" w:hAnsi="仿宋_GB2312" w:cs="仿宋_GB2312" w:eastAsia="仿宋_GB2312"/>
                <w:sz w:val="24"/>
              </w:rPr>
              <w:t>205</w:t>
            </w:r>
            <w:r>
              <w:rPr>
                <w:rFonts w:ascii="仿宋_GB2312" w:hAnsi="仿宋_GB2312" w:cs="仿宋_GB2312" w:eastAsia="仿宋_GB2312"/>
                <w:sz w:val="24"/>
              </w:rPr>
              <w:t>号）等相关法律法规组织验收。由本项目业主协调领导组织，按照合同和相关文件的要求对整个成果进行验收。</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供应商的报价是供应商全部完成本项目所有的服务内容的全部工作、服务内容的综合最终报价,包括供应商履约过程中的人工、食材、设备、差旅、保险、税金、验收、后期服务(如有)、招投标费用、利润、水、电、气费及其他所有费用等，采购人在项目结算时不再向中标人支付其他任何费用。</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供应商在本项目所提供的服务限内</w:t>
            </w:r>
            <w:r>
              <w:rPr>
                <w:rFonts w:ascii="仿宋_GB2312" w:hAnsi="仿宋_GB2312" w:cs="仿宋_GB2312" w:eastAsia="仿宋_GB2312"/>
                <w:sz w:val="24"/>
              </w:rPr>
              <w:t>所有人员的工资、酬金、及其人身安全、发生纠纷、安全责任事故、劳动合同纠纷等均由成交供应商自行负责，情节严重的，追究相应责任，并按相关国家法律法规处理。</w:t>
            </w:r>
            <w:r>
              <w:rPr>
                <w:rFonts w:ascii="仿宋_GB2312" w:hAnsi="仿宋_GB2312" w:cs="仿宋_GB2312" w:eastAsia="仿宋_GB2312"/>
                <w:sz w:val="24"/>
              </w:rPr>
              <w:t>供应商须对此单独承诺，并附于响应文件中，否则作无效投标处理。</w:t>
            </w:r>
          </w:p>
          <w:p>
            <w:pPr>
              <w:pStyle w:val="null3"/>
              <w:ind w:firstLine="482"/>
              <w:jc w:val="both"/>
            </w:pPr>
            <w:r>
              <w:rPr>
                <w:rFonts w:ascii="仿宋_GB2312" w:hAnsi="仿宋_GB2312" w:cs="仿宋_GB2312" w:eastAsia="仿宋_GB2312"/>
                <w:sz w:val="24"/>
                <w:b/>
              </w:rPr>
              <w:t>（六）食堂考核管理办法</w:t>
            </w:r>
          </w:p>
          <w:tbl>
            <w:tblPr>
              <w:tblInd w:type="dxa" w:w="255"/>
              <w:tblBorders>
                <w:top w:val="none" w:color="000000" w:sz="4"/>
                <w:left w:val="none" w:color="000000" w:sz="4"/>
                <w:bottom w:val="none" w:color="000000" w:sz="4"/>
                <w:right w:val="none" w:color="000000" w:sz="4"/>
                <w:insideH w:val="none"/>
                <w:insideV w:val="none"/>
              </w:tblBorders>
            </w:tblPr>
            <w:tblGrid>
              <w:gridCol w:w="595"/>
              <w:gridCol w:w="686"/>
              <w:gridCol w:w="1706"/>
              <w:gridCol w:w="2302"/>
            </w:tblGrid>
            <w:tr>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考核</w:t>
                  </w:r>
                </w:p>
                <w:p>
                  <w:pPr>
                    <w:pStyle w:val="null3"/>
                    <w:jc w:val="center"/>
                  </w:pPr>
                  <w:r>
                    <w:rPr>
                      <w:rFonts w:ascii="仿宋_GB2312" w:hAnsi="仿宋_GB2312" w:cs="仿宋_GB2312" w:eastAsia="仿宋_GB2312"/>
                      <w:sz w:val="21"/>
                    </w:rPr>
                    <w:t>项目</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考核内容</w:t>
                  </w:r>
                </w:p>
              </w:tc>
              <w:tc>
                <w:tcPr>
                  <w:tcW w:type="dxa" w:w="17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考核标准</w:t>
                  </w:r>
                </w:p>
              </w:tc>
              <w:tc>
                <w:tcPr>
                  <w:tcW w:type="dxa" w:w="23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评分标准</w:t>
                  </w: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安全</w:t>
                  </w:r>
                </w:p>
              </w:tc>
              <w:tc>
                <w:tcPr>
                  <w:tcW w:type="dxa" w:w="6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食品安全10﹪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每日餐品要留样并有登记</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如无留样，发现一次扣5分；如缺记录，缺一条扣2分。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米面油必须在指定地点购置并留存发票</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如未在指定地点购买，及时告知采购人。</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其他非肉类食材要从正规渠道购入并留存发票或收据</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如未留存发票或收据，无法证明购入渠道，及时书面形式告知采购人。</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肉类食材需有检验检疫证明</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如无相关检验检疫证明，及时告知采购人。</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不使用过期食材</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如发现，一次扣10分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食品加工时要生熟分开</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如发现未分开，一次扣2分</w:t>
                  </w:r>
                </w:p>
              </w:tc>
            </w:tr>
            <w:tr>
              <w:tc>
                <w:tcPr>
                  <w:tcW w:type="dxa" w:w="595"/>
                  <w:vMerge/>
                  <w:tcBorders>
                    <w:top w:val="none" w:color="000000" w:sz="4"/>
                    <w:left w:val="single" w:color="000000" w:sz="4"/>
                    <w:bottom w:val="single" w:color="000000" w:sz="4"/>
                    <w:right w:val="single" w:color="000000" w:sz="4"/>
                  </w:tcBorders>
                </w:tcP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设备安全10﹪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烟道应无大量积油</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如发现，一次扣2分</w:t>
                  </w:r>
                </w:p>
              </w:tc>
            </w:tr>
            <w:tr>
              <w:tc>
                <w:tcPr>
                  <w:tcW w:type="dxa" w:w="595"/>
                  <w:vMerge/>
                  <w:tcBorders>
                    <w:top w:val="none" w:color="000000" w:sz="4"/>
                    <w:left w:val="single" w:color="000000" w:sz="4"/>
                    <w:bottom w:val="single" w:color="000000" w:sz="4"/>
                    <w:right w:val="single" w:color="000000" w:sz="4"/>
                  </w:tcBorders>
                </w:tcPr>
                <w:p/>
              </w:tc>
              <w:tc>
                <w:tcPr>
                  <w:tcW w:type="dxa" w:w="6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操作安全10﹪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闭餐后燃气阀门应关闭</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如未关闭，发现一次扣2分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闭餐后刀具放回原位</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如发现刀具乱放，发现一次扣2分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闭餐后库房门应关闭</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如未关闭，发现一次扣2分</w:t>
                  </w:r>
                </w:p>
              </w:tc>
            </w:tr>
            <w:tr>
              <w:tc>
                <w:tcPr>
                  <w:tcW w:type="dxa" w:w="595"/>
                  <w:vMerge/>
                  <w:tcBorders>
                    <w:top w:val="none" w:color="000000" w:sz="4"/>
                    <w:left w:val="single" w:color="000000" w:sz="4"/>
                    <w:bottom w:val="single" w:color="000000" w:sz="4"/>
                    <w:right w:val="single" w:color="000000" w:sz="4"/>
                  </w:tcBorders>
                </w:tcPr>
                <w:p/>
              </w:tc>
              <w:tc>
                <w:tcPr>
                  <w:tcW w:type="dxa" w:w="6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人员安全10﹪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不应在后厨内吸烟、打闹</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如发现，一次扣2分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未经培训的人员不得操作大型设备</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如发现，一次扣2分</w:t>
                  </w: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卫生</w:t>
                  </w:r>
                </w:p>
              </w:tc>
              <w:tc>
                <w:tcPr>
                  <w:tcW w:type="dxa" w:w="6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后厨卫生15﹪</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后厨内无蚊蝇、老鼠，库房入口处加装挡鼠板，要有定期灭蝇灭鼠记录</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如无相关记录，发现一次扣10分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直接入口的半加工食品不得放在地上</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如发现，一次扣5分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成品食材出品后不能直接裸露放在台面上，需加盖</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如发现未加盖一次扣5分</w:t>
                  </w:r>
                </w:p>
              </w:tc>
            </w:tr>
            <w:tr>
              <w:tc>
                <w:tcPr>
                  <w:tcW w:type="dxa" w:w="595"/>
                  <w:vMerge/>
                  <w:tcBorders>
                    <w:top w:val="none" w:color="000000" w:sz="4"/>
                    <w:left w:val="single" w:color="000000" w:sz="4"/>
                    <w:bottom w:val="single" w:color="000000" w:sz="4"/>
                    <w:right w:val="single" w:color="000000" w:sz="4"/>
                  </w:tcBorders>
                </w:tcPr>
                <w:p/>
              </w:tc>
              <w:tc>
                <w:tcPr>
                  <w:tcW w:type="dxa" w:w="6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前厅卫生10﹪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小吃间不得堆放其他物品</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如发现，一次扣除2分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桌椅不能有油渍、异物</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如发现，一次扣除2分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地面不能有油渍、水渍、异物</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如发现，一次扣除2分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取餐台要干净整洁</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如发现脏乱，一次扣2分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残食台要整洁</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如发现脏乱，一次扣2分</w:t>
                  </w:r>
                </w:p>
              </w:tc>
            </w:tr>
            <w:tr>
              <w:tc>
                <w:tcPr>
                  <w:tcW w:type="dxa" w:w="595"/>
                  <w:vMerge/>
                  <w:tcBorders>
                    <w:top w:val="none" w:color="000000" w:sz="4"/>
                    <w:left w:val="single" w:color="000000" w:sz="4"/>
                    <w:bottom w:val="single" w:color="000000" w:sz="4"/>
                    <w:right w:val="single" w:color="000000" w:sz="4"/>
                  </w:tcBorders>
                </w:tcPr>
                <w:p/>
              </w:tc>
              <w:tc>
                <w:tcPr>
                  <w:tcW w:type="dxa" w:w="6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食品卫生15﹪</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饭菜中无异物</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如发现，一次扣10分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饭菜无异味</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如发现，一次扣10分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餐具应清洗干净并消毒</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如发现未消毒，一次扣10分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使用无污染的一次性饭盒和纸巾</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如发现使用劣质物品，一次扣10分</w:t>
                  </w:r>
                </w:p>
              </w:tc>
            </w:tr>
            <w:tr>
              <w:tc>
                <w:tcPr>
                  <w:tcW w:type="dxa" w:w="595"/>
                  <w:vMerge/>
                  <w:tcBorders>
                    <w:top w:val="none" w:color="000000" w:sz="4"/>
                    <w:left w:val="single" w:color="000000" w:sz="4"/>
                    <w:bottom w:val="single" w:color="000000" w:sz="4"/>
                    <w:right w:val="single" w:color="000000" w:sz="4"/>
                  </w:tcBorders>
                </w:tcPr>
                <w:p/>
              </w:tc>
              <w:tc>
                <w:tcPr>
                  <w:tcW w:type="dxa" w:w="6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人员卫生10﹪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员工需持健康证上岗，并公示</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如发现没有健康证，此人将停职并扣10分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员工是需佩戴口罩、手套、头套等，不得佩戴饰品</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如发现未为佩戴，一人一次扣2分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生病员工不能参与与餐品有直接关系的工作</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如发现，一次扣2分</w:t>
                  </w:r>
                </w:p>
              </w:tc>
            </w:tr>
            <w:tr>
              <w:tc>
                <w:tcPr>
                  <w:tcW w:type="dxa" w:w="5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管理</w:t>
                  </w:r>
                </w:p>
              </w:tc>
              <w:tc>
                <w:tcPr>
                  <w:tcW w:type="dxa" w:w="6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内控管理10﹪</w:t>
                  </w: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应满足员工餐的正常就餐供应</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如未达到，整改并一次扣10分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餐品数量符合合同要求，保证吃饱吃好。</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如不符合，整改并一次扣10分；如有投诉饭菜数量不够，经查实一次扣10分。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清餐符合要求</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如未达到，一次扣10分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员工餐中不应出现冷菜、剩菜</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如出现，一次扣10分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从事人员健康证公示</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如未公示，发现一次扣2分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服务人员应热情、周到、态度和蔼可亲</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如出现有效投诉，一次扣5分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召开每周工作会议，并记录</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未组织会议，发现一次扣3分</w:t>
                  </w:r>
                </w:p>
              </w:tc>
            </w:tr>
            <w:tr>
              <w:tc>
                <w:tcPr>
                  <w:tcW w:type="dxa" w:w="595"/>
                  <w:vMerge/>
                  <w:tcBorders>
                    <w:top w:val="none" w:color="000000" w:sz="4"/>
                    <w:left w:val="single" w:color="000000" w:sz="4"/>
                    <w:bottom w:val="single" w:color="000000" w:sz="4"/>
                    <w:right w:val="single" w:color="000000" w:sz="4"/>
                  </w:tcBorders>
                </w:tcPr>
                <w:p/>
              </w:tc>
              <w:tc>
                <w:tcPr>
                  <w:tcW w:type="dxa" w:w="686"/>
                  <w:vMerge/>
                  <w:tcBorders>
                    <w:top w:val="none" w:color="000000" w:sz="4"/>
                    <w:left w:val="none" w:color="000000" w:sz="4"/>
                    <w:bottom w:val="single" w:color="000000" w:sz="4"/>
                    <w:right w:val="single" w:color="000000" w:sz="4"/>
                  </w:tcBorders>
                </w:tcPr>
                <w:p/>
              </w:tc>
              <w:tc>
                <w:tcPr>
                  <w:tcW w:type="dxa" w:w="17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不出现有效投诉</w:t>
                  </w:r>
                </w:p>
              </w:tc>
              <w:tc>
                <w:tcPr>
                  <w:tcW w:type="dxa" w:w="2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如出现有效投诉，扣分按以上标准执行</w:t>
                  </w:r>
                </w:p>
              </w:tc>
            </w:tr>
          </w:tbl>
          <w:p>
            <w:pPr>
              <w:pStyle w:val="null3"/>
              <w:ind w:firstLine="482"/>
              <w:jc w:val="both"/>
            </w:pPr>
            <w:r>
              <w:rPr>
                <w:rFonts w:ascii="仿宋_GB2312" w:hAnsi="仿宋_GB2312" w:cs="仿宋_GB2312" w:eastAsia="仿宋_GB2312"/>
                <w:sz w:val="24"/>
                <w:b/>
              </w:rPr>
              <w:t>注：</w:t>
            </w:r>
            <w:r>
              <w:rPr>
                <w:rFonts w:ascii="仿宋_GB2312" w:hAnsi="仿宋_GB2312" w:cs="仿宋_GB2312" w:eastAsia="仿宋_GB2312"/>
                <w:sz w:val="21"/>
              </w:rPr>
              <w:t>平均综合得分 95 分（含）以上，按采购人当月实际采购金额的 100%结算；平均综合得分 90 分（含）以上95 分（不含）以下，按采购人当月实际采购金额的95% 结算；平均综合得分 85 分（含）以上 90 分（不含）以下，按采购人当月实际采购金额的90%结算；平均综合得分 80 分（含）以上 85 分（不含）以下，按采购人当月实际采购金额的85%结算；平均综合得分低于 80 分（不含），采购人有权立即终止合同，并拒绝续签后续合同，由此带来的经济损失和责任由供应商承担。</w:t>
            </w:r>
          </w:p>
          <w:p>
            <w:pPr>
              <w:pStyle w:val="null3"/>
              <w:ind w:firstLine="482"/>
              <w:jc w:val="both"/>
            </w:pPr>
            <w:r>
              <w:rPr>
                <w:rFonts w:ascii="仿宋_GB2312" w:hAnsi="仿宋_GB2312" w:cs="仿宋_GB2312" w:eastAsia="仿宋_GB2312"/>
                <w:sz w:val="21"/>
              </w:rPr>
              <w:t>（七）项目服务方案：</w:t>
            </w:r>
          </w:p>
          <w:p>
            <w:pPr>
              <w:pStyle w:val="null3"/>
              <w:ind w:firstLine="560"/>
              <w:jc w:val="both"/>
            </w:pPr>
            <w:r>
              <w:rPr>
                <w:rFonts w:ascii="仿宋_GB2312" w:hAnsi="仿宋_GB2312" w:cs="仿宋_GB2312" w:eastAsia="仿宋_GB2312"/>
                <w:sz w:val="21"/>
              </w:rPr>
              <w:t>1、根据供应商提供的项目服务方案，包含：①内部管理的职责分工；②日常管理制度；③食品安全管理及卫生清洁管理方案；④工作流程；⑤服务计划保证措施；⑥原料存放分类；⑦设施设备操作；⑧节约能耗及控制物资成本。</w:t>
            </w:r>
          </w:p>
          <w:p>
            <w:pPr>
              <w:pStyle w:val="null3"/>
              <w:ind w:firstLine="560"/>
              <w:jc w:val="both"/>
            </w:pPr>
            <w:r>
              <w:rPr>
                <w:rFonts w:ascii="仿宋_GB2312" w:hAnsi="仿宋_GB2312" w:cs="仿宋_GB2312" w:eastAsia="仿宋_GB2312"/>
                <w:sz w:val="21"/>
              </w:rPr>
              <w:t>2、根据供应商提供的质量安全保证措施，包含：①质量安全措施；②食品安全把控方案；③垃圾分类收集；④清运处理方案。</w:t>
            </w:r>
          </w:p>
          <w:p>
            <w:pPr>
              <w:pStyle w:val="null3"/>
              <w:ind w:firstLine="560"/>
              <w:jc w:val="both"/>
            </w:pPr>
            <w:r>
              <w:rPr>
                <w:rFonts w:ascii="仿宋_GB2312" w:hAnsi="仿宋_GB2312" w:cs="仿宋_GB2312" w:eastAsia="仿宋_GB2312"/>
                <w:sz w:val="21"/>
              </w:rPr>
              <w:t>3、根据供应商提供的管理制度，包含：①人员管理制度；②业务培训；③工作计划记录；④设备维护管理制度；⑤安全生产管理制度。</w:t>
            </w:r>
          </w:p>
          <w:p>
            <w:pPr>
              <w:pStyle w:val="null3"/>
              <w:ind w:firstLine="560"/>
              <w:jc w:val="both"/>
            </w:pPr>
            <w:r>
              <w:rPr>
                <w:rFonts w:ascii="仿宋_GB2312" w:hAnsi="仿宋_GB2312" w:cs="仿宋_GB2312" w:eastAsia="仿宋_GB2312"/>
                <w:sz w:val="21"/>
              </w:rPr>
              <w:t>4、根据供应商提供的应急服务方案，包含：①停水、停电、停气等突发事故）应急处理预案；②接待保障服务能力；③食品卫生事件应急措施方案；④公共卫生（疫情）应急措施。</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的通知（财库〔2016〕205号）等相关法律法规组织验收。由本项目业主协调领导组织，按照合同和相关文件的要求对整个成果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1、签订合同后，达到付款条件起15日内，支付合同总金额的40.00%</w:t>
            </w:r>
          </w:p>
          <w:p>
            <w:pPr>
              <w:pStyle w:val="null3"/>
              <w:jc w:val="left"/>
            </w:pPr>
            <w:r>
              <w:rPr>
                <w:rFonts w:ascii="仿宋_GB2312" w:hAnsi="仿宋_GB2312" w:cs="仿宋_GB2312" w:eastAsia="仿宋_GB2312"/>
              </w:rPr>
              <w:t>2、服务费用按季度支付，中标单位在完成季度服务工作后，采购人对中标单位的服务工作进行考核，采购人根据该季度考核结果于季度末向中标单位付款（采购人在每季度支付服务费时扣除预付款金额的10%）；若中标价有下浮比例，在实际结算标准不变的情况下，下浮比例作为提高餐食质量。（本项目付款方式以技术参数与性能指标/商务要求中第1点为准），达到付款条件起15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1.采购人与供应商双方必须遵守合同并执行合同中的各项规定，保证合同的正常履行，如有违约，将赔偿因违约给对方造成的直接经济损失。 2.如因供应商工作人员在履行职务过程中的的疏忽、失职、过错等故意或者过失原因给采购人造成损失或侵害，包括但不限于采购方本身的财产损失、由此而导致的采购方对任何第三方的法律责任等，供应商对此均应承担全部的赔偿等责任。 3.合同履行期间,若双方发生争议，可协商或由有关部门调解解决，协商或调解不成的，由当事人依法维护其合法权益。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供应商须具有合法有效的食品经营许可证</w:t>
            </w:r>
          </w:p>
        </w:tc>
        <w:tc>
          <w:tcPr>
            <w:tcW w:type="dxa" w:w="3322"/>
          </w:tcPr>
          <w:p>
            <w:pPr>
              <w:pStyle w:val="null3"/>
              <w:jc w:val="left"/>
            </w:pPr>
            <w:r>
              <w:rPr>
                <w:rFonts w:ascii="仿宋_GB2312" w:hAnsi="仿宋_GB2312" w:cs="仿宋_GB2312" w:eastAsia="仿宋_GB2312"/>
              </w:rPr>
              <w:t>供应商须具有合法有效的食品经营许可证</w:t>
            </w:r>
          </w:p>
        </w:tc>
        <w:tc>
          <w:tcPr>
            <w:tcW w:type="dxa" w:w="1910"/>
          </w:tcPr>
          <w:p>
            <w:pPr>
              <w:pStyle w:val="null3"/>
              <w:jc w:val="left"/>
            </w:pPr>
            <w:r>
              <w:rPr>
                <w:rFonts w:ascii="仿宋_GB2312" w:hAnsi="仿宋_GB2312" w:cs="仿宋_GB2312" w:eastAsia="仿宋_GB2312"/>
              </w:rPr>
              <w:t>供应商应提交的相关证明材料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本项目专门面向中小企业采购</w:t>
            </w:r>
          </w:p>
        </w:tc>
        <w:tc>
          <w:tcPr>
            <w:tcW w:type="dxa" w:w="3322"/>
          </w:tcPr>
          <w:p>
            <w:pPr>
              <w:pStyle w:val="null3"/>
              <w:jc w:val="left"/>
            </w:pPr>
            <w:r>
              <w:rPr>
                <w:rFonts w:ascii="仿宋_GB2312" w:hAnsi="仿宋_GB2312" w:cs="仿宋_GB2312" w:eastAsia="仿宋_GB2312"/>
              </w:rPr>
              <w:t>提供中小企业声明函</w:t>
            </w:r>
          </w:p>
        </w:tc>
        <w:tc>
          <w:tcPr>
            <w:tcW w:type="dxa" w:w="1910"/>
          </w:tcPr>
          <w:p>
            <w:pPr>
              <w:pStyle w:val="null3"/>
              <w:jc w:val="left"/>
            </w:pPr>
            <w:r>
              <w:rPr>
                <w:rFonts w:ascii="仿宋_GB2312" w:hAnsi="仿宋_GB2312" w:cs="仿宋_GB2312" w:eastAsia="仿宋_GB2312"/>
              </w:rPr>
              <w:t>中小企业声明函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商务、技术参数及其他要求应答内容</w:t>
            </w:r>
          </w:p>
        </w:tc>
        <w:tc>
          <w:tcPr>
            <w:tcW w:type="dxa" w:w="3322"/>
          </w:tcPr>
          <w:p>
            <w:pPr>
              <w:pStyle w:val="null3"/>
              <w:jc w:val="left"/>
            </w:pPr>
            <w:r>
              <w:rPr>
                <w:rFonts w:ascii="仿宋_GB2312" w:hAnsi="仿宋_GB2312" w:cs="仿宋_GB2312" w:eastAsia="仿宋_GB2312"/>
              </w:rPr>
              <w:t>商务、技术参数及其他要求应答内容是否完全满足采购文件的实质性要求</w:t>
            </w:r>
          </w:p>
        </w:tc>
        <w:tc>
          <w:tcPr>
            <w:tcW w:type="dxa" w:w="1910"/>
          </w:tcPr>
          <w:p>
            <w:pPr>
              <w:pStyle w:val="null3"/>
              <w:jc w:val="left"/>
            </w:pPr>
            <w:r>
              <w:rPr>
                <w:rFonts w:ascii="仿宋_GB2312" w:hAnsi="仿宋_GB2312" w:cs="仿宋_GB2312" w:eastAsia="仿宋_GB2312"/>
              </w:rPr>
              <w:t>供应商应提交的相关证明材料,服务应答表,商务应答表.docx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根据供应商提供的项目服务方案，包含：①内部管理的职责分工；②日常管理制度；③食品安全管理及卫生清洁管理方案；④工作流程；⑤服务计划保证措施；⑥原料存放分类；⑦设施设备操作；⑧节约能耗及控制物资成本，以上方案内容满足项目需求的得40分；方案每缺少一项扣5分，方案存在缺陷或存在错误的，每一处扣2.5分，扣完为止。 注：本项所述缺陷、错误是指项目名称、实施地点、时间、涉及的规范、标准与本项目要求不一致，方案内容表述前后不一致，涉及的规范或标准错误，明显复制其他项目内容或套用其它项目方案。（下同） 2、根据供应商提供的质量安全保证措施，包含：①质量安全措施；②食品安全把控方案；③垃圾分类收集；④清运处理方案，以上方案内容满足项目需求的得12分；方案每缺少一项扣3分，方案存在缺陷或存在错误的，每一处扣1.5分，扣完为止。 3、根据供应商提供的管理制度，包含：①人员管理制度；②业务培训；③工作计划记录；④设备维护管理制度；⑤安全生产管理制度，以上方案内容满足项目需求的得10分；方案每缺少一项扣2分，方案存在缺陷或存在错误的，每一处扣1分，扣完为止。</w:t>
            </w:r>
          </w:p>
        </w:tc>
        <w:tc>
          <w:tcPr>
            <w:tcW w:type="dxa" w:w="831"/>
          </w:tcPr>
          <w:p>
            <w:pPr>
              <w:pStyle w:val="null3"/>
              <w:jc w:val="center"/>
            </w:pPr>
            <w:r>
              <w:rPr>
                <w:rFonts w:ascii="仿宋_GB2312" w:hAnsi="仿宋_GB2312" w:cs="仿宋_GB2312" w:eastAsia="仿宋_GB2312"/>
              </w:rPr>
              <w:t>62.0000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根据供应商提供的应急服务方案，包含：①停水、停电、停气等突发事故）应急处理预案；②接待保障服务能力；③食品卫生事件应急措施方案；④公共卫生（疫情）应急措施，以上方案内容满足项目需求的得8分；方案每缺少一项扣2分，方案存在缺陷或存在错误的，每一处扣1分，扣完为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1、供应商承诺在收到采购人的紧急通知后 30 分钟内增派服务人员到达现场的得 4 分；在30分钟（不含）-1个小时内到现场的得2分；在1个小时（不含）-2个小时内到现场的得1分。超过时限或未提供不得分。（提供承诺函） 2、拟派本项目人员中厨师具有职业证书，每有一个得4分，最多得8分。注：以上人员须提供相应证书复印件加盖供应商公章，人员须为本单位员工（提供承诺函或相关证明材料）。</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本项目管理、技术、服务人员情况表.docx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供应商2018年-至今具有类似项目业绩的，每提供一个业绩得2分，最多得8分。提供服务合同协议书或中标（成交）通知书复印件，加盖供应商鲜章，未提供不得分。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详见附件：本项目管理、技术、服务人员情况表.docx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详见附件：业绩一览表.docx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