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AEAF5">
      <w:pPr>
        <w:spacing w:line="440" w:lineRule="exact"/>
        <w:jc w:val="center"/>
        <w:rPr>
          <w:rFonts w:ascii="Times New Roman" w:hAnsi="Times New Roman" w:eastAsia="宋体" w:cs="Times New Roman"/>
          <w:b/>
          <w:color w:val="auto"/>
          <w:szCs w:val="22"/>
        </w:rPr>
      </w:pPr>
      <w:r>
        <w:rPr>
          <w:rFonts w:hint="eastAsia" w:ascii="宋体" w:hAnsi="宋体" w:eastAsia="宋体" w:cs="黑体"/>
          <w:b/>
          <w:bCs/>
          <w:color w:val="auto"/>
          <w:sz w:val="32"/>
          <w:szCs w:val="32"/>
        </w:rPr>
        <w:t>第四章</w:t>
      </w:r>
      <w:r>
        <w:rPr>
          <w:rFonts w:ascii="宋体" w:hAnsi="宋体" w:eastAsia="宋体" w:cs="黑体"/>
          <w:b/>
          <w:bCs/>
          <w:color w:val="auto"/>
          <w:sz w:val="32"/>
          <w:szCs w:val="32"/>
        </w:rPr>
        <w:t xml:space="preserve"> </w:t>
      </w:r>
      <w:r>
        <w:rPr>
          <w:rFonts w:hint="eastAsia" w:ascii="宋体" w:hAnsi="宋体" w:eastAsia="宋体" w:cs="黑体"/>
          <w:b/>
          <w:bCs/>
          <w:color w:val="auto"/>
          <w:sz w:val="32"/>
          <w:szCs w:val="32"/>
        </w:rPr>
        <w:t>采购需求</w:t>
      </w:r>
    </w:p>
    <w:p w14:paraId="19867E7F">
      <w:pPr>
        <w:pStyle w:val="6"/>
        <w:adjustRightInd w:val="0"/>
        <w:snapToGrid w:val="0"/>
        <w:spacing w:before="156" w:beforeLines="50"/>
        <w:jc w:val="center"/>
        <w:rPr>
          <w:rStyle w:val="5"/>
          <w:rFonts w:ascii="黑体" w:hAnsi="黑体" w:eastAsia="黑体"/>
          <w:color w:val="auto"/>
          <w:sz w:val="52"/>
          <w:szCs w:val="52"/>
        </w:rPr>
      </w:pPr>
      <w:bookmarkStart w:id="0" w:name="_Toc30433"/>
      <w:bookmarkStart w:id="1" w:name="_Toc24381"/>
      <w:bookmarkStart w:id="2" w:name="_Toc31584"/>
      <w:r>
        <w:rPr>
          <w:rStyle w:val="5"/>
          <w:rFonts w:hint="eastAsia" w:ascii="黑体" w:hAnsi="黑体" w:eastAsia="黑体" w:cs="Calibri"/>
          <w:color w:val="auto"/>
          <w:sz w:val="28"/>
          <w:szCs w:val="28"/>
        </w:rPr>
        <w:t>第一节采购清单一览表</w:t>
      </w:r>
      <w:bookmarkEnd w:id="0"/>
      <w:bookmarkEnd w:id="1"/>
      <w:bookmarkEnd w:id="2"/>
    </w:p>
    <w:tbl>
      <w:tblPr>
        <w:tblStyle w:val="3"/>
        <w:tblW w:w="931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77"/>
        <w:gridCol w:w="3274"/>
        <w:gridCol w:w="775"/>
        <w:gridCol w:w="1750"/>
        <w:gridCol w:w="1766"/>
        <w:gridCol w:w="1168"/>
      </w:tblGrid>
      <w:tr w14:paraId="36ABD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36" w:hRule="atLeast"/>
        </w:trPr>
        <w:tc>
          <w:tcPr>
            <w:tcW w:w="577" w:type="dxa"/>
            <w:noWrap w:val="0"/>
            <w:vAlign w:val="center"/>
          </w:tcPr>
          <w:p w14:paraId="711EE25F">
            <w:pPr>
              <w:widowControl w:val="0"/>
              <w:adjustRightInd w:val="0"/>
              <w:snapToGrid w:val="0"/>
              <w:spacing w:line="360" w:lineRule="auto"/>
              <w:jc w:val="center"/>
              <w:rPr>
                <w:rStyle w:val="5"/>
                <w:rFonts w:hint="eastAsia" w:ascii="Calibri" w:hAnsi="Calibri"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包号</w:t>
            </w:r>
          </w:p>
        </w:tc>
        <w:tc>
          <w:tcPr>
            <w:tcW w:w="3274" w:type="dxa"/>
            <w:noWrap w:val="0"/>
            <w:vAlign w:val="center"/>
          </w:tcPr>
          <w:p w14:paraId="798CE5AE">
            <w:pPr>
              <w:widowControl w:val="0"/>
              <w:adjustRightInd w:val="0"/>
              <w:snapToGrid w:val="0"/>
              <w:spacing w:line="360" w:lineRule="auto"/>
              <w:jc w:val="center"/>
              <w:rPr>
                <w:rStyle w:val="5"/>
                <w:rFonts w:ascii="Calibri" w:hAnsi="Calibri"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包名称</w:t>
            </w:r>
          </w:p>
        </w:tc>
        <w:tc>
          <w:tcPr>
            <w:tcW w:w="775" w:type="dxa"/>
            <w:noWrap w:val="0"/>
            <w:vAlign w:val="center"/>
          </w:tcPr>
          <w:p w14:paraId="75041501">
            <w:pPr>
              <w:widowControl w:val="0"/>
              <w:adjustRightInd w:val="0"/>
              <w:snapToGrid w:val="0"/>
              <w:spacing w:line="360" w:lineRule="auto"/>
              <w:jc w:val="center"/>
              <w:rPr>
                <w:rStyle w:val="5"/>
                <w:rFonts w:ascii="Calibri" w:hAnsi="Calibri"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数量</w:t>
            </w:r>
          </w:p>
        </w:tc>
        <w:tc>
          <w:tcPr>
            <w:tcW w:w="1750" w:type="dxa"/>
            <w:noWrap w:val="0"/>
            <w:vAlign w:val="center"/>
          </w:tcPr>
          <w:p w14:paraId="30725B32">
            <w:pPr>
              <w:widowControl w:val="0"/>
              <w:adjustRightInd w:val="0"/>
              <w:snapToGrid w:val="0"/>
              <w:spacing w:line="360" w:lineRule="auto"/>
              <w:jc w:val="center"/>
              <w:rPr>
                <w:rStyle w:val="5"/>
                <w:rFonts w:hint="eastAsia" w:ascii="Calibri" w:hAnsi="Calibri" w:eastAsia="宋体" w:cs="Times New Roman"/>
                <w:color w:val="auto"/>
                <w:kern w:val="2"/>
                <w:sz w:val="24"/>
                <w:szCs w:val="24"/>
                <w:lang w:val="en-US" w:eastAsia="zh-CN" w:bidi="ar-SA"/>
              </w:rPr>
            </w:pPr>
            <w:r>
              <w:rPr>
                <w:rStyle w:val="5"/>
                <w:rFonts w:hint="eastAsia" w:ascii="宋体" w:hAnsi="宋体" w:eastAsia="宋体" w:cs="宋体"/>
                <w:color w:val="auto"/>
                <w:kern w:val="0"/>
                <w:sz w:val="24"/>
                <w:szCs w:val="24"/>
                <w:lang w:val="en-US" w:eastAsia="zh-CN" w:bidi="ar"/>
              </w:rPr>
              <w:t>项目预算</w:t>
            </w:r>
          </w:p>
        </w:tc>
        <w:tc>
          <w:tcPr>
            <w:tcW w:w="1766" w:type="dxa"/>
            <w:noWrap w:val="0"/>
            <w:vAlign w:val="center"/>
          </w:tcPr>
          <w:p w14:paraId="2C9F3884">
            <w:pPr>
              <w:widowControl w:val="0"/>
              <w:adjustRightInd w:val="0"/>
              <w:snapToGrid w:val="0"/>
              <w:spacing w:line="360" w:lineRule="auto"/>
              <w:jc w:val="center"/>
              <w:rPr>
                <w:rStyle w:val="5"/>
                <w:rFonts w:ascii="Calibri" w:hAnsi="Calibri"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最高限价</w:t>
            </w:r>
          </w:p>
        </w:tc>
        <w:tc>
          <w:tcPr>
            <w:tcW w:w="1168" w:type="dxa"/>
            <w:noWrap w:val="0"/>
            <w:vAlign w:val="center"/>
          </w:tcPr>
          <w:p w14:paraId="78731C4B">
            <w:pPr>
              <w:widowControl w:val="0"/>
              <w:adjustRightInd w:val="0"/>
              <w:snapToGrid w:val="0"/>
              <w:spacing w:line="360" w:lineRule="auto"/>
              <w:jc w:val="center"/>
              <w:rPr>
                <w:rStyle w:val="5"/>
                <w:rFonts w:ascii="Calibri" w:hAnsi="Calibri"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备注</w:t>
            </w:r>
          </w:p>
        </w:tc>
      </w:tr>
      <w:tr w14:paraId="62F147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6" w:hRule="atLeast"/>
        </w:trPr>
        <w:tc>
          <w:tcPr>
            <w:tcW w:w="577" w:type="dxa"/>
            <w:noWrap w:val="0"/>
            <w:vAlign w:val="center"/>
          </w:tcPr>
          <w:p w14:paraId="56A2C309">
            <w:pPr>
              <w:widowControl w:val="0"/>
              <w:adjustRightInd w:val="0"/>
              <w:snapToGrid w:val="0"/>
              <w:spacing w:line="360" w:lineRule="auto"/>
              <w:jc w:val="center"/>
              <w:rPr>
                <w:rStyle w:val="5"/>
                <w:rFonts w:hint="eastAsia" w:ascii="Times New Roman" w:hAnsi="Times New Roman" w:eastAsia="宋体" w:cs="Times New Roman"/>
                <w:color w:val="auto"/>
                <w:kern w:val="2"/>
                <w:sz w:val="24"/>
                <w:szCs w:val="24"/>
                <w:lang w:val="en-US" w:eastAsia="zh-CN" w:bidi="ar-SA"/>
              </w:rPr>
            </w:pPr>
            <w:r>
              <w:rPr>
                <w:rStyle w:val="5"/>
                <w:rFonts w:hint="eastAsia" w:ascii="Times New Roman" w:hAnsi="Times New Roman" w:eastAsia="宋体" w:cs="Times New Roman"/>
                <w:color w:val="auto"/>
                <w:kern w:val="2"/>
                <w:sz w:val="24"/>
                <w:szCs w:val="24"/>
                <w:lang w:val="en-US" w:eastAsia="zh-CN" w:bidi="ar-SA"/>
              </w:rPr>
              <w:t>1</w:t>
            </w:r>
          </w:p>
        </w:tc>
        <w:tc>
          <w:tcPr>
            <w:tcW w:w="3274" w:type="dxa"/>
            <w:noWrap w:val="0"/>
            <w:vAlign w:val="center"/>
          </w:tcPr>
          <w:p w14:paraId="3E20A8EA">
            <w:pPr>
              <w:widowControl w:val="0"/>
              <w:adjustRightInd w:val="0"/>
              <w:snapToGrid w:val="0"/>
              <w:spacing w:line="360" w:lineRule="auto"/>
              <w:jc w:val="center"/>
              <w:rPr>
                <w:rStyle w:val="5"/>
                <w:rFonts w:hint="eastAsia" w:ascii="Times New Roman" w:hAnsi="Times New Roman" w:eastAsia="宋体" w:cs="Times New Roman"/>
                <w:color w:val="auto"/>
                <w:kern w:val="2"/>
                <w:sz w:val="24"/>
                <w:szCs w:val="24"/>
                <w:lang w:val="en-US" w:eastAsia="zh-CN" w:bidi="ar-SA"/>
              </w:rPr>
            </w:pPr>
            <w:r>
              <w:rPr>
                <w:rStyle w:val="5"/>
                <w:rFonts w:hint="eastAsia" w:ascii="Calibri" w:hAnsi="Calibri" w:eastAsia="宋体" w:cs="Times New Roman"/>
                <w:color w:val="auto"/>
                <w:kern w:val="2"/>
                <w:sz w:val="24"/>
                <w:szCs w:val="24"/>
                <w:lang w:val="en-US" w:eastAsia="zh-CN" w:bidi="ar-SA"/>
              </w:rPr>
              <w:t>智慧医院系统改造、测评工具以及评级改造开发服务项目</w:t>
            </w:r>
          </w:p>
        </w:tc>
        <w:tc>
          <w:tcPr>
            <w:tcW w:w="775" w:type="dxa"/>
            <w:noWrap w:val="0"/>
            <w:vAlign w:val="center"/>
          </w:tcPr>
          <w:p w14:paraId="11073FA4">
            <w:pPr>
              <w:widowControl w:val="0"/>
              <w:adjustRightInd w:val="0"/>
              <w:snapToGrid w:val="0"/>
              <w:spacing w:line="360" w:lineRule="auto"/>
              <w:jc w:val="center"/>
              <w:rPr>
                <w:rStyle w:val="5"/>
                <w:rFonts w:hint="eastAsia" w:ascii="宋体" w:hAnsi="宋体" w:eastAsia="宋体" w:cs="宋体"/>
                <w:color w:val="auto"/>
                <w:kern w:val="2"/>
                <w:sz w:val="24"/>
                <w:szCs w:val="24"/>
                <w:lang w:val="en-US" w:eastAsia="zh-CN" w:bidi="ar-SA"/>
              </w:rPr>
            </w:pPr>
            <w:r>
              <w:rPr>
                <w:rStyle w:val="5"/>
                <w:rFonts w:hint="eastAsia" w:ascii="宋体" w:hAnsi="宋体" w:eastAsia="宋体" w:cs="宋体"/>
                <w:color w:val="auto"/>
                <w:kern w:val="2"/>
                <w:sz w:val="24"/>
                <w:szCs w:val="24"/>
                <w:lang w:val="en-US" w:eastAsia="zh-CN" w:bidi="ar-SA"/>
              </w:rPr>
              <w:t>1项</w:t>
            </w:r>
          </w:p>
        </w:tc>
        <w:tc>
          <w:tcPr>
            <w:tcW w:w="1750" w:type="dxa"/>
            <w:noWrap w:val="0"/>
            <w:vAlign w:val="center"/>
          </w:tcPr>
          <w:p w14:paraId="7E4A78ED">
            <w:pPr>
              <w:widowControl/>
              <w:adjustRightInd w:val="0"/>
              <w:snapToGrid w:val="0"/>
              <w:jc w:val="center"/>
              <w:rPr>
                <w:rStyle w:val="5"/>
                <w:rFonts w:hint="eastAsia" w:ascii="宋体" w:hAnsi="宋体" w:eastAsia="宋体" w:cs="宋体"/>
                <w:color w:val="auto"/>
                <w:kern w:val="2"/>
                <w:sz w:val="24"/>
                <w:szCs w:val="24"/>
                <w:lang w:val="en-US" w:eastAsia="zh-CN" w:bidi="ar-SA"/>
              </w:rPr>
            </w:pPr>
            <w:r>
              <w:rPr>
                <w:rStyle w:val="5"/>
                <w:rFonts w:hint="eastAsia" w:ascii="宋体" w:hAnsi="宋体" w:eastAsia="宋体" w:cs="宋体"/>
                <w:color w:val="auto"/>
                <w:kern w:val="2"/>
                <w:sz w:val="24"/>
                <w:szCs w:val="24"/>
                <w:lang w:val="en-US" w:eastAsia="zh-CN" w:bidi="ar-SA"/>
              </w:rPr>
              <w:t>1500000.00元</w:t>
            </w:r>
          </w:p>
        </w:tc>
        <w:tc>
          <w:tcPr>
            <w:tcW w:w="1766" w:type="dxa"/>
            <w:noWrap w:val="0"/>
            <w:vAlign w:val="center"/>
          </w:tcPr>
          <w:p w14:paraId="732A0ED0">
            <w:pPr>
              <w:widowControl/>
              <w:adjustRightInd w:val="0"/>
              <w:snapToGrid w:val="0"/>
              <w:jc w:val="center"/>
              <w:rPr>
                <w:rStyle w:val="5"/>
                <w:rFonts w:hint="eastAsia" w:ascii="宋体" w:hAnsi="宋体" w:eastAsia="宋体" w:cs="宋体"/>
                <w:color w:val="auto"/>
                <w:kern w:val="2"/>
                <w:sz w:val="24"/>
                <w:szCs w:val="24"/>
                <w:lang w:val="en-US" w:eastAsia="zh-CN" w:bidi="ar-SA"/>
              </w:rPr>
            </w:pPr>
            <w:r>
              <w:rPr>
                <w:rStyle w:val="5"/>
                <w:rFonts w:hint="eastAsia" w:ascii="宋体" w:hAnsi="宋体" w:eastAsia="宋体" w:cs="宋体"/>
                <w:color w:val="auto"/>
                <w:kern w:val="2"/>
                <w:sz w:val="24"/>
                <w:szCs w:val="24"/>
                <w:lang w:val="en-US" w:eastAsia="zh-CN" w:bidi="ar-SA"/>
              </w:rPr>
              <w:t>1500000.00元</w:t>
            </w:r>
          </w:p>
        </w:tc>
        <w:tc>
          <w:tcPr>
            <w:tcW w:w="1168" w:type="dxa"/>
            <w:noWrap w:val="0"/>
            <w:vAlign w:val="center"/>
          </w:tcPr>
          <w:p w14:paraId="1EFA0AE2">
            <w:pPr>
              <w:widowControl w:val="0"/>
              <w:adjustRightInd w:val="0"/>
              <w:snapToGrid w:val="0"/>
              <w:spacing w:line="360" w:lineRule="auto"/>
              <w:jc w:val="center"/>
              <w:rPr>
                <w:rStyle w:val="5"/>
                <w:rFonts w:hint="eastAsia" w:ascii="宋体" w:hAnsi="宋体" w:eastAsia="宋体" w:cs="宋体"/>
                <w:color w:val="auto"/>
                <w:kern w:val="2"/>
                <w:sz w:val="24"/>
                <w:szCs w:val="24"/>
                <w:lang w:val="en-US" w:eastAsia="zh-CN" w:bidi="ar-SA"/>
              </w:rPr>
            </w:pPr>
            <w:r>
              <w:rPr>
                <w:rStyle w:val="5"/>
                <w:rFonts w:hint="eastAsia" w:ascii="宋体" w:hAnsi="宋体" w:eastAsia="宋体" w:cs="宋体"/>
                <w:color w:val="auto"/>
                <w:kern w:val="2"/>
                <w:sz w:val="24"/>
                <w:szCs w:val="24"/>
                <w:lang w:val="en-US" w:eastAsia="zh-CN" w:bidi="ar-SA"/>
              </w:rPr>
              <w:t>无</w:t>
            </w:r>
          </w:p>
        </w:tc>
      </w:tr>
    </w:tbl>
    <w:p w14:paraId="0BA5C687">
      <w:pPr>
        <w:widowControl w:val="0"/>
        <w:numPr>
          <w:ilvl w:val="0"/>
          <w:numId w:val="0"/>
        </w:numPr>
        <w:tabs>
          <w:tab w:val="left" w:pos="0"/>
        </w:tabs>
        <w:adjustRightInd w:val="0"/>
        <w:snapToGrid w:val="0"/>
        <w:spacing w:before="120" w:line="360" w:lineRule="auto"/>
        <w:ind w:left="0" w:leftChars="0" w:firstLine="210" w:firstLineChars="100"/>
        <w:jc w:val="both"/>
        <w:rPr>
          <w:rStyle w:val="5"/>
          <w:rFonts w:ascii="宋体" w:hAnsi="Calibri" w:eastAsia="宋体" w:cs="宋体"/>
          <w:color w:val="auto"/>
          <w:kern w:val="0"/>
          <w:sz w:val="21"/>
          <w:szCs w:val="21"/>
          <w:highlight w:val="none"/>
          <w:lang w:val="en-US" w:eastAsia="zh-CN" w:bidi="ar-SA"/>
        </w:rPr>
      </w:pPr>
      <w:bookmarkStart w:id="3" w:name="_Toc13204"/>
    </w:p>
    <w:p w14:paraId="6AE4EB1A">
      <w:pPr>
        <w:widowControl w:val="0"/>
        <w:jc w:val="both"/>
        <w:rPr>
          <w:rStyle w:val="5"/>
          <w:rFonts w:hint="eastAsia" w:ascii="黑体" w:hAnsi="黑体" w:eastAsia="黑体" w:cs="Times New Roman"/>
          <w:color w:val="auto"/>
          <w:kern w:val="2"/>
          <w:sz w:val="28"/>
          <w:szCs w:val="28"/>
          <w:lang w:val="en-US" w:eastAsia="zh-CN" w:bidi="ar-SA"/>
        </w:rPr>
      </w:pPr>
    </w:p>
    <w:bookmarkEnd w:id="3"/>
    <w:p w14:paraId="0B886A21">
      <w:pPr>
        <w:pStyle w:val="9"/>
        <w:keepNext/>
        <w:keepLines/>
        <w:widowControl w:val="0"/>
        <w:adjustRightInd w:val="0"/>
        <w:snapToGrid w:val="0"/>
        <w:spacing w:before="156" w:beforeLines="50" w:line="360" w:lineRule="auto"/>
        <w:jc w:val="center"/>
        <w:outlineLvl w:val="1"/>
        <w:rPr>
          <w:rStyle w:val="5"/>
          <w:rFonts w:ascii="黑体" w:hAnsi="黑体" w:eastAsia="黑体" w:cs="Times New Roman"/>
          <w:b/>
          <w:bCs/>
          <w:color w:val="auto"/>
          <w:kern w:val="2"/>
          <w:sz w:val="28"/>
          <w:szCs w:val="28"/>
          <w:lang w:val="en-US" w:eastAsia="zh-CN" w:bidi="ar-SA"/>
        </w:rPr>
      </w:pPr>
      <w:bookmarkStart w:id="4" w:name="_Toc10353"/>
      <w:bookmarkStart w:id="5" w:name="_Toc16145"/>
      <w:r>
        <w:rPr>
          <w:rStyle w:val="5"/>
          <w:rFonts w:hint="eastAsia" w:ascii="黑体" w:hAnsi="黑体" w:eastAsia="黑体" w:cs="Times New Roman"/>
          <w:b/>
          <w:bCs/>
          <w:color w:val="auto"/>
          <w:kern w:val="2"/>
          <w:sz w:val="28"/>
          <w:szCs w:val="28"/>
          <w:lang w:val="en-US" w:eastAsia="zh-CN" w:bidi="ar-SA"/>
        </w:rPr>
        <w:t>第二节</w:t>
      </w:r>
      <w:r>
        <w:rPr>
          <w:rStyle w:val="5"/>
          <w:rFonts w:ascii="黑体" w:hAnsi="黑体" w:eastAsia="黑体" w:cs="Times New Roman"/>
          <w:b/>
          <w:bCs/>
          <w:color w:val="auto"/>
          <w:kern w:val="2"/>
          <w:sz w:val="28"/>
          <w:szCs w:val="28"/>
          <w:lang w:val="en-US" w:eastAsia="zh-CN" w:bidi="ar-SA"/>
        </w:rPr>
        <w:t>技术要求</w:t>
      </w:r>
      <w:bookmarkEnd w:id="4"/>
      <w:bookmarkEnd w:id="5"/>
    </w:p>
    <w:p w14:paraId="2C5FFA8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outlineLvl w:val="9"/>
        <w:rPr>
          <w:rStyle w:val="5"/>
          <w:rFonts w:hint="eastAsia" w:ascii="宋体" w:hAnsi="宋体" w:eastAsia="宋体" w:cs="宋体"/>
          <w:color w:val="auto"/>
          <w:kern w:val="2"/>
          <w:sz w:val="24"/>
          <w:szCs w:val="24"/>
          <w:lang w:val="en-US" w:eastAsia="zh-CN" w:bidi="ar-SA"/>
        </w:rPr>
      </w:pPr>
      <w:r>
        <w:rPr>
          <w:rStyle w:val="5"/>
          <w:rFonts w:hint="eastAsia" w:ascii="宋体" w:hAnsi="宋体" w:eastAsia="宋体" w:cs="宋体"/>
          <w:b/>
          <w:color w:val="auto"/>
          <w:kern w:val="2"/>
          <w:sz w:val="24"/>
          <w:szCs w:val="24"/>
          <w:lang w:val="en-US" w:eastAsia="zh-CN" w:bidi="ar-SA"/>
        </w:rPr>
        <w:t>一、项目背景</w:t>
      </w:r>
    </w:p>
    <w:p w14:paraId="24B8F21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0" w:leftChars="0" w:firstLine="480" w:firstLineChars="200"/>
        <w:jc w:val="both"/>
        <w:textAlignment w:val="auto"/>
        <w:rPr>
          <w:rStyle w:val="5"/>
          <w:rFonts w:hint="eastAsia" w:ascii="宋体" w:hAnsi="宋体" w:eastAsia="宋体" w:cs="宋体"/>
          <w:color w:val="auto"/>
          <w:kern w:val="2"/>
          <w:sz w:val="24"/>
          <w:szCs w:val="24"/>
          <w:highlight w:val="none"/>
          <w:lang w:val="en-US" w:eastAsia="zh-CN" w:bidi="ar-SA"/>
        </w:rPr>
      </w:pPr>
      <w:r>
        <w:rPr>
          <w:rStyle w:val="5"/>
          <w:rFonts w:hint="eastAsia" w:ascii="宋体" w:hAnsi="宋体" w:eastAsia="宋体" w:cs="宋体"/>
          <w:color w:val="auto"/>
          <w:kern w:val="2"/>
          <w:sz w:val="24"/>
          <w:szCs w:val="24"/>
          <w:highlight w:val="none"/>
          <w:lang w:val="en-US" w:eastAsia="zh-CN" w:bidi="ar-SA"/>
        </w:rPr>
        <w:t>近年来，国家大力推动医疗卫生体制改革，医疗信息化建设已成为深化医改、提升医疗服务质量与管理水平的核心驱动力。在此背景下，本次招标采购需求聚焦国家政策接口改造、公立医院绩效考核改造、电子病历分级评价数据质量测评工具等核心模块，旨在全面提升医院信息化水平，契合国家战略部署与行业发展趋势。从国家政策层面来看，随着健康中国战略的深入推进，国家对医疗信息化建设提出了明确要求与规范。为实现医疗数据的互联互通和共享协同，国家不断出台相关政策，要求医疗机构加强信息化建设，完善信息接口标准。通过国家政策接口改造，能够确保医院系统与国家医疗信息平台的无缝对接，实现数据的及时、准确传输，助力国家医疗数据的统一管理与分析，为政策制定和决策提供有力支撑。​</w:t>
      </w:r>
    </w:p>
    <w:p w14:paraId="69ADA87F">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0" w:leftChars="0" w:firstLine="480" w:firstLineChars="200"/>
        <w:jc w:val="both"/>
        <w:textAlignment w:val="auto"/>
        <w:rPr>
          <w:rStyle w:val="5"/>
          <w:rFonts w:hint="eastAsia" w:ascii="宋体" w:hAnsi="宋体" w:eastAsia="宋体" w:cs="宋体"/>
          <w:color w:val="auto"/>
          <w:kern w:val="2"/>
          <w:sz w:val="24"/>
          <w:szCs w:val="24"/>
          <w:highlight w:val="none"/>
          <w:lang w:val="en-US" w:eastAsia="zh-CN" w:bidi="ar-SA"/>
        </w:rPr>
      </w:pPr>
      <w:r>
        <w:rPr>
          <w:rStyle w:val="5"/>
          <w:rFonts w:hint="eastAsia" w:ascii="宋体" w:hAnsi="宋体" w:eastAsia="宋体" w:cs="宋体"/>
          <w:color w:val="auto"/>
          <w:kern w:val="2"/>
          <w:sz w:val="24"/>
          <w:szCs w:val="24"/>
          <w:highlight w:val="none"/>
          <w:lang w:val="en-US" w:eastAsia="zh-CN" w:bidi="ar-SA"/>
        </w:rPr>
        <w:t>公立医院绩效考核作为国家加强公立医院管理、推动医院高质量发展的重要手段，对医院的精细化管理和服务能力提出了更高要求。进行公立医院绩效考核改造，有助于医院精准进行考核指标管理，优化内部管理流程，提升医疗服务质量和效率，提高医院在绩效考核中的排名，增强医院的竞争力和影响力。​</w:t>
      </w:r>
    </w:p>
    <w:p w14:paraId="34EB33E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0" w:leftChars="0" w:firstLine="480" w:firstLineChars="200"/>
        <w:jc w:val="both"/>
        <w:textAlignment w:val="auto"/>
        <w:rPr>
          <w:rStyle w:val="5"/>
          <w:rFonts w:hint="eastAsia" w:ascii="宋体" w:hAnsi="宋体" w:eastAsia="宋体" w:cs="宋体"/>
          <w:color w:val="auto"/>
          <w:kern w:val="2"/>
          <w:sz w:val="24"/>
          <w:szCs w:val="24"/>
          <w:highlight w:val="none"/>
          <w:lang w:val="en-US" w:eastAsia="zh-CN" w:bidi="ar-SA"/>
        </w:rPr>
      </w:pPr>
      <w:r>
        <w:rPr>
          <w:rStyle w:val="5"/>
          <w:rFonts w:hint="eastAsia" w:ascii="宋体" w:hAnsi="宋体" w:eastAsia="宋体" w:cs="宋体"/>
          <w:color w:val="auto"/>
          <w:kern w:val="2"/>
          <w:sz w:val="24"/>
          <w:szCs w:val="24"/>
          <w:highlight w:val="none"/>
          <w:lang w:val="en-US" w:eastAsia="zh-CN" w:bidi="ar-SA"/>
        </w:rPr>
        <w:t>电子病历作为医院信息化建设的核心，其应用水平直接关系到医疗质量和患者安全。电子病历分级评价数据质量测评工具的引入，能够帮助医院全面评估电子病历的数据质量，发现数据存在的问题和不足，及时进行整改和优化。而电子病历五级评级改造则是医院提升电子病历应用水平的关键举措，通过改造能够实现电子病历系统的功能完善和性能提升，满足临床诊疗和管理的需求，达到电子病历五级评级标准，为医院的长远发展奠定坚实基础。​</w:t>
      </w:r>
    </w:p>
    <w:p w14:paraId="4BF219D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0" w:leftChars="0" w:firstLine="480" w:firstLineChars="200"/>
        <w:jc w:val="both"/>
        <w:textAlignment w:val="auto"/>
        <w:rPr>
          <w:rStyle w:val="5"/>
          <w:rFonts w:hint="eastAsia" w:ascii="宋体" w:hAnsi="宋体" w:eastAsia="宋体" w:cs="宋体"/>
          <w:color w:val="auto"/>
          <w:kern w:val="2"/>
          <w:sz w:val="24"/>
          <w:szCs w:val="24"/>
          <w:highlight w:val="none"/>
          <w:lang w:val="en-US" w:eastAsia="zh-CN" w:bidi="ar-SA"/>
        </w:rPr>
      </w:pPr>
      <w:r>
        <w:rPr>
          <w:rStyle w:val="5"/>
          <w:rFonts w:hint="eastAsia" w:ascii="宋体" w:hAnsi="宋体" w:eastAsia="宋体" w:cs="宋体"/>
          <w:color w:val="auto"/>
          <w:kern w:val="2"/>
          <w:sz w:val="24"/>
          <w:szCs w:val="24"/>
          <w:highlight w:val="none"/>
          <w:lang w:val="en-US" w:eastAsia="zh-CN" w:bidi="ar-SA"/>
        </w:rPr>
        <w:t>在医疗服务流程优化方面，医技预约平台的建设迫在眉睫。当前，患者在进行医技检查时，普遍存在预约流程繁琐、等待时间长等问题，严重影响了患者的就医体验。建设医技预约平台，能够整合医院的医技资源，实现检查预约的线上化、智能化，患者可以通过手机等终端随时随地进行预约，合理安排检查时间，减少等待时间，提高就医效率。同时，也有助于医院优化资源配置，提高医技设备的使用效率。​</w:t>
      </w:r>
    </w:p>
    <w:p w14:paraId="27385432">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0" w:leftChars="0" w:firstLine="480" w:firstLineChars="200"/>
        <w:jc w:val="both"/>
        <w:textAlignment w:val="auto"/>
        <w:rPr>
          <w:rStyle w:val="5"/>
          <w:rFonts w:hint="eastAsia" w:ascii="宋体" w:hAnsi="宋体" w:eastAsia="宋体" w:cs="宋体"/>
          <w:color w:val="auto"/>
          <w:kern w:val="2"/>
          <w:sz w:val="24"/>
          <w:szCs w:val="24"/>
          <w:highlight w:val="none"/>
          <w:lang w:val="en-US" w:eastAsia="zh-CN" w:bidi="ar-SA"/>
        </w:rPr>
      </w:pPr>
      <w:r>
        <w:rPr>
          <w:rStyle w:val="5"/>
          <w:rFonts w:hint="eastAsia" w:ascii="宋体" w:hAnsi="宋体" w:eastAsia="宋体" w:cs="宋体"/>
          <w:color w:val="auto"/>
          <w:kern w:val="2"/>
          <w:sz w:val="24"/>
          <w:szCs w:val="24"/>
          <w:highlight w:val="none"/>
          <w:lang w:val="en-US" w:eastAsia="zh-CN" w:bidi="ar-SA"/>
        </w:rPr>
        <w:t>三级医院等级评审是衡量医院综合实力和服务水平的重要标准，对医院的规范化管理和可持续发展具有重要意义。三级医院等级评审系统的引入，能够帮助医院全面梳理和规范各项管理工作，按照评审标准进行自查自纠，及时发现问题并进行整改。通过系统的信息化管理，能够提高评审工作的效率和准确性，确保医院在等级评审中取得优异成绩，进一步提升医院的品牌形象和社会声誉。</w:t>
      </w:r>
    </w:p>
    <w:p w14:paraId="00F11C2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outlineLvl w:val="9"/>
        <w:rPr>
          <w:rStyle w:val="5"/>
          <w:rFonts w:hint="eastAsia" w:ascii="宋体" w:hAnsi="宋体" w:eastAsia="宋体" w:cs="宋体"/>
          <w:b/>
          <w:color w:val="auto"/>
          <w:kern w:val="2"/>
          <w:sz w:val="24"/>
          <w:szCs w:val="24"/>
          <w:lang w:val="en-US" w:eastAsia="zh-CN" w:bidi="ar-SA"/>
        </w:rPr>
      </w:pPr>
      <w:r>
        <w:rPr>
          <w:rStyle w:val="5"/>
          <w:rFonts w:hint="eastAsia" w:ascii="宋体" w:hAnsi="宋体" w:eastAsia="宋体" w:cs="宋体"/>
          <w:b/>
          <w:color w:val="auto"/>
          <w:kern w:val="2"/>
          <w:sz w:val="24"/>
          <w:szCs w:val="24"/>
          <w:lang w:val="en-US" w:eastAsia="zh-CN" w:bidi="ar-SA"/>
        </w:rPr>
        <w:t>二、采购内容及要求</w:t>
      </w:r>
    </w:p>
    <w:p w14:paraId="5F07A185">
      <w:pPr>
        <w:keepNext w:val="0"/>
        <w:keepLines w:val="0"/>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国家政策接口改造</w:t>
      </w:r>
    </w:p>
    <w:p w14:paraId="05A278F8">
      <w:pPr>
        <w:keepNext w:val="0"/>
        <w:keepLines w:val="0"/>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国家传染病接口上报</w:t>
      </w:r>
    </w:p>
    <w:p w14:paraId="5FF892C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支持对接部署国家传染病智能建册预警系统，实现院内电子病历系统数据与国家传染病系统的数据同步、数据操作与系统交互应用。</w:t>
      </w:r>
    </w:p>
    <w:p w14:paraId="452840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据采集与监测内容包括患者基本信息表、诊疗活动信息表、传染病报告卡、门(急)诊病历、门(急)诊留观记录、入院记录、住院首次病程记录、住院日常病程记录、住院病案首页、出院记录、检查报告、检查报告项目、检验报告、检验报告项目、医嘱处方信息、医嘱处方条目、死亡信息、生命体征护理记录单、医院信息系统用户信息、医院信息系统科室信息。</w:t>
      </w:r>
    </w:p>
    <w:p w14:paraId="30D3E9A4">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bookmarkStart w:id="6" w:name="_Toc169469677"/>
      <w:bookmarkStart w:id="7" w:name="_Toc169591921"/>
      <w:r>
        <w:rPr>
          <w:rFonts w:hint="eastAsia" w:ascii="宋体" w:hAnsi="宋体" w:eastAsia="宋体" w:cs="宋体"/>
          <w:b/>
          <w:bCs/>
          <w:color w:val="auto"/>
          <w:kern w:val="2"/>
          <w:sz w:val="24"/>
          <w:szCs w:val="24"/>
          <w:lang w:val="en-US" w:eastAsia="zh-CN" w:bidi="ar-SA"/>
        </w:rPr>
        <w:t>遵照标准</w:t>
      </w:r>
      <w:bookmarkEnd w:id="6"/>
      <w:bookmarkEnd w:id="7"/>
    </w:p>
    <w:tbl>
      <w:tblPr>
        <w:tblStyle w:val="3"/>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4153"/>
        <w:gridCol w:w="2754"/>
      </w:tblGrid>
      <w:tr w14:paraId="06A8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top w:val="single" w:color="auto" w:sz="4" w:space="0"/>
              <w:left w:val="single" w:color="auto" w:sz="4" w:space="0"/>
              <w:bottom w:val="single" w:color="auto" w:sz="4" w:space="0"/>
              <w:right w:val="single" w:color="auto" w:sz="4" w:space="0"/>
            </w:tcBorders>
            <w:noWrap w:val="0"/>
            <w:vAlign w:val="center"/>
          </w:tcPr>
          <w:p w14:paraId="37DB3C04">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89" w:type="pct"/>
            <w:noWrap w:val="0"/>
            <w:vAlign w:val="center"/>
          </w:tcPr>
          <w:p w14:paraId="7079ED85">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资料名称</w:t>
            </w:r>
          </w:p>
        </w:tc>
        <w:tc>
          <w:tcPr>
            <w:tcW w:w="1783" w:type="pct"/>
            <w:noWrap w:val="0"/>
            <w:vAlign w:val="center"/>
          </w:tcPr>
          <w:p w14:paraId="1D9E9444">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版本</w:t>
            </w:r>
          </w:p>
        </w:tc>
      </w:tr>
      <w:tr w14:paraId="1EC9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noWrap w:val="0"/>
            <w:vAlign w:val="center"/>
          </w:tcPr>
          <w:p w14:paraId="3556093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689" w:type="pct"/>
            <w:noWrap w:val="0"/>
            <w:vAlign w:val="center"/>
          </w:tcPr>
          <w:p w14:paraId="47E3AEF3">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电子病历基本数据集</w:t>
            </w:r>
          </w:p>
        </w:tc>
        <w:tc>
          <w:tcPr>
            <w:tcW w:w="1783" w:type="pct"/>
            <w:noWrap w:val="0"/>
            <w:vAlign w:val="center"/>
          </w:tcPr>
          <w:p w14:paraId="2B208BF9">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WS445-2014</w:t>
            </w:r>
          </w:p>
        </w:tc>
      </w:tr>
      <w:tr w14:paraId="6187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noWrap w:val="0"/>
            <w:vAlign w:val="center"/>
          </w:tcPr>
          <w:p w14:paraId="62CB921F">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689" w:type="pct"/>
            <w:noWrap w:val="0"/>
            <w:vAlign w:val="center"/>
          </w:tcPr>
          <w:p w14:paraId="57E944EB">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传染病信息报告管理规范</w:t>
            </w:r>
          </w:p>
        </w:tc>
        <w:tc>
          <w:tcPr>
            <w:tcW w:w="1783" w:type="pct"/>
            <w:noWrap w:val="0"/>
            <w:vAlign w:val="center"/>
          </w:tcPr>
          <w:p w14:paraId="1ECFC8C7">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2015年版</w:t>
            </w:r>
          </w:p>
        </w:tc>
      </w:tr>
      <w:tr w14:paraId="45042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noWrap w:val="0"/>
            <w:vAlign w:val="center"/>
          </w:tcPr>
          <w:p w14:paraId="1C6140AD">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689" w:type="pct"/>
            <w:noWrap w:val="0"/>
            <w:vAlign w:val="center"/>
          </w:tcPr>
          <w:p w14:paraId="091869DD">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电子病历共享文档规范</w:t>
            </w:r>
          </w:p>
        </w:tc>
        <w:tc>
          <w:tcPr>
            <w:tcW w:w="1783" w:type="pct"/>
            <w:noWrap w:val="0"/>
            <w:vAlign w:val="center"/>
          </w:tcPr>
          <w:p w14:paraId="23E3023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WST500-2016</w:t>
            </w:r>
          </w:p>
        </w:tc>
      </w:tr>
      <w:tr w14:paraId="56C1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noWrap w:val="0"/>
            <w:vAlign w:val="center"/>
          </w:tcPr>
          <w:p w14:paraId="3CACA10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689" w:type="pct"/>
            <w:noWrap w:val="0"/>
            <w:vAlign w:val="center"/>
          </w:tcPr>
          <w:p w14:paraId="161C6F8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卫生健康信息数据元目录</w:t>
            </w:r>
          </w:p>
        </w:tc>
        <w:tc>
          <w:tcPr>
            <w:tcW w:w="1783" w:type="pct"/>
            <w:noWrap w:val="0"/>
            <w:vAlign w:val="center"/>
          </w:tcPr>
          <w:p w14:paraId="0BA99A77">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WS/T363-2023</w:t>
            </w:r>
          </w:p>
        </w:tc>
      </w:tr>
      <w:tr w14:paraId="509E2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noWrap w:val="0"/>
            <w:vAlign w:val="center"/>
          </w:tcPr>
          <w:p w14:paraId="058036FE">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689" w:type="pct"/>
            <w:noWrap w:val="0"/>
            <w:vAlign w:val="center"/>
          </w:tcPr>
          <w:p w14:paraId="006FB98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卫生健康信息数据元值域代码</w:t>
            </w:r>
          </w:p>
        </w:tc>
        <w:tc>
          <w:tcPr>
            <w:tcW w:w="1783" w:type="pct"/>
            <w:noWrap w:val="0"/>
            <w:vAlign w:val="center"/>
          </w:tcPr>
          <w:p w14:paraId="28EFDE2C">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WS/T364-2023</w:t>
            </w:r>
          </w:p>
        </w:tc>
      </w:tr>
    </w:tbl>
    <w:p w14:paraId="58A15895">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bookmarkStart w:id="8" w:name="(一)_疾病预防信息共享文档"/>
      <w:bookmarkEnd w:id="8"/>
      <w:bookmarkStart w:id="9" w:name="_bookmark4"/>
      <w:bookmarkEnd w:id="9"/>
      <w:bookmarkStart w:id="10" w:name="_Toc169591922"/>
      <w:bookmarkStart w:id="11" w:name="_Toc169469678"/>
      <w:r>
        <w:rPr>
          <w:rFonts w:hint="eastAsia" w:ascii="宋体" w:hAnsi="宋体" w:eastAsia="宋体" w:cs="宋体"/>
          <w:b/>
          <w:bCs/>
          <w:color w:val="auto"/>
          <w:kern w:val="2"/>
          <w:sz w:val="24"/>
          <w:szCs w:val="24"/>
          <w:lang w:val="en-US" w:eastAsia="zh-CN" w:bidi="ar-SA"/>
        </w:rPr>
        <w:t>数据库说明</w:t>
      </w:r>
      <w:bookmarkEnd w:id="10"/>
      <w:bookmarkEnd w:id="11"/>
    </w:p>
    <w:p w14:paraId="5D5FA8A0">
      <w:pPr>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rPr>
      </w:pPr>
      <w:bookmarkStart w:id="12" w:name="_bookmark8"/>
      <w:bookmarkEnd w:id="12"/>
      <w:bookmarkStart w:id="13" w:name="_bookmark7"/>
      <w:bookmarkEnd w:id="13"/>
      <w:bookmarkStart w:id="14" w:name="四、_文档内容构成"/>
      <w:bookmarkEnd w:id="14"/>
      <w:bookmarkStart w:id="15" w:name="(四)_基数"/>
      <w:bookmarkEnd w:id="15"/>
      <w:r>
        <w:rPr>
          <w:rFonts w:hint="eastAsia" w:ascii="宋体" w:hAnsi="宋体" w:eastAsia="宋体" w:cs="宋体"/>
          <w:color w:val="auto"/>
          <w:sz w:val="24"/>
          <w:szCs w:val="24"/>
        </w:rPr>
        <w:t>本文档涉及数据库表结构和数据项类型描述基于openGauss5.0.0builda07d57c3版本创建。</w:t>
      </w:r>
    </w:p>
    <w:p w14:paraId="6A1177FC">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bookmarkStart w:id="16" w:name="_Toc169591923"/>
      <w:bookmarkStart w:id="17" w:name="_Toc169469679"/>
      <w:r>
        <w:rPr>
          <w:rFonts w:hint="eastAsia" w:ascii="宋体" w:hAnsi="宋体" w:eastAsia="宋体" w:cs="宋体"/>
          <w:b/>
          <w:bCs/>
          <w:color w:val="auto"/>
          <w:kern w:val="2"/>
          <w:sz w:val="24"/>
          <w:szCs w:val="24"/>
          <w:lang w:val="en-US" w:eastAsia="zh-CN" w:bidi="ar-SA"/>
        </w:rPr>
        <w:t>数据同步频率</w:t>
      </w:r>
      <w:bookmarkEnd w:id="16"/>
      <w:bookmarkEnd w:id="17"/>
    </w:p>
    <w:tbl>
      <w:tblPr>
        <w:tblStyle w:val="4"/>
        <w:tblW w:w="48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7"/>
        <w:gridCol w:w="2632"/>
        <w:gridCol w:w="2961"/>
      </w:tblGrid>
      <w:tr w14:paraId="6046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30" w:type="pct"/>
            <w:noWrap w:val="0"/>
            <w:vAlign w:val="top"/>
          </w:tcPr>
          <w:p w14:paraId="3D894D5C">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同步频率</w:t>
            </w:r>
          </w:p>
        </w:tc>
        <w:tc>
          <w:tcPr>
            <w:tcW w:w="1585" w:type="pct"/>
            <w:noWrap w:val="0"/>
            <w:vAlign w:val="top"/>
          </w:tcPr>
          <w:p w14:paraId="0D482D18">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数据表</w:t>
            </w:r>
          </w:p>
        </w:tc>
        <w:tc>
          <w:tcPr>
            <w:tcW w:w="1783" w:type="pct"/>
            <w:noWrap w:val="0"/>
            <w:vAlign w:val="top"/>
          </w:tcPr>
          <w:p w14:paraId="2300538B">
            <w:pPr>
              <w:spacing w:line="360" w:lineRule="auto"/>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触发时机</w:t>
            </w:r>
          </w:p>
        </w:tc>
      </w:tr>
      <w:tr w14:paraId="2149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restart"/>
            <w:noWrap w:val="0"/>
            <w:vAlign w:val="top"/>
          </w:tcPr>
          <w:p w14:paraId="38F20F27">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医院信息系统保存数据后实时</w:t>
            </w:r>
          </w:p>
        </w:tc>
        <w:tc>
          <w:tcPr>
            <w:tcW w:w="1585" w:type="pct"/>
            <w:noWrap w:val="0"/>
            <w:vAlign w:val="top"/>
          </w:tcPr>
          <w:p w14:paraId="54DB073B">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患者基本信息</w:t>
            </w:r>
          </w:p>
        </w:tc>
        <w:tc>
          <w:tcPr>
            <w:tcW w:w="1783" w:type="pct"/>
            <w:noWrap w:val="0"/>
            <w:vAlign w:val="top"/>
          </w:tcPr>
          <w:p w14:paraId="507ABB0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患者基本信息新增或发生变更后</w:t>
            </w:r>
          </w:p>
        </w:tc>
      </w:tr>
      <w:tr w14:paraId="62A58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7FB3B183">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09132B5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诊疗活动信息</w:t>
            </w:r>
          </w:p>
        </w:tc>
        <w:tc>
          <w:tcPr>
            <w:tcW w:w="1783" w:type="pct"/>
            <w:noWrap w:val="0"/>
            <w:vAlign w:val="top"/>
          </w:tcPr>
          <w:p w14:paraId="7FD7DC9A">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在门诊、急诊、留观入观、留观出观、入院、首次病程、日常病程、出院等业务活动中，医生下达诊断或修订诊断后</w:t>
            </w:r>
          </w:p>
        </w:tc>
      </w:tr>
      <w:tr w14:paraId="4A19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5F79AACB">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1A93C288">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传染病报告卡</w:t>
            </w:r>
          </w:p>
        </w:tc>
        <w:tc>
          <w:tcPr>
            <w:tcW w:w="1783" w:type="pct"/>
            <w:noWrap w:val="0"/>
            <w:vAlign w:val="top"/>
          </w:tcPr>
          <w:p w14:paraId="2856F9FF">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具备传染病报告卡生成能力的机构，保存传报卡后</w:t>
            </w:r>
          </w:p>
        </w:tc>
      </w:tr>
      <w:tr w14:paraId="34196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72CF2E98">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6297D626">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医院信息系统用户信息、医院信息系统科室信息、值域代码信息</w:t>
            </w:r>
          </w:p>
        </w:tc>
        <w:tc>
          <w:tcPr>
            <w:tcW w:w="1783" w:type="pct"/>
            <w:noWrap w:val="0"/>
            <w:vAlign w:val="top"/>
          </w:tcPr>
          <w:p w14:paraId="1BDF787C">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数据新增或变更后</w:t>
            </w:r>
          </w:p>
        </w:tc>
      </w:tr>
      <w:tr w14:paraId="31C2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noWrap w:val="0"/>
            <w:vAlign w:val="top"/>
          </w:tcPr>
          <w:p w14:paraId="3310FB9A">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实验室检查结果数据产生后的2小时内</w:t>
            </w:r>
          </w:p>
        </w:tc>
        <w:tc>
          <w:tcPr>
            <w:tcW w:w="1585" w:type="pct"/>
            <w:noWrap w:val="0"/>
            <w:vAlign w:val="top"/>
          </w:tcPr>
          <w:p w14:paraId="671812F9">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检验报告、检验报告项目</w:t>
            </w:r>
          </w:p>
        </w:tc>
        <w:tc>
          <w:tcPr>
            <w:tcW w:w="1783" w:type="pct"/>
            <w:noWrap w:val="0"/>
            <w:vAlign w:val="top"/>
          </w:tcPr>
          <w:p w14:paraId="08C9FDCE">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实验室检验报告结果后2小时以内</w:t>
            </w:r>
          </w:p>
        </w:tc>
      </w:tr>
      <w:tr w14:paraId="6662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restart"/>
            <w:noWrap w:val="0"/>
            <w:vAlign w:val="top"/>
          </w:tcPr>
          <w:p w14:paraId="78E2E994">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医院信息系统保存数据后的当日24点前（T+0）</w:t>
            </w:r>
          </w:p>
        </w:tc>
        <w:tc>
          <w:tcPr>
            <w:tcW w:w="1585" w:type="pct"/>
            <w:noWrap w:val="0"/>
            <w:vAlign w:val="top"/>
          </w:tcPr>
          <w:p w14:paraId="072139A4">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检查报告、检查报告项目</w:t>
            </w:r>
          </w:p>
        </w:tc>
        <w:tc>
          <w:tcPr>
            <w:tcW w:w="1783" w:type="pct"/>
            <w:noWrap w:val="0"/>
            <w:vAlign w:val="top"/>
          </w:tcPr>
          <w:p w14:paraId="6D7BB326">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检查报告结果后当天</w:t>
            </w:r>
          </w:p>
        </w:tc>
      </w:tr>
      <w:tr w14:paraId="3DA3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31ECC8A7">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7F109E47">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医嘱处方、医嘱处方条目</w:t>
            </w:r>
          </w:p>
        </w:tc>
        <w:tc>
          <w:tcPr>
            <w:tcW w:w="1783" w:type="pct"/>
            <w:noWrap w:val="0"/>
            <w:vAlign w:val="top"/>
          </w:tcPr>
          <w:p w14:paraId="19B706B4">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医生下达检验医嘱保存后当天</w:t>
            </w:r>
          </w:p>
        </w:tc>
      </w:tr>
      <w:tr w14:paraId="73F6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4A4A63DF">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3C3C453F">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死亡信息</w:t>
            </w:r>
          </w:p>
        </w:tc>
        <w:tc>
          <w:tcPr>
            <w:tcW w:w="1783" w:type="pct"/>
            <w:noWrap w:val="0"/>
            <w:vAlign w:val="top"/>
          </w:tcPr>
          <w:p w14:paraId="45F09A03">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病例诊断含传染病相关诊断，医生填写死亡信息后当天</w:t>
            </w:r>
          </w:p>
        </w:tc>
      </w:tr>
      <w:tr w14:paraId="6179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6595798A">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0C61AC7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门（急）诊病历、门（急）诊留观记录</w:t>
            </w:r>
          </w:p>
        </w:tc>
        <w:tc>
          <w:tcPr>
            <w:tcW w:w="1783" w:type="pct"/>
            <w:noWrap w:val="0"/>
            <w:vAlign w:val="top"/>
          </w:tcPr>
          <w:p w14:paraId="7D28D001">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门（急）诊病历、门（急）诊留观记录保存后当天</w:t>
            </w:r>
          </w:p>
        </w:tc>
      </w:tr>
      <w:tr w14:paraId="1710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vMerge w:val="continue"/>
            <w:noWrap w:val="0"/>
            <w:vAlign w:val="top"/>
          </w:tcPr>
          <w:p w14:paraId="50654D20">
            <w:pPr>
              <w:spacing w:line="360" w:lineRule="auto"/>
              <w:ind w:firstLine="0" w:firstLineChars="0"/>
              <w:outlineLvl w:val="9"/>
              <w:rPr>
                <w:rFonts w:hint="eastAsia" w:ascii="宋体" w:hAnsi="宋体" w:eastAsia="宋体" w:cs="宋体"/>
                <w:color w:val="auto"/>
                <w:sz w:val="24"/>
                <w:szCs w:val="24"/>
              </w:rPr>
            </w:pPr>
          </w:p>
        </w:tc>
        <w:tc>
          <w:tcPr>
            <w:tcW w:w="1585" w:type="pct"/>
            <w:noWrap w:val="0"/>
            <w:vAlign w:val="top"/>
          </w:tcPr>
          <w:p w14:paraId="43FADAC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入院记录、住院首次病程记录、住院日常病程记录</w:t>
            </w:r>
          </w:p>
        </w:tc>
        <w:tc>
          <w:tcPr>
            <w:tcW w:w="1783" w:type="pct"/>
            <w:noWrap w:val="0"/>
            <w:vAlign w:val="top"/>
          </w:tcPr>
          <w:p w14:paraId="238D7BAE">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入院记录、住院首次病程记录、住院日常病程记录保存后当天</w:t>
            </w:r>
          </w:p>
        </w:tc>
      </w:tr>
      <w:tr w14:paraId="0BDFC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noWrap w:val="0"/>
            <w:vAlign w:val="top"/>
          </w:tcPr>
          <w:p w14:paraId="7301719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医院信息系统保存数据后的当日24点前（T+0）</w:t>
            </w:r>
          </w:p>
        </w:tc>
        <w:tc>
          <w:tcPr>
            <w:tcW w:w="1585" w:type="pct"/>
            <w:noWrap w:val="0"/>
            <w:vAlign w:val="top"/>
          </w:tcPr>
          <w:p w14:paraId="11D3B96F">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住院病案首页、出院记录</w:t>
            </w:r>
          </w:p>
        </w:tc>
        <w:tc>
          <w:tcPr>
            <w:tcW w:w="1783" w:type="pct"/>
            <w:noWrap w:val="0"/>
            <w:vAlign w:val="top"/>
          </w:tcPr>
          <w:p w14:paraId="078BB928">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住院病案首页、出院记录保存后的当日24点前</w:t>
            </w:r>
          </w:p>
        </w:tc>
      </w:tr>
    </w:tbl>
    <w:p w14:paraId="1BB6E1F3">
      <w:pPr>
        <w:keepNext/>
        <w:keepLines/>
        <w:widowControl w:val="0"/>
        <w:numPr>
          <w:ilvl w:val="2"/>
          <w:numId w:val="1"/>
        </w:numPr>
        <w:bidi w:val="0"/>
        <w:spacing w:before="60" w:after="60" w:line="240" w:lineRule="auto"/>
        <w:ind w:left="855" w:leftChars="0" w:hanging="720" w:firstLineChars="0"/>
        <w:jc w:val="left"/>
        <w:outlineLvl w:val="9"/>
        <w:rPr>
          <w:rFonts w:hint="eastAsia" w:ascii="宋体" w:hAnsi="宋体" w:eastAsia="宋体" w:cs="宋体"/>
          <w:b/>
          <w:bCs/>
          <w:color w:val="auto"/>
          <w:kern w:val="2"/>
          <w:sz w:val="24"/>
          <w:szCs w:val="24"/>
          <w:lang w:val="en-US" w:eastAsia="zh-CN" w:bidi="ar-SA"/>
        </w:rPr>
      </w:pPr>
      <w:bookmarkStart w:id="18" w:name="数据交换文档业务类型"/>
      <w:bookmarkEnd w:id="18"/>
      <w:bookmarkStart w:id="19" w:name="_Toc169591924"/>
      <w:bookmarkStart w:id="20" w:name="_Toc169469680"/>
      <w:r>
        <w:rPr>
          <w:rFonts w:hint="eastAsia" w:ascii="宋体" w:hAnsi="宋体" w:eastAsia="宋体" w:cs="宋体"/>
          <w:b/>
          <w:bCs/>
          <w:color w:val="auto"/>
          <w:kern w:val="2"/>
          <w:sz w:val="24"/>
          <w:szCs w:val="24"/>
          <w:lang w:val="en-US" w:eastAsia="zh-CN" w:bidi="ar-SA"/>
        </w:rPr>
        <w:t>数据校验规则说明</w:t>
      </w:r>
      <w:bookmarkEnd w:id="19"/>
      <w:bookmarkEnd w:id="20"/>
    </w:p>
    <w:tbl>
      <w:tblPr>
        <w:tblStyle w:val="4"/>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3"/>
        <w:gridCol w:w="6841"/>
      </w:tblGrid>
      <w:tr w14:paraId="4131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dxa"/>
            <w:noWrap w:val="0"/>
            <w:vAlign w:val="top"/>
          </w:tcPr>
          <w:p w14:paraId="21FFEAD9">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校验规则</w:t>
            </w:r>
          </w:p>
        </w:tc>
        <w:tc>
          <w:tcPr>
            <w:tcW w:w="7415" w:type="dxa"/>
            <w:noWrap w:val="0"/>
            <w:vAlign w:val="top"/>
          </w:tcPr>
          <w:p w14:paraId="0777474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r>
      <w:tr w14:paraId="50E8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dxa"/>
            <w:noWrap w:val="0"/>
            <w:vAlign w:val="top"/>
          </w:tcPr>
          <w:p w14:paraId="65B97B5F">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必填</w:t>
            </w:r>
          </w:p>
        </w:tc>
        <w:tc>
          <w:tcPr>
            <w:tcW w:w="7415" w:type="dxa"/>
            <w:noWrap w:val="0"/>
            <w:vAlign w:val="top"/>
          </w:tcPr>
          <w:p w14:paraId="3AEF94E5">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医院信息系统提供该数据项时必须填写，不填写将无法通过前置软件校验，数据无法存储。</w:t>
            </w:r>
          </w:p>
        </w:tc>
      </w:tr>
      <w:tr w14:paraId="2F8A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dxa"/>
            <w:noWrap w:val="0"/>
            <w:vAlign w:val="top"/>
          </w:tcPr>
          <w:p w14:paraId="29F7D6BC">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建议填</w:t>
            </w:r>
          </w:p>
        </w:tc>
        <w:tc>
          <w:tcPr>
            <w:tcW w:w="7415" w:type="dxa"/>
            <w:noWrap w:val="0"/>
            <w:vAlign w:val="top"/>
          </w:tcPr>
          <w:p w14:paraId="739855A1">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该数据项从业务监测角度为必填或条件必填数据项，要求医院信息系统提供该数据项，但前置软件不会进行必填校验。如果医院信息系统无法提供该数据项，可以不填写，数据项将安装业务监测要求在前置软件中补录。</w:t>
            </w:r>
          </w:p>
        </w:tc>
      </w:tr>
      <w:tr w14:paraId="2032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dxa"/>
            <w:noWrap w:val="0"/>
            <w:vAlign w:val="top"/>
          </w:tcPr>
          <w:p w14:paraId="14434A07">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非必填</w:t>
            </w:r>
          </w:p>
        </w:tc>
        <w:tc>
          <w:tcPr>
            <w:tcW w:w="7415" w:type="dxa"/>
            <w:noWrap w:val="0"/>
            <w:vAlign w:val="top"/>
          </w:tcPr>
          <w:p w14:paraId="7772E218">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该数据项非必填，医院信息系统已采集该数据项时提供。</w:t>
            </w:r>
          </w:p>
        </w:tc>
      </w:tr>
    </w:tbl>
    <w:p w14:paraId="4070EC29">
      <w:pPr>
        <w:keepNext/>
        <w:keepLines/>
        <w:widowControl w:val="0"/>
        <w:numPr>
          <w:ilvl w:val="2"/>
          <w:numId w:val="1"/>
        </w:numPr>
        <w:bidi w:val="0"/>
        <w:spacing w:before="60" w:after="60" w:line="240" w:lineRule="auto"/>
        <w:ind w:left="855" w:leftChars="0" w:hanging="720" w:firstLineChars="0"/>
        <w:jc w:val="left"/>
        <w:outlineLvl w:val="9"/>
        <w:rPr>
          <w:rFonts w:hint="eastAsia" w:ascii="宋体" w:hAnsi="宋体" w:eastAsia="宋体" w:cs="宋体"/>
          <w:b/>
          <w:bCs/>
          <w:color w:val="auto"/>
          <w:kern w:val="2"/>
          <w:sz w:val="24"/>
          <w:szCs w:val="24"/>
          <w:lang w:val="en-US" w:eastAsia="zh-CN" w:bidi="ar-SA"/>
        </w:rPr>
      </w:pPr>
      <w:bookmarkStart w:id="21" w:name="_Toc169591925"/>
      <w:bookmarkStart w:id="22" w:name="_Toc169469681"/>
      <w:r>
        <w:rPr>
          <w:rFonts w:hint="eastAsia" w:ascii="宋体" w:hAnsi="宋体" w:eastAsia="宋体" w:cs="宋体"/>
          <w:b/>
          <w:bCs/>
          <w:color w:val="auto"/>
          <w:kern w:val="2"/>
          <w:sz w:val="24"/>
          <w:szCs w:val="24"/>
          <w:lang w:val="en-US" w:eastAsia="zh-CN" w:bidi="ar-SA"/>
        </w:rPr>
        <w:t>数据表常见数据类型说明</w:t>
      </w:r>
      <w:bookmarkEnd w:id="21"/>
      <w:bookmarkEnd w:id="22"/>
    </w:p>
    <w:tbl>
      <w:tblPr>
        <w:tblStyle w:val="4"/>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0"/>
        <w:gridCol w:w="6484"/>
      </w:tblGrid>
      <w:tr w14:paraId="4ABC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974" w:type="dxa"/>
            <w:noWrap w:val="0"/>
            <w:vAlign w:val="top"/>
          </w:tcPr>
          <w:p w14:paraId="58F26E22">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数据类型</w:t>
            </w:r>
          </w:p>
        </w:tc>
        <w:tc>
          <w:tcPr>
            <w:tcW w:w="7107" w:type="dxa"/>
            <w:noWrap w:val="0"/>
            <w:vAlign w:val="top"/>
          </w:tcPr>
          <w:p w14:paraId="12F5B04E">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r>
      <w:tr w14:paraId="098B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4" w:type="dxa"/>
            <w:noWrap w:val="0"/>
            <w:vAlign w:val="top"/>
          </w:tcPr>
          <w:p w14:paraId="6BA62123">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varchar(n)</w:t>
            </w:r>
          </w:p>
        </w:tc>
        <w:tc>
          <w:tcPr>
            <w:tcW w:w="7107" w:type="dxa"/>
            <w:noWrap w:val="0"/>
            <w:vAlign w:val="top"/>
          </w:tcPr>
          <w:p w14:paraId="053197D4">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变长字符串，最大长度为n。传输数据时，格式为字符串。</w:t>
            </w:r>
          </w:p>
        </w:tc>
      </w:tr>
      <w:tr w14:paraId="1E23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4" w:type="dxa"/>
            <w:noWrap w:val="0"/>
            <w:vAlign w:val="top"/>
          </w:tcPr>
          <w:p w14:paraId="7D820ADB">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text</w:t>
            </w:r>
          </w:p>
        </w:tc>
        <w:tc>
          <w:tcPr>
            <w:tcW w:w="7107" w:type="dxa"/>
            <w:noWrap w:val="0"/>
            <w:vAlign w:val="top"/>
          </w:tcPr>
          <w:p w14:paraId="74CB4B20">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变长字符串。传输数据时，格式为字符串。</w:t>
            </w:r>
          </w:p>
        </w:tc>
      </w:tr>
      <w:tr w14:paraId="19E5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4" w:type="dxa"/>
            <w:noWrap w:val="0"/>
            <w:vAlign w:val="top"/>
          </w:tcPr>
          <w:p w14:paraId="1DED85E6">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int</w:t>
            </w:r>
          </w:p>
        </w:tc>
        <w:tc>
          <w:tcPr>
            <w:tcW w:w="7107" w:type="dxa"/>
            <w:noWrap w:val="0"/>
            <w:vAlign w:val="top"/>
          </w:tcPr>
          <w:p w14:paraId="7021E866">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整型数字。传输数据时，格式为数字。</w:t>
            </w:r>
          </w:p>
        </w:tc>
      </w:tr>
      <w:tr w14:paraId="0D13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4" w:type="dxa"/>
            <w:noWrap w:val="0"/>
            <w:vAlign w:val="top"/>
          </w:tcPr>
          <w:p w14:paraId="23633244">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date</w:t>
            </w:r>
          </w:p>
        </w:tc>
        <w:tc>
          <w:tcPr>
            <w:tcW w:w="7107" w:type="dxa"/>
            <w:noWrap w:val="0"/>
            <w:vAlign w:val="top"/>
          </w:tcPr>
          <w:p w14:paraId="5DDBB8FD">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r>
      <w:tr w14:paraId="3E87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4" w:type="dxa"/>
            <w:noWrap w:val="0"/>
            <w:vAlign w:val="top"/>
          </w:tcPr>
          <w:p w14:paraId="722C55E9">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timestamp</w:t>
            </w:r>
          </w:p>
        </w:tc>
        <w:tc>
          <w:tcPr>
            <w:tcW w:w="7107" w:type="dxa"/>
            <w:noWrap w:val="0"/>
            <w:vAlign w:val="top"/>
          </w:tcPr>
          <w:p w14:paraId="30E7735D">
            <w:pPr>
              <w:spacing w:line="360" w:lineRule="auto"/>
              <w:ind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日期时间</w:t>
            </w:r>
          </w:p>
        </w:tc>
      </w:tr>
    </w:tbl>
    <w:p w14:paraId="739109FE">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电子健康卡主索引跨域服务接口</w:t>
      </w:r>
    </w:p>
    <w:p w14:paraId="3D72848C">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支持对接湖南省电子健康卡综合管理平台，实现以下：</w:t>
      </w:r>
    </w:p>
    <w:p w14:paraId="17D6FD4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实现医院电子健康卡二维码应用由静态二维码升级为动态二维码，实现电子健康卡动态二维码展码，窗口、自助机电子健康卡动态二维码识读。</w:t>
      </w:r>
    </w:p>
    <w:p w14:paraId="1AF8CCC4">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将院内现有患者主索引与患者跨域主索引认证及多卡(码)协同服务建立系统关联，依照国家标准升级。</w:t>
      </w:r>
    </w:p>
    <w:p w14:paraId="3A91D658">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将院内患者历史数据进行整理、清洗，批量或逐个生成患者电子健康卡ID，并将患者电子健康卡ID信息异步或同步给电子健康卡跨域主索引系统。</w:t>
      </w:r>
    </w:p>
    <w:p w14:paraId="5E8F7E3C">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实现患者就医多卡(码)协同，基于标准统一的院内患者主索引，实现对患者多种不同就诊身份介质的统一管理，包含居民身份证、电子健康卡、社保卡、电子医保凭证、军官证、护昭、港澳台来往内地通行证、外国人永久居留身份证等。</w:t>
      </w:r>
    </w:p>
    <w:p w14:paraId="5BB371E6">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实现互联网医院电子健康卡跨域主索引应用改造。</w:t>
      </w:r>
    </w:p>
    <w:p w14:paraId="1FADABE4">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跳转绑卡验证</w:t>
      </w:r>
    </w:p>
    <w:p w14:paraId="02BB863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支持用户在公众号/小程序点击“注册/绑卡/创建就诊人/添加就诊人等”时，后台调用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“绑卡验证授权接口“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，前端跳转接口返回的绑卡验证授权地址。</w:t>
      </w:r>
    </w:p>
    <w:p w14:paraId="0FE9FB00">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用户身份验证</w:t>
      </w:r>
    </w:p>
    <w:p w14:paraId="7CD4B9C1">
      <w:pPr>
        <w:pageBreakBefore w:val="0"/>
        <w:widowControl w:val="0"/>
        <w:kinsoku/>
        <w:wordWrap/>
        <w:overflowPunct/>
        <w:topLinePunct w:val="0"/>
        <w:autoSpaceDE/>
        <w:autoSpaceDN/>
        <w:bidi w:val="0"/>
        <w:adjustRightInd/>
        <w:snapToGrid/>
        <w:spacing w:line="360" w:lineRule="auto"/>
        <w:ind w:left="0" w:firstLine="472" w:firstLineChars="200"/>
        <w:outlineLvl w:val="9"/>
        <w:rPr>
          <w:rFonts w:hint="eastAsia" w:ascii="宋体" w:hAnsi="宋体" w:eastAsia="宋体" w:cs="宋体"/>
          <w:color w:val="auto"/>
          <w:sz w:val="24"/>
          <w:szCs w:val="24"/>
        </w:rPr>
      </w:pPr>
      <w:r>
        <w:rPr>
          <w:rFonts w:hint="eastAsia" w:ascii="宋体" w:hAnsi="宋体" w:eastAsia="宋体" w:cs="宋体"/>
          <w:color w:val="auto"/>
          <w:spacing w:val="-2"/>
          <w:sz w:val="24"/>
          <w:szCs w:val="24"/>
        </w:rPr>
        <w:t>支持用户在上一个页面点击“关联使用”，跳转到“电子健康卡授权”页面，用户点击“同意”跳转到用户的健康卡选择页，用户选择“当前需要建档用户”的健康卡，跳转到“身份认证”页，选择其中一种认证方式并完成验证后会跳转到验证结果页</w:t>
      </w:r>
      <w:r>
        <w:rPr>
          <w:rFonts w:hint="eastAsia" w:ascii="宋体" w:hAnsi="宋体" w:eastAsia="宋体" w:cs="宋体"/>
          <w:color w:val="auto"/>
          <w:spacing w:val="-1"/>
          <w:sz w:val="24"/>
          <w:szCs w:val="24"/>
        </w:rPr>
        <w:t>面，用户可以点击“返回医院服务”回到医院的服务页面</w:t>
      </w:r>
      <w:r>
        <w:rPr>
          <w:rFonts w:hint="eastAsia" w:ascii="宋体" w:hAnsi="宋体" w:eastAsia="宋体" w:cs="宋体"/>
          <w:color w:val="auto"/>
          <w:spacing w:val="-40"/>
          <w:sz w:val="24"/>
          <w:szCs w:val="24"/>
        </w:rPr>
        <w:t>，</w:t>
      </w:r>
      <w:r>
        <w:rPr>
          <w:rFonts w:hint="eastAsia" w:ascii="宋体" w:hAnsi="宋体" w:eastAsia="宋体" w:cs="宋体"/>
          <w:color w:val="auto"/>
          <w:spacing w:val="-1"/>
          <w:sz w:val="24"/>
          <w:szCs w:val="24"/>
        </w:rPr>
        <w:t>开放平台将选择的卡信息生成返回到</w:t>
      </w:r>
      <w:r>
        <w:rPr>
          <w:rFonts w:hint="eastAsia" w:ascii="宋体" w:hAnsi="宋体" w:eastAsia="宋体" w:cs="宋体"/>
          <w:color w:val="auto"/>
          <w:spacing w:val="-2"/>
          <w:sz w:val="24"/>
          <w:szCs w:val="24"/>
        </w:rPr>
        <w:t>接口传入的</w:t>
      </w:r>
      <w:r>
        <w:rPr>
          <w:rFonts w:hint="eastAsia" w:ascii="宋体" w:hAnsi="宋体" w:eastAsia="宋体" w:cs="宋体"/>
          <w:color w:val="auto"/>
          <w:sz w:val="24"/>
          <w:szCs w:val="24"/>
        </w:rPr>
        <w:t>回跳页面</w:t>
      </w:r>
      <w:r>
        <w:rPr>
          <w:rFonts w:hint="eastAsia" w:ascii="宋体" w:hAnsi="宋体" w:eastAsia="宋体" w:cs="宋体"/>
          <w:color w:val="auto"/>
          <w:spacing w:val="-40"/>
          <w:sz w:val="24"/>
          <w:szCs w:val="24"/>
        </w:rPr>
        <w:t>，</w:t>
      </w:r>
      <w:r>
        <w:rPr>
          <w:rFonts w:hint="eastAsia" w:ascii="宋体" w:hAnsi="宋体" w:eastAsia="宋体" w:cs="宋体"/>
          <w:color w:val="auto"/>
          <w:sz w:val="24"/>
          <w:szCs w:val="24"/>
        </w:rPr>
        <w:t>并在路径中回传数据。</w:t>
      </w:r>
    </w:p>
    <w:p w14:paraId="70E6A5FA">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添加健康卡</w:t>
      </w:r>
    </w:p>
    <w:p w14:paraId="7FE3EF99">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支持点击“添加健康卡”，填写用户信息页，并在路径中回传数据；回跳链接需处理占位才会返回，调用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验证注册/绑卡接口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时的请求参数，有效期30分钟且不能重复使用。</w:t>
      </w:r>
    </w:p>
    <w:p w14:paraId="0D0A2875">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用户填写页完成信息填写，点击保存/提交触发后台调用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验证注册/绑卡接</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前端跳转到该接口返回的身份验证页地址，页面会跳转到“身份认证”页，用户选择一种认证方式并完成验证后会跳转到验证结果页面，用户可以点击“返回医院服务”回到医院的服务页面，开放平台将选择的卡信息生成，返回到ISV接口传入的回跳页面，并在路径中回传；回跳链接需处理占位才会返回。</w:t>
      </w:r>
    </w:p>
    <w:p w14:paraId="7844E11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支持获取已有健康卡信息，完成院内建档：缓存健康卡授权码，将数据作为入参调用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“康卡授权码获取健康卡信息接口”，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获取用户信息用于院内建档，建档成功；若存在额外的建档所需的字段，医院服务页面可控制页面再跳转服务商填写页引导用户补充信息；</w:t>
      </w:r>
    </w:p>
    <w:p w14:paraId="17D67651">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验证失败处理</w:t>
      </w:r>
    </w:p>
    <w:p w14:paraId="2022E87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若用户放弃验证，将不会为用户创建健康卡，返回到医院传入的验证失败回跳页面，验证失败后应允许用户创建就诊卡或引导其他就医渠道，避免阻碍用户就医。</w:t>
      </w:r>
    </w:p>
    <w:p w14:paraId="4DB090FD">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卡管异常处理</w:t>
      </w:r>
    </w:p>
    <w:p w14:paraId="3E5A5DBB">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若卡管系统服务异常，则进入分支流程，将用户身份信息生成返回到ISV接口传入的建卡失败回调页面，并在路径中回传；缓存数据作为入参调用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获取建档信息接口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，获取用户身份信息，自行处理用户院内就医流程。</w:t>
      </w:r>
    </w:p>
    <w:p w14:paraId="216DF037">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数据查询管理</w:t>
      </w:r>
    </w:p>
    <w:p w14:paraId="56ED75D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跳转统一验证页：用户查询检验报告、检查报告、体检报告、住院清单等敏感信息时，先获取数据，调用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实人验证生成接口，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前端跳转接口返回的统一验证页地址。</w:t>
      </w:r>
    </w:p>
    <w:p w14:paraId="34CAEEF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用户身份验证：用户在统一验证页面上进行身份验证，验证通过后返回到ISV接口传入的回跳页面，并在路径中回传验证结果回跳链接需带上参数占位才会返回。</w:t>
      </w:r>
    </w:p>
    <w:p w14:paraId="1CBD00F9">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获取验证结果：ISV缓存验证结果，将返回的验证订单号作为入参调用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"https://open.tengmed.com/openAccess/docs/develop" \l "117"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实人验证结果查询接口，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验证用户验证结果信息。</w:t>
      </w:r>
    </w:p>
    <w:p w14:paraId="15E8E6A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drawing>
          <wp:inline distT="0" distB="0" distL="114300" distR="114300">
            <wp:extent cx="8890" cy="8890"/>
            <wp:effectExtent l="0" t="0" r="0" b="0"/>
            <wp:docPr id="1" name="图片 1" descr="C:\Users\ADMINI~1\AppData\Local\Temp\ksohtml18344\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8344\wps1.jpg"/>
                    <pic:cNvPicPr>
                      <a:picLocks noChangeAspect="1"/>
                    </pic:cNvPicPr>
                  </pic:nvPicPr>
                  <pic:blipFill>
                    <a:blip r:embed="rId4"/>
                    <a:stretch>
                      <a:fillRect/>
                    </a:stretch>
                  </pic:blipFill>
                  <pic:spPr>
                    <a:xfrm>
                      <a:off x="0" y="0"/>
                      <a:ext cx="8890" cy="8890"/>
                    </a:xfrm>
                    <a:prstGeom prst="rect">
                      <a:avLst/>
                    </a:prstGeom>
                    <a:noFill/>
                    <a:ln>
                      <a:noFill/>
                    </a:ln>
                  </pic:spPr>
                </pic:pic>
              </a:graphicData>
            </a:graphic>
          </wp:inline>
        </w:drawing>
      </w:r>
      <w:r>
        <w:rPr>
          <w:rFonts w:hint="eastAsia" w:ascii="宋体" w:hAnsi="宋体" w:eastAsia="宋体" w:cs="宋体"/>
          <w:color w:val="auto"/>
          <w:sz w:val="24"/>
          <w:szCs w:val="24"/>
        </w:rPr>
        <w:t>验证失败处理：若用户放弃验证，返回到ISV接口传入的回跳页面，服务商可根据医院实际情况采用个性化兜底方案处理用户验证，帮助用户开展业务</w:t>
      </w:r>
    </w:p>
    <w:p w14:paraId="76391AB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切换就诊人：若查询中用户切换就诊人，服务商需从步骤1开始重新调用发起验证。</w:t>
      </w:r>
    </w:p>
    <w:p w14:paraId="33A1B668">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用户查询报告：完成身份验证后，用户就可以查看报告内容。平台还提供了指标解读功能，基于权威、专业的指标知识库，为用户提供报告指标解读，帮助用户看懂报告。</w:t>
      </w:r>
    </w:p>
    <w:p w14:paraId="1D0DA7FA">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怀化市全民健康信息平台对接</w:t>
      </w:r>
    </w:p>
    <w:p w14:paraId="4DBA028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支持对接怀化市全民健康信息平台，实现居民健康档案调阅服务，包括以下：</w:t>
      </w:r>
    </w:p>
    <w:p w14:paraId="702B6564">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接口说明</w:t>
      </w:r>
    </w:p>
    <w:p w14:paraId="3CF6A34D">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firstLine="482" w:firstLineChars="20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接口基础参数说明</w:t>
      </w:r>
    </w:p>
    <w:p w14:paraId="7C790AC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接口地址：http://IP:PORT/PHP/accessRecord</w:t>
      </w:r>
    </w:p>
    <w:p w14:paraId="2D10357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调用方式：httpget</w:t>
      </w:r>
    </w:p>
    <w:p w14:paraId="2EEA96B1">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参数说明：</w:t>
      </w:r>
    </w:p>
    <w:tbl>
      <w:tblPr>
        <w:tblStyle w:val="10"/>
        <w:tblW w:w="8302"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3"/>
        <w:gridCol w:w="567"/>
        <w:gridCol w:w="1159"/>
        <w:gridCol w:w="1300"/>
        <w:gridCol w:w="2216"/>
        <w:gridCol w:w="1247"/>
      </w:tblGrid>
      <w:tr w14:paraId="16F55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380" w:type="dxa"/>
            <w:gridSpan w:val="2"/>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3E21A42E">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参数名</w:t>
            </w:r>
          </w:p>
        </w:tc>
        <w:tc>
          <w:tcPr>
            <w:tcW w:w="4675" w:type="dxa"/>
            <w:gridSpan w:val="3"/>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7FEB437B">
            <w:pPr>
              <w:widowControl w:val="0"/>
              <w:adjustRightInd w:val="0"/>
              <w:snapToGrid w:val="0"/>
              <w:spacing w:line="360" w:lineRule="auto"/>
              <w:ind w:firstLine="480" w:firstLineChars="20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参数说明</w:t>
            </w:r>
          </w:p>
        </w:tc>
        <w:tc>
          <w:tcPr>
            <w:tcW w:w="1247" w:type="dxa"/>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5A368E0C">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是否必填</w:t>
            </w:r>
          </w:p>
        </w:tc>
      </w:tr>
      <w:tr w14:paraId="640D3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302" w:type="dxa"/>
            <w:gridSpan w:val="6"/>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4D34782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输入参数</w:t>
            </w:r>
          </w:p>
        </w:tc>
      </w:tr>
      <w:tr w14:paraId="763E0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80" w:type="dxa"/>
            <w:gridSpan w:val="2"/>
            <w:tcBorders>
              <w:top w:val="single" w:color="000000" w:sz="2" w:space="0"/>
              <w:left w:val="single" w:color="000000" w:sz="2" w:space="0"/>
              <w:bottom w:val="single" w:color="000000" w:sz="2" w:space="0"/>
              <w:right w:val="single" w:color="000000" w:sz="2" w:space="0"/>
            </w:tcBorders>
            <w:noWrap w:val="0"/>
            <w:vAlign w:val="top"/>
          </w:tcPr>
          <w:p w14:paraId="35F8BC7C">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appCode</w:t>
            </w:r>
          </w:p>
        </w:tc>
        <w:tc>
          <w:tcPr>
            <w:tcW w:w="4675" w:type="dxa"/>
            <w:gridSpan w:val="3"/>
            <w:tcBorders>
              <w:top w:val="single" w:color="000000" w:sz="2" w:space="0"/>
              <w:left w:val="single" w:color="000000" w:sz="2" w:space="0"/>
              <w:bottom w:val="single" w:color="000000" w:sz="2" w:space="0"/>
              <w:right w:val="single" w:color="000000" w:sz="2" w:space="0"/>
            </w:tcBorders>
            <w:noWrap w:val="0"/>
            <w:vAlign w:val="top"/>
          </w:tcPr>
          <w:p w14:paraId="68398B03">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厂商标识,由平台分配，如：changxinjc</w:t>
            </w:r>
          </w:p>
        </w:tc>
        <w:tc>
          <w:tcPr>
            <w:tcW w:w="1247" w:type="dxa"/>
            <w:tcBorders>
              <w:top w:val="single" w:color="000000" w:sz="2" w:space="0"/>
              <w:left w:val="single" w:color="000000" w:sz="2" w:space="0"/>
              <w:bottom w:val="single" w:color="000000" w:sz="2" w:space="0"/>
              <w:right w:val="single" w:color="000000" w:sz="2" w:space="0"/>
            </w:tcBorders>
            <w:noWrap w:val="0"/>
            <w:vAlign w:val="top"/>
          </w:tcPr>
          <w:p w14:paraId="2FBF6BF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r>
      <w:tr w14:paraId="1BA29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2380" w:type="dxa"/>
            <w:gridSpan w:val="2"/>
            <w:tcBorders>
              <w:top w:val="single" w:color="000000" w:sz="2" w:space="0"/>
              <w:left w:val="single" w:color="000000" w:sz="2" w:space="0"/>
              <w:bottom w:val="single" w:color="000000" w:sz="2" w:space="0"/>
              <w:right w:val="single" w:color="000000" w:sz="2" w:space="0"/>
            </w:tcBorders>
            <w:noWrap w:val="0"/>
            <w:vAlign w:val="top"/>
          </w:tcPr>
          <w:p w14:paraId="2656FCFF">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extendInfo</w:t>
            </w:r>
          </w:p>
        </w:tc>
        <w:tc>
          <w:tcPr>
            <w:tcW w:w="4675" w:type="dxa"/>
            <w:gridSpan w:val="3"/>
            <w:tcBorders>
              <w:top w:val="single" w:color="000000" w:sz="2" w:space="0"/>
              <w:left w:val="single" w:color="000000" w:sz="2" w:space="0"/>
              <w:bottom w:val="single" w:color="000000" w:sz="2" w:space="0"/>
              <w:right w:val="single" w:color="000000" w:sz="2" w:space="0"/>
            </w:tcBorders>
            <w:noWrap w:val="0"/>
            <w:vAlign w:val="top"/>
          </w:tcPr>
          <w:p w14:paraId="674113A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加密字符串信息（规则如下）</w:t>
            </w:r>
          </w:p>
        </w:tc>
        <w:tc>
          <w:tcPr>
            <w:tcW w:w="1247" w:type="dxa"/>
            <w:tcBorders>
              <w:top w:val="single" w:color="000000" w:sz="2" w:space="0"/>
              <w:left w:val="single" w:color="000000" w:sz="2" w:space="0"/>
              <w:bottom w:val="single" w:color="000000" w:sz="2" w:space="0"/>
              <w:right w:val="single" w:color="000000" w:sz="2" w:space="0"/>
            </w:tcBorders>
            <w:noWrap w:val="0"/>
            <w:vAlign w:val="top"/>
          </w:tcPr>
          <w:p w14:paraId="0C787C8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r>
      <w:tr w14:paraId="06250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302" w:type="dxa"/>
            <w:gridSpan w:val="6"/>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388A247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输出参数</w:t>
            </w:r>
          </w:p>
        </w:tc>
      </w:tr>
      <w:tr w14:paraId="42CB1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8302" w:type="dxa"/>
            <w:gridSpan w:val="6"/>
            <w:tcBorders>
              <w:top w:val="single" w:color="000000" w:sz="2" w:space="0"/>
              <w:left w:val="single" w:color="000000" w:sz="2" w:space="0"/>
              <w:bottom w:val="single" w:color="000000" w:sz="2" w:space="0"/>
              <w:right w:val="single" w:color="000000" w:sz="2" w:space="0"/>
            </w:tcBorders>
            <w:noWrap w:val="0"/>
            <w:vAlign w:val="top"/>
          </w:tcPr>
          <w:p w14:paraId="623E3CB1">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居民健康档案界面</w:t>
            </w:r>
          </w:p>
        </w:tc>
      </w:tr>
      <w:tr w14:paraId="0AEB3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302" w:type="dxa"/>
            <w:gridSpan w:val="6"/>
            <w:tcBorders>
              <w:top w:val="single" w:color="000000" w:sz="2" w:space="0"/>
              <w:left w:val="single" w:color="000000" w:sz="2" w:space="0"/>
              <w:bottom w:val="single" w:color="000000" w:sz="2" w:space="0"/>
              <w:right w:val="single" w:color="000000" w:sz="2" w:space="0"/>
            </w:tcBorders>
            <w:noWrap w:val="0"/>
            <w:vAlign w:val="top"/>
          </w:tcPr>
          <w:p w14:paraId="04B7ACA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extendInfo字段说明</w:t>
            </w:r>
          </w:p>
        </w:tc>
      </w:tr>
      <w:tr w14:paraId="3DBA0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13" w:type="dxa"/>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40C7350B">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参数名</w:t>
            </w:r>
          </w:p>
        </w:tc>
        <w:tc>
          <w:tcPr>
            <w:tcW w:w="1726" w:type="dxa"/>
            <w:gridSpan w:val="2"/>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50732F91">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参数说明</w:t>
            </w:r>
          </w:p>
        </w:tc>
        <w:tc>
          <w:tcPr>
            <w:tcW w:w="1300" w:type="dxa"/>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7379B767">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是否必填</w:t>
            </w:r>
          </w:p>
        </w:tc>
        <w:tc>
          <w:tcPr>
            <w:tcW w:w="3463" w:type="dxa"/>
            <w:gridSpan w:val="2"/>
            <w:tcBorders>
              <w:top w:val="single" w:color="000000" w:sz="2" w:space="0"/>
              <w:left w:val="single" w:color="000000" w:sz="2" w:space="0"/>
              <w:bottom w:val="single" w:color="000000" w:sz="2" w:space="0"/>
              <w:right w:val="single" w:color="000000" w:sz="2" w:space="0"/>
            </w:tcBorders>
            <w:shd w:val="clear" w:color="auto" w:fill="D9D9D9"/>
            <w:noWrap w:val="0"/>
            <w:vAlign w:val="top"/>
          </w:tcPr>
          <w:p w14:paraId="2C1B395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备注</w:t>
            </w:r>
          </w:p>
        </w:tc>
      </w:tr>
      <w:tr w14:paraId="0C1F0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1483A224">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idCard</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4AE15FD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身份证号</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0D42758B">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16AD460F">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p>
        </w:tc>
      </w:tr>
      <w:tr w14:paraId="50D93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4D4CCC0B">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patientName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6765FA46">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患者姓名</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2D611505">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3603127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p>
        </w:tc>
      </w:tr>
      <w:tr w14:paraId="46DF1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335D7EB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visitType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095F1F6B">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就诊类型</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7F250D6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否</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0444BE2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(查看某次就诊记录必填)患者本次就诊类型</w:t>
            </w:r>
          </w:p>
          <w:p w14:paraId="4C23A575">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1：门诊，3：住院</w:t>
            </w:r>
          </w:p>
        </w:tc>
      </w:tr>
      <w:tr w14:paraId="3DF1A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1"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469E3085">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visitNo</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5160EB1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就诊号</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7B62B1AF">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否</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523C062E">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(查看某次就诊记录必填)患者本次就诊流水号（住院号或者门诊号，一次就诊唯一）</w:t>
            </w:r>
          </w:p>
        </w:tc>
      </w:tr>
      <w:tr w14:paraId="30C25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3E73EF5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visitTime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2E4EA8B7">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就诊时间</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0DE12475">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否</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4D5CF2F8">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(查看某次就诊记录必填)yyyy-MM-ddHH:mm:ss</w:t>
            </w:r>
          </w:p>
        </w:tc>
      </w:tr>
      <w:tr w14:paraId="1749F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09BAA7C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visitorName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6E7A8451">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医生姓名</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57537A75">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3857EBC4">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调阅健康档案的医生姓名</w:t>
            </w:r>
          </w:p>
        </w:tc>
      </w:tr>
      <w:tr w14:paraId="637F2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2C24E9E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visitorCode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451B8DA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医生编码</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31F478D4">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4BBB49C2">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调阅健康档案的医生编号</w:t>
            </w:r>
          </w:p>
        </w:tc>
      </w:tr>
      <w:tr w14:paraId="4776B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39D4F44C">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deviceId</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06342CD3">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设备号</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68540422">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否</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4A8C04B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若为自助机则必填</w:t>
            </w:r>
          </w:p>
        </w:tc>
      </w:tr>
      <w:tr w14:paraId="2B1B1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06DDAF7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orgCode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1E84691F">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机构编码</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0BF7187A">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68575C62">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访问者所在机构</w:t>
            </w:r>
          </w:p>
        </w:tc>
      </w:tr>
      <w:tr w14:paraId="77340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700BEE1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deptCode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3B8D6C78">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科室编码</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4B6871E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7EF1365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访问者所在科室</w:t>
            </w:r>
          </w:p>
        </w:tc>
      </w:tr>
      <w:tr w14:paraId="361DE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7040A7C3">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deptName</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32701453">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科室名称</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658D9D9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63DD612D">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科室名称</w:t>
            </w:r>
          </w:p>
        </w:tc>
      </w:tr>
      <w:tr w14:paraId="48B1D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1813" w:type="dxa"/>
            <w:tcBorders>
              <w:top w:val="single" w:color="000000" w:sz="2" w:space="0"/>
              <w:left w:val="single" w:color="000000" w:sz="2" w:space="0"/>
              <w:bottom w:val="single" w:color="000000" w:sz="2" w:space="0"/>
              <w:right w:val="single" w:color="000000" w:sz="2" w:space="0"/>
            </w:tcBorders>
            <w:noWrap w:val="0"/>
            <w:vAlign w:val="center"/>
          </w:tcPr>
          <w:p w14:paraId="1E9C13BB">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visitChannel</w:t>
            </w:r>
          </w:p>
        </w:tc>
        <w:tc>
          <w:tcPr>
            <w:tcW w:w="1726" w:type="dxa"/>
            <w:gridSpan w:val="2"/>
            <w:tcBorders>
              <w:top w:val="single" w:color="000000" w:sz="2" w:space="0"/>
              <w:left w:val="single" w:color="000000" w:sz="2" w:space="0"/>
              <w:bottom w:val="single" w:color="000000" w:sz="2" w:space="0"/>
              <w:right w:val="single" w:color="000000" w:sz="2" w:space="0"/>
            </w:tcBorders>
            <w:noWrap w:val="0"/>
            <w:vAlign w:val="center"/>
          </w:tcPr>
          <w:p w14:paraId="250DBBD2">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访问渠道</w:t>
            </w:r>
          </w:p>
        </w:tc>
        <w:tc>
          <w:tcPr>
            <w:tcW w:w="1300" w:type="dxa"/>
            <w:tcBorders>
              <w:top w:val="single" w:color="000000" w:sz="2" w:space="0"/>
              <w:left w:val="single" w:color="000000" w:sz="2" w:space="0"/>
              <w:bottom w:val="single" w:color="000000" w:sz="2" w:space="0"/>
              <w:right w:val="single" w:color="000000" w:sz="2" w:space="0"/>
            </w:tcBorders>
            <w:noWrap w:val="0"/>
            <w:vAlign w:val="center"/>
          </w:tcPr>
          <w:p w14:paraId="654C92D0">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否</w:t>
            </w:r>
          </w:p>
        </w:tc>
        <w:tc>
          <w:tcPr>
            <w:tcW w:w="3463" w:type="dxa"/>
            <w:gridSpan w:val="2"/>
            <w:tcBorders>
              <w:top w:val="single" w:color="000000" w:sz="2" w:space="0"/>
              <w:left w:val="single" w:color="000000" w:sz="2" w:space="0"/>
              <w:bottom w:val="single" w:color="000000" w:sz="2" w:space="0"/>
              <w:right w:val="single" w:color="000000" w:sz="2" w:space="0"/>
            </w:tcBorders>
            <w:noWrap w:val="0"/>
            <w:vAlign w:val="center"/>
          </w:tcPr>
          <w:p w14:paraId="3794557C">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1、自助机</w:t>
            </w:r>
          </w:p>
          <w:p w14:paraId="27F7478A">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2、医生工作站（默认）</w:t>
            </w:r>
          </w:p>
          <w:p w14:paraId="500608E9">
            <w:pPr>
              <w:widowControl w:val="0"/>
              <w:adjustRightInd w:val="0"/>
              <w:snapToGrid w:val="0"/>
              <w:spacing w:line="360" w:lineRule="auto"/>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3、移动APP/微信</w:t>
            </w:r>
          </w:p>
        </w:tc>
      </w:tr>
    </w:tbl>
    <w:p w14:paraId="77D878BE">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待加密参数管理</w:t>
      </w:r>
    </w:p>
    <w:p w14:paraId="6BA69676">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支持将上述表格中的参数构成</w:t>
      </w: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"https://so.csdn.net/so/search?q=%E5%8A%A0%E5%AF%86&amp;spm=1001.2101.3001.7020"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待加密的</w:t>
      </w:r>
      <w:r>
        <w:rPr>
          <w:rFonts w:hint="eastAsia" w:ascii="宋体" w:hAnsi="宋体" w:eastAsia="宋体" w:cs="宋体"/>
          <w:color w:val="auto"/>
          <w:kern w:val="2"/>
          <w:sz w:val="24"/>
          <w:szCs w:val="24"/>
          <w:lang w:val="en-US" w:eastAsia="zh-CN" w:bidi="ar-SA"/>
        </w:rPr>
        <w:fldChar w:fldCharType="end"/>
      </w:r>
      <w:r>
        <w:rPr>
          <w:rFonts w:hint="eastAsia" w:ascii="宋体" w:hAnsi="宋体" w:eastAsia="宋体" w:cs="宋体"/>
          <w:color w:val="auto"/>
          <w:kern w:val="2"/>
          <w:sz w:val="24"/>
          <w:szCs w:val="24"/>
          <w:lang w:val="en-US" w:eastAsia="zh-CN" w:bidi="ar-SA"/>
        </w:rPr>
        <w:t>json字符串，示例如下：</w:t>
      </w:r>
    </w:p>
    <w:p w14:paraId="2B734181">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"idCard":"XX",</w:t>
      </w:r>
    </w:p>
    <w:p w14:paraId="323A2CA3">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"patientName":"430123196409229570","visitorName":"XX",</w:t>
      </w:r>
    </w:p>
    <w:p w14:paraId="034187A4">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"visitorCode":"CJE003",</w:t>
      </w:r>
    </w:p>
    <w:p w14:paraId="0AB0A50E">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"orgCode":"44501318943018112C22","orgName":"XX",</w:t>
      </w:r>
    </w:p>
    <w:p w14:paraId="11A1BA51">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"deptCode":"561",</w:t>
      </w:r>
    </w:p>
    <w:p w14:paraId="3BBE8940">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"deptName":"内科",</w:t>
      </w:r>
    </w:p>
    <w:p w14:paraId="235AD9D5">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"roleCode":"doctor","visitType":"2",</w:t>
      </w:r>
    </w:p>
    <w:p w14:paraId="7C6D37B5">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"visitNo":"2021003032","visitTime":"2022-09-08",</w:t>
      </w:r>
    </w:p>
    <w:p w14:paraId="76ADADDC">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"visitChannel":"2","deviceId":""</w:t>
      </w:r>
    </w:p>
    <w:p w14:paraId="28A6EE3F">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加密密钥管理</w:t>
      </w:r>
    </w:p>
    <w:p w14:paraId="7D85BEF2">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支持根据加密算法SM4，使用分配的key转16进制，截取前面32位作为报文加密密钥。</w:t>
      </w:r>
    </w:p>
    <w:p w14:paraId="15A2A564">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获取密文管理</w:t>
      </w:r>
    </w:p>
    <w:p w14:paraId="612D4175">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支持根据加密算法SM4，使用获得的报文加密密钥，得到待加密串，并将加密结果转16进制，再将16进制串转换为大写，获得加密密文。</w:t>
      </w:r>
    </w:p>
    <w:p w14:paraId="6E3801AD">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调阅结果管理</w:t>
      </w:r>
    </w:p>
    <w:p w14:paraId="4FD70791">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最后将请求参数拼接成请求链接，并调阅结果，出现健康档案界面，表示调阅成功。</w:t>
      </w:r>
    </w:p>
    <w:p w14:paraId="0577771E">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居民健康档案调阅交互服务</w:t>
      </w:r>
    </w:p>
    <w:p w14:paraId="6AD4B39D">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接口说明</w:t>
      </w:r>
    </w:p>
    <w:p w14:paraId="785D7514">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接口地址：http://IP:PORT/PHP/accessRecord</w:t>
      </w:r>
    </w:p>
    <w:p w14:paraId="7006AB5C">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调用方式：httpget</w:t>
      </w:r>
    </w:p>
    <w:p w14:paraId="5DCBD8C9">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参数说明：怀化市全民健康信息平台交互服务规范-居民健康档案调阅分册</w:t>
      </w:r>
    </w:p>
    <w:p w14:paraId="07290F65">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生成规则:</w:t>
      </w:r>
    </w:p>
    <w:p w14:paraId="2C9A2E2C">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1.待加密参数</w:t>
      </w:r>
    </w:p>
    <w:p w14:paraId="2E0FD561">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将上述表格中的参数构成待加密的json字符串：</w:t>
      </w:r>
    </w:p>
    <w:p w14:paraId="5582C5B9">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2.报文加密密钥</w:t>
      </w:r>
    </w:p>
    <w:p w14:paraId="4DB7FAD1">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根据加密算法SM4(SM4算法加密参数见末尾备注)，使用分配的key转16进制，截取前面32位作为报文加密密钥。得到加密秘钥</w:t>
      </w:r>
    </w:p>
    <w:p w14:paraId="7650EECB">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3.获取密文</w:t>
      </w:r>
    </w:p>
    <w:p w14:paraId="4E820252">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根据加密算法SM4，使用在第2）步中获得的报文加密密钥，加密在第1）步中</w:t>
      </w:r>
    </w:p>
    <w:p w14:paraId="6146365A">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得到的待加密串，并将加密结果转16进制，再将16进制串转换为大写，获得加</w:t>
      </w:r>
    </w:p>
    <w:p w14:paraId="641B42DE">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密密文extendInfo:</w:t>
      </w:r>
    </w:p>
    <w:p w14:paraId="03FA143E">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C36A940D5D07780ADB09C30888AB90CF6EB9A8E2F57A54D87D69C8F4F0DAA196BB49E怀化市全民健康信息平台交互服务规范-居民健康档案调阅分册</w:t>
      </w:r>
    </w:p>
    <w:p w14:paraId="40DE5DC9">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最后将请求参数拼接成请求链接</w:t>
      </w:r>
    </w:p>
    <w:p w14:paraId="1EDA9B78">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检验检查结果互认交互服务</w:t>
      </w:r>
    </w:p>
    <w:p w14:paraId="440042FC">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在检验检查报告互认平台中，会维护一套根据卫健委制定的、可互认的、标</w:t>
      </w:r>
    </w:p>
    <w:p w14:paraId="78C5436F">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准的检验检查项目编码、项目内涵代码（指标代码），各医疗机构需要和标准项目编码做映射、检验报告结果中的指标代码需要和项目内涵代码做映射。医疗机构也可以通过平台开放的接口，查询标准互认项目目录。（接口标准互认项目查询接口），报告互认涉及到诊前、诊中、诊后。</w:t>
      </w:r>
    </w:p>
    <w:p w14:paraId="38F1ED98">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诊前：患者到医院就诊时（挂号或住院登记），医院将患者的就诊信息推送</w:t>
      </w:r>
    </w:p>
    <w:p w14:paraId="533D5268">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给互认平台、平台可提前将患者的可互认报告推送到医院前置节点，进行缓存，以提供调阅效率</w:t>
      </w:r>
    </w:p>
    <w:p w14:paraId="48D4996D">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诊中：医生在给病人开具若干检验检查项目时，可以将就诊人信息以及可互</w:t>
      </w:r>
    </w:p>
    <w:p w14:paraId="27DF07B6">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认的项目编码传给互认平台进行重复检验检查校验（接口重复检验检查校验），互认平台根据就诊人信息和互认项目编码检索就诊人在指定有效期内的项目报告集合，并将报告查看的URL地址返回。HIS根据重复校验结果，在工作站提示怀化市全民健康信息平台交互服务规范-检验检查结果互认分册</w:t>
      </w:r>
    </w:p>
    <w:p w14:paraId="56D4864F">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生哪些项目存在可互认的报告，医生点击报告查看按钮，跳转到平台的互认报告查询页面。医生操作互认报告页面，确定报告可互认后，点击平台的互认按钮，平台会生成互认记录并将互认的报告信息通过接口发送给HIS（互认检验报告接收接口，互认检查报告接收接口）。HIS根据自己的业务需求，将互认报告结果进行存储或其他业务处理（例如生成的病历中）。</w:t>
      </w:r>
    </w:p>
    <w:p w14:paraId="682D8D2C">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诊后：医院可以通过调用平台的互认记录查询接口进行互认信息核对。</w:t>
      </w:r>
    </w:p>
    <w:p w14:paraId="7A9910A6">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微信公众服务交互服务</w:t>
      </w:r>
    </w:p>
    <w:p w14:paraId="3C701019">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预约挂号接口规范</w:t>
      </w:r>
    </w:p>
    <w:p w14:paraId="5D0EAC17">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医疗机构内部，通过与医院信息系统的接口，实现挂号科室、排班、号源信息、预约挂号数据的交换。</w:t>
      </w:r>
    </w:p>
    <w:p w14:paraId="6B3997C8">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云医院与医院管理信息系统（HIS）的数据接口模式：双方采用</w:t>
      </w: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r>
        <w:rPr>
          <w:rFonts w:hint="eastAsia" w:ascii="宋体" w:hAnsi="宋体" w:eastAsia="宋体" w:cs="宋体"/>
          <w:color w:val="auto"/>
          <w:kern w:val="2"/>
          <w:sz w:val="24"/>
          <w:szCs w:val="24"/>
          <w:lang w:val="en-US" w:eastAsia="zh-CN" w:bidi="ar-SA"/>
        </w:rPr>
        <w:t>方式进行数据交互。由数据接收方提供接口，数据产生方发送数据到接收方接口来完成。</w:t>
      </w:r>
    </w:p>
    <w:p w14:paraId="34F88FF8">
      <w:pPr>
        <w:pageBreakBefore w:val="0"/>
        <w:widowControl w:val="0"/>
        <w:kinsoku/>
        <w:wordWrap/>
        <w:overflowPunct/>
        <w:topLinePunct w:val="0"/>
        <w:autoSpaceDE/>
        <w:autoSpaceDN/>
        <w:bidi w:val="0"/>
        <w:adjustRightInd/>
        <w:snapToGrid/>
        <w:spacing w:before="0" w:after="0" w:line="360" w:lineRule="auto"/>
        <w:ind w:lef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预约挂号与当日挂号共用同一套接口，通过查询时间来确定是预约挂号还是当日挂号，即查询时间是当天的就是当日挂号。</w:t>
      </w:r>
    </w:p>
    <w:p w14:paraId="47371A16">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tbl>
      <w:tblPr>
        <w:tblStyle w:val="10"/>
        <w:tblW w:w="87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965"/>
        <w:gridCol w:w="2735"/>
        <w:gridCol w:w="1795"/>
        <w:gridCol w:w="1554"/>
      </w:tblGrid>
      <w:tr w14:paraId="30FCB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2" w:type="dxa"/>
            <w:shd w:val="clear" w:color="auto" w:fill="D9D9D9"/>
            <w:noWrap w:val="0"/>
            <w:vAlign w:val="center"/>
          </w:tcPr>
          <w:p w14:paraId="4831DB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1965" w:type="dxa"/>
            <w:shd w:val="clear" w:color="auto" w:fill="D9D9D9"/>
            <w:noWrap w:val="0"/>
            <w:vAlign w:val="center"/>
          </w:tcPr>
          <w:p w14:paraId="090A05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2735" w:type="dxa"/>
            <w:shd w:val="clear" w:color="auto" w:fill="D9D9D9"/>
            <w:noWrap w:val="0"/>
            <w:vAlign w:val="center"/>
          </w:tcPr>
          <w:p w14:paraId="6F4429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1795" w:type="dxa"/>
            <w:shd w:val="clear" w:color="auto" w:fill="D9D9D9"/>
            <w:noWrap w:val="0"/>
            <w:vAlign w:val="center"/>
          </w:tcPr>
          <w:p w14:paraId="7E67B7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1554" w:type="dxa"/>
            <w:shd w:val="clear" w:color="auto" w:fill="D9D9D9"/>
            <w:noWrap w:val="0"/>
            <w:vAlign w:val="center"/>
          </w:tcPr>
          <w:p w14:paraId="1B9DB9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4D29A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761" w:type="dxa"/>
            <w:gridSpan w:val="5"/>
            <w:noWrap w:val="0"/>
            <w:vAlign w:val="center"/>
          </w:tcPr>
          <w:p w14:paraId="01C1BA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必选接口</w:t>
            </w:r>
          </w:p>
        </w:tc>
      </w:tr>
      <w:tr w14:paraId="0A302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4E6AB0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1965" w:type="dxa"/>
            <w:noWrap w:val="0"/>
            <w:vAlign w:val="center"/>
          </w:tcPr>
          <w:p w14:paraId="021AC6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排班科室查询</w:t>
            </w:r>
          </w:p>
        </w:tc>
        <w:tc>
          <w:tcPr>
            <w:tcW w:w="2735" w:type="dxa"/>
            <w:noWrap w:val="0"/>
            <w:vAlign w:val="center"/>
          </w:tcPr>
          <w:p w14:paraId="09DA55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querySchedualDeptInfo</w:t>
            </w:r>
          </w:p>
        </w:tc>
        <w:tc>
          <w:tcPr>
            <w:tcW w:w="1795" w:type="dxa"/>
            <w:noWrap w:val="0"/>
            <w:vAlign w:val="center"/>
          </w:tcPr>
          <w:p w14:paraId="6D97C7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266C6B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669DB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23F956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bookmarkStart w:id="23" w:name="bookmark70"/>
            <w:bookmarkEnd w:id="23"/>
            <w:r>
              <w:rPr>
                <w:rFonts w:hint="eastAsia" w:ascii="宋体" w:hAnsi="宋体" w:eastAsia="宋体" w:cs="宋体"/>
                <w:color w:val="auto"/>
                <w:kern w:val="2"/>
                <w:sz w:val="24"/>
                <w:szCs w:val="24"/>
                <w:lang w:val="en-US" w:eastAsia="zh-CN" w:bidi="ar-SA"/>
              </w:rPr>
              <w:t>2</w:t>
            </w:r>
          </w:p>
        </w:tc>
        <w:tc>
          <w:tcPr>
            <w:tcW w:w="1965" w:type="dxa"/>
            <w:noWrap w:val="0"/>
            <w:vAlign w:val="center"/>
          </w:tcPr>
          <w:p w14:paraId="080043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排班查询服务</w:t>
            </w:r>
          </w:p>
        </w:tc>
        <w:tc>
          <w:tcPr>
            <w:tcW w:w="2735" w:type="dxa"/>
            <w:noWrap w:val="0"/>
            <w:vAlign w:val="center"/>
          </w:tcPr>
          <w:p w14:paraId="10835C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querySchedulesInfo</w:t>
            </w:r>
          </w:p>
        </w:tc>
        <w:tc>
          <w:tcPr>
            <w:tcW w:w="1795" w:type="dxa"/>
            <w:noWrap w:val="0"/>
            <w:vAlign w:val="center"/>
          </w:tcPr>
          <w:p w14:paraId="452CEA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0B3D5C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760C6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12" w:type="dxa"/>
            <w:noWrap w:val="0"/>
            <w:vAlign w:val="center"/>
          </w:tcPr>
          <w:p w14:paraId="0BAAA0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1965" w:type="dxa"/>
            <w:noWrap w:val="0"/>
            <w:vAlign w:val="center"/>
          </w:tcPr>
          <w:p w14:paraId="6089DB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号源查询服务</w:t>
            </w:r>
          </w:p>
        </w:tc>
        <w:tc>
          <w:tcPr>
            <w:tcW w:w="2735" w:type="dxa"/>
            <w:noWrap w:val="0"/>
            <w:vAlign w:val="center"/>
          </w:tcPr>
          <w:p w14:paraId="577116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queryNumbersInfo</w:t>
            </w:r>
          </w:p>
        </w:tc>
        <w:tc>
          <w:tcPr>
            <w:tcW w:w="1795" w:type="dxa"/>
            <w:noWrap w:val="0"/>
            <w:vAlign w:val="center"/>
          </w:tcPr>
          <w:p w14:paraId="0CBA81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7FA0EC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20E6B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7D2E81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1965" w:type="dxa"/>
            <w:noWrap w:val="0"/>
            <w:vAlign w:val="center"/>
          </w:tcPr>
          <w:p w14:paraId="117ED6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接收预约订单</w:t>
            </w:r>
          </w:p>
        </w:tc>
        <w:tc>
          <w:tcPr>
            <w:tcW w:w="2735" w:type="dxa"/>
            <w:noWrap w:val="0"/>
            <w:vAlign w:val="center"/>
          </w:tcPr>
          <w:p w14:paraId="574D75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acceptRegOrder</w:t>
            </w:r>
          </w:p>
        </w:tc>
        <w:tc>
          <w:tcPr>
            <w:tcW w:w="1795" w:type="dxa"/>
            <w:noWrap w:val="0"/>
            <w:vAlign w:val="center"/>
          </w:tcPr>
          <w:p w14:paraId="366F9F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6396D5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62A9C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noWrap w:val="0"/>
            <w:vAlign w:val="center"/>
          </w:tcPr>
          <w:p w14:paraId="117EDD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p>
        </w:tc>
        <w:tc>
          <w:tcPr>
            <w:tcW w:w="1965" w:type="dxa"/>
            <w:noWrap w:val="0"/>
            <w:vAlign w:val="center"/>
          </w:tcPr>
          <w:p w14:paraId="5C1CED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批量接收预约订单</w:t>
            </w:r>
          </w:p>
        </w:tc>
        <w:tc>
          <w:tcPr>
            <w:tcW w:w="2735" w:type="dxa"/>
            <w:noWrap w:val="0"/>
            <w:vAlign w:val="center"/>
          </w:tcPr>
          <w:p w14:paraId="35E350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acceptRegOrders</w:t>
            </w:r>
          </w:p>
        </w:tc>
        <w:tc>
          <w:tcPr>
            <w:tcW w:w="1795" w:type="dxa"/>
            <w:noWrap w:val="0"/>
            <w:vAlign w:val="center"/>
          </w:tcPr>
          <w:p w14:paraId="3C7976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2C5584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5586B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0FE0B1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w:t>
            </w:r>
          </w:p>
        </w:tc>
        <w:tc>
          <w:tcPr>
            <w:tcW w:w="1965" w:type="dxa"/>
            <w:noWrap w:val="0"/>
            <w:vAlign w:val="center"/>
          </w:tcPr>
          <w:p w14:paraId="27FD68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预约支付服务</w:t>
            </w:r>
          </w:p>
        </w:tc>
        <w:tc>
          <w:tcPr>
            <w:tcW w:w="2735" w:type="dxa"/>
            <w:noWrap w:val="0"/>
            <w:vAlign w:val="center"/>
          </w:tcPr>
          <w:p w14:paraId="0C842A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payRegOrder</w:t>
            </w:r>
          </w:p>
        </w:tc>
        <w:tc>
          <w:tcPr>
            <w:tcW w:w="1795" w:type="dxa"/>
            <w:noWrap w:val="0"/>
            <w:vAlign w:val="center"/>
          </w:tcPr>
          <w:p w14:paraId="51D0E4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3239E9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50C6B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6336D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w:t>
            </w:r>
          </w:p>
        </w:tc>
        <w:tc>
          <w:tcPr>
            <w:tcW w:w="1965" w:type="dxa"/>
            <w:noWrap w:val="0"/>
            <w:vAlign w:val="center"/>
          </w:tcPr>
          <w:p w14:paraId="1CC362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订单查询服务</w:t>
            </w:r>
          </w:p>
        </w:tc>
        <w:tc>
          <w:tcPr>
            <w:tcW w:w="2735" w:type="dxa"/>
            <w:noWrap w:val="0"/>
            <w:vAlign w:val="center"/>
          </w:tcPr>
          <w:p w14:paraId="61042F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queryOrderList</w:t>
            </w:r>
          </w:p>
        </w:tc>
        <w:tc>
          <w:tcPr>
            <w:tcW w:w="1795" w:type="dxa"/>
            <w:noWrap w:val="0"/>
            <w:vAlign w:val="center"/>
          </w:tcPr>
          <w:p w14:paraId="66BACA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37664B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14F86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2" w:type="dxa"/>
            <w:noWrap w:val="0"/>
            <w:vAlign w:val="center"/>
          </w:tcPr>
          <w:p w14:paraId="6C7B0B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w:t>
            </w:r>
          </w:p>
        </w:tc>
        <w:tc>
          <w:tcPr>
            <w:tcW w:w="1965" w:type="dxa"/>
            <w:noWrap w:val="0"/>
            <w:vAlign w:val="center"/>
          </w:tcPr>
          <w:p w14:paraId="41B8EE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患者就诊回调</w:t>
            </w:r>
          </w:p>
        </w:tc>
        <w:tc>
          <w:tcPr>
            <w:tcW w:w="2735" w:type="dxa"/>
            <w:noWrap w:val="0"/>
            <w:vAlign w:val="center"/>
          </w:tcPr>
          <w:p w14:paraId="4D881C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hisChangeOrderStatus</w:t>
            </w:r>
          </w:p>
        </w:tc>
        <w:tc>
          <w:tcPr>
            <w:tcW w:w="1795" w:type="dxa"/>
            <w:noWrap w:val="0"/>
            <w:vAlign w:val="center"/>
          </w:tcPr>
          <w:p w14:paraId="6685F6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0F4D65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F365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12" w:type="dxa"/>
            <w:noWrap w:val="0"/>
            <w:vAlign w:val="center"/>
          </w:tcPr>
          <w:p w14:paraId="713080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w:t>
            </w:r>
          </w:p>
        </w:tc>
        <w:tc>
          <w:tcPr>
            <w:tcW w:w="1965" w:type="dxa"/>
            <w:noWrap w:val="0"/>
            <w:vAlign w:val="center"/>
          </w:tcPr>
          <w:p w14:paraId="618EC6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预约退号服务</w:t>
            </w:r>
          </w:p>
        </w:tc>
        <w:tc>
          <w:tcPr>
            <w:tcW w:w="2735" w:type="dxa"/>
            <w:noWrap w:val="0"/>
            <w:vAlign w:val="center"/>
          </w:tcPr>
          <w:p w14:paraId="3371D3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cancelRegOrder</w:t>
            </w:r>
          </w:p>
        </w:tc>
        <w:tc>
          <w:tcPr>
            <w:tcW w:w="1795" w:type="dxa"/>
            <w:noWrap w:val="0"/>
            <w:vAlign w:val="center"/>
          </w:tcPr>
          <w:p w14:paraId="2FFE69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1EECDF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DAD6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12" w:type="dxa"/>
            <w:noWrap w:val="0"/>
            <w:vAlign w:val="center"/>
          </w:tcPr>
          <w:p w14:paraId="016B27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w:t>
            </w:r>
          </w:p>
        </w:tc>
        <w:tc>
          <w:tcPr>
            <w:tcW w:w="1965" w:type="dxa"/>
            <w:noWrap w:val="0"/>
            <w:vAlign w:val="center"/>
          </w:tcPr>
          <w:p w14:paraId="37C84A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预约退费服务</w:t>
            </w:r>
          </w:p>
        </w:tc>
        <w:tc>
          <w:tcPr>
            <w:tcW w:w="2735" w:type="dxa"/>
            <w:noWrap w:val="0"/>
            <w:vAlign w:val="center"/>
          </w:tcPr>
          <w:p w14:paraId="2B3DD8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chargeBackFeeInfo</w:t>
            </w:r>
          </w:p>
        </w:tc>
        <w:tc>
          <w:tcPr>
            <w:tcW w:w="1795" w:type="dxa"/>
            <w:noWrap w:val="0"/>
            <w:vAlign w:val="center"/>
          </w:tcPr>
          <w:p w14:paraId="50B1FE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554" w:type="dxa"/>
            <w:noWrap w:val="0"/>
            <w:vAlign w:val="center"/>
          </w:tcPr>
          <w:p w14:paraId="4B6341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bl>
    <w:p w14:paraId="16B982AB">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消息推送接口规范</w:t>
      </w:r>
    </w:p>
    <w:p w14:paraId="3994F5D9">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信息系统在患者诊疗等过程中产生新的推送信息，如待支付信息、预交金欠费以及检验检查报告发布等，为了使患者第一时间知道这些消息，并进行相关处理以提高用户体验，将这些消息推送到云医院平台。</w:t>
      </w:r>
    </w:p>
    <w:p w14:paraId="7BF4E712">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tbl>
      <w:tblPr>
        <w:tblStyle w:val="10"/>
        <w:tblW w:w="87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2263"/>
        <w:gridCol w:w="2647"/>
        <w:gridCol w:w="1508"/>
        <w:gridCol w:w="1603"/>
      </w:tblGrid>
      <w:tr w14:paraId="10F64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717" w:type="dxa"/>
            <w:shd w:val="clear" w:color="auto" w:fill="D9D9D9"/>
            <w:noWrap w:val="0"/>
            <w:vAlign w:val="center"/>
          </w:tcPr>
          <w:p w14:paraId="5E302A1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2263" w:type="dxa"/>
            <w:shd w:val="clear" w:color="auto" w:fill="D9D9D9"/>
            <w:noWrap w:val="0"/>
            <w:vAlign w:val="center"/>
          </w:tcPr>
          <w:p w14:paraId="2B60DE3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2647" w:type="dxa"/>
            <w:shd w:val="clear" w:color="auto" w:fill="D9D9D9"/>
            <w:noWrap w:val="0"/>
            <w:vAlign w:val="center"/>
          </w:tcPr>
          <w:p w14:paraId="3CEE6FA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1508" w:type="dxa"/>
            <w:shd w:val="clear" w:color="auto" w:fill="D9D9D9"/>
            <w:noWrap w:val="0"/>
            <w:vAlign w:val="center"/>
          </w:tcPr>
          <w:p w14:paraId="55C2067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1603" w:type="dxa"/>
            <w:shd w:val="clear" w:color="auto" w:fill="D9D9D9"/>
            <w:noWrap w:val="0"/>
            <w:vAlign w:val="center"/>
          </w:tcPr>
          <w:p w14:paraId="1EB0B2A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00C81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717" w:type="dxa"/>
            <w:noWrap w:val="0"/>
            <w:vAlign w:val="center"/>
          </w:tcPr>
          <w:p w14:paraId="3E50C15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2263" w:type="dxa"/>
            <w:noWrap w:val="0"/>
            <w:vAlign w:val="center"/>
          </w:tcPr>
          <w:p w14:paraId="5ADF1D8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诊间支付提醒消息</w:t>
            </w:r>
          </w:p>
        </w:tc>
        <w:tc>
          <w:tcPr>
            <w:tcW w:w="2647" w:type="dxa"/>
            <w:noWrap w:val="0"/>
            <w:vAlign w:val="center"/>
          </w:tcPr>
          <w:p w14:paraId="11A1BF7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sendNotPaidItems</w:t>
            </w:r>
          </w:p>
        </w:tc>
        <w:tc>
          <w:tcPr>
            <w:tcW w:w="1508" w:type="dxa"/>
            <w:noWrap w:val="0"/>
            <w:vAlign w:val="center"/>
          </w:tcPr>
          <w:p w14:paraId="0787595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603" w:type="dxa"/>
            <w:noWrap w:val="0"/>
            <w:vAlign w:val="center"/>
          </w:tcPr>
          <w:p w14:paraId="04CDED9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云医院平台</w:t>
            </w:r>
          </w:p>
        </w:tc>
      </w:tr>
      <w:tr w14:paraId="699B3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17" w:type="dxa"/>
            <w:noWrap w:val="0"/>
            <w:vAlign w:val="center"/>
          </w:tcPr>
          <w:p w14:paraId="149DE74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2263" w:type="dxa"/>
            <w:noWrap w:val="0"/>
            <w:vAlign w:val="center"/>
          </w:tcPr>
          <w:p w14:paraId="056F402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预交金欠费信息</w:t>
            </w:r>
          </w:p>
        </w:tc>
        <w:tc>
          <w:tcPr>
            <w:tcW w:w="2647" w:type="dxa"/>
            <w:noWrap w:val="0"/>
            <w:vAlign w:val="center"/>
          </w:tcPr>
          <w:p w14:paraId="196EF42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sendPrepaidAmount</w:t>
            </w:r>
          </w:p>
        </w:tc>
        <w:tc>
          <w:tcPr>
            <w:tcW w:w="1508" w:type="dxa"/>
            <w:noWrap w:val="0"/>
            <w:vAlign w:val="center"/>
          </w:tcPr>
          <w:p w14:paraId="09AAB8D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603" w:type="dxa"/>
            <w:noWrap w:val="0"/>
            <w:vAlign w:val="center"/>
          </w:tcPr>
          <w:p w14:paraId="3240564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云医院平台</w:t>
            </w:r>
          </w:p>
        </w:tc>
      </w:tr>
      <w:tr w14:paraId="0F9D6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17" w:type="dxa"/>
            <w:noWrap w:val="0"/>
            <w:vAlign w:val="center"/>
          </w:tcPr>
          <w:p w14:paraId="42EFC94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2263" w:type="dxa"/>
            <w:noWrap w:val="0"/>
            <w:vAlign w:val="center"/>
          </w:tcPr>
          <w:p w14:paraId="6D63B79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检验检查报告消息</w:t>
            </w:r>
          </w:p>
        </w:tc>
        <w:tc>
          <w:tcPr>
            <w:tcW w:w="2647" w:type="dxa"/>
            <w:noWrap w:val="0"/>
            <w:vAlign w:val="center"/>
          </w:tcPr>
          <w:p w14:paraId="27B9D3E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sendReportResult</w:t>
            </w:r>
          </w:p>
        </w:tc>
        <w:tc>
          <w:tcPr>
            <w:tcW w:w="1508" w:type="dxa"/>
            <w:noWrap w:val="0"/>
            <w:vAlign w:val="center"/>
          </w:tcPr>
          <w:p w14:paraId="3E01456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603" w:type="dxa"/>
            <w:noWrap w:val="0"/>
            <w:vAlign w:val="center"/>
          </w:tcPr>
          <w:p w14:paraId="4F533DA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云医院平台</w:t>
            </w:r>
          </w:p>
        </w:tc>
      </w:tr>
      <w:tr w14:paraId="12CD7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17" w:type="dxa"/>
            <w:noWrap w:val="0"/>
            <w:vAlign w:val="center"/>
          </w:tcPr>
          <w:p w14:paraId="503066B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2263" w:type="dxa"/>
            <w:noWrap w:val="0"/>
            <w:vAlign w:val="center"/>
          </w:tcPr>
          <w:p w14:paraId="7438A36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医生停诊通知消息</w:t>
            </w:r>
          </w:p>
        </w:tc>
        <w:tc>
          <w:tcPr>
            <w:tcW w:w="2647" w:type="dxa"/>
            <w:noWrap w:val="0"/>
            <w:vAlign w:val="center"/>
          </w:tcPr>
          <w:p w14:paraId="36BBF22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sendCancelSchedule</w:t>
            </w:r>
          </w:p>
        </w:tc>
        <w:tc>
          <w:tcPr>
            <w:tcW w:w="1508" w:type="dxa"/>
            <w:noWrap w:val="0"/>
            <w:vAlign w:val="center"/>
          </w:tcPr>
          <w:p w14:paraId="2AE7F20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603" w:type="dxa"/>
            <w:noWrap w:val="0"/>
            <w:vAlign w:val="center"/>
          </w:tcPr>
          <w:p w14:paraId="7F50878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云医院平台</w:t>
            </w:r>
          </w:p>
        </w:tc>
      </w:tr>
      <w:tr w14:paraId="11FC6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17" w:type="dxa"/>
            <w:noWrap w:val="0"/>
            <w:vAlign w:val="center"/>
          </w:tcPr>
          <w:p w14:paraId="4FA4634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p>
        </w:tc>
        <w:tc>
          <w:tcPr>
            <w:tcW w:w="2263" w:type="dxa"/>
            <w:noWrap w:val="0"/>
            <w:vAlign w:val="center"/>
          </w:tcPr>
          <w:p w14:paraId="394032E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诊疗卡注销通知消息</w:t>
            </w:r>
          </w:p>
        </w:tc>
        <w:tc>
          <w:tcPr>
            <w:tcW w:w="2647" w:type="dxa"/>
            <w:noWrap w:val="0"/>
            <w:vAlign w:val="center"/>
          </w:tcPr>
          <w:p w14:paraId="46429E5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sendDisableMedicalCard</w:t>
            </w:r>
          </w:p>
        </w:tc>
        <w:tc>
          <w:tcPr>
            <w:tcW w:w="1508" w:type="dxa"/>
            <w:noWrap w:val="0"/>
            <w:vAlign w:val="center"/>
          </w:tcPr>
          <w:p w14:paraId="7B0DCC2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603" w:type="dxa"/>
            <w:noWrap w:val="0"/>
            <w:vAlign w:val="center"/>
          </w:tcPr>
          <w:p w14:paraId="6CDA31A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云医院平台</w:t>
            </w:r>
          </w:p>
        </w:tc>
      </w:tr>
      <w:tr w14:paraId="5A339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717" w:type="dxa"/>
            <w:noWrap w:val="0"/>
            <w:vAlign w:val="center"/>
          </w:tcPr>
          <w:p w14:paraId="2B596AF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w:t>
            </w:r>
          </w:p>
        </w:tc>
        <w:tc>
          <w:tcPr>
            <w:tcW w:w="2263" w:type="dxa"/>
            <w:noWrap w:val="0"/>
            <w:vAlign w:val="center"/>
          </w:tcPr>
          <w:p w14:paraId="12BA72D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排队叫号通知消息</w:t>
            </w:r>
          </w:p>
        </w:tc>
        <w:tc>
          <w:tcPr>
            <w:tcW w:w="2647" w:type="dxa"/>
            <w:noWrap w:val="0"/>
            <w:vAlign w:val="center"/>
          </w:tcPr>
          <w:p w14:paraId="620259E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508" w:type="dxa"/>
            <w:noWrap w:val="0"/>
            <w:vAlign w:val="center"/>
          </w:tcPr>
          <w:p w14:paraId="49F3815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603" w:type="dxa"/>
            <w:noWrap w:val="0"/>
            <w:vAlign w:val="center"/>
          </w:tcPr>
          <w:p w14:paraId="5259CB3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r>
    </w:tbl>
    <w:p w14:paraId="00BCF45E">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诊疗结果查询接口规范</w:t>
      </w:r>
    </w:p>
    <w:p w14:paraId="058409DB">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医疗机构提供实时业务接口，由云医院主动调用实现检验检查报告数据实时查询。</w:t>
      </w:r>
    </w:p>
    <w:p w14:paraId="2A173998">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tbl>
      <w:tblPr>
        <w:tblStyle w:val="10"/>
        <w:tblW w:w="8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2125"/>
        <w:gridCol w:w="2744"/>
        <w:gridCol w:w="1541"/>
        <w:gridCol w:w="1298"/>
      </w:tblGrid>
      <w:tr w14:paraId="1D898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731" w:type="dxa"/>
            <w:shd w:val="clear" w:color="auto" w:fill="D9D9D9"/>
            <w:noWrap w:val="0"/>
            <w:vAlign w:val="center"/>
          </w:tcPr>
          <w:p w14:paraId="7A764CB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2125" w:type="dxa"/>
            <w:shd w:val="clear" w:color="auto" w:fill="D9D9D9"/>
            <w:noWrap w:val="0"/>
            <w:vAlign w:val="center"/>
          </w:tcPr>
          <w:p w14:paraId="57CF619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2744" w:type="dxa"/>
            <w:shd w:val="clear" w:color="auto" w:fill="D9D9D9"/>
            <w:noWrap w:val="0"/>
            <w:vAlign w:val="center"/>
          </w:tcPr>
          <w:p w14:paraId="57F1328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1541" w:type="dxa"/>
            <w:shd w:val="clear" w:color="auto" w:fill="D9D9D9"/>
            <w:noWrap w:val="0"/>
            <w:vAlign w:val="center"/>
          </w:tcPr>
          <w:p w14:paraId="1DC98A1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1298" w:type="dxa"/>
            <w:shd w:val="clear" w:color="auto" w:fill="D9D9D9"/>
            <w:noWrap w:val="0"/>
            <w:vAlign w:val="center"/>
          </w:tcPr>
          <w:p w14:paraId="21D05AB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051A3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731" w:type="dxa"/>
            <w:noWrap w:val="0"/>
            <w:vAlign w:val="center"/>
          </w:tcPr>
          <w:p w14:paraId="3B50D8E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2125" w:type="dxa"/>
            <w:noWrap w:val="0"/>
            <w:vAlign w:val="center"/>
          </w:tcPr>
          <w:p w14:paraId="0719745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检验申请查询服务</w:t>
            </w:r>
          </w:p>
        </w:tc>
        <w:tc>
          <w:tcPr>
            <w:tcW w:w="2744" w:type="dxa"/>
            <w:noWrap w:val="0"/>
            <w:vAlign w:val="center"/>
          </w:tcPr>
          <w:p w14:paraId="01735F6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queryLabResult</w:t>
            </w:r>
          </w:p>
        </w:tc>
        <w:tc>
          <w:tcPr>
            <w:tcW w:w="1541" w:type="dxa"/>
            <w:noWrap w:val="0"/>
            <w:vAlign w:val="center"/>
          </w:tcPr>
          <w:p w14:paraId="57D13BC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298" w:type="dxa"/>
            <w:noWrap w:val="0"/>
            <w:vAlign w:val="center"/>
          </w:tcPr>
          <w:p w14:paraId="0FD2462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4AEC9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731" w:type="dxa"/>
            <w:noWrap w:val="0"/>
            <w:vAlign w:val="center"/>
          </w:tcPr>
          <w:p w14:paraId="120E89F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2125" w:type="dxa"/>
            <w:noWrap w:val="0"/>
            <w:vAlign w:val="center"/>
          </w:tcPr>
          <w:p w14:paraId="0B8D525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检验结果查询服务</w:t>
            </w:r>
          </w:p>
        </w:tc>
        <w:tc>
          <w:tcPr>
            <w:tcW w:w="2744" w:type="dxa"/>
            <w:noWrap w:val="0"/>
            <w:vAlign w:val="center"/>
          </w:tcPr>
          <w:p w14:paraId="604456E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queryLabDetailResult</w:t>
            </w:r>
          </w:p>
        </w:tc>
        <w:tc>
          <w:tcPr>
            <w:tcW w:w="1541" w:type="dxa"/>
            <w:noWrap w:val="0"/>
            <w:vAlign w:val="center"/>
          </w:tcPr>
          <w:p w14:paraId="59A04E6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298" w:type="dxa"/>
            <w:noWrap w:val="0"/>
            <w:vAlign w:val="center"/>
          </w:tcPr>
          <w:p w14:paraId="5D7D836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49480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31" w:type="dxa"/>
            <w:noWrap w:val="0"/>
            <w:vAlign w:val="center"/>
          </w:tcPr>
          <w:p w14:paraId="7052447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2125" w:type="dxa"/>
            <w:noWrap w:val="0"/>
            <w:vAlign w:val="center"/>
          </w:tcPr>
          <w:p w14:paraId="67036AE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检查申请查询服务</w:t>
            </w:r>
          </w:p>
        </w:tc>
        <w:tc>
          <w:tcPr>
            <w:tcW w:w="2744" w:type="dxa"/>
            <w:noWrap w:val="0"/>
            <w:vAlign w:val="center"/>
          </w:tcPr>
          <w:p w14:paraId="38ABA8E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queryExamReport</w:t>
            </w:r>
          </w:p>
        </w:tc>
        <w:tc>
          <w:tcPr>
            <w:tcW w:w="1541" w:type="dxa"/>
            <w:noWrap w:val="0"/>
            <w:vAlign w:val="center"/>
          </w:tcPr>
          <w:p w14:paraId="1BCA12B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298" w:type="dxa"/>
            <w:noWrap w:val="0"/>
            <w:vAlign w:val="center"/>
          </w:tcPr>
          <w:p w14:paraId="794900A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1B1F7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31" w:type="dxa"/>
            <w:noWrap w:val="0"/>
            <w:vAlign w:val="center"/>
          </w:tcPr>
          <w:p w14:paraId="7ACA449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2125" w:type="dxa"/>
            <w:noWrap w:val="0"/>
            <w:vAlign w:val="center"/>
          </w:tcPr>
          <w:p w14:paraId="609D07B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检查结果查询服务</w:t>
            </w:r>
          </w:p>
        </w:tc>
        <w:tc>
          <w:tcPr>
            <w:tcW w:w="2744" w:type="dxa"/>
            <w:noWrap w:val="0"/>
            <w:vAlign w:val="center"/>
          </w:tcPr>
          <w:p w14:paraId="603213B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queryExamDetailReport</w:t>
            </w:r>
          </w:p>
        </w:tc>
        <w:tc>
          <w:tcPr>
            <w:tcW w:w="1541" w:type="dxa"/>
            <w:noWrap w:val="0"/>
            <w:vAlign w:val="center"/>
          </w:tcPr>
          <w:p w14:paraId="31C89B1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298" w:type="dxa"/>
            <w:noWrap w:val="0"/>
            <w:vAlign w:val="center"/>
          </w:tcPr>
          <w:p w14:paraId="208D6A3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bl>
    <w:p w14:paraId="762605CD">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诊间业务接口规范</w:t>
      </w:r>
    </w:p>
    <w:p w14:paraId="774EE7F5">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医疗机构在患者就诊的诊间过程中为其提供便捷的线上服务，比如诊间支付、排队叫号等便民服务。</w:t>
      </w:r>
    </w:p>
    <w:p w14:paraId="691C7218">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tbl>
      <w:tblPr>
        <w:tblStyle w:val="10"/>
        <w:tblW w:w="87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2187"/>
        <w:gridCol w:w="3351"/>
        <w:gridCol w:w="1187"/>
        <w:gridCol w:w="1369"/>
      </w:tblGrid>
      <w:tr w14:paraId="502EC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67" w:type="dxa"/>
            <w:shd w:val="clear" w:color="auto" w:fill="D9D9D9"/>
            <w:noWrap w:val="0"/>
            <w:textDirection w:val="tbRlV"/>
            <w:vAlign w:val="top"/>
          </w:tcPr>
          <w:p w14:paraId="45ABE22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2187" w:type="dxa"/>
            <w:shd w:val="clear" w:color="auto" w:fill="D9D9D9"/>
            <w:noWrap w:val="0"/>
            <w:vAlign w:val="top"/>
          </w:tcPr>
          <w:p w14:paraId="1C65C56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3351" w:type="dxa"/>
            <w:shd w:val="clear" w:color="auto" w:fill="D9D9D9"/>
            <w:noWrap w:val="0"/>
            <w:vAlign w:val="top"/>
          </w:tcPr>
          <w:p w14:paraId="42176A1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1187" w:type="dxa"/>
            <w:shd w:val="clear" w:color="auto" w:fill="D9D9D9"/>
            <w:noWrap w:val="0"/>
            <w:vAlign w:val="top"/>
          </w:tcPr>
          <w:p w14:paraId="60F9C3D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1369" w:type="dxa"/>
            <w:shd w:val="clear" w:color="auto" w:fill="D9D9D9"/>
            <w:noWrap w:val="0"/>
            <w:vAlign w:val="top"/>
          </w:tcPr>
          <w:p w14:paraId="654BF4A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0629F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7" w:type="dxa"/>
            <w:noWrap w:val="0"/>
            <w:vAlign w:val="center"/>
          </w:tcPr>
          <w:p w14:paraId="52293B3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2187" w:type="dxa"/>
            <w:noWrap w:val="0"/>
            <w:vAlign w:val="center"/>
          </w:tcPr>
          <w:p w14:paraId="14B0660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查询待支付项目</w:t>
            </w:r>
          </w:p>
        </w:tc>
        <w:tc>
          <w:tcPr>
            <w:tcW w:w="3351" w:type="dxa"/>
            <w:noWrap w:val="0"/>
            <w:vAlign w:val="center"/>
          </w:tcPr>
          <w:p w14:paraId="0E167B6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queryNotPaidItems</w:t>
            </w:r>
          </w:p>
        </w:tc>
        <w:tc>
          <w:tcPr>
            <w:tcW w:w="1187" w:type="dxa"/>
            <w:noWrap w:val="0"/>
            <w:vAlign w:val="center"/>
          </w:tcPr>
          <w:p w14:paraId="4CD5BAD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center"/>
          </w:tcPr>
          <w:p w14:paraId="7F82665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26E12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667" w:type="dxa"/>
            <w:noWrap w:val="0"/>
            <w:vAlign w:val="center"/>
          </w:tcPr>
          <w:p w14:paraId="2B8FB87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2187" w:type="dxa"/>
            <w:noWrap w:val="0"/>
            <w:vAlign w:val="center"/>
          </w:tcPr>
          <w:p w14:paraId="3091075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查询待支付项目明细</w:t>
            </w:r>
          </w:p>
        </w:tc>
        <w:tc>
          <w:tcPr>
            <w:tcW w:w="3351" w:type="dxa"/>
            <w:noWrap w:val="0"/>
            <w:vAlign w:val="center"/>
          </w:tcPr>
          <w:p w14:paraId="7AB2BF5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queryNotPaidItemsDetail</w:t>
            </w:r>
          </w:p>
        </w:tc>
        <w:tc>
          <w:tcPr>
            <w:tcW w:w="1187" w:type="dxa"/>
            <w:noWrap w:val="0"/>
            <w:vAlign w:val="center"/>
          </w:tcPr>
          <w:p w14:paraId="538D65C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center"/>
          </w:tcPr>
          <w:p w14:paraId="5027D08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262F1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67" w:type="dxa"/>
            <w:noWrap w:val="0"/>
            <w:vAlign w:val="center"/>
          </w:tcPr>
          <w:p w14:paraId="69932DC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2187" w:type="dxa"/>
            <w:noWrap w:val="0"/>
            <w:vAlign w:val="center"/>
          </w:tcPr>
          <w:p w14:paraId="0F3747A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查询已支付项目</w:t>
            </w:r>
          </w:p>
        </w:tc>
        <w:tc>
          <w:tcPr>
            <w:tcW w:w="3351" w:type="dxa"/>
            <w:noWrap w:val="0"/>
            <w:vAlign w:val="center"/>
          </w:tcPr>
          <w:p w14:paraId="49898EC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queryPaidItems</w:t>
            </w:r>
          </w:p>
        </w:tc>
        <w:tc>
          <w:tcPr>
            <w:tcW w:w="1187" w:type="dxa"/>
            <w:noWrap w:val="0"/>
            <w:vAlign w:val="center"/>
          </w:tcPr>
          <w:p w14:paraId="4EC06E0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center"/>
          </w:tcPr>
          <w:p w14:paraId="2962CE5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10E9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667" w:type="dxa"/>
            <w:noWrap w:val="0"/>
            <w:vAlign w:val="top"/>
          </w:tcPr>
          <w:p w14:paraId="4530CFE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2187" w:type="dxa"/>
            <w:noWrap w:val="0"/>
            <w:vAlign w:val="top"/>
          </w:tcPr>
          <w:p w14:paraId="2A805B8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查询已支付项目明细</w:t>
            </w:r>
          </w:p>
        </w:tc>
        <w:tc>
          <w:tcPr>
            <w:tcW w:w="3351" w:type="dxa"/>
            <w:noWrap w:val="0"/>
            <w:vAlign w:val="top"/>
          </w:tcPr>
          <w:p w14:paraId="76B6296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queryPaidItemsDetail</w:t>
            </w:r>
          </w:p>
        </w:tc>
        <w:tc>
          <w:tcPr>
            <w:tcW w:w="1187" w:type="dxa"/>
            <w:noWrap w:val="0"/>
            <w:vAlign w:val="top"/>
          </w:tcPr>
          <w:p w14:paraId="6037E13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3CC18A4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290F1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67" w:type="dxa"/>
            <w:noWrap w:val="0"/>
            <w:vAlign w:val="top"/>
          </w:tcPr>
          <w:p w14:paraId="2E9A219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p>
        </w:tc>
        <w:tc>
          <w:tcPr>
            <w:tcW w:w="2187" w:type="dxa"/>
            <w:noWrap w:val="0"/>
            <w:vAlign w:val="top"/>
          </w:tcPr>
          <w:p w14:paraId="605037D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门诊诊间支付服务</w:t>
            </w:r>
          </w:p>
        </w:tc>
        <w:tc>
          <w:tcPr>
            <w:tcW w:w="3351" w:type="dxa"/>
            <w:noWrap w:val="0"/>
            <w:vAlign w:val="top"/>
          </w:tcPr>
          <w:p w14:paraId="7F650DF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outpatientPayment</w:t>
            </w:r>
          </w:p>
        </w:tc>
        <w:tc>
          <w:tcPr>
            <w:tcW w:w="1187" w:type="dxa"/>
            <w:noWrap w:val="0"/>
            <w:vAlign w:val="top"/>
          </w:tcPr>
          <w:p w14:paraId="2BA192F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6F4DF25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2770C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67" w:type="dxa"/>
            <w:noWrap w:val="0"/>
            <w:vAlign w:val="top"/>
          </w:tcPr>
          <w:p w14:paraId="6593366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w:t>
            </w:r>
          </w:p>
        </w:tc>
        <w:tc>
          <w:tcPr>
            <w:tcW w:w="2187" w:type="dxa"/>
            <w:noWrap w:val="0"/>
            <w:vAlign w:val="top"/>
          </w:tcPr>
          <w:p w14:paraId="31A039B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扫码支付二维码获取</w:t>
            </w:r>
          </w:p>
        </w:tc>
        <w:tc>
          <w:tcPr>
            <w:tcW w:w="3351" w:type="dxa"/>
            <w:noWrap w:val="0"/>
            <w:vAlign w:val="top"/>
          </w:tcPr>
          <w:p w14:paraId="35E730C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generatePayQrCode</w:t>
            </w:r>
          </w:p>
        </w:tc>
        <w:tc>
          <w:tcPr>
            <w:tcW w:w="1187" w:type="dxa"/>
            <w:noWrap w:val="0"/>
            <w:vAlign w:val="top"/>
          </w:tcPr>
          <w:p w14:paraId="6636927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3A5AD82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w:t>
            </w:r>
          </w:p>
        </w:tc>
      </w:tr>
      <w:tr w14:paraId="3ACAB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667" w:type="dxa"/>
            <w:noWrap w:val="0"/>
            <w:vAlign w:val="top"/>
          </w:tcPr>
          <w:p w14:paraId="6340D72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w:t>
            </w:r>
          </w:p>
        </w:tc>
        <w:tc>
          <w:tcPr>
            <w:tcW w:w="2187" w:type="dxa"/>
            <w:noWrap w:val="0"/>
            <w:vAlign w:val="top"/>
          </w:tcPr>
          <w:p w14:paraId="7D3CD75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查询门诊处方项目</w:t>
            </w:r>
          </w:p>
        </w:tc>
        <w:tc>
          <w:tcPr>
            <w:tcW w:w="3351" w:type="dxa"/>
            <w:noWrap w:val="0"/>
            <w:vAlign w:val="top"/>
          </w:tcPr>
          <w:p w14:paraId="63464C6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queryPrescriptionItems</w:t>
            </w:r>
          </w:p>
        </w:tc>
        <w:tc>
          <w:tcPr>
            <w:tcW w:w="1187" w:type="dxa"/>
            <w:noWrap w:val="0"/>
            <w:vAlign w:val="top"/>
          </w:tcPr>
          <w:p w14:paraId="6B8BD7F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1793604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1BF06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67" w:type="dxa"/>
            <w:noWrap w:val="0"/>
            <w:vAlign w:val="top"/>
          </w:tcPr>
          <w:p w14:paraId="178E78B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w:t>
            </w:r>
          </w:p>
        </w:tc>
        <w:tc>
          <w:tcPr>
            <w:tcW w:w="2187" w:type="dxa"/>
            <w:noWrap w:val="0"/>
            <w:vAlign w:val="top"/>
          </w:tcPr>
          <w:p w14:paraId="546E26E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查询门诊处方明细</w:t>
            </w:r>
          </w:p>
        </w:tc>
        <w:tc>
          <w:tcPr>
            <w:tcW w:w="3351" w:type="dxa"/>
            <w:noWrap w:val="0"/>
            <w:vAlign w:val="top"/>
          </w:tcPr>
          <w:p w14:paraId="50C1A41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queryPrescriptionItemDetail</w:t>
            </w:r>
          </w:p>
        </w:tc>
        <w:tc>
          <w:tcPr>
            <w:tcW w:w="1187" w:type="dxa"/>
            <w:noWrap w:val="0"/>
            <w:vAlign w:val="top"/>
          </w:tcPr>
          <w:p w14:paraId="3AD8E24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0C9C40F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87E7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67" w:type="dxa"/>
            <w:noWrap w:val="0"/>
            <w:vAlign w:val="top"/>
          </w:tcPr>
          <w:p w14:paraId="7A1646F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w:t>
            </w:r>
          </w:p>
        </w:tc>
        <w:tc>
          <w:tcPr>
            <w:tcW w:w="2187" w:type="dxa"/>
            <w:noWrap w:val="0"/>
            <w:vAlign w:val="top"/>
          </w:tcPr>
          <w:p w14:paraId="23A0D78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门诊就诊基本信息</w:t>
            </w:r>
          </w:p>
        </w:tc>
        <w:tc>
          <w:tcPr>
            <w:tcW w:w="3351" w:type="dxa"/>
            <w:noWrap w:val="0"/>
            <w:vAlign w:val="top"/>
          </w:tcPr>
          <w:p w14:paraId="0110BFB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queryOutpatientSummary</w:t>
            </w:r>
          </w:p>
        </w:tc>
        <w:tc>
          <w:tcPr>
            <w:tcW w:w="1187" w:type="dxa"/>
            <w:noWrap w:val="0"/>
            <w:vAlign w:val="top"/>
          </w:tcPr>
          <w:p w14:paraId="007A03A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6C5A5A0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5B4AD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67" w:type="dxa"/>
            <w:noWrap w:val="0"/>
            <w:vAlign w:val="top"/>
          </w:tcPr>
          <w:p w14:paraId="67A87BE0">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w:t>
            </w:r>
          </w:p>
        </w:tc>
        <w:tc>
          <w:tcPr>
            <w:tcW w:w="2187" w:type="dxa"/>
            <w:noWrap w:val="0"/>
            <w:vAlign w:val="top"/>
          </w:tcPr>
          <w:p w14:paraId="7BCAE10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排队叫号查询</w:t>
            </w:r>
          </w:p>
        </w:tc>
        <w:tc>
          <w:tcPr>
            <w:tcW w:w="3351" w:type="dxa"/>
            <w:noWrap w:val="0"/>
            <w:vAlign w:val="top"/>
          </w:tcPr>
          <w:p w14:paraId="20777A5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queryQueuing</w:t>
            </w:r>
          </w:p>
        </w:tc>
        <w:tc>
          <w:tcPr>
            <w:tcW w:w="1187" w:type="dxa"/>
            <w:noWrap w:val="0"/>
            <w:vAlign w:val="top"/>
          </w:tcPr>
          <w:p w14:paraId="5F44F3E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439F6DE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03A0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7" w:type="dxa"/>
            <w:noWrap w:val="0"/>
            <w:vAlign w:val="top"/>
          </w:tcPr>
          <w:p w14:paraId="3680C2B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w:t>
            </w:r>
          </w:p>
        </w:tc>
        <w:tc>
          <w:tcPr>
            <w:tcW w:w="2187" w:type="dxa"/>
            <w:noWrap w:val="0"/>
            <w:vAlign w:val="top"/>
          </w:tcPr>
          <w:p w14:paraId="2874B0A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线上缴费退费接口</w:t>
            </w:r>
          </w:p>
        </w:tc>
        <w:tc>
          <w:tcPr>
            <w:tcW w:w="3351" w:type="dxa"/>
            <w:noWrap w:val="0"/>
            <w:vAlign w:val="top"/>
          </w:tcPr>
          <w:p w14:paraId="5D7115E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returnOnlineFee</w:t>
            </w:r>
          </w:p>
        </w:tc>
        <w:tc>
          <w:tcPr>
            <w:tcW w:w="1187" w:type="dxa"/>
            <w:noWrap w:val="0"/>
            <w:vAlign w:val="top"/>
          </w:tcPr>
          <w:p w14:paraId="7904F14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1369" w:type="dxa"/>
            <w:noWrap w:val="0"/>
            <w:vAlign w:val="top"/>
          </w:tcPr>
          <w:p w14:paraId="4081AFE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云医院</w:t>
            </w:r>
          </w:p>
        </w:tc>
      </w:tr>
      <w:tr w14:paraId="2FBE2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67" w:type="dxa"/>
            <w:noWrap w:val="0"/>
            <w:vAlign w:val="top"/>
          </w:tcPr>
          <w:p w14:paraId="7D43009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2187" w:type="dxa"/>
            <w:noWrap w:val="0"/>
            <w:vAlign w:val="top"/>
          </w:tcPr>
          <w:p w14:paraId="67459C9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付款码支付</w:t>
            </w:r>
          </w:p>
        </w:tc>
        <w:tc>
          <w:tcPr>
            <w:tcW w:w="3351" w:type="dxa"/>
            <w:noWrap w:val="0"/>
            <w:vAlign w:val="top"/>
          </w:tcPr>
          <w:p w14:paraId="336ED2E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32531F1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288F1FC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r>
      <w:tr w14:paraId="4707D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67" w:type="dxa"/>
            <w:noWrap w:val="0"/>
            <w:vAlign w:val="top"/>
          </w:tcPr>
          <w:p w14:paraId="3B1DC10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w:t>
            </w:r>
          </w:p>
        </w:tc>
        <w:tc>
          <w:tcPr>
            <w:tcW w:w="2187" w:type="dxa"/>
            <w:noWrap w:val="0"/>
            <w:vAlign w:val="top"/>
          </w:tcPr>
          <w:p w14:paraId="1A562EE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查询支付平台</w:t>
            </w:r>
          </w:p>
          <w:p w14:paraId="0B110FC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支付结果</w:t>
            </w:r>
          </w:p>
        </w:tc>
        <w:tc>
          <w:tcPr>
            <w:tcW w:w="3351" w:type="dxa"/>
            <w:noWrap w:val="0"/>
            <w:vAlign w:val="top"/>
          </w:tcPr>
          <w:p w14:paraId="7F45F7A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4338FBE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23477B1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p>
        </w:tc>
      </w:tr>
      <w:tr w14:paraId="4BBF1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667" w:type="dxa"/>
            <w:noWrap w:val="0"/>
            <w:vAlign w:val="top"/>
          </w:tcPr>
          <w:p w14:paraId="1DE2AEF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w:t>
            </w:r>
          </w:p>
        </w:tc>
        <w:tc>
          <w:tcPr>
            <w:tcW w:w="2187" w:type="dxa"/>
            <w:noWrap w:val="0"/>
            <w:vAlign w:val="top"/>
          </w:tcPr>
          <w:p w14:paraId="3AB1569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自助机查询待支付费用</w:t>
            </w:r>
          </w:p>
        </w:tc>
        <w:tc>
          <w:tcPr>
            <w:tcW w:w="3351" w:type="dxa"/>
            <w:noWrap w:val="0"/>
            <w:vAlign w:val="top"/>
          </w:tcPr>
          <w:p w14:paraId="66E7705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both"/>
              <w:textAlignment w:val="auto"/>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24D8270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both"/>
              <w:textAlignment w:val="auto"/>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0ABD9B7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both"/>
              <w:textAlignment w:val="auto"/>
              <w:outlineLvl w:val="9"/>
              <w:rPr>
                <w:rFonts w:hint="eastAsia" w:ascii="宋体" w:hAnsi="宋体" w:eastAsia="宋体" w:cs="宋体"/>
                <w:color w:val="auto"/>
                <w:kern w:val="2"/>
                <w:sz w:val="24"/>
                <w:szCs w:val="24"/>
                <w:lang w:val="en-US" w:eastAsia="zh-CN" w:bidi="ar-SA"/>
              </w:rPr>
            </w:pPr>
          </w:p>
        </w:tc>
      </w:tr>
      <w:tr w14:paraId="7435F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667" w:type="dxa"/>
            <w:noWrap w:val="0"/>
            <w:vAlign w:val="top"/>
          </w:tcPr>
          <w:p w14:paraId="1DF43C3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w:t>
            </w:r>
          </w:p>
        </w:tc>
        <w:tc>
          <w:tcPr>
            <w:tcW w:w="2187" w:type="dxa"/>
            <w:noWrap w:val="0"/>
            <w:vAlign w:val="top"/>
          </w:tcPr>
          <w:p w14:paraId="3E629DA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自助机查询待</w:t>
            </w:r>
          </w:p>
          <w:p w14:paraId="01B03E5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支付明细</w:t>
            </w:r>
          </w:p>
        </w:tc>
        <w:tc>
          <w:tcPr>
            <w:tcW w:w="3351" w:type="dxa"/>
            <w:noWrap w:val="0"/>
            <w:vAlign w:val="top"/>
          </w:tcPr>
          <w:p w14:paraId="709F938A">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0DB207D3">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505F05FB">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r w14:paraId="0273A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67" w:type="dxa"/>
            <w:noWrap w:val="0"/>
            <w:vAlign w:val="top"/>
          </w:tcPr>
          <w:p w14:paraId="2FFDD053">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w:t>
            </w:r>
          </w:p>
        </w:tc>
        <w:tc>
          <w:tcPr>
            <w:tcW w:w="2187" w:type="dxa"/>
            <w:noWrap w:val="0"/>
            <w:vAlign w:val="top"/>
          </w:tcPr>
          <w:p w14:paraId="5537971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付款码退费</w:t>
            </w:r>
          </w:p>
        </w:tc>
        <w:tc>
          <w:tcPr>
            <w:tcW w:w="3351" w:type="dxa"/>
            <w:noWrap w:val="0"/>
            <w:vAlign w:val="top"/>
          </w:tcPr>
          <w:p w14:paraId="28EDDA61">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1AD286E6">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66DB7568">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r w14:paraId="7371B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667" w:type="dxa"/>
            <w:noWrap w:val="0"/>
            <w:vAlign w:val="top"/>
          </w:tcPr>
          <w:p w14:paraId="16D1C96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17</w:t>
            </w:r>
          </w:p>
        </w:tc>
        <w:tc>
          <w:tcPr>
            <w:tcW w:w="2187" w:type="dxa"/>
            <w:noWrap w:val="0"/>
            <w:vAlign w:val="top"/>
          </w:tcPr>
          <w:p w14:paraId="08C0800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核酸检测项目查询</w:t>
            </w:r>
          </w:p>
        </w:tc>
        <w:tc>
          <w:tcPr>
            <w:tcW w:w="3351" w:type="dxa"/>
            <w:noWrap w:val="0"/>
            <w:vAlign w:val="top"/>
          </w:tcPr>
          <w:p w14:paraId="35C02033">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3BB5E937">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752CEA76">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r w14:paraId="769B4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67" w:type="dxa"/>
            <w:noWrap w:val="0"/>
            <w:vAlign w:val="top"/>
          </w:tcPr>
          <w:p w14:paraId="13A0B40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18</w:t>
            </w:r>
          </w:p>
        </w:tc>
        <w:tc>
          <w:tcPr>
            <w:tcW w:w="2187" w:type="dxa"/>
            <w:noWrap w:val="0"/>
            <w:vAlign w:val="top"/>
          </w:tcPr>
          <w:p w14:paraId="07E237E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核酸检测排班号源查询</w:t>
            </w:r>
          </w:p>
        </w:tc>
        <w:tc>
          <w:tcPr>
            <w:tcW w:w="3351" w:type="dxa"/>
            <w:noWrap w:val="0"/>
            <w:vAlign w:val="top"/>
          </w:tcPr>
          <w:p w14:paraId="5C7CFB4A">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0154AF1A">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6D6B394D">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r w14:paraId="5EFFF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67" w:type="dxa"/>
            <w:noWrap w:val="0"/>
            <w:vAlign w:val="top"/>
          </w:tcPr>
          <w:p w14:paraId="01E87ED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19</w:t>
            </w:r>
          </w:p>
        </w:tc>
        <w:tc>
          <w:tcPr>
            <w:tcW w:w="2187" w:type="dxa"/>
            <w:noWrap w:val="0"/>
            <w:vAlign w:val="top"/>
          </w:tcPr>
          <w:p w14:paraId="3AD905F9">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核酸检测支付</w:t>
            </w:r>
          </w:p>
        </w:tc>
        <w:tc>
          <w:tcPr>
            <w:tcW w:w="3351" w:type="dxa"/>
            <w:noWrap w:val="0"/>
            <w:vAlign w:val="top"/>
          </w:tcPr>
          <w:p w14:paraId="10EF94AB">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358EB340">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528D2ACB">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r w14:paraId="13A6F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67" w:type="dxa"/>
            <w:noWrap w:val="0"/>
            <w:vAlign w:val="top"/>
          </w:tcPr>
          <w:p w14:paraId="6255A0A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20</w:t>
            </w:r>
          </w:p>
        </w:tc>
        <w:tc>
          <w:tcPr>
            <w:tcW w:w="2187" w:type="dxa"/>
            <w:noWrap w:val="0"/>
            <w:vAlign w:val="top"/>
          </w:tcPr>
          <w:p w14:paraId="57FC7C7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核酸检测取消</w:t>
            </w:r>
          </w:p>
        </w:tc>
        <w:tc>
          <w:tcPr>
            <w:tcW w:w="3351" w:type="dxa"/>
            <w:noWrap w:val="0"/>
            <w:vAlign w:val="top"/>
          </w:tcPr>
          <w:p w14:paraId="6B7E600C">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187" w:type="dxa"/>
            <w:noWrap w:val="0"/>
            <w:vAlign w:val="top"/>
          </w:tcPr>
          <w:p w14:paraId="7AA446F4">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c>
          <w:tcPr>
            <w:tcW w:w="1369" w:type="dxa"/>
            <w:noWrap w:val="0"/>
            <w:vAlign w:val="top"/>
          </w:tcPr>
          <w:p w14:paraId="7DBA7D9D">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c>
      </w:tr>
    </w:tbl>
    <w:p w14:paraId="67B62C3F">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住院线上业务接口规范</w:t>
      </w:r>
    </w:p>
    <w:p w14:paraId="1B55FE71">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医疗机构在患者住院的过程中为其提供便捷的线上服务，比如预交金管理、医保试算、结算等便民服务。</w:t>
      </w:r>
    </w:p>
    <w:p w14:paraId="6AB9E616">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p w14:paraId="57158E9C">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p>
    <w:tbl>
      <w:tblPr>
        <w:tblStyle w:val="10"/>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5"/>
        <w:gridCol w:w="2059"/>
        <w:gridCol w:w="2968"/>
        <w:gridCol w:w="1379"/>
        <w:gridCol w:w="1293"/>
      </w:tblGrid>
      <w:tr w14:paraId="674D7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375" w:type="pct"/>
            <w:shd w:val="clear" w:color="auto" w:fill="D9D9D9"/>
            <w:noWrap w:val="0"/>
            <w:textDirection w:val="tbRlV"/>
            <w:vAlign w:val="top"/>
          </w:tcPr>
          <w:p w14:paraId="059AB3C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1236" w:type="pct"/>
            <w:shd w:val="clear" w:color="auto" w:fill="D9D9D9"/>
            <w:noWrap w:val="0"/>
            <w:vAlign w:val="top"/>
          </w:tcPr>
          <w:p w14:paraId="583BC0C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1782" w:type="pct"/>
            <w:shd w:val="clear" w:color="auto" w:fill="D9D9D9"/>
            <w:noWrap w:val="0"/>
            <w:vAlign w:val="top"/>
          </w:tcPr>
          <w:p w14:paraId="7773E8A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828" w:type="pct"/>
            <w:shd w:val="clear" w:color="auto" w:fill="D9D9D9"/>
            <w:noWrap w:val="0"/>
            <w:vAlign w:val="top"/>
          </w:tcPr>
          <w:p w14:paraId="17CCC64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776" w:type="pct"/>
            <w:shd w:val="clear" w:color="auto" w:fill="D9D9D9"/>
            <w:noWrap w:val="0"/>
            <w:vAlign w:val="top"/>
          </w:tcPr>
          <w:p w14:paraId="559E1CC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77899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375" w:type="pct"/>
            <w:noWrap w:val="0"/>
            <w:vAlign w:val="center"/>
          </w:tcPr>
          <w:p w14:paraId="36F1D4E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1236" w:type="pct"/>
            <w:noWrap w:val="0"/>
            <w:vAlign w:val="center"/>
          </w:tcPr>
          <w:p w14:paraId="73BB08F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住院摘要信息</w:t>
            </w:r>
          </w:p>
          <w:p w14:paraId="4D47AA9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查询服务</w:t>
            </w:r>
          </w:p>
        </w:tc>
        <w:tc>
          <w:tcPr>
            <w:tcW w:w="1782" w:type="pct"/>
            <w:noWrap w:val="0"/>
            <w:vAlign w:val="center"/>
          </w:tcPr>
          <w:p w14:paraId="28D7C37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queryInPatientSummary</w:t>
            </w:r>
          </w:p>
        </w:tc>
        <w:tc>
          <w:tcPr>
            <w:tcW w:w="828" w:type="pct"/>
            <w:noWrap w:val="0"/>
            <w:vAlign w:val="center"/>
          </w:tcPr>
          <w:p w14:paraId="6342512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776" w:type="pct"/>
            <w:noWrap w:val="0"/>
            <w:vAlign w:val="center"/>
          </w:tcPr>
          <w:p w14:paraId="6B39DEC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7E826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375" w:type="pct"/>
            <w:noWrap w:val="0"/>
            <w:vAlign w:val="center"/>
          </w:tcPr>
          <w:p w14:paraId="0789067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1236" w:type="pct"/>
            <w:noWrap w:val="0"/>
            <w:vAlign w:val="center"/>
          </w:tcPr>
          <w:p w14:paraId="74A09C37">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预交金充值服务</w:t>
            </w:r>
          </w:p>
        </w:tc>
        <w:tc>
          <w:tcPr>
            <w:tcW w:w="1782" w:type="pct"/>
            <w:noWrap w:val="0"/>
            <w:vAlign w:val="center"/>
          </w:tcPr>
          <w:p w14:paraId="74B174F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rechangePrepaidAmount</w:t>
            </w:r>
          </w:p>
        </w:tc>
        <w:tc>
          <w:tcPr>
            <w:tcW w:w="828" w:type="pct"/>
            <w:noWrap w:val="0"/>
            <w:vAlign w:val="center"/>
          </w:tcPr>
          <w:p w14:paraId="2B94C33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776" w:type="pct"/>
            <w:noWrap w:val="0"/>
            <w:vAlign w:val="center"/>
          </w:tcPr>
          <w:p w14:paraId="5716B0C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4485B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375" w:type="pct"/>
            <w:noWrap w:val="0"/>
            <w:vAlign w:val="center"/>
          </w:tcPr>
          <w:p w14:paraId="68AB017F">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1236" w:type="pct"/>
            <w:noWrap w:val="0"/>
            <w:vAlign w:val="center"/>
          </w:tcPr>
          <w:p w14:paraId="2F8D796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预缴金缴费记录查询服务</w:t>
            </w:r>
          </w:p>
        </w:tc>
        <w:tc>
          <w:tcPr>
            <w:tcW w:w="1782" w:type="pct"/>
            <w:noWrap w:val="0"/>
            <w:vAlign w:val="center"/>
          </w:tcPr>
          <w:p w14:paraId="1DBC3035">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queryPrePayRecord</w:t>
            </w:r>
          </w:p>
        </w:tc>
        <w:tc>
          <w:tcPr>
            <w:tcW w:w="828" w:type="pct"/>
            <w:noWrap w:val="0"/>
            <w:vAlign w:val="center"/>
          </w:tcPr>
          <w:p w14:paraId="4B59296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776" w:type="pct"/>
            <w:noWrap w:val="0"/>
            <w:vAlign w:val="center"/>
          </w:tcPr>
          <w:p w14:paraId="53DCBE2D">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r w14:paraId="3AB35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375" w:type="pct"/>
            <w:noWrap w:val="0"/>
            <w:vAlign w:val="center"/>
          </w:tcPr>
          <w:p w14:paraId="556921A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1236" w:type="pct"/>
            <w:noWrap w:val="0"/>
            <w:vAlign w:val="center"/>
          </w:tcPr>
          <w:p w14:paraId="08B5068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住院日清单费用明细查询</w:t>
            </w:r>
          </w:p>
        </w:tc>
        <w:tc>
          <w:tcPr>
            <w:tcW w:w="1782" w:type="pct"/>
            <w:noWrap w:val="0"/>
            <w:vAlign w:val="center"/>
          </w:tcPr>
          <w:p w14:paraId="34525BD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queryDailyBill</w:t>
            </w:r>
          </w:p>
        </w:tc>
        <w:tc>
          <w:tcPr>
            <w:tcW w:w="828" w:type="pct"/>
            <w:noWrap w:val="0"/>
            <w:vAlign w:val="center"/>
          </w:tcPr>
          <w:p w14:paraId="39ACF0DE">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776" w:type="pct"/>
            <w:noWrap w:val="0"/>
            <w:vAlign w:val="center"/>
          </w:tcPr>
          <w:p w14:paraId="4CD470E1">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bl>
    <w:p w14:paraId="21ABAC45">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病人信息同步管理接口规范</w:t>
      </w:r>
    </w:p>
    <w:p w14:paraId="45873340">
      <w:pPr>
        <w:widowControl w:val="0"/>
        <w:adjustRightInd w:val="0"/>
        <w:snapToGrid w:val="0"/>
        <w:spacing w:line="460" w:lineRule="atLeast"/>
        <w:ind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主要接口如下：</w:t>
      </w:r>
    </w:p>
    <w:tbl>
      <w:tblPr>
        <w:tblStyle w:val="10"/>
        <w:tblW w:w="50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6"/>
        <w:gridCol w:w="2544"/>
        <w:gridCol w:w="2129"/>
        <w:gridCol w:w="1728"/>
        <w:gridCol w:w="1292"/>
      </w:tblGrid>
      <w:tr w14:paraId="207DC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376" w:type="pct"/>
            <w:shd w:val="clear" w:color="auto" w:fill="D9D9D9"/>
            <w:noWrap w:val="0"/>
            <w:textDirection w:val="tbRlV"/>
            <w:vAlign w:val="top"/>
          </w:tcPr>
          <w:p w14:paraId="79621A5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1528" w:type="pct"/>
            <w:shd w:val="clear" w:color="auto" w:fill="D9D9D9"/>
            <w:noWrap w:val="0"/>
            <w:vAlign w:val="center"/>
          </w:tcPr>
          <w:p w14:paraId="16EF5D2A">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w:t>
            </w:r>
          </w:p>
        </w:tc>
        <w:tc>
          <w:tcPr>
            <w:tcW w:w="1279" w:type="pct"/>
            <w:shd w:val="clear" w:color="auto" w:fill="D9D9D9"/>
            <w:noWrap w:val="0"/>
            <w:vAlign w:val="center"/>
          </w:tcPr>
          <w:p w14:paraId="7E05A524">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接口名称</w:t>
            </w:r>
          </w:p>
        </w:tc>
        <w:tc>
          <w:tcPr>
            <w:tcW w:w="1038" w:type="pct"/>
            <w:shd w:val="clear" w:color="auto" w:fill="D9D9D9"/>
            <w:noWrap w:val="0"/>
            <w:vAlign w:val="center"/>
          </w:tcPr>
          <w:p w14:paraId="7D4BBEC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提供方式</w:t>
            </w:r>
          </w:p>
        </w:tc>
        <w:tc>
          <w:tcPr>
            <w:tcW w:w="776" w:type="pct"/>
            <w:shd w:val="clear" w:color="auto" w:fill="D9D9D9"/>
            <w:noWrap w:val="0"/>
            <w:vAlign w:val="center"/>
          </w:tcPr>
          <w:p w14:paraId="40B8EB58">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提供方</w:t>
            </w:r>
          </w:p>
        </w:tc>
      </w:tr>
      <w:tr w14:paraId="3B7B0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376" w:type="pct"/>
            <w:tcBorders>
              <w:bottom w:val="single" w:color="000000" w:sz="4" w:space="0"/>
            </w:tcBorders>
            <w:noWrap w:val="0"/>
            <w:vAlign w:val="center"/>
          </w:tcPr>
          <w:p w14:paraId="5D80AE0C">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1528" w:type="pct"/>
            <w:tcBorders>
              <w:bottom w:val="single" w:color="000000" w:sz="4" w:space="0"/>
            </w:tcBorders>
            <w:noWrap w:val="0"/>
            <w:vAlign w:val="center"/>
          </w:tcPr>
          <w:p w14:paraId="61F1C9D6">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病人基本信息同步接口</w:t>
            </w:r>
          </w:p>
        </w:tc>
        <w:tc>
          <w:tcPr>
            <w:tcW w:w="1279" w:type="pct"/>
            <w:tcBorders>
              <w:bottom w:val="single" w:color="000000" w:sz="4" w:space="0"/>
            </w:tcBorders>
            <w:noWrap w:val="0"/>
            <w:vAlign w:val="center"/>
          </w:tcPr>
          <w:p w14:paraId="2F6FA70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createMedCard</w:t>
            </w:r>
          </w:p>
        </w:tc>
        <w:tc>
          <w:tcPr>
            <w:tcW w:w="1038" w:type="pct"/>
            <w:tcBorders>
              <w:bottom w:val="single" w:color="000000" w:sz="4" w:space="0"/>
            </w:tcBorders>
            <w:noWrap w:val="0"/>
            <w:vAlign w:val="center"/>
          </w:tcPr>
          <w:p w14:paraId="5B349202">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"HTTP"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color w:val="auto"/>
                <w:kern w:val="2"/>
                <w:sz w:val="24"/>
                <w:szCs w:val="24"/>
                <w:lang w:val="en-US" w:eastAsia="zh-CN" w:bidi="ar-SA"/>
              </w:rPr>
              <w:t>HTTP</w:t>
            </w:r>
            <w:r>
              <w:rPr>
                <w:rFonts w:hint="eastAsia" w:ascii="宋体" w:hAnsi="宋体" w:eastAsia="宋体" w:cs="宋体"/>
                <w:color w:val="auto"/>
                <w:kern w:val="2"/>
                <w:sz w:val="24"/>
                <w:szCs w:val="24"/>
                <w:lang w:val="en-US" w:eastAsia="zh-CN" w:bidi="ar-SA"/>
              </w:rPr>
              <w:fldChar w:fldCharType="end"/>
            </w:r>
          </w:p>
        </w:tc>
        <w:tc>
          <w:tcPr>
            <w:tcW w:w="776" w:type="pct"/>
            <w:tcBorders>
              <w:bottom w:val="single" w:color="000000" w:sz="4" w:space="0"/>
            </w:tcBorders>
            <w:noWrap w:val="0"/>
            <w:vAlign w:val="center"/>
          </w:tcPr>
          <w:p w14:paraId="51A3822B">
            <w:pPr>
              <w:keepNext w:val="0"/>
              <w:keepLines w:val="0"/>
              <w:pageBreakBefore w:val="0"/>
              <w:widowControl w:val="0"/>
              <w:kinsoku/>
              <w:wordWrap/>
              <w:overflowPunct/>
              <w:topLinePunct w:val="0"/>
              <w:autoSpaceDE/>
              <w:autoSpaceDN/>
              <w:bidi w:val="0"/>
              <w:adjustRightInd w:val="0"/>
              <w:snapToGrid w:val="0"/>
              <w:spacing w:line="460" w:lineRule="atLeast"/>
              <w:ind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医疗机构</w:t>
            </w:r>
          </w:p>
        </w:tc>
      </w:tr>
    </w:tbl>
    <w:p w14:paraId="6B198BDC">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right="0" w:firstLine="482" w:firstLineChars="200"/>
        <w:jc w:val="left"/>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影像文件采集交互服务</w:t>
      </w:r>
    </w:p>
    <w:p w14:paraId="6BB7FA36">
      <w:pPr>
        <w:pageBreakBefore w:val="0"/>
        <w:widowControl w:val="0"/>
        <w:kinsoku/>
        <w:wordWrap/>
        <w:overflowPunct/>
        <w:topLinePunct w:val="0"/>
        <w:autoSpaceDE/>
        <w:autoSpaceDN/>
        <w:bidi w:val="0"/>
        <w:adjustRightInd/>
        <w:snapToGrid/>
        <w:spacing w:before="0" w:after="0" w:line="360" w:lineRule="auto"/>
        <w:ind w:left="0" w:righ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全民健康信息平台在医院前置机部署影像文件采集服务，通过HTTP协议或者C-STORE协议接收PACS系统默认传输的已打印过的的DICOM数据文件。院内PACS系统上传DICOM文件推荐事先使用压缩协议1.2.840.10008.1.2.4.70怀化市全民健康信息平台交互服务规范-影响文件采集分册进行压缩，可减少文件大小，提升传输效率。</w:t>
      </w:r>
    </w:p>
    <w:p w14:paraId="52C72B2E">
      <w:pPr>
        <w:pageBreakBefore w:val="0"/>
        <w:widowControl w:val="0"/>
        <w:kinsoku/>
        <w:wordWrap/>
        <w:overflowPunct/>
        <w:topLinePunct w:val="0"/>
        <w:autoSpaceDE/>
        <w:autoSpaceDN/>
        <w:bidi w:val="0"/>
        <w:adjustRightInd/>
        <w:snapToGrid/>
        <w:spacing w:before="0" w:after="0" w:line="360" w:lineRule="auto"/>
        <w:ind w:left="0" w:right="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要求pacs或者影像存储软件具有主动推送功能，采用dicom3.0标准协议。</w:t>
      </w:r>
    </w:p>
    <w:p w14:paraId="5430EE9B">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right="0" w:firstLine="482" w:firstLineChars="200"/>
        <w:jc w:val="left"/>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医疗服务交互服务</w:t>
      </w:r>
    </w:p>
    <w:p w14:paraId="5FB69ACA">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使用范围</w:t>
      </w:r>
    </w:p>
    <w:p w14:paraId="3D7085B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本数据接入规范是在卫生部《WS445-2014电子病历基本</w:t>
      </w:r>
      <w:r>
        <w:rPr>
          <w:rFonts w:hint="eastAsia" w:ascii="宋体" w:hAnsi="宋体" w:eastAsia="宋体" w:cs="宋体"/>
          <w:color w:val="auto"/>
          <w:spacing w:val="-1"/>
          <w:sz w:val="24"/>
          <w:szCs w:val="24"/>
        </w:rPr>
        <w:t>数据集》等相关标准基础上，结合各级医疗卫生机构和卫计委等相关部门业务工</w:t>
      </w:r>
      <w:r>
        <w:rPr>
          <w:rFonts w:hint="eastAsia" w:ascii="宋体" w:hAnsi="宋体" w:eastAsia="宋体" w:cs="宋体"/>
          <w:color w:val="auto"/>
          <w:spacing w:val="-2"/>
          <w:sz w:val="24"/>
          <w:szCs w:val="24"/>
        </w:rPr>
        <w:t>作开展和实际需求进行制定。</w:t>
      </w:r>
    </w:p>
    <w:p w14:paraId="637AC4A9">
      <w:pPr>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本数据接入规范规定了医院业务数据集的内容结构，数据项描述、分类代码、数据编码</w:t>
      </w:r>
      <w:r>
        <w:rPr>
          <w:rFonts w:hint="eastAsia" w:ascii="宋体" w:hAnsi="宋体" w:eastAsia="宋体" w:cs="宋体"/>
          <w:color w:val="auto"/>
          <w:spacing w:val="-7"/>
          <w:sz w:val="24"/>
          <w:szCs w:val="24"/>
        </w:rPr>
        <w:t>等。其中，临床诊疗与电子病历数据集与分类代码参照《电子病历基本数据集（征求意见稿）</w:t>
      </w:r>
      <w:r>
        <w:rPr>
          <w:rFonts w:hint="eastAsia" w:ascii="宋体" w:hAnsi="宋体" w:eastAsia="宋体" w:cs="宋体"/>
          <w:color w:val="auto"/>
          <w:spacing w:val="-5"/>
          <w:sz w:val="24"/>
          <w:szCs w:val="24"/>
        </w:rPr>
        <w:t>_2012》规范，卫生资源类数据集与分类代码参照《全国卫生资源</w:t>
      </w:r>
      <w:r>
        <w:rPr>
          <w:rFonts w:hint="eastAsia" w:ascii="宋体" w:hAnsi="宋体" w:eastAsia="宋体" w:cs="宋体"/>
          <w:color w:val="auto"/>
          <w:spacing w:val="-6"/>
          <w:sz w:val="24"/>
          <w:szCs w:val="24"/>
        </w:rPr>
        <w:t>医疗服务调查制度2012》。</w:t>
      </w:r>
      <w:r>
        <w:rPr>
          <w:rFonts w:hint="eastAsia" w:ascii="宋体" w:hAnsi="宋体" w:eastAsia="宋体" w:cs="宋体"/>
          <w:color w:val="auto"/>
          <w:sz w:val="24"/>
          <w:szCs w:val="24"/>
        </w:rPr>
        <w:t>值域代码标准参照《卫生信息数据元值域代码》规范。</w:t>
      </w:r>
    </w:p>
    <w:p w14:paraId="6A7A6B6C">
      <w:pPr>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本数据接入规范适用于综合医院，基层医疗卫生机构信息系统与外部平台/系统交换。本数据接入规范重点用于指导各级医疗机构现有医院信息系统接入卫生信息平台，提供</w:t>
      </w:r>
      <w:r>
        <w:rPr>
          <w:rFonts w:hint="eastAsia" w:ascii="宋体" w:hAnsi="宋体" w:eastAsia="宋体" w:cs="宋体"/>
          <w:color w:val="auto"/>
          <w:spacing w:val="-6"/>
          <w:sz w:val="24"/>
          <w:szCs w:val="24"/>
        </w:rPr>
        <w:t>数据交换标准。</w:t>
      </w:r>
    </w:p>
    <w:p w14:paraId="7E23BC96">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9"/>
        <w:rPr>
          <w:rFonts w:hint="eastAsia" w:ascii="宋体" w:hAnsi="宋体" w:eastAsia="宋体" w:cs="宋体"/>
          <w:b/>
          <w:bCs/>
          <w:color w:val="auto"/>
          <w:kern w:val="2"/>
          <w:sz w:val="24"/>
          <w:szCs w:val="24"/>
          <w:lang w:val="en-US" w:eastAsia="zh-CN" w:bidi="ar-SA"/>
        </w:rPr>
      </w:pPr>
      <w:bookmarkStart w:id="24" w:name="bookmark5"/>
      <w:bookmarkEnd w:id="24"/>
      <w:bookmarkStart w:id="25" w:name="bookmark6"/>
      <w:bookmarkEnd w:id="25"/>
      <w:r>
        <w:rPr>
          <w:rFonts w:hint="eastAsia" w:ascii="宋体" w:hAnsi="宋体" w:eastAsia="宋体" w:cs="宋体"/>
          <w:b/>
          <w:bCs/>
          <w:color w:val="auto"/>
          <w:kern w:val="2"/>
          <w:sz w:val="24"/>
          <w:szCs w:val="24"/>
          <w:lang w:val="en-US" w:eastAsia="zh-CN" w:bidi="ar-SA"/>
        </w:rPr>
        <w:t>数据类型</w:t>
      </w:r>
    </w:p>
    <w:p w14:paraId="77692203">
      <w:pPr>
        <w:spacing w:before="69" w:line="221" w:lineRule="auto"/>
        <w:ind w:left="0" w:leftChars="0"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spacing w:val="-1"/>
          <w:sz w:val="24"/>
          <w:szCs w:val="24"/>
        </w:rPr>
        <w:t>数据项的数据类型描述规则</w:t>
      </w:r>
    </w:p>
    <w:p w14:paraId="1A57886C">
      <w:pPr>
        <w:spacing w:line="240" w:lineRule="auto"/>
        <w:ind w:firstLine="480" w:firstLineChars="200"/>
        <w:jc w:val="center"/>
        <w:outlineLvl w:val="9"/>
        <w:rPr>
          <w:rFonts w:hint="eastAsia" w:ascii="宋体" w:hAnsi="宋体" w:eastAsia="宋体" w:cs="宋体"/>
          <w:color w:val="auto"/>
          <w:sz w:val="24"/>
          <w:szCs w:val="24"/>
        </w:rPr>
      </w:pPr>
    </w:p>
    <w:tbl>
      <w:tblPr>
        <w:tblStyle w:val="10"/>
        <w:tblW w:w="8226" w:type="dxa"/>
        <w:jc w:val="center"/>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top w:w="0" w:type="dxa"/>
          <w:left w:w="0" w:type="dxa"/>
          <w:bottom w:w="0" w:type="dxa"/>
          <w:right w:w="0" w:type="dxa"/>
        </w:tblCellMar>
      </w:tblPr>
      <w:tblGrid>
        <w:gridCol w:w="2272"/>
        <w:gridCol w:w="5954"/>
      </w:tblGrid>
      <w:tr w14:paraId="65FA1B23">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285" w:hRule="atLeast"/>
          <w:jc w:val="center"/>
        </w:trPr>
        <w:tc>
          <w:tcPr>
            <w:tcW w:w="2272" w:type="dxa"/>
            <w:tcBorders>
              <w:top w:val="single" w:color="000000" w:sz="2" w:space="0"/>
              <w:left w:val="single" w:color="000000" w:sz="2" w:space="0"/>
            </w:tcBorders>
            <w:noWrap w:val="0"/>
            <w:vAlign w:val="top"/>
          </w:tcPr>
          <w:p w14:paraId="6B9CCC1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3"/>
                <w:kern w:val="2"/>
                <w:sz w:val="24"/>
                <w:szCs w:val="24"/>
                <w:lang w:val="en-US" w:eastAsia="en-US" w:bidi="ar-SA"/>
              </w:rPr>
              <w:t>数据元值的</w:t>
            </w:r>
            <w:r>
              <w:rPr>
                <w:rFonts w:hint="eastAsia" w:ascii="宋体" w:hAnsi="宋体" w:eastAsia="宋体" w:cs="宋体"/>
                <w:b/>
                <w:bCs/>
                <w:color w:val="auto"/>
                <w:spacing w:val="-4"/>
                <w:kern w:val="2"/>
                <w:sz w:val="24"/>
                <w:szCs w:val="24"/>
                <w:lang w:val="en-US" w:eastAsia="en-US" w:bidi="ar-SA"/>
              </w:rPr>
              <w:t>数据类型</w:t>
            </w:r>
          </w:p>
        </w:tc>
        <w:tc>
          <w:tcPr>
            <w:tcW w:w="5954" w:type="dxa"/>
            <w:tcBorders>
              <w:top w:val="single" w:color="000000" w:sz="2" w:space="0"/>
              <w:right w:val="single" w:color="000000" w:sz="2" w:space="0"/>
            </w:tcBorders>
            <w:noWrap w:val="0"/>
            <w:vAlign w:val="top"/>
          </w:tcPr>
          <w:p w14:paraId="4F3BD85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7"/>
                <w:kern w:val="2"/>
                <w:sz w:val="24"/>
                <w:szCs w:val="24"/>
                <w:lang w:val="en-US" w:eastAsia="en-US" w:bidi="ar-SA"/>
              </w:rPr>
              <w:t>描述</w:t>
            </w:r>
          </w:p>
        </w:tc>
      </w:tr>
      <w:tr w14:paraId="321C41E4">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630" w:hRule="atLeast"/>
          <w:jc w:val="center"/>
        </w:trPr>
        <w:tc>
          <w:tcPr>
            <w:tcW w:w="2272" w:type="dxa"/>
            <w:noWrap w:val="0"/>
            <w:vAlign w:val="top"/>
          </w:tcPr>
          <w:p w14:paraId="5E74B9F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字符串型</w:t>
            </w:r>
          </w:p>
        </w:tc>
        <w:tc>
          <w:tcPr>
            <w:tcW w:w="5954" w:type="dxa"/>
            <w:noWrap w:val="0"/>
            <w:vAlign w:val="top"/>
          </w:tcPr>
          <w:p w14:paraId="2C5A21D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通过字符形式表达的值的类型。可包含字母字符（a-z,A-Z）、数</w:t>
            </w:r>
            <w:r>
              <w:rPr>
                <w:rFonts w:hint="eastAsia" w:ascii="宋体" w:hAnsi="宋体" w:eastAsia="宋体" w:cs="宋体"/>
                <w:color w:val="auto"/>
                <w:spacing w:val="-1"/>
                <w:kern w:val="2"/>
                <w:sz w:val="24"/>
                <w:szCs w:val="24"/>
                <w:lang w:val="en-US" w:eastAsia="en-US" w:bidi="ar-SA"/>
              </w:rPr>
              <w:t>字字符等。（默认GB2312信息交换用汉字编码字符集基本集）</w:t>
            </w:r>
          </w:p>
        </w:tc>
      </w:tr>
      <w:tr w14:paraId="684675CD">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16" w:hRule="atLeast"/>
          <w:jc w:val="center"/>
        </w:trPr>
        <w:tc>
          <w:tcPr>
            <w:tcW w:w="2272" w:type="dxa"/>
            <w:noWrap w:val="0"/>
            <w:vAlign w:val="top"/>
          </w:tcPr>
          <w:p w14:paraId="7EFF88A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整数型</w:t>
            </w:r>
          </w:p>
        </w:tc>
        <w:tc>
          <w:tcPr>
            <w:tcW w:w="5954" w:type="dxa"/>
            <w:noWrap w:val="0"/>
            <w:vAlign w:val="top"/>
          </w:tcPr>
          <w:p w14:paraId="7FBC38B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通过“0”到“9”数字形式表示的没有小数</w:t>
            </w:r>
            <w:r>
              <w:rPr>
                <w:rFonts w:hint="eastAsia" w:ascii="宋体" w:hAnsi="宋体" w:eastAsia="宋体" w:cs="宋体"/>
                <w:color w:val="auto"/>
                <w:spacing w:val="-2"/>
                <w:kern w:val="2"/>
                <w:sz w:val="24"/>
                <w:szCs w:val="24"/>
                <w:lang w:val="en-US" w:eastAsia="en-US" w:bidi="ar-SA"/>
              </w:rPr>
              <w:t>的值的类型</w:t>
            </w:r>
          </w:p>
        </w:tc>
      </w:tr>
      <w:tr w14:paraId="07F232F8">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16" w:hRule="atLeast"/>
          <w:jc w:val="center"/>
        </w:trPr>
        <w:tc>
          <w:tcPr>
            <w:tcW w:w="2272" w:type="dxa"/>
            <w:noWrap w:val="0"/>
            <w:vAlign w:val="top"/>
          </w:tcPr>
          <w:p w14:paraId="159F202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浮点型/数值型</w:t>
            </w:r>
          </w:p>
        </w:tc>
        <w:tc>
          <w:tcPr>
            <w:tcW w:w="5954" w:type="dxa"/>
            <w:noWrap w:val="0"/>
            <w:vAlign w:val="top"/>
          </w:tcPr>
          <w:p w14:paraId="103E260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通过“0”到“9”数字形式表示的带小数的值的类型</w:t>
            </w:r>
          </w:p>
        </w:tc>
      </w:tr>
      <w:tr w14:paraId="15224288">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939" w:hRule="atLeast"/>
          <w:jc w:val="center"/>
        </w:trPr>
        <w:tc>
          <w:tcPr>
            <w:tcW w:w="2272" w:type="dxa"/>
            <w:noWrap w:val="0"/>
            <w:vAlign w:val="top"/>
          </w:tcPr>
          <w:p w14:paraId="4F71E0B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sz w:val="24"/>
                <w:szCs w:val="24"/>
              </w:rPr>
            </w:pPr>
          </w:p>
          <w:p w14:paraId="0D11CA5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4"/>
                <w:kern w:val="2"/>
                <w:sz w:val="24"/>
                <w:szCs w:val="24"/>
                <w:lang w:val="en-US" w:eastAsia="en-US" w:bidi="ar-SA"/>
              </w:rPr>
              <w:t>日期型</w:t>
            </w:r>
          </w:p>
        </w:tc>
        <w:tc>
          <w:tcPr>
            <w:tcW w:w="5954" w:type="dxa"/>
            <w:noWrap w:val="0"/>
            <w:vAlign w:val="top"/>
          </w:tcPr>
          <w:p w14:paraId="44741B4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采用GB/T7408_2005数据元和交换格式信息交换日期和时间表</w:t>
            </w:r>
            <w:r>
              <w:rPr>
                <w:rFonts w:hint="eastAsia" w:ascii="宋体" w:hAnsi="宋体" w:eastAsia="宋体" w:cs="宋体"/>
                <w:color w:val="auto"/>
                <w:spacing w:val="-1"/>
                <w:kern w:val="2"/>
                <w:sz w:val="24"/>
                <w:szCs w:val="24"/>
                <w:lang w:val="en-US" w:eastAsia="en-US" w:bidi="ar-SA"/>
              </w:rPr>
              <w:t>示法中规定的YYYY-MM-DD格式表示的值的类型。（字符T作为时</w:t>
            </w:r>
            <w:r>
              <w:rPr>
                <w:rFonts w:hint="eastAsia" w:ascii="宋体" w:hAnsi="宋体" w:eastAsia="宋体" w:cs="宋体"/>
                <w:color w:val="auto"/>
                <w:spacing w:val="-2"/>
                <w:kern w:val="2"/>
                <w:sz w:val="24"/>
                <w:szCs w:val="24"/>
                <w:lang w:val="en-US" w:eastAsia="en-US" w:bidi="ar-SA"/>
              </w:rPr>
              <w:t>间的标志符，说明日的时间表示的开始。）</w:t>
            </w:r>
          </w:p>
        </w:tc>
      </w:tr>
      <w:tr w14:paraId="724DCCDB">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940" w:hRule="atLeast"/>
          <w:jc w:val="center"/>
        </w:trPr>
        <w:tc>
          <w:tcPr>
            <w:tcW w:w="2272" w:type="dxa"/>
            <w:noWrap w:val="0"/>
            <w:vAlign w:val="top"/>
          </w:tcPr>
          <w:p w14:paraId="71B9F57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sz w:val="24"/>
                <w:szCs w:val="24"/>
              </w:rPr>
            </w:pPr>
          </w:p>
          <w:p w14:paraId="03BB4B0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9"/>
                <w:kern w:val="2"/>
                <w:sz w:val="24"/>
                <w:szCs w:val="24"/>
                <w:lang w:val="en-US" w:eastAsia="en-US" w:bidi="ar-SA"/>
              </w:rPr>
              <w:t>日期时间型</w:t>
            </w:r>
          </w:p>
        </w:tc>
        <w:tc>
          <w:tcPr>
            <w:tcW w:w="5954" w:type="dxa"/>
            <w:noWrap w:val="0"/>
            <w:vAlign w:val="top"/>
          </w:tcPr>
          <w:p w14:paraId="5C2337B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采用GB/T7408_2005数据元和交换格式信息交换日期和时间表</w:t>
            </w:r>
            <w:r>
              <w:rPr>
                <w:rFonts w:hint="eastAsia" w:ascii="宋体" w:hAnsi="宋体" w:eastAsia="宋体" w:cs="宋体"/>
                <w:color w:val="auto"/>
                <w:spacing w:val="-1"/>
                <w:kern w:val="2"/>
                <w:sz w:val="24"/>
                <w:szCs w:val="24"/>
                <w:lang w:val="en-US" w:eastAsia="en-US" w:bidi="ar-SA"/>
              </w:rPr>
              <w:t>示法中规定的YYYY-MM-DDhh24:mm:ss格式表示的值的类型。（字符T作为时间的标志符，说明日的时间表示的</w:t>
            </w:r>
            <w:r>
              <w:rPr>
                <w:rFonts w:hint="eastAsia" w:ascii="宋体" w:hAnsi="宋体" w:eastAsia="宋体" w:cs="宋体"/>
                <w:color w:val="auto"/>
                <w:spacing w:val="-2"/>
                <w:kern w:val="2"/>
                <w:sz w:val="24"/>
                <w:szCs w:val="24"/>
                <w:lang w:val="en-US" w:eastAsia="en-US" w:bidi="ar-SA"/>
              </w:rPr>
              <w:t>开始。）</w:t>
            </w:r>
          </w:p>
        </w:tc>
      </w:tr>
      <w:tr w14:paraId="702A998B">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636" w:hRule="atLeast"/>
          <w:jc w:val="center"/>
        </w:trPr>
        <w:tc>
          <w:tcPr>
            <w:tcW w:w="2272" w:type="dxa"/>
            <w:tcBorders>
              <w:left w:val="single" w:color="000000" w:sz="2" w:space="0"/>
              <w:bottom w:val="single" w:color="000000" w:sz="2" w:space="0"/>
            </w:tcBorders>
            <w:noWrap w:val="0"/>
            <w:vAlign w:val="top"/>
          </w:tcPr>
          <w:p w14:paraId="649FF67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二进制(BLOB)</w:t>
            </w:r>
          </w:p>
        </w:tc>
        <w:tc>
          <w:tcPr>
            <w:tcW w:w="5954" w:type="dxa"/>
            <w:tcBorders>
              <w:bottom w:val="single" w:color="000000" w:sz="2" w:space="0"/>
              <w:right w:val="single" w:color="000000" w:sz="2" w:space="0"/>
            </w:tcBorders>
            <w:noWrap w:val="0"/>
            <w:vAlign w:val="top"/>
          </w:tcPr>
          <w:p w14:paraId="2A0AD9F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上述无法表示的其他数据类型，如图象、音频、视频等二进制</w:t>
            </w:r>
            <w:r>
              <w:rPr>
                <w:rFonts w:hint="eastAsia" w:ascii="宋体" w:hAnsi="宋体" w:eastAsia="宋体" w:cs="宋体"/>
                <w:color w:val="auto"/>
                <w:spacing w:val="-3"/>
                <w:kern w:val="2"/>
                <w:sz w:val="24"/>
                <w:szCs w:val="24"/>
                <w:lang w:val="en-US" w:eastAsia="en-US" w:bidi="ar-SA"/>
              </w:rPr>
              <w:t>流文</w:t>
            </w:r>
            <w:r>
              <w:rPr>
                <w:rFonts w:hint="eastAsia" w:ascii="宋体" w:hAnsi="宋体" w:eastAsia="宋体" w:cs="宋体"/>
                <w:color w:val="auto"/>
                <w:spacing w:val="-1"/>
                <w:kern w:val="2"/>
                <w:sz w:val="24"/>
                <w:szCs w:val="24"/>
                <w:lang w:val="en-US" w:eastAsia="en-US" w:bidi="ar-SA"/>
              </w:rPr>
              <w:t>件格式</w:t>
            </w:r>
          </w:p>
        </w:tc>
      </w:tr>
    </w:tbl>
    <w:p w14:paraId="2963FA7F">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bookmarkStart w:id="26" w:name="bookmark8"/>
      <w:bookmarkEnd w:id="26"/>
      <w:bookmarkStart w:id="27" w:name="bookmark7"/>
      <w:bookmarkEnd w:id="27"/>
      <w:r>
        <w:rPr>
          <w:rFonts w:hint="eastAsia" w:ascii="宋体" w:hAnsi="宋体" w:eastAsia="宋体" w:cs="宋体"/>
          <w:b/>
          <w:bCs/>
          <w:color w:val="auto"/>
          <w:spacing w:val="-6"/>
          <w:kern w:val="2"/>
          <w:sz w:val="24"/>
          <w:szCs w:val="24"/>
          <w:lang w:val="en-US" w:eastAsia="zh-CN" w:bidi="ar-SA"/>
        </w:rPr>
        <w:t>1.3接口规范</w:t>
      </w:r>
    </w:p>
    <w:p w14:paraId="0909346A">
      <w:pPr>
        <w:spacing w:before="78" w:line="346" w:lineRule="auto"/>
        <w:ind w:left="15"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本规范定义的所有接口，都必须包含以下数</w:t>
      </w:r>
      <w:r>
        <w:rPr>
          <w:rFonts w:hint="eastAsia" w:ascii="宋体" w:hAnsi="宋体" w:eastAsia="宋体" w:cs="宋体"/>
          <w:color w:val="auto"/>
          <w:spacing w:val="-1"/>
          <w:sz w:val="24"/>
          <w:szCs w:val="24"/>
        </w:rPr>
        <w:t>据项。各接口定义中不再重复包含，不再复</w:t>
      </w:r>
      <w:r>
        <w:rPr>
          <w:rFonts w:hint="eastAsia" w:ascii="宋体" w:hAnsi="宋体" w:eastAsia="宋体" w:cs="宋体"/>
          <w:color w:val="auto"/>
          <w:spacing w:val="-12"/>
          <w:sz w:val="24"/>
          <w:szCs w:val="24"/>
        </w:rPr>
        <w:t>述。</w:t>
      </w:r>
    </w:p>
    <w:p w14:paraId="21C75546">
      <w:pPr>
        <w:spacing w:line="61" w:lineRule="exact"/>
        <w:ind w:firstLine="480" w:firstLineChars="200"/>
        <w:outlineLvl w:val="9"/>
        <w:rPr>
          <w:rFonts w:hint="eastAsia" w:ascii="宋体" w:hAnsi="宋体" w:eastAsia="宋体" w:cs="宋体"/>
          <w:color w:val="auto"/>
          <w:sz w:val="24"/>
          <w:szCs w:val="24"/>
        </w:rPr>
      </w:pPr>
    </w:p>
    <w:tbl>
      <w:tblPr>
        <w:tblStyle w:val="10"/>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04"/>
        <w:gridCol w:w="1601"/>
        <w:gridCol w:w="635"/>
        <w:gridCol w:w="903"/>
        <w:gridCol w:w="677"/>
        <w:gridCol w:w="2887"/>
      </w:tblGrid>
      <w:tr w14:paraId="763CA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965" w:type="pct"/>
            <w:shd w:val="clear" w:color="auto" w:fill="D9D9D9"/>
            <w:noWrap w:val="0"/>
            <w:vAlign w:val="center"/>
          </w:tcPr>
          <w:p w14:paraId="225CBE19">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4"/>
                <w:kern w:val="2"/>
                <w:sz w:val="24"/>
                <w:szCs w:val="24"/>
                <w:lang w:val="en-US" w:eastAsia="en-US" w:bidi="ar-SA"/>
              </w:rPr>
              <w:t>数据项</w:t>
            </w:r>
          </w:p>
        </w:tc>
        <w:tc>
          <w:tcPr>
            <w:tcW w:w="963" w:type="pct"/>
            <w:shd w:val="clear" w:color="auto" w:fill="D9D9D9"/>
            <w:noWrap w:val="0"/>
            <w:vAlign w:val="center"/>
          </w:tcPr>
          <w:p w14:paraId="1D2ABC37">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4"/>
                <w:kern w:val="2"/>
                <w:sz w:val="24"/>
                <w:szCs w:val="24"/>
                <w:lang w:val="en-US" w:eastAsia="en-US" w:bidi="ar-SA"/>
              </w:rPr>
              <w:t>字段名</w:t>
            </w:r>
          </w:p>
        </w:tc>
        <w:tc>
          <w:tcPr>
            <w:tcW w:w="382" w:type="pct"/>
            <w:shd w:val="clear" w:color="auto" w:fill="D9D9D9"/>
            <w:noWrap w:val="0"/>
            <w:vAlign w:val="center"/>
          </w:tcPr>
          <w:p w14:paraId="15868F86">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4"/>
                <w:kern w:val="2"/>
                <w:sz w:val="24"/>
                <w:szCs w:val="24"/>
                <w:lang w:val="en-US" w:eastAsia="en-US" w:bidi="ar-SA"/>
              </w:rPr>
              <w:t>类型</w:t>
            </w:r>
          </w:p>
        </w:tc>
        <w:tc>
          <w:tcPr>
            <w:tcW w:w="543" w:type="pct"/>
            <w:shd w:val="clear" w:color="auto" w:fill="D9D9D9"/>
            <w:noWrap w:val="0"/>
            <w:textDirection w:val="tbRlV"/>
            <w:vAlign w:val="center"/>
          </w:tcPr>
          <w:p w14:paraId="115147FD">
            <w:pPr>
              <w:keepNext w:val="0"/>
              <w:keepLines w:val="0"/>
              <w:pageBreakBefore w:val="0"/>
              <w:widowControl w:val="0"/>
              <w:kinsoku/>
              <w:wordWrap/>
              <w:overflowPunct/>
              <w:topLinePunct w:val="0"/>
              <w:autoSpaceDE/>
              <w:autoSpaceDN/>
              <w:bidi w:val="0"/>
              <w:adjustRightInd/>
              <w:snapToGrid/>
              <w:spacing w:line="210" w:lineRule="auto"/>
              <w:ind w:left="0" w:right="0"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长度</w:t>
            </w:r>
          </w:p>
        </w:tc>
        <w:tc>
          <w:tcPr>
            <w:tcW w:w="407" w:type="pct"/>
            <w:shd w:val="clear" w:color="auto" w:fill="D9D9D9"/>
            <w:noWrap w:val="0"/>
            <w:vAlign w:val="center"/>
          </w:tcPr>
          <w:p w14:paraId="69C2A72E">
            <w:pPr>
              <w:keepNext w:val="0"/>
              <w:keepLines w:val="0"/>
              <w:pageBreakBefore w:val="0"/>
              <w:widowControl w:val="0"/>
              <w:kinsoku/>
              <w:wordWrap/>
              <w:overflowPunct/>
              <w:topLinePunct w:val="0"/>
              <w:autoSpaceDE/>
              <w:autoSpaceDN/>
              <w:bidi w:val="0"/>
              <w:adjustRightInd/>
              <w:snapToGrid/>
              <w:spacing w:line="249"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6"/>
                <w:kern w:val="2"/>
                <w:sz w:val="24"/>
                <w:szCs w:val="24"/>
                <w:lang w:val="en-US" w:eastAsia="en-US" w:bidi="ar-SA"/>
              </w:rPr>
              <w:t>可否</w:t>
            </w:r>
            <w:r>
              <w:rPr>
                <w:rFonts w:hint="eastAsia" w:ascii="宋体" w:hAnsi="宋体" w:eastAsia="宋体" w:cs="宋体"/>
                <w:b/>
                <w:bCs/>
                <w:color w:val="auto"/>
                <w:spacing w:val="-7"/>
                <w:kern w:val="2"/>
                <w:sz w:val="24"/>
                <w:szCs w:val="24"/>
                <w:lang w:val="en-US" w:eastAsia="en-US" w:bidi="ar-SA"/>
              </w:rPr>
              <w:t>为空</w:t>
            </w:r>
          </w:p>
        </w:tc>
        <w:tc>
          <w:tcPr>
            <w:tcW w:w="1736" w:type="pct"/>
            <w:shd w:val="clear" w:color="auto" w:fill="D9D9D9"/>
            <w:noWrap w:val="0"/>
            <w:vAlign w:val="center"/>
          </w:tcPr>
          <w:p w14:paraId="130CB07B">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5"/>
                <w:kern w:val="2"/>
                <w:sz w:val="24"/>
                <w:szCs w:val="24"/>
                <w:lang w:val="en-US" w:eastAsia="en-US" w:bidi="ar-SA"/>
              </w:rPr>
              <w:t>说明</w:t>
            </w:r>
          </w:p>
        </w:tc>
      </w:tr>
      <w:tr w14:paraId="3FD4C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jc w:val="center"/>
        </w:trPr>
        <w:tc>
          <w:tcPr>
            <w:tcW w:w="965" w:type="pct"/>
            <w:noWrap w:val="0"/>
            <w:vAlign w:val="center"/>
          </w:tcPr>
          <w:p w14:paraId="0ABE314E">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数据有效状态</w:t>
            </w:r>
          </w:p>
        </w:tc>
        <w:tc>
          <w:tcPr>
            <w:tcW w:w="963" w:type="pct"/>
            <w:noWrap w:val="0"/>
            <w:vAlign w:val="center"/>
          </w:tcPr>
          <w:p w14:paraId="78E9D3BB">
            <w:pPr>
              <w:keepNext w:val="0"/>
              <w:keepLines w:val="0"/>
              <w:pageBreakBefore w:val="0"/>
              <w:widowControl w:val="0"/>
              <w:kinsoku/>
              <w:wordWrap/>
              <w:overflowPunct/>
              <w:topLinePunct w:val="0"/>
              <w:autoSpaceDE/>
              <w:autoSpaceDN/>
              <w:bidi w:val="0"/>
              <w:adjustRightInd/>
              <w:snapToGrid/>
              <w:spacing w:line="183"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VALIDFLAG</w:t>
            </w:r>
          </w:p>
        </w:tc>
        <w:tc>
          <w:tcPr>
            <w:tcW w:w="382" w:type="pct"/>
            <w:noWrap w:val="0"/>
            <w:vAlign w:val="center"/>
          </w:tcPr>
          <w:p w14:paraId="470EF7FF">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字符串</w:t>
            </w:r>
          </w:p>
        </w:tc>
        <w:tc>
          <w:tcPr>
            <w:tcW w:w="543" w:type="pct"/>
            <w:noWrap w:val="0"/>
            <w:vAlign w:val="center"/>
          </w:tcPr>
          <w:p w14:paraId="4DA44943">
            <w:pPr>
              <w:keepNext w:val="0"/>
              <w:keepLines w:val="0"/>
              <w:pageBreakBefore w:val="0"/>
              <w:widowControl w:val="0"/>
              <w:kinsoku/>
              <w:wordWrap/>
              <w:overflowPunct/>
              <w:topLinePunct w:val="0"/>
              <w:autoSpaceDE/>
              <w:autoSpaceDN/>
              <w:bidi w:val="0"/>
              <w:adjustRightInd/>
              <w:snapToGrid/>
              <w:spacing w:line="182"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1</w:t>
            </w:r>
          </w:p>
        </w:tc>
        <w:tc>
          <w:tcPr>
            <w:tcW w:w="407" w:type="pct"/>
            <w:noWrap w:val="0"/>
            <w:vAlign w:val="center"/>
          </w:tcPr>
          <w:p w14:paraId="7C953978">
            <w:pPr>
              <w:keepNext w:val="0"/>
              <w:keepLines w:val="0"/>
              <w:pageBreakBefore w:val="0"/>
              <w:widowControl w:val="0"/>
              <w:kinsoku/>
              <w:wordWrap/>
              <w:overflowPunct/>
              <w:topLinePunct w:val="0"/>
              <w:autoSpaceDE/>
              <w:autoSpaceDN/>
              <w:bidi w:val="0"/>
              <w:adjustRightInd/>
              <w:snapToGrid/>
              <w:spacing w:line="22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否</w:t>
            </w:r>
          </w:p>
        </w:tc>
        <w:tc>
          <w:tcPr>
            <w:tcW w:w="1736" w:type="pct"/>
            <w:noWrap w:val="0"/>
            <w:vAlign w:val="center"/>
          </w:tcPr>
          <w:p w14:paraId="75DB3F23">
            <w:pPr>
              <w:keepNext w:val="0"/>
              <w:keepLines w:val="0"/>
              <w:pageBreakBefore w:val="0"/>
              <w:widowControl w:val="0"/>
              <w:kinsoku/>
              <w:wordWrap/>
              <w:overflowPunct/>
              <w:topLinePunct w:val="0"/>
              <w:autoSpaceDE/>
              <w:autoSpaceDN/>
              <w:bidi w:val="0"/>
              <w:adjustRightInd/>
              <w:snapToGrid/>
              <w:spacing w:line="265"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0：无效，业务系统将数据设置</w:t>
            </w:r>
            <w:r>
              <w:rPr>
                <w:rFonts w:hint="eastAsia" w:ascii="宋体" w:hAnsi="宋体" w:eastAsia="宋体" w:cs="宋体"/>
                <w:color w:val="auto"/>
                <w:spacing w:val="8"/>
                <w:kern w:val="2"/>
                <w:sz w:val="24"/>
                <w:szCs w:val="24"/>
                <w:lang w:val="en-US" w:eastAsia="en-US" w:bidi="ar-SA"/>
              </w:rPr>
              <w:t>成无效状态或进行逻辑删除时</w:t>
            </w:r>
            <w:r>
              <w:rPr>
                <w:rFonts w:hint="eastAsia" w:ascii="宋体" w:hAnsi="宋体" w:eastAsia="宋体" w:cs="宋体"/>
                <w:color w:val="auto"/>
                <w:spacing w:val="-5"/>
                <w:kern w:val="2"/>
                <w:sz w:val="24"/>
                <w:szCs w:val="24"/>
                <w:lang w:val="en-US" w:eastAsia="en-US" w:bidi="ar-SA"/>
              </w:rPr>
              <w:t>设置该值。</w:t>
            </w:r>
          </w:p>
          <w:p w14:paraId="5800C99D">
            <w:pPr>
              <w:keepNext w:val="0"/>
              <w:keepLines w:val="0"/>
              <w:pageBreakBefore w:val="0"/>
              <w:widowControl w:val="0"/>
              <w:kinsoku/>
              <w:wordWrap/>
              <w:overflowPunct/>
              <w:topLinePunct w:val="0"/>
              <w:autoSpaceDE/>
              <w:autoSpaceDN/>
              <w:bidi w:val="0"/>
              <w:adjustRightInd/>
              <w:snapToGrid/>
              <w:spacing w:line="22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6"/>
                <w:kern w:val="2"/>
                <w:sz w:val="24"/>
                <w:szCs w:val="24"/>
                <w:lang w:val="en-US" w:eastAsia="en-US" w:bidi="ar-SA"/>
              </w:rPr>
              <w:t>1：有效，默认值</w:t>
            </w:r>
          </w:p>
        </w:tc>
      </w:tr>
      <w:tr w14:paraId="15805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965" w:type="pct"/>
            <w:noWrap w:val="0"/>
            <w:vAlign w:val="center"/>
          </w:tcPr>
          <w:p w14:paraId="5AF658B7">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数据产生时间</w:t>
            </w:r>
          </w:p>
        </w:tc>
        <w:tc>
          <w:tcPr>
            <w:tcW w:w="963" w:type="pct"/>
            <w:noWrap w:val="0"/>
            <w:vAlign w:val="center"/>
          </w:tcPr>
          <w:p w14:paraId="08EE8D99">
            <w:pPr>
              <w:keepNext w:val="0"/>
              <w:keepLines w:val="0"/>
              <w:pageBreakBefore w:val="0"/>
              <w:widowControl w:val="0"/>
              <w:kinsoku/>
              <w:wordWrap/>
              <w:overflowPunct/>
              <w:topLinePunct w:val="0"/>
              <w:autoSpaceDE/>
              <w:autoSpaceDN/>
              <w:bidi w:val="0"/>
              <w:adjustRightInd/>
              <w:snapToGrid/>
              <w:spacing w:line="251" w:lineRule="auto"/>
              <w:ind w:left="0" w:right="0" w:firstLine="0" w:firstLineChars="0"/>
              <w:jc w:val="center"/>
              <w:textAlignment w:val="auto"/>
              <w:outlineLvl w:val="9"/>
              <w:rPr>
                <w:rFonts w:hint="eastAsia" w:ascii="宋体" w:hAnsi="宋体" w:eastAsia="宋体" w:cs="宋体"/>
                <w:color w:val="auto"/>
                <w:sz w:val="24"/>
                <w:szCs w:val="24"/>
              </w:rPr>
            </w:pPr>
          </w:p>
          <w:p w14:paraId="5836B022">
            <w:pPr>
              <w:keepNext w:val="0"/>
              <w:keepLines w:val="0"/>
              <w:pageBreakBefore w:val="0"/>
              <w:widowControl w:val="0"/>
              <w:kinsoku/>
              <w:wordWrap/>
              <w:overflowPunct/>
              <w:topLinePunct w:val="0"/>
              <w:autoSpaceDE/>
              <w:autoSpaceDN/>
              <w:bidi w:val="0"/>
              <w:adjustRightInd/>
              <w:snapToGrid/>
              <w:spacing w:line="183"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APPETIME</w:t>
            </w:r>
          </w:p>
        </w:tc>
        <w:tc>
          <w:tcPr>
            <w:tcW w:w="382" w:type="pct"/>
            <w:noWrap w:val="0"/>
            <w:vAlign w:val="center"/>
          </w:tcPr>
          <w:p w14:paraId="4E9AD79D">
            <w:pPr>
              <w:keepNext w:val="0"/>
              <w:keepLines w:val="0"/>
              <w:pageBreakBefore w:val="0"/>
              <w:widowControl w:val="0"/>
              <w:kinsoku/>
              <w:wordWrap/>
              <w:overflowPunct/>
              <w:topLinePunct w:val="0"/>
              <w:autoSpaceDE/>
              <w:autoSpaceDN/>
              <w:bidi w:val="0"/>
              <w:adjustRightInd/>
              <w:snapToGrid/>
              <w:spacing w:line="245" w:lineRule="auto"/>
              <w:ind w:left="0" w:right="0" w:firstLine="0" w:firstLineChars="0"/>
              <w:jc w:val="center"/>
              <w:textAlignment w:val="auto"/>
              <w:outlineLvl w:val="9"/>
              <w:rPr>
                <w:rFonts w:hint="eastAsia" w:ascii="宋体" w:hAnsi="宋体" w:eastAsia="宋体" w:cs="宋体"/>
                <w:color w:val="auto"/>
                <w:sz w:val="24"/>
                <w:szCs w:val="24"/>
              </w:rPr>
            </w:pPr>
          </w:p>
          <w:p w14:paraId="75A34C6B">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1"/>
                <w:kern w:val="2"/>
                <w:sz w:val="24"/>
                <w:szCs w:val="24"/>
                <w:lang w:val="en-US" w:eastAsia="en-US" w:bidi="ar-SA"/>
              </w:rPr>
              <w:t>日期时间</w:t>
            </w:r>
          </w:p>
        </w:tc>
        <w:tc>
          <w:tcPr>
            <w:tcW w:w="543" w:type="pct"/>
            <w:noWrap w:val="0"/>
            <w:vAlign w:val="center"/>
          </w:tcPr>
          <w:p w14:paraId="2964E2A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sz w:val="24"/>
                <w:szCs w:val="24"/>
              </w:rPr>
            </w:pPr>
          </w:p>
        </w:tc>
        <w:tc>
          <w:tcPr>
            <w:tcW w:w="407" w:type="pct"/>
            <w:noWrap w:val="0"/>
            <w:vAlign w:val="center"/>
          </w:tcPr>
          <w:p w14:paraId="7F203885">
            <w:pPr>
              <w:keepNext w:val="0"/>
              <w:keepLines w:val="0"/>
              <w:pageBreakBefore w:val="0"/>
              <w:widowControl w:val="0"/>
              <w:kinsoku/>
              <w:wordWrap/>
              <w:overflowPunct/>
              <w:topLinePunct w:val="0"/>
              <w:autoSpaceDE/>
              <w:autoSpaceDN/>
              <w:bidi w:val="0"/>
              <w:adjustRightInd/>
              <w:snapToGrid/>
              <w:spacing w:line="22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否</w:t>
            </w:r>
          </w:p>
        </w:tc>
        <w:tc>
          <w:tcPr>
            <w:tcW w:w="1736" w:type="pct"/>
            <w:noWrap w:val="0"/>
            <w:vAlign w:val="center"/>
          </w:tcPr>
          <w:p w14:paraId="30A96F46">
            <w:pPr>
              <w:keepNext w:val="0"/>
              <w:keepLines w:val="0"/>
              <w:pageBreakBefore w:val="0"/>
              <w:widowControl w:val="0"/>
              <w:kinsoku/>
              <w:wordWrap/>
              <w:overflowPunct/>
              <w:topLinePunct w:val="0"/>
              <w:autoSpaceDE/>
              <w:autoSpaceDN/>
              <w:bidi w:val="0"/>
              <w:adjustRightInd/>
              <w:snapToGrid/>
              <w:spacing w:line="269"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记录数据在业务系统中被记录</w:t>
            </w:r>
            <w:r>
              <w:rPr>
                <w:rFonts w:hint="eastAsia" w:ascii="宋体" w:hAnsi="宋体" w:eastAsia="宋体" w:cs="宋体"/>
                <w:color w:val="auto"/>
                <w:spacing w:val="-14"/>
                <w:kern w:val="2"/>
                <w:sz w:val="24"/>
                <w:szCs w:val="24"/>
                <w:lang w:val="en-US" w:eastAsia="en-US" w:bidi="ar-SA"/>
              </w:rPr>
              <w:t>的时间，如果业务系统设计上有</w:t>
            </w:r>
            <w:r>
              <w:rPr>
                <w:rFonts w:hint="eastAsia" w:ascii="宋体" w:hAnsi="宋体" w:eastAsia="宋体" w:cs="宋体"/>
                <w:color w:val="auto"/>
                <w:spacing w:val="-8"/>
                <w:kern w:val="2"/>
                <w:sz w:val="24"/>
                <w:szCs w:val="24"/>
                <w:lang w:val="en-US" w:eastAsia="en-US" w:bidi="ar-SA"/>
              </w:rPr>
              <w:t>这样的操作字段（逻辑字段</w:t>
            </w:r>
            <w:r>
              <w:rPr>
                <w:rFonts w:hint="eastAsia" w:ascii="宋体" w:hAnsi="宋体" w:eastAsia="宋体" w:cs="宋体"/>
                <w:color w:val="auto"/>
                <w:spacing w:val="13"/>
                <w:kern w:val="2"/>
                <w:sz w:val="24"/>
                <w:szCs w:val="24"/>
                <w:lang w:val="en-US" w:eastAsia="en-US" w:bidi="ar-SA"/>
              </w:rPr>
              <w:t>），</w:t>
            </w:r>
            <w:r>
              <w:rPr>
                <w:rFonts w:hint="eastAsia" w:ascii="宋体" w:hAnsi="宋体" w:eastAsia="宋体" w:cs="宋体"/>
                <w:color w:val="auto"/>
                <w:spacing w:val="-14"/>
                <w:kern w:val="2"/>
                <w:sz w:val="24"/>
                <w:szCs w:val="24"/>
                <w:lang w:val="en-US" w:eastAsia="en-US" w:bidi="ar-SA"/>
              </w:rPr>
              <w:t>请直接使用该操作字段填充，如</w:t>
            </w:r>
            <w:r>
              <w:rPr>
                <w:rFonts w:hint="eastAsia" w:ascii="宋体" w:hAnsi="宋体" w:eastAsia="宋体" w:cs="宋体"/>
                <w:color w:val="auto"/>
                <w:kern w:val="2"/>
                <w:sz w:val="24"/>
                <w:szCs w:val="24"/>
                <w:lang w:val="en-US" w:eastAsia="en-US" w:bidi="ar-SA"/>
              </w:rPr>
              <w:t>果业务系统设计上没有这样的</w:t>
            </w:r>
            <w:r>
              <w:rPr>
                <w:rFonts w:hint="eastAsia" w:ascii="宋体" w:hAnsi="宋体" w:eastAsia="宋体" w:cs="宋体"/>
                <w:color w:val="auto"/>
                <w:spacing w:val="-14"/>
                <w:kern w:val="2"/>
                <w:sz w:val="24"/>
                <w:szCs w:val="24"/>
                <w:lang w:val="en-US" w:eastAsia="en-US" w:bidi="ar-SA"/>
              </w:rPr>
              <w:t>操作字段请用业务字段代替，比</w:t>
            </w:r>
            <w:r>
              <w:rPr>
                <w:rFonts w:hint="eastAsia" w:ascii="宋体" w:hAnsi="宋体" w:eastAsia="宋体" w:cs="宋体"/>
                <w:color w:val="auto"/>
                <w:spacing w:val="-2"/>
                <w:kern w:val="2"/>
                <w:sz w:val="24"/>
                <w:szCs w:val="24"/>
                <w:lang w:val="en-US" w:eastAsia="en-US" w:bidi="ar-SA"/>
              </w:rPr>
              <w:t>如“入院记录”用“入院时间”</w:t>
            </w:r>
            <w:r>
              <w:rPr>
                <w:rFonts w:hint="eastAsia" w:ascii="宋体" w:hAnsi="宋体" w:eastAsia="宋体" w:cs="宋体"/>
                <w:color w:val="auto"/>
                <w:spacing w:val="-14"/>
                <w:kern w:val="2"/>
                <w:sz w:val="24"/>
                <w:szCs w:val="24"/>
                <w:lang w:val="en-US" w:eastAsia="en-US" w:bidi="ar-SA"/>
              </w:rPr>
              <w:t>代替，“手术记录”用“手术操</w:t>
            </w:r>
            <w:r>
              <w:rPr>
                <w:rFonts w:hint="eastAsia" w:ascii="宋体" w:hAnsi="宋体" w:eastAsia="宋体" w:cs="宋体"/>
                <w:color w:val="auto"/>
                <w:spacing w:val="-8"/>
                <w:kern w:val="2"/>
                <w:sz w:val="24"/>
                <w:szCs w:val="24"/>
                <w:lang w:val="en-US" w:eastAsia="en-US" w:bidi="ar-SA"/>
              </w:rPr>
              <w:t>作时间”字段代替等。</w:t>
            </w:r>
          </w:p>
        </w:tc>
      </w:tr>
      <w:tr w14:paraId="29245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965" w:type="pct"/>
            <w:noWrap w:val="0"/>
            <w:vAlign w:val="center"/>
          </w:tcPr>
          <w:p w14:paraId="1CC5BB11">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最后修改时间</w:t>
            </w:r>
          </w:p>
        </w:tc>
        <w:tc>
          <w:tcPr>
            <w:tcW w:w="963" w:type="pct"/>
            <w:noWrap w:val="0"/>
            <w:vAlign w:val="center"/>
          </w:tcPr>
          <w:p w14:paraId="00147C2C">
            <w:pPr>
              <w:keepNext w:val="0"/>
              <w:keepLines w:val="0"/>
              <w:pageBreakBefore w:val="0"/>
              <w:widowControl w:val="0"/>
              <w:kinsoku/>
              <w:wordWrap/>
              <w:overflowPunct/>
              <w:topLinePunct w:val="0"/>
              <w:autoSpaceDE/>
              <w:autoSpaceDN/>
              <w:bidi w:val="0"/>
              <w:adjustRightInd/>
              <w:snapToGrid/>
              <w:spacing w:line="182"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MODIFYTIME</w:t>
            </w:r>
          </w:p>
        </w:tc>
        <w:tc>
          <w:tcPr>
            <w:tcW w:w="382" w:type="pct"/>
            <w:noWrap w:val="0"/>
            <w:vAlign w:val="center"/>
          </w:tcPr>
          <w:p w14:paraId="271D609A">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1"/>
                <w:kern w:val="2"/>
                <w:sz w:val="24"/>
                <w:szCs w:val="24"/>
                <w:lang w:val="en-US" w:eastAsia="en-US" w:bidi="ar-SA"/>
              </w:rPr>
              <w:t>日期时间</w:t>
            </w:r>
          </w:p>
        </w:tc>
        <w:tc>
          <w:tcPr>
            <w:tcW w:w="543" w:type="pct"/>
            <w:noWrap w:val="0"/>
            <w:vAlign w:val="center"/>
          </w:tcPr>
          <w:p w14:paraId="78525E0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outlineLvl w:val="9"/>
              <w:rPr>
                <w:rFonts w:hint="eastAsia" w:ascii="宋体" w:hAnsi="宋体" w:eastAsia="宋体" w:cs="宋体"/>
                <w:color w:val="auto"/>
                <w:sz w:val="24"/>
                <w:szCs w:val="24"/>
              </w:rPr>
            </w:pPr>
          </w:p>
        </w:tc>
        <w:tc>
          <w:tcPr>
            <w:tcW w:w="407" w:type="pct"/>
            <w:noWrap w:val="0"/>
            <w:vAlign w:val="center"/>
          </w:tcPr>
          <w:p w14:paraId="1BF38D93">
            <w:pPr>
              <w:keepNext w:val="0"/>
              <w:keepLines w:val="0"/>
              <w:pageBreakBefore w:val="0"/>
              <w:widowControl w:val="0"/>
              <w:kinsoku/>
              <w:wordWrap/>
              <w:overflowPunct/>
              <w:topLinePunct w:val="0"/>
              <w:autoSpaceDE/>
              <w:autoSpaceDN/>
              <w:bidi w:val="0"/>
              <w:adjustRightInd/>
              <w:snapToGrid/>
              <w:spacing w:line="22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否</w:t>
            </w:r>
          </w:p>
        </w:tc>
        <w:tc>
          <w:tcPr>
            <w:tcW w:w="1736" w:type="pct"/>
            <w:noWrap w:val="0"/>
            <w:vAlign w:val="center"/>
          </w:tcPr>
          <w:p w14:paraId="411A83EA">
            <w:pPr>
              <w:keepNext w:val="0"/>
              <w:keepLines w:val="0"/>
              <w:pageBreakBefore w:val="0"/>
              <w:widowControl w:val="0"/>
              <w:kinsoku/>
              <w:wordWrap/>
              <w:overflowPunct/>
              <w:topLinePunct w:val="0"/>
              <w:autoSpaceDE/>
              <w:autoSpaceDN/>
              <w:bidi w:val="0"/>
              <w:adjustRightInd/>
              <w:snapToGrid/>
              <w:spacing w:line="257"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8"/>
                <w:kern w:val="2"/>
                <w:sz w:val="24"/>
                <w:szCs w:val="24"/>
                <w:lang w:val="en-US" w:eastAsia="en-US" w:bidi="ar-SA"/>
              </w:rPr>
              <w:t>业务数据最后一次被修改的时</w:t>
            </w:r>
            <w:r>
              <w:rPr>
                <w:rFonts w:hint="eastAsia" w:ascii="宋体" w:hAnsi="宋体" w:eastAsia="宋体" w:cs="宋体"/>
                <w:color w:val="auto"/>
                <w:spacing w:val="-8"/>
                <w:kern w:val="2"/>
                <w:sz w:val="24"/>
                <w:szCs w:val="24"/>
                <w:lang w:val="en-US" w:eastAsia="en-US" w:bidi="ar-SA"/>
              </w:rPr>
              <w:t>间，未发生修改的情况下记录数</w:t>
            </w:r>
            <w:r>
              <w:rPr>
                <w:rFonts w:hint="eastAsia" w:ascii="宋体" w:hAnsi="宋体" w:eastAsia="宋体" w:cs="宋体"/>
                <w:color w:val="auto"/>
                <w:spacing w:val="-1"/>
                <w:kern w:val="2"/>
                <w:sz w:val="24"/>
                <w:szCs w:val="24"/>
                <w:lang w:val="en-US" w:eastAsia="en-US" w:bidi="ar-SA"/>
              </w:rPr>
              <w:t>据产生时间。</w:t>
            </w:r>
          </w:p>
        </w:tc>
      </w:tr>
      <w:tr w14:paraId="5770A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965" w:type="pct"/>
            <w:noWrap w:val="0"/>
            <w:vAlign w:val="center"/>
          </w:tcPr>
          <w:p w14:paraId="52C4D1A6">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修改人编码</w:t>
            </w:r>
          </w:p>
        </w:tc>
        <w:tc>
          <w:tcPr>
            <w:tcW w:w="963" w:type="pct"/>
            <w:noWrap w:val="0"/>
            <w:vAlign w:val="center"/>
          </w:tcPr>
          <w:p w14:paraId="13487B5C">
            <w:pPr>
              <w:keepNext w:val="0"/>
              <w:keepLines w:val="0"/>
              <w:pageBreakBefore w:val="0"/>
              <w:widowControl w:val="0"/>
              <w:kinsoku/>
              <w:wordWrap/>
              <w:overflowPunct/>
              <w:topLinePunct w:val="0"/>
              <w:autoSpaceDE/>
              <w:autoSpaceDN/>
              <w:bidi w:val="0"/>
              <w:adjustRightInd/>
              <w:snapToGrid/>
              <w:spacing w:line="182"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MODIFYTCODE</w:t>
            </w:r>
          </w:p>
        </w:tc>
        <w:tc>
          <w:tcPr>
            <w:tcW w:w="382" w:type="pct"/>
            <w:noWrap w:val="0"/>
            <w:vAlign w:val="center"/>
          </w:tcPr>
          <w:p w14:paraId="7EBB2BF2">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字符串</w:t>
            </w:r>
          </w:p>
        </w:tc>
        <w:tc>
          <w:tcPr>
            <w:tcW w:w="543" w:type="pct"/>
            <w:noWrap w:val="0"/>
            <w:vAlign w:val="center"/>
          </w:tcPr>
          <w:p w14:paraId="14A8D15F">
            <w:pPr>
              <w:keepNext w:val="0"/>
              <w:keepLines w:val="0"/>
              <w:pageBreakBefore w:val="0"/>
              <w:widowControl w:val="0"/>
              <w:kinsoku/>
              <w:wordWrap/>
              <w:overflowPunct/>
              <w:topLinePunct w:val="0"/>
              <w:autoSpaceDE/>
              <w:autoSpaceDN/>
              <w:bidi w:val="0"/>
              <w:adjustRightInd/>
              <w:snapToGrid/>
              <w:spacing w:line="18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32</w:t>
            </w:r>
          </w:p>
        </w:tc>
        <w:tc>
          <w:tcPr>
            <w:tcW w:w="407" w:type="pct"/>
            <w:noWrap w:val="0"/>
            <w:vAlign w:val="center"/>
          </w:tcPr>
          <w:p w14:paraId="00BB79D6">
            <w:pPr>
              <w:keepNext w:val="0"/>
              <w:keepLines w:val="0"/>
              <w:pageBreakBefore w:val="0"/>
              <w:widowControl w:val="0"/>
              <w:kinsoku/>
              <w:wordWrap/>
              <w:overflowPunct/>
              <w:topLinePunct w:val="0"/>
              <w:autoSpaceDE/>
              <w:autoSpaceDN/>
              <w:bidi w:val="0"/>
              <w:adjustRightInd/>
              <w:snapToGrid/>
              <w:spacing w:line="223"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是</w:t>
            </w:r>
          </w:p>
        </w:tc>
        <w:tc>
          <w:tcPr>
            <w:tcW w:w="1736" w:type="pct"/>
            <w:noWrap w:val="0"/>
            <w:vAlign w:val="center"/>
          </w:tcPr>
          <w:p w14:paraId="21C2816C">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系统内操作人编码</w:t>
            </w:r>
          </w:p>
        </w:tc>
      </w:tr>
      <w:tr w14:paraId="5F0D6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jc w:val="center"/>
        </w:trPr>
        <w:tc>
          <w:tcPr>
            <w:tcW w:w="965" w:type="pct"/>
            <w:noWrap w:val="0"/>
            <w:vAlign w:val="center"/>
          </w:tcPr>
          <w:p w14:paraId="678FB52C">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修改人名称</w:t>
            </w:r>
          </w:p>
        </w:tc>
        <w:tc>
          <w:tcPr>
            <w:tcW w:w="963" w:type="pct"/>
            <w:noWrap w:val="0"/>
            <w:vAlign w:val="center"/>
          </w:tcPr>
          <w:p w14:paraId="06C716E8">
            <w:pPr>
              <w:keepNext w:val="0"/>
              <w:keepLines w:val="0"/>
              <w:pageBreakBefore w:val="0"/>
              <w:widowControl w:val="0"/>
              <w:kinsoku/>
              <w:wordWrap/>
              <w:overflowPunct/>
              <w:topLinePunct w:val="0"/>
              <w:autoSpaceDE/>
              <w:autoSpaceDN/>
              <w:bidi w:val="0"/>
              <w:adjustRightInd/>
              <w:snapToGrid/>
              <w:spacing w:line="183"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MODIFYTNAME</w:t>
            </w:r>
          </w:p>
        </w:tc>
        <w:tc>
          <w:tcPr>
            <w:tcW w:w="382" w:type="pct"/>
            <w:noWrap w:val="0"/>
            <w:vAlign w:val="center"/>
          </w:tcPr>
          <w:p w14:paraId="611E2AAD">
            <w:pPr>
              <w:keepNext w:val="0"/>
              <w:keepLines w:val="0"/>
              <w:pageBreakBefore w:val="0"/>
              <w:widowControl w:val="0"/>
              <w:kinsoku/>
              <w:wordWrap/>
              <w:overflowPunct/>
              <w:topLinePunct w:val="0"/>
              <w:autoSpaceDE/>
              <w:autoSpaceDN/>
              <w:bidi w:val="0"/>
              <w:adjustRightInd/>
              <w:snapToGrid/>
              <w:spacing w:line="22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字符串</w:t>
            </w:r>
          </w:p>
        </w:tc>
        <w:tc>
          <w:tcPr>
            <w:tcW w:w="543" w:type="pct"/>
            <w:noWrap w:val="0"/>
            <w:vAlign w:val="center"/>
          </w:tcPr>
          <w:p w14:paraId="032602B1">
            <w:pPr>
              <w:keepNext w:val="0"/>
              <w:keepLines w:val="0"/>
              <w:pageBreakBefore w:val="0"/>
              <w:widowControl w:val="0"/>
              <w:kinsoku/>
              <w:wordWrap/>
              <w:overflowPunct/>
              <w:topLinePunct w:val="0"/>
              <w:autoSpaceDE/>
              <w:autoSpaceDN/>
              <w:bidi w:val="0"/>
              <w:adjustRightInd/>
              <w:snapToGrid/>
              <w:spacing w:line="181"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64</w:t>
            </w:r>
          </w:p>
        </w:tc>
        <w:tc>
          <w:tcPr>
            <w:tcW w:w="407" w:type="pct"/>
            <w:noWrap w:val="0"/>
            <w:vAlign w:val="center"/>
          </w:tcPr>
          <w:p w14:paraId="6A697B3B">
            <w:pPr>
              <w:keepNext w:val="0"/>
              <w:keepLines w:val="0"/>
              <w:pageBreakBefore w:val="0"/>
              <w:widowControl w:val="0"/>
              <w:kinsoku/>
              <w:wordWrap/>
              <w:overflowPunct/>
              <w:topLinePunct w:val="0"/>
              <w:autoSpaceDE/>
              <w:autoSpaceDN/>
              <w:bidi w:val="0"/>
              <w:adjustRightInd/>
              <w:snapToGrid/>
              <w:spacing w:line="223"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是</w:t>
            </w:r>
          </w:p>
        </w:tc>
        <w:tc>
          <w:tcPr>
            <w:tcW w:w="1736" w:type="pct"/>
            <w:noWrap w:val="0"/>
            <w:vAlign w:val="center"/>
          </w:tcPr>
          <w:p w14:paraId="1DCA53ED">
            <w:pPr>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系统内操作人名称</w:t>
            </w:r>
          </w:p>
        </w:tc>
      </w:tr>
    </w:tbl>
    <w:p w14:paraId="509E282A">
      <w:pPr>
        <w:keepNext/>
        <w:keepLines/>
        <w:widowControl w:val="0"/>
        <w:numPr>
          <w:ilvl w:val="3"/>
          <w:numId w:val="1"/>
        </w:numPr>
        <w:bidi w:val="0"/>
        <w:spacing w:before="60" w:after="60" w:line="360" w:lineRule="auto"/>
        <w:ind w:left="862" w:hanging="862" w:firstLineChars="0"/>
        <w:jc w:val="both"/>
        <w:outlineLvl w:val="9"/>
        <w:rPr>
          <w:rFonts w:hint="eastAsia" w:ascii="宋体" w:hAnsi="宋体" w:eastAsia="宋体" w:cs="宋体"/>
          <w:b/>
          <w:bCs/>
          <w:color w:val="auto"/>
          <w:kern w:val="2"/>
          <w:sz w:val="24"/>
          <w:szCs w:val="24"/>
          <w:lang w:val="en-US" w:eastAsia="zh-CN" w:bidi="ar-SA"/>
        </w:rPr>
      </w:pPr>
      <w:bookmarkStart w:id="28" w:name="bookmark9"/>
      <w:bookmarkEnd w:id="28"/>
      <w:bookmarkStart w:id="29" w:name="bookmark10"/>
      <w:bookmarkEnd w:id="29"/>
      <w:r>
        <w:rPr>
          <w:rFonts w:hint="eastAsia" w:ascii="宋体" w:hAnsi="宋体" w:eastAsia="宋体" w:cs="宋体"/>
          <w:b/>
          <w:bCs/>
          <w:color w:val="auto"/>
          <w:spacing w:val="-6"/>
          <w:kern w:val="2"/>
          <w:sz w:val="24"/>
          <w:szCs w:val="24"/>
          <w:lang w:val="en-US" w:eastAsia="zh-CN" w:bidi="ar-SA"/>
        </w:rPr>
        <w:t>接口范围</w:t>
      </w:r>
    </w:p>
    <w:tbl>
      <w:tblPr>
        <w:tblStyle w:val="10"/>
        <w:tblW w:w="50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5"/>
        <w:gridCol w:w="1704"/>
        <w:gridCol w:w="3601"/>
        <w:gridCol w:w="5"/>
        <w:gridCol w:w="2167"/>
        <w:gridCol w:w="7"/>
      </w:tblGrid>
      <w:tr w14:paraId="46F78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5" w:hRule="atLeast"/>
        </w:trPr>
        <w:tc>
          <w:tcPr>
            <w:tcW w:w="502" w:type="pct"/>
            <w:shd w:val="clear" w:color="auto" w:fill="D9D9D9"/>
            <w:noWrap w:val="0"/>
            <w:vAlign w:val="center"/>
          </w:tcPr>
          <w:p w14:paraId="5F16C5DF">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1"/>
                <w:kern w:val="2"/>
                <w:sz w:val="24"/>
                <w:szCs w:val="24"/>
                <w:lang w:val="en-US" w:eastAsia="en-US" w:bidi="ar-SA"/>
              </w:rPr>
              <w:t>序号</w:t>
            </w:r>
          </w:p>
        </w:tc>
        <w:tc>
          <w:tcPr>
            <w:tcW w:w="1024" w:type="pct"/>
            <w:shd w:val="clear" w:color="auto" w:fill="D9D9D9"/>
            <w:noWrap w:val="0"/>
            <w:vAlign w:val="center"/>
          </w:tcPr>
          <w:p w14:paraId="57B30C48">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4"/>
                <w:kern w:val="2"/>
                <w:sz w:val="24"/>
                <w:szCs w:val="24"/>
                <w:lang w:val="en-US" w:eastAsia="en-US" w:bidi="ar-SA"/>
              </w:rPr>
              <w:t>数据集分类</w:t>
            </w:r>
          </w:p>
        </w:tc>
        <w:tc>
          <w:tcPr>
            <w:tcW w:w="2167" w:type="pct"/>
            <w:gridSpan w:val="2"/>
            <w:shd w:val="clear" w:color="auto" w:fill="D9D9D9"/>
            <w:noWrap w:val="0"/>
            <w:vAlign w:val="center"/>
          </w:tcPr>
          <w:p w14:paraId="556EAB4F">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2"/>
                <w:kern w:val="2"/>
                <w:sz w:val="24"/>
                <w:szCs w:val="24"/>
                <w:lang w:val="en-US" w:eastAsia="en-US" w:bidi="ar-SA"/>
              </w:rPr>
              <w:t>数据集</w:t>
            </w:r>
          </w:p>
        </w:tc>
        <w:tc>
          <w:tcPr>
            <w:tcW w:w="1306" w:type="pct"/>
            <w:gridSpan w:val="2"/>
            <w:shd w:val="clear" w:color="auto" w:fill="D9D9D9"/>
            <w:noWrap w:val="0"/>
            <w:vAlign w:val="center"/>
          </w:tcPr>
          <w:p w14:paraId="5C0A1A5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b/>
                <w:bCs/>
                <w:color w:val="auto"/>
                <w:spacing w:val="1"/>
                <w:kern w:val="2"/>
                <w:sz w:val="24"/>
                <w:szCs w:val="24"/>
                <w:lang w:val="en-US" w:eastAsia="en-US" w:bidi="ar-SA"/>
              </w:rPr>
              <w:t>表名</w:t>
            </w:r>
          </w:p>
        </w:tc>
      </w:tr>
      <w:tr w14:paraId="4FF56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5127E1B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24" w:type="pct"/>
            <w:noWrap w:val="0"/>
            <w:vAlign w:val="top"/>
          </w:tcPr>
          <w:p w14:paraId="4FBFEFE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患者基本信息</w:t>
            </w:r>
          </w:p>
        </w:tc>
        <w:tc>
          <w:tcPr>
            <w:tcW w:w="2167" w:type="pct"/>
            <w:gridSpan w:val="2"/>
            <w:noWrap w:val="0"/>
            <w:vAlign w:val="top"/>
          </w:tcPr>
          <w:p w14:paraId="69E4319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患者基本信息表</w:t>
            </w:r>
          </w:p>
        </w:tc>
        <w:tc>
          <w:tcPr>
            <w:tcW w:w="1306" w:type="pct"/>
            <w:gridSpan w:val="2"/>
            <w:noWrap w:val="0"/>
            <w:vAlign w:val="top"/>
          </w:tcPr>
          <w:p w14:paraId="5394490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TB_HZJBXX</w:t>
            </w:r>
          </w:p>
        </w:tc>
      </w:tr>
      <w:tr w14:paraId="011F3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60AA581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024" w:type="pct"/>
            <w:vMerge w:val="restart"/>
            <w:tcBorders>
              <w:bottom w:val="nil"/>
            </w:tcBorders>
            <w:noWrap w:val="0"/>
            <w:vAlign w:val="top"/>
          </w:tcPr>
          <w:p w14:paraId="7D29596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56442F6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332ADF9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1147179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6"/>
                <w:kern w:val="2"/>
                <w:sz w:val="24"/>
                <w:szCs w:val="24"/>
                <w:lang w:val="en-US" w:eastAsia="en-US" w:bidi="ar-SA"/>
              </w:rPr>
              <w:t>门诊就诊信息</w:t>
            </w:r>
          </w:p>
        </w:tc>
        <w:tc>
          <w:tcPr>
            <w:tcW w:w="2167" w:type="pct"/>
            <w:gridSpan w:val="2"/>
            <w:noWrap w:val="0"/>
            <w:vAlign w:val="top"/>
          </w:tcPr>
          <w:p w14:paraId="540206A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7"/>
                <w:kern w:val="2"/>
                <w:sz w:val="24"/>
                <w:szCs w:val="24"/>
                <w:lang w:val="en-US" w:eastAsia="en-US" w:bidi="ar-SA"/>
              </w:rPr>
              <w:t>门诊挂号表</w:t>
            </w:r>
          </w:p>
        </w:tc>
        <w:tc>
          <w:tcPr>
            <w:tcW w:w="1306" w:type="pct"/>
            <w:gridSpan w:val="2"/>
            <w:noWrap w:val="0"/>
            <w:vAlign w:val="top"/>
          </w:tcPr>
          <w:p w14:paraId="584EFE4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TB_MZGH</w:t>
            </w:r>
          </w:p>
        </w:tc>
      </w:tr>
      <w:tr w14:paraId="60913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5469913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024" w:type="pct"/>
            <w:vMerge w:val="continue"/>
            <w:tcBorders>
              <w:top w:val="nil"/>
              <w:bottom w:val="nil"/>
            </w:tcBorders>
            <w:noWrap w:val="0"/>
            <w:vAlign w:val="top"/>
          </w:tcPr>
          <w:p w14:paraId="65D9FD3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6109630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5"/>
                <w:kern w:val="2"/>
                <w:sz w:val="24"/>
                <w:szCs w:val="24"/>
                <w:lang w:val="en-US" w:eastAsia="en-US" w:bidi="ar-SA"/>
              </w:rPr>
              <w:t>门诊就诊记录表</w:t>
            </w:r>
          </w:p>
        </w:tc>
        <w:tc>
          <w:tcPr>
            <w:tcW w:w="1306" w:type="pct"/>
            <w:gridSpan w:val="2"/>
            <w:noWrap w:val="0"/>
            <w:vAlign w:val="top"/>
          </w:tcPr>
          <w:p w14:paraId="1C07BAB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TB_MZJZJL</w:t>
            </w:r>
          </w:p>
        </w:tc>
      </w:tr>
      <w:tr w14:paraId="3B85B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61968B7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024" w:type="pct"/>
            <w:vMerge w:val="continue"/>
            <w:tcBorders>
              <w:top w:val="nil"/>
              <w:bottom w:val="nil"/>
            </w:tcBorders>
            <w:noWrap w:val="0"/>
            <w:vAlign w:val="top"/>
          </w:tcPr>
          <w:p w14:paraId="34CFB54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18365A5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4"/>
                <w:kern w:val="2"/>
                <w:sz w:val="24"/>
                <w:szCs w:val="24"/>
                <w:lang w:val="en-US" w:eastAsia="en-US" w:bidi="ar-SA"/>
              </w:rPr>
              <w:t>门诊处方主信息表</w:t>
            </w:r>
          </w:p>
        </w:tc>
        <w:tc>
          <w:tcPr>
            <w:tcW w:w="1306" w:type="pct"/>
            <w:gridSpan w:val="2"/>
            <w:noWrap w:val="0"/>
            <w:vAlign w:val="top"/>
          </w:tcPr>
          <w:p w14:paraId="3023501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TB_MZCFZXX</w:t>
            </w:r>
          </w:p>
        </w:tc>
      </w:tr>
      <w:tr w14:paraId="27411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29C5D6C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024" w:type="pct"/>
            <w:vMerge w:val="continue"/>
            <w:tcBorders>
              <w:top w:val="nil"/>
              <w:bottom w:val="nil"/>
            </w:tcBorders>
            <w:noWrap w:val="0"/>
            <w:vAlign w:val="top"/>
          </w:tcPr>
          <w:p w14:paraId="2DA4401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016D55E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5"/>
                <w:kern w:val="2"/>
                <w:sz w:val="24"/>
                <w:szCs w:val="24"/>
                <w:lang w:val="en-US" w:eastAsia="en-US" w:bidi="ar-SA"/>
              </w:rPr>
              <w:t>门诊处方明细表</w:t>
            </w:r>
          </w:p>
        </w:tc>
        <w:tc>
          <w:tcPr>
            <w:tcW w:w="1306" w:type="pct"/>
            <w:gridSpan w:val="2"/>
            <w:noWrap w:val="0"/>
            <w:vAlign w:val="top"/>
          </w:tcPr>
          <w:p w14:paraId="3353F3A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TB_MZCFMX</w:t>
            </w:r>
          </w:p>
        </w:tc>
      </w:tr>
      <w:tr w14:paraId="7D548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502" w:type="pct"/>
            <w:noWrap w:val="0"/>
            <w:vAlign w:val="top"/>
          </w:tcPr>
          <w:p w14:paraId="2686343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024" w:type="pct"/>
            <w:vMerge w:val="continue"/>
            <w:tcBorders>
              <w:top w:val="nil"/>
              <w:bottom w:val="nil"/>
            </w:tcBorders>
            <w:noWrap w:val="0"/>
            <w:vAlign w:val="top"/>
          </w:tcPr>
          <w:p w14:paraId="56E531F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0F61B92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4"/>
                <w:kern w:val="2"/>
                <w:sz w:val="24"/>
                <w:szCs w:val="24"/>
                <w:lang w:val="en-US" w:eastAsia="en-US" w:bidi="ar-SA"/>
              </w:rPr>
              <w:t>门诊处方医嘱执行记录</w:t>
            </w:r>
          </w:p>
        </w:tc>
        <w:tc>
          <w:tcPr>
            <w:tcW w:w="1306" w:type="pct"/>
            <w:gridSpan w:val="2"/>
            <w:noWrap w:val="0"/>
            <w:vAlign w:val="top"/>
          </w:tcPr>
          <w:p w14:paraId="342BEF2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TB_MZCFZXJL</w:t>
            </w:r>
          </w:p>
        </w:tc>
      </w:tr>
      <w:tr w14:paraId="3E126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02" w:type="pct"/>
            <w:noWrap w:val="0"/>
            <w:vAlign w:val="top"/>
          </w:tcPr>
          <w:p w14:paraId="4AA4324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024" w:type="pct"/>
            <w:vMerge w:val="continue"/>
            <w:tcBorders>
              <w:top w:val="nil"/>
              <w:bottom w:val="nil"/>
            </w:tcBorders>
            <w:noWrap w:val="0"/>
            <w:vAlign w:val="top"/>
          </w:tcPr>
          <w:p w14:paraId="3299AF1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4F96AFE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5"/>
                <w:kern w:val="2"/>
                <w:sz w:val="24"/>
                <w:szCs w:val="24"/>
                <w:lang w:val="en-US" w:eastAsia="en-US" w:bidi="ar-SA"/>
              </w:rPr>
              <w:t>门诊收费汇总表</w:t>
            </w:r>
          </w:p>
        </w:tc>
        <w:tc>
          <w:tcPr>
            <w:tcW w:w="1306" w:type="pct"/>
            <w:gridSpan w:val="2"/>
            <w:noWrap w:val="0"/>
            <w:vAlign w:val="top"/>
          </w:tcPr>
          <w:p w14:paraId="36D66BF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TB_MZSFHZ</w:t>
            </w:r>
          </w:p>
        </w:tc>
      </w:tr>
      <w:tr w14:paraId="482C2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51665E5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024" w:type="pct"/>
            <w:vMerge w:val="continue"/>
            <w:tcBorders>
              <w:top w:val="nil"/>
            </w:tcBorders>
            <w:noWrap w:val="0"/>
            <w:vAlign w:val="top"/>
          </w:tcPr>
          <w:p w14:paraId="42E56BA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4E0D148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5"/>
                <w:kern w:val="2"/>
                <w:sz w:val="24"/>
                <w:szCs w:val="24"/>
                <w:lang w:val="en-US" w:eastAsia="en-US" w:bidi="ar-SA"/>
              </w:rPr>
              <w:t>门诊收费明细表</w:t>
            </w:r>
          </w:p>
        </w:tc>
        <w:tc>
          <w:tcPr>
            <w:tcW w:w="1306" w:type="pct"/>
            <w:gridSpan w:val="2"/>
            <w:noWrap w:val="0"/>
            <w:vAlign w:val="top"/>
          </w:tcPr>
          <w:p w14:paraId="6ACDBBD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TB_MZSFMX</w:t>
            </w:r>
          </w:p>
        </w:tc>
      </w:tr>
      <w:tr w14:paraId="3D916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02" w:type="pct"/>
            <w:noWrap w:val="0"/>
            <w:vAlign w:val="top"/>
          </w:tcPr>
          <w:p w14:paraId="1927515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024" w:type="pct"/>
            <w:vMerge w:val="restart"/>
            <w:noWrap w:val="0"/>
            <w:vAlign w:val="top"/>
          </w:tcPr>
          <w:p w14:paraId="6BA5774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421D8E0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062DAB0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0F9490E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住院就诊信息</w:t>
            </w:r>
          </w:p>
        </w:tc>
        <w:tc>
          <w:tcPr>
            <w:tcW w:w="2167" w:type="pct"/>
            <w:gridSpan w:val="2"/>
            <w:noWrap w:val="0"/>
            <w:vAlign w:val="top"/>
          </w:tcPr>
          <w:p w14:paraId="7BC2B34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住院就诊记录表</w:t>
            </w:r>
          </w:p>
        </w:tc>
        <w:tc>
          <w:tcPr>
            <w:tcW w:w="1306" w:type="pct"/>
            <w:gridSpan w:val="2"/>
            <w:noWrap w:val="0"/>
            <w:vAlign w:val="top"/>
          </w:tcPr>
          <w:p w14:paraId="57F6C81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TB_ZYJZJL</w:t>
            </w:r>
          </w:p>
        </w:tc>
      </w:tr>
      <w:tr w14:paraId="2EFA3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02" w:type="pct"/>
            <w:noWrap w:val="0"/>
            <w:vAlign w:val="top"/>
          </w:tcPr>
          <w:p w14:paraId="57664C3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10</w:t>
            </w:r>
          </w:p>
        </w:tc>
        <w:tc>
          <w:tcPr>
            <w:tcW w:w="1024" w:type="pct"/>
            <w:vMerge w:val="continue"/>
            <w:noWrap w:val="0"/>
            <w:vAlign w:val="top"/>
          </w:tcPr>
          <w:p w14:paraId="312C271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1477DB6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转科记录</w:t>
            </w:r>
          </w:p>
        </w:tc>
        <w:tc>
          <w:tcPr>
            <w:tcW w:w="1306" w:type="pct"/>
            <w:gridSpan w:val="2"/>
            <w:noWrap w:val="0"/>
            <w:vAlign w:val="top"/>
          </w:tcPr>
          <w:p w14:paraId="444850A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TB_ZKJL</w:t>
            </w:r>
          </w:p>
        </w:tc>
      </w:tr>
      <w:tr w14:paraId="09628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71E9D47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11</w:t>
            </w:r>
          </w:p>
        </w:tc>
        <w:tc>
          <w:tcPr>
            <w:tcW w:w="1024" w:type="pct"/>
            <w:vMerge w:val="continue"/>
            <w:noWrap w:val="0"/>
            <w:vAlign w:val="top"/>
          </w:tcPr>
          <w:p w14:paraId="3F3499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3F2C464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住院医嘱明细表</w:t>
            </w:r>
          </w:p>
        </w:tc>
        <w:tc>
          <w:tcPr>
            <w:tcW w:w="1306" w:type="pct"/>
            <w:gridSpan w:val="2"/>
            <w:noWrap w:val="0"/>
            <w:vAlign w:val="top"/>
          </w:tcPr>
          <w:p w14:paraId="44D53DC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TB_ZYYZMX</w:t>
            </w:r>
          </w:p>
        </w:tc>
      </w:tr>
      <w:tr w14:paraId="6F541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502" w:type="pct"/>
            <w:noWrap w:val="0"/>
            <w:vAlign w:val="top"/>
          </w:tcPr>
          <w:p w14:paraId="0F3788B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12</w:t>
            </w:r>
          </w:p>
        </w:tc>
        <w:tc>
          <w:tcPr>
            <w:tcW w:w="1024" w:type="pct"/>
            <w:vMerge w:val="continue"/>
            <w:noWrap w:val="0"/>
            <w:vAlign w:val="top"/>
          </w:tcPr>
          <w:p w14:paraId="5733ED6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62C4F14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住院医嘱执行记录</w:t>
            </w:r>
          </w:p>
        </w:tc>
        <w:tc>
          <w:tcPr>
            <w:tcW w:w="1306" w:type="pct"/>
            <w:gridSpan w:val="2"/>
            <w:noWrap w:val="0"/>
            <w:vAlign w:val="top"/>
          </w:tcPr>
          <w:p w14:paraId="44AC70E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TB_ZYYZZXJL</w:t>
            </w:r>
          </w:p>
        </w:tc>
      </w:tr>
      <w:tr w14:paraId="20B32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7E33DCE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13</w:t>
            </w:r>
          </w:p>
        </w:tc>
        <w:tc>
          <w:tcPr>
            <w:tcW w:w="1024" w:type="pct"/>
            <w:vMerge w:val="continue"/>
            <w:noWrap w:val="0"/>
            <w:vAlign w:val="top"/>
          </w:tcPr>
          <w:p w14:paraId="79BC943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77E4ACB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住院收费明细表</w:t>
            </w:r>
          </w:p>
        </w:tc>
        <w:tc>
          <w:tcPr>
            <w:tcW w:w="1306" w:type="pct"/>
            <w:gridSpan w:val="2"/>
            <w:noWrap w:val="0"/>
            <w:vAlign w:val="top"/>
          </w:tcPr>
          <w:p w14:paraId="30C36C9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TB_ZYSFMX</w:t>
            </w:r>
          </w:p>
        </w:tc>
      </w:tr>
      <w:tr w14:paraId="7AA0F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02" w:type="pct"/>
            <w:noWrap w:val="0"/>
            <w:vAlign w:val="top"/>
          </w:tcPr>
          <w:p w14:paraId="5EAF1E8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14</w:t>
            </w:r>
          </w:p>
        </w:tc>
        <w:tc>
          <w:tcPr>
            <w:tcW w:w="1024" w:type="pct"/>
            <w:vMerge w:val="continue"/>
            <w:noWrap w:val="0"/>
            <w:vAlign w:val="top"/>
          </w:tcPr>
          <w:p w14:paraId="5F7605B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1BCB991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住院收费结算表</w:t>
            </w:r>
          </w:p>
        </w:tc>
        <w:tc>
          <w:tcPr>
            <w:tcW w:w="1306" w:type="pct"/>
            <w:gridSpan w:val="2"/>
            <w:noWrap w:val="0"/>
            <w:vAlign w:val="top"/>
          </w:tcPr>
          <w:p w14:paraId="178D9A6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TB_ZYSFJS</w:t>
            </w:r>
          </w:p>
        </w:tc>
      </w:tr>
      <w:tr w14:paraId="642AF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02" w:type="pct"/>
            <w:noWrap w:val="0"/>
            <w:vAlign w:val="top"/>
          </w:tcPr>
          <w:p w14:paraId="6F28D5E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15</w:t>
            </w:r>
          </w:p>
        </w:tc>
        <w:tc>
          <w:tcPr>
            <w:tcW w:w="1024" w:type="pct"/>
            <w:vMerge w:val="continue"/>
            <w:noWrap w:val="0"/>
            <w:vAlign w:val="top"/>
          </w:tcPr>
          <w:p w14:paraId="3EAFB66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7" w:type="pct"/>
            <w:gridSpan w:val="2"/>
            <w:noWrap w:val="0"/>
            <w:vAlign w:val="top"/>
          </w:tcPr>
          <w:p w14:paraId="4338C72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护理三测单记录</w:t>
            </w:r>
          </w:p>
        </w:tc>
        <w:tc>
          <w:tcPr>
            <w:tcW w:w="1306" w:type="pct"/>
            <w:gridSpan w:val="2"/>
            <w:noWrap w:val="0"/>
            <w:vAlign w:val="top"/>
          </w:tcPr>
          <w:p w14:paraId="4D423E7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TB_HLSCDJL</w:t>
            </w:r>
          </w:p>
        </w:tc>
      </w:tr>
      <w:tr w14:paraId="6E18F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tcBorders>
              <w:top w:val="nil"/>
            </w:tcBorders>
            <w:noWrap w:val="0"/>
            <w:vAlign w:val="top"/>
          </w:tcPr>
          <w:p w14:paraId="3C36344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16</w:t>
            </w:r>
          </w:p>
        </w:tc>
        <w:tc>
          <w:tcPr>
            <w:tcW w:w="1024" w:type="pct"/>
            <w:vMerge w:val="continue"/>
            <w:noWrap w:val="0"/>
            <w:vAlign w:val="top"/>
          </w:tcPr>
          <w:p w14:paraId="2D0E9BF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tcBorders>
              <w:top w:val="nil"/>
            </w:tcBorders>
            <w:noWrap w:val="0"/>
            <w:vAlign w:val="top"/>
          </w:tcPr>
          <w:p w14:paraId="02AB099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一般护理记录</w:t>
            </w:r>
          </w:p>
        </w:tc>
        <w:tc>
          <w:tcPr>
            <w:tcW w:w="1305" w:type="pct"/>
            <w:gridSpan w:val="2"/>
            <w:tcBorders>
              <w:top w:val="nil"/>
            </w:tcBorders>
            <w:noWrap w:val="0"/>
            <w:vAlign w:val="top"/>
          </w:tcPr>
          <w:p w14:paraId="5D8B737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TB_EMR_YBHLJL</w:t>
            </w:r>
          </w:p>
        </w:tc>
      </w:tr>
      <w:tr w14:paraId="1A561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gridAfter w:val="1"/>
          <w:wAfter w:w="3" w:type="pct"/>
          <w:trHeight w:val="317" w:hRule="atLeast"/>
        </w:trPr>
        <w:tc>
          <w:tcPr>
            <w:tcW w:w="502" w:type="pct"/>
            <w:noWrap w:val="0"/>
            <w:vAlign w:val="top"/>
          </w:tcPr>
          <w:p w14:paraId="7F4D826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17</w:t>
            </w:r>
          </w:p>
        </w:tc>
        <w:tc>
          <w:tcPr>
            <w:tcW w:w="1024" w:type="pct"/>
            <w:vMerge w:val="continue"/>
            <w:noWrap w:val="0"/>
            <w:vAlign w:val="top"/>
          </w:tcPr>
          <w:p w14:paraId="0C3FB43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B64F33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4"/>
                <w:kern w:val="2"/>
                <w:sz w:val="24"/>
                <w:szCs w:val="24"/>
                <w:lang w:val="en-US" w:eastAsia="en-US" w:bidi="ar-SA"/>
              </w:rPr>
              <w:t>电子病历索引表信息</w:t>
            </w:r>
          </w:p>
        </w:tc>
        <w:tc>
          <w:tcPr>
            <w:tcW w:w="1305" w:type="pct"/>
            <w:gridSpan w:val="2"/>
            <w:noWrap w:val="0"/>
            <w:vAlign w:val="top"/>
          </w:tcPr>
          <w:p w14:paraId="5EC8994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TB_DZBLSYXX</w:t>
            </w:r>
          </w:p>
        </w:tc>
      </w:tr>
      <w:tr w14:paraId="24514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0F4BB60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18</w:t>
            </w:r>
          </w:p>
        </w:tc>
        <w:tc>
          <w:tcPr>
            <w:tcW w:w="1024" w:type="pct"/>
            <w:vMerge w:val="continue"/>
            <w:noWrap w:val="0"/>
            <w:vAlign w:val="top"/>
          </w:tcPr>
          <w:p w14:paraId="102EE61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4F3E93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5"/>
                <w:kern w:val="2"/>
                <w:sz w:val="24"/>
                <w:szCs w:val="24"/>
                <w:lang w:val="en-US" w:eastAsia="en-US" w:bidi="ar-SA"/>
              </w:rPr>
              <w:t>出院小结</w:t>
            </w:r>
          </w:p>
        </w:tc>
        <w:tc>
          <w:tcPr>
            <w:tcW w:w="1305" w:type="pct"/>
            <w:gridSpan w:val="2"/>
            <w:noWrap w:val="0"/>
            <w:vAlign w:val="top"/>
          </w:tcPr>
          <w:p w14:paraId="6EFE030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TB_EMR_CYXJ</w:t>
            </w:r>
          </w:p>
        </w:tc>
      </w:tr>
      <w:tr w14:paraId="52DA1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3554C24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4"/>
                <w:sz w:val="24"/>
                <w:szCs w:val="24"/>
              </w:rPr>
              <w:t>19</w:t>
            </w:r>
          </w:p>
        </w:tc>
        <w:tc>
          <w:tcPr>
            <w:tcW w:w="1024" w:type="pct"/>
            <w:vMerge w:val="restart"/>
            <w:tcBorders>
              <w:bottom w:val="nil"/>
            </w:tcBorders>
            <w:noWrap w:val="0"/>
            <w:vAlign w:val="top"/>
          </w:tcPr>
          <w:p w14:paraId="5BE7535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38A503F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1C20FF13">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实验室检验报告</w:t>
            </w:r>
          </w:p>
        </w:tc>
        <w:tc>
          <w:tcPr>
            <w:tcW w:w="2164" w:type="pct"/>
            <w:noWrap w:val="0"/>
            <w:vAlign w:val="top"/>
          </w:tcPr>
          <w:p w14:paraId="1817703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实验室检验报告主表</w:t>
            </w:r>
          </w:p>
        </w:tc>
        <w:tc>
          <w:tcPr>
            <w:tcW w:w="1305" w:type="pct"/>
            <w:gridSpan w:val="2"/>
            <w:noWrap w:val="0"/>
            <w:vAlign w:val="top"/>
          </w:tcPr>
          <w:p w14:paraId="7BFCA53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TB_JYZBG</w:t>
            </w:r>
          </w:p>
        </w:tc>
      </w:tr>
      <w:tr w14:paraId="25639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522EF6B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20</w:t>
            </w:r>
          </w:p>
        </w:tc>
        <w:tc>
          <w:tcPr>
            <w:tcW w:w="1024" w:type="pct"/>
            <w:vMerge w:val="continue"/>
            <w:tcBorders>
              <w:top w:val="nil"/>
              <w:bottom w:val="nil"/>
            </w:tcBorders>
            <w:noWrap w:val="0"/>
            <w:vAlign w:val="top"/>
          </w:tcPr>
          <w:p w14:paraId="06556C6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4B3D510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实验室检验项目分组记录</w:t>
            </w:r>
          </w:p>
        </w:tc>
        <w:tc>
          <w:tcPr>
            <w:tcW w:w="1305" w:type="pct"/>
            <w:gridSpan w:val="2"/>
            <w:noWrap w:val="0"/>
            <w:vAlign w:val="top"/>
          </w:tcPr>
          <w:p w14:paraId="171AA96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TB_JYXMFZJL</w:t>
            </w:r>
          </w:p>
        </w:tc>
      </w:tr>
      <w:tr w14:paraId="45A2E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7E3A137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21</w:t>
            </w:r>
          </w:p>
        </w:tc>
        <w:tc>
          <w:tcPr>
            <w:tcW w:w="1024" w:type="pct"/>
            <w:vMerge w:val="continue"/>
            <w:tcBorders>
              <w:top w:val="nil"/>
              <w:bottom w:val="nil"/>
            </w:tcBorders>
            <w:noWrap w:val="0"/>
            <w:vAlign w:val="top"/>
          </w:tcPr>
          <w:p w14:paraId="19CE1A7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43CDCDC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检验项目指标结果表</w:t>
            </w:r>
          </w:p>
        </w:tc>
        <w:tc>
          <w:tcPr>
            <w:tcW w:w="1305" w:type="pct"/>
            <w:gridSpan w:val="2"/>
            <w:noWrap w:val="0"/>
            <w:vAlign w:val="top"/>
          </w:tcPr>
          <w:p w14:paraId="4710DD2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TB_JYZBJG</w:t>
            </w:r>
          </w:p>
        </w:tc>
      </w:tr>
      <w:tr w14:paraId="1C428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1C62696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22</w:t>
            </w:r>
          </w:p>
        </w:tc>
        <w:tc>
          <w:tcPr>
            <w:tcW w:w="1024" w:type="pct"/>
            <w:vMerge w:val="continue"/>
            <w:tcBorders>
              <w:top w:val="nil"/>
              <w:bottom w:val="nil"/>
            </w:tcBorders>
            <w:noWrap w:val="0"/>
            <w:vAlign w:val="top"/>
          </w:tcPr>
          <w:p w14:paraId="54FC94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2F65DF2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细菌结果</w:t>
            </w:r>
          </w:p>
        </w:tc>
        <w:tc>
          <w:tcPr>
            <w:tcW w:w="1305" w:type="pct"/>
            <w:gridSpan w:val="2"/>
            <w:noWrap w:val="0"/>
            <w:vAlign w:val="top"/>
          </w:tcPr>
          <w:p w14:paraId="6F017FA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TB_JYXJJG</w:t>
            </w:r>
          </w:p>
        </w:tc>
      </w:tr>
      <w:tr w14:paraId="613168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483D284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23</w:t>
            </w:r>
          </w:p>
        </w:tc>
        <w:tc>
          <w:tcPr>
            <w:tcW w:w="1024" w:type="pct"/>
            <w:vMerge w:val="continue"/>
            <w:tcBorders>
              <w:top w:val="nil"/>
            </w:tcBorders>
            <w:noWrap w:val="0"/>
            <w:vAlign w:val="top"/>
          </w:tcPr>
          <w:p w14:paraId="10FB1E9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E4B7C0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药敏结果</w:t>
            </w:r>
          </w:p>
        </w:tc>
        <w:tc>
          <w:tcPr>
            <w:tcW w:w="1305" w:type="pct"/>
            <w:gridSpan w:val="2"/>
            <w:noWrap w:val="0"/>
            <w:vAlign w:val="top"/>
          </w:tcPr>
          <w:p w14:paraId="38CB1FE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TB_JYYMJG</w:t>
            </w:r>
          </w:p>
        </w:tc>
      </w:tr>
      <w:tr w14:paraId="48F45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45CDE67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24</w:t>
            </w:r>
          </w:p>
        </w:tc>
        <w:tc>
          <w:tcPr>
            <w:tcW w:w="1024" w:type="pct"/>
            <w:vMerge w:val="restart"/>
            <w:tcBorders>
              <w:bottom w:val="nil"/>
            </w:tcBorders>
            <w:noWrap w:val="0"/>
            <w:vAlign w:val="top"/>
          </w:tcPr>
          <w:p w14:paraId="05E06416">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医学影像检查报告</w:t>
            </w:r>
          </w:p>
        </w:tc>
        <w:tc>
          <w:tcPr>
            <w:tcW w:w="2164" w:type="pct"/>
            <w:noWrap w:val="0"/>
            <w:vAlign w:val="top"/>
          </w:tcPr>
          <w:p w14:paraId="7411E1F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医学影像检查报告表—常见检查报告格式</w:t>
            </w:r>
          </w:p>
        </w:tc>
        <w:tc>
          <w:tcPr>
            <w:tcW w:w="1305" w:type="pct"/>
            <w:gridSpan w:val="2"/>
            <w:noWrap w:val="0"/>
            <w:vAlign w:val="top"/>
          </w:tcPr>
          <w:p w14:paraId="175740B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TB_JCBG</w:t>
            </w:r>
          </w:p>
        </w:tc>
      </w:tr>
      <w:tr w14:paraId="50111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4DB92C1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25</w:t>
            </w:r>
          </w:p>
        </w:tc>
        <w:tc>
          <w:tcPr>
            <w:tcW w:w="1024" w:type="pct"/>
            <w:vMerge w:val="continue"/>
            <w:tcBorders>
              <w:top w:val="nil"/>
            </w:tcBorders>
            <w:noWrap w:val="0"/>
            <w:vAlign w:val="top"/>
          </w:tcPr>
          <w:p w14:paraId="53B1BB4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7A3BF84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医学影像检查报告表—通用检查报告格式</w:t>
            </w:r>
          </w:p>
        </w:tc>
        <w:tc>
          <w:tcPr>
            <w:tcW w:w="1305" w:type="pct"/>
            <w:gridSpan w:val="2"/>
            <w:noWrap w:val="0"/>
            <w:vAlign w:val="top"/>
          </w:tcPr>
          <w:p w14:paraId="514A679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TB_JCTYBG</w:t>
            </w:r>
          </w:p>
        </w:tc>
      </w:tr>
      <w:tr w14:paraId="0FF33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1FB5D26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26</w:t>
            </w:r>
          </w:p>
        </w:tc>
        <w:tc>
          <w:tcPr>
            <w:tcW w:w="1024" w:type="pct"/>
            <w:vMerge w:val="restart"/>
            <w:tcBorders>
              <w:bottom w:val="nil"/>
            </w:tcBorders>
            <w:noWrap w:val="0"/>
            <w:vAlign w:val="top"/>
          </w:tcPr>
          <w:p w14:paraId="53018A4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72E87937">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住院病案首页报告</w:t>
            </w:r>
          </w:p>
        </w:tc>
        <w:tc>
          <w:tcPr>
            <w:tcW w:w="2164" w:type="pct"/>
            <w:noWrap w:val="0"/>
            <w:vAlign w:val="top"/>
          </w:tcPr>
          <w:p w14:paraId="2EC1402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住院病案首页主体表</w:t>
            </w:r>
          </w:p>
        </w:tc>
        <w:tc>
          <w:tcPr>
            <w:tcW w:w="1305" w:type="pct"/>
            <w:gridSpan w:val="2"/>
            <w:noWrap w:val="0"/>
            <w:vAlign w:val="top"/>
          </w:tcPr>
          <w:p w14:paraId="232724E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TB_BASYZTB</w:t>
            </w:r>
          </w:p>
        </w:tc>
      </w:tr>
      <w:tr w14:paraId="51F28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2F0EA06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27</w:t>
            </w:r>
          </w:p>
        </w:tc>
        <w:tc>
          <w:tcPr>
            <w:tcW w:w="1024" w:type="pct"/>
            <w:vMerge w:val="continue"/>
            <w:tcBorders>
              <w:top w:val="nil"/>
              <w:bottom w:val="nil"/>
            </w:tcBorders>
            <w:noWrap w:val="0"/>
            <w:vAlign w:val="top"/>
          </w:tcPr>
          <w:p w14:paraId="448AB8D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3A2DB08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病案首页-诊断明细</w:t>
            </w:r>
          </w:p>
        </w:tc>
        <w:tc>
          <w:tcPr>
            <w:tcW w:w="1305" w:type="pct"/>
            <w:gridSpan w:val="2"/>
            <w:noWrap w:val="0"/>
            <w:vAlign w:val="top"/>
          </w:tcPr>
          <w:p w14:paraId="3F5E99F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TB_BASYZDMX</w:t>
            </w:r>
          </w:p>
        </w:tc>
      </w:tr>
      <w:tr w14:paraId="5DF0B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65A0B40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28</w:t>
            </w:r>
          </w:p>
        </w:tc>
        <w:tc>
          <w:tcPr>
            <w:tcW w:w="1024" w:type="pct"/>
            <w:vMerge w:val="continue"/>
            <w:tcBorders>
              <w:top w:val="nil"/>
            </w:tcBorders>
            <w:noWrap w:val="0"/>
            <w:vAlign w:val="top"/>
          </w:tcPr>
          <w:p w14:paraId="47EC4A4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211314D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病案首页-手术操作明细</w:t>
            </w:r>
          </w:p>
        </w:tc>
        <w:tc>
          <w:tcPr>
            <w:tcW w:w="1305" w:type="pct"/>
            <w:gridSpan w:val="2"/>
            <w:noWrap w:val="0"/>
            <w:vAlign w:val="top"/>
          </w:tcPr>
          <w:p w14:paraId="48BC25A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TB_BASYSSMX</w:t>
            </w:r>
          </w:p>
        </w:tc>
      </w:tr>
      <w:tr w14:paraId="70FE1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52CBC44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29</w:t>
            </w:r>
          </w:p>
        </w:tc>
        <w:tc>
          <w:tcPr>
            <w:tcW w:w="1024" w:type="pct"/>
            <w:noWrap w:val="0"/>
            <w:vAlign w:val="top"/>
          </w:tcPr>
          <w:p w14:paraId="29C4139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手术明细表</w:t>
            </w:r>
          </w:p>
        </w:tc>
        <w:tc>
          <w:tcPr>
            <w:tcW w:w="2164" w:type="pct"/>
            <w:noWrap w:val="0"/>
            <w:vAlign w:val="top"/>
          </w:tcPr>
          <w:p w14:paraId="7D32C97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手术明细表</w:t>
            </w:r>
          </w:p>
        </w:tc>
        <w:tc>
          <w:tcPr>
            <w:tcW w:w="1305" w:type="pct"/>
            <w:gridSpan w:val="2"/>
            <w:noWrap w:val="0"/>
            <w:vAlign w:val="top"/>
          </w:tcPr>
          <w:p w14:paraId="4641A6E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TB_SSMX</w:t>
            </w:r>
          </w:p>
        </w:tc>
      </w:tr>
      <w:tr w14:paraId="4D1AE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3B1945D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30</w:t>
            </w:r>
          </w:p>
        </w:tc>
        <w:tc>
          <w:tcPr>
            <w:tcW w:w="1024" w:type="pct"/>
            <w:noWrap w:val="0"/>
            <w:vAlign w:val="top"/>
          </w:tcPr>
          <w:p w14:paraId="66E3C99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诊断明细表</w:t>
            </w:r>
          </w:p>
        </w:tc>
        <w:tc>
          <w:tcPr>
            <w:tcW w:w="2164" w:type="pct"/>
            <w:noWrap w:val="0"/>
            <w:vAlign w:val="top"/>
          </w:tcPr>
          <w:p w14:paraId="0E36F13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诊断明细表</w:t>
            </w:r>
          </w:p>
        </w:tc>
        <w:tc>
          <w:tcPr>
            <w:tcW w:w="1305" w:type="pct"/>
            <w:gridSpan w:val="2"/>
            <w:noWrap w:val="0"/>
            <w:vAlign w:val="top"/>
          </w:tcPr>
          <w:p w14:paraId="5126AE9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TB_ZDMX</w:t>
            </w:r>
          </w:p>
        </w:tc>
      </w:tr>
      <w:tr w14:paraId="731E6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1DA06B1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31</w:t>
            </w:r>
          </w:p>
        </w:tc>
        <w:tc>
          <w:tcPr>
            <w:tcW w:w="1024" w:type="pct"/>
            <w:noWrap w:val="0"/>
            <w:vAlign w:val="top"/>
          </w:tcPr>
          <w:p w14:paraId="56A47BC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业务数据统计</w:t>
            </w:r>
          </w:p>
        </w:tc>
        <w:tc>
          <w:tcPr>
            <w:tcW w:w="2164" w:type="pct"/>
            <w:noWrap w:val="0"/>
            <w:vAlign w:val="top"/>
          </w:tcPr>
          <w:p w14:paraId="0C7AFD7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业务量、收入统计表</w:t>
            </w:r>
          </w:p>
        </w:tc>
        <w:tc>
          <w:tcPr>
            <w:tcW w:w="1305" w:type="pct"/>
            <w:gridSpan w:val="2"/>
            <w:noWrap w:val="0"/>
            <w:vAlign w:val="top"/>
          </w:tcPr>
          <w:p w14:paraId="28D6E71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TB_YWL_Report</w:t>
            </w:r>
          </w:p>
        </w:tc>
      </w:tr>
      <w:tr w14:paraId="56759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442922D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32</w:t>
            </w:r>
          </w:p>
        </w:tc>
        <w:tc>
          <w:tcPr>
            <w:tcW w:w="1024" w:type="pct"/>
            <w:vMerge w:val="restart"/>
            <w:tcBorders>
              <w:bottom w:val="nil"/>
            </w:tcBorders>
            <w:noWrap w:val="0"/>
            <w:vAlign w:val="top"/>
          </w:tcPr>
          <w:p w14:paraId="5A7E631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2D09FF93">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体检业务相关数据</w:t>
            </w:r>
          </w:p>
        </w:tc>
        <w:tc>
          <w:tcPr>
            <w:tcW w:w="2164" w:type="pct"/>
            <w:noWrap w:val="0"/>
            <w:vAlign w:val="top"/>
          </w:tcPr>
          <w:p w14:paraId="4117887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体检报告首页</w:t>
            </w:r>
          </w:p>
        </w:tc>
        <w:tc>
          <w:tcPr>
            <w:tcW w:w="1305" w:type="pct"/>
            <w:gridSpan w:val="2"/>
            <w:noWrap w:val="0"/>
            <w:vAlign w:val="top"/>
          </w:tcPr>
          <w:p w14:paraId="2403DD3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TB_YL_TJBGSY</w:t>
            </w:r>
          </w:p>
        </w:tc>
      </w:tr>
      <w:tr w14:paraId="4F3B6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1288EB5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33</w:t>
            </w:r>
          </w:p>
        </w:tc>
        <w:tc>
          <w:tcPr>
            <w:tcW w:w="1024" w:type="pct"/>
            <w:vMerge w:val="continue"/>
            <w:tcBorders>
              <w:top w:val="nil"/>
              <w:bottom w:val="nil"/>
            </w:tcBorders>
            <w:noWrap w:val="0"/>
            <w:vAlign w:val="top"/>
          </w:tcPr>
          <w:p w14:paraId="6793C4C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1353EE2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体检分组报告</w:t>
            </w:r>
          </w:p>
        </w:tc>
        <w:tc>
          <w:tcPr>
            <w:tcW w:w="1305" w:type="pct"/>
            <w:gridSpan w:val="2"/>
            <w:noWrap w:val="0"/>
            <w:vAlign w:val="top"/>
          </w:tcPr>
          <w:p w14:paraId="7B19D2C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TB_YL_TJFZBG</w:t>
            </w:r>
          </w:p>
        </w:tc>
      </w:tr>
      <w:tr w14:paraId="634C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1B92311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34</w:t>
            </w:r>
          </w:p>
        </w:tc>
        <w:tc>
          <w:tcPr>
            <w:tcW w:w="1024" w:type="pct"/>
            <w:vMerge w:val="continue"/>
            <w:tcBorders>
              <w:top w:val="nil"/>
            </w:tcBorders>
            <w:noWrap w:val="0"/>
            <w:vAlign w:val="top"/>
          </w:tcPr>
          <w:p w14:paraId="22D8751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3007364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体检项目明细表</w:t>
            </w:r>
          </w:p>
        </w:tc>
        <w:tc>
          <w:tcPr>
            <w:tcW w:w="1305" w:type="pct"/>
            <w:gridSpan w:val="2"/>
            <w:noWrap w:val="0"/>
            <w:vAlign w:val="top"/>
          </w:tcPr>
          <w:p w14:paraId="009F55E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TB_YL_TJMX</w:t>
            </w:r>
          </w:p>
        </w:tc>
      </w:tr>
      <w:tr w14:paraId="4CA2A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0666DBA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35</w:t>
            </w:r>
          </w:p>
        </w:tc>
        <w:tc>
          <w:tcPr>
            <w:tcW w:w="1024" w:type="pct"/>
            <w:vMerge w:val="restart"/>
            <w:tcBorders>
              <w:bottom w:val="nil"/>
            </w:tcBorders>
            <w:noWrap w:val="0"/>
            <w:vAlign w:val="top"/>
          </w:tcPr>
          <w:p w14:paraId="65A9B68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7A5180A3">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运营监管相关数据</w:t>
            </w:r>
          </w:p>
        </w:tc>
        <w:tc>
          <w:tcPr>
            <w:tcW w:w="2164" w:type="pct"/>
            <w:noWrap w:val="0"/>
            <w:vAlign w:val="top"/>
          </w:tcPr>
          <w:p w14:paraId="7D1DB32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财务结算信息</w:t>
            </w:r>
          </w:p>
        </w:tc>
        <w:tc>
          <w:tcPr>
            <w:tcW w:w="1305" w:type="pct"/>
            <w:gridSpan w:val="2"/>
            <w:noWrap w:val="0"/>
            <w:vAlign w:val="top"/>
          </w:tcPr>
          <w:p w14:paraId="64A429F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TB_CWJSXX</w:t>
            </w:r>
          </w:p>
        </w:tc>
      </w:tr>
      <w:tr w14:paraId="49BCA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00E12C0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36</w:t>
            </w:r>
          </w:p>
        </w:tc>
        <w:tc>
          <w:tcPr>
            <w:tcW w:w="1024" w:type="pct"/>
            <w:vMerge w:val="continue"/>
            <w:tcBorders>
              <w:top w:val="nil"/>
              <w:bottom w:val="nil"/>
            </w:tcBorders>
            <w:noWrap w:val="0"/>
            <w:vAlign w:val="top"/>
          </w:tcPr>
          <w:p w14:paraId="47ED45D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1E2C84C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财务结算-收费明细</w:t>
            </w:r>
          </w:p>
        </w:tc>
        <w:tc>
          <w:tcPr>
            <w:tcW w:w="1305" w:type="pct"/>
            <w:gridSpan w:val="2"/>
            <w:noWrap w:val="0"/>
            <w:vAlign w:val="top"/>
          </w:tcPr>
          <w:p w14:paraId="0724295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TB_CWSFMX</w:t>
            </w:r>
          </w:p>
        </w:tc>
      </w:tr>
      <w:tr w14:paraId="3F179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13DE99D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37</w:t>
            </w:r>
          </w:p>
        </w:tc>
        <w:tc>
          <w:tcPr>
            <w:tcW w:w="1024" w:type="pct"/>
            <w:vMerge w:val="continue"/>
            <w:tcBorders>
              <w:top w:val="nil"/>
            </w:tcBorders>
            <w:noWrap w:val="0"/>
            <w:vAlign w:val="top"/>
          </w:tcPr>
          <w:p w14:paraId="7CC92DF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0E37871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财务结算-收费方式</w:t>
            </w:r>
          </w:p>
        </w:tc>
        <w:tc>
          <w:tcPr>
            <w:tcW w:w="1305" w:type="pct"/>
            <w:gridSpan w:val="2"/>
            <w:noWrap w:val="0"/>
            <w:vAlign w:val="top"/>
          </w:tcPr>
          <w:p w14:paraId="576D45F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TB_CWSFFS</w:t>
            </w:r>
          </w:p>
        </w:tc>
      </w:tr>
      <w:tr w14:paraId="37921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17FF6C3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38</w:t>
            </w:r>
          </w:p>
        </w:tc>
        <w:tc>
          <w:tcPr>
            <w:tcW w:w="1024" w:type="pct"/>
            <w:vMerge w:val="restart"/>
            <w:tcBorders>
              <w:bottom w:val="nil"/>
            </w:tcBorders>
            <w:noWrap w:val="0"/>
            <w:vAlign w:val="top"/>
          </w:tcPr>
          <w:p w14:paraId="2E733FD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4271E5E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6D2600F7">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药品信息表</w:t>
            </w:r>
          </w:p>
        </w:tc>
        <w:tc>
          <w:tcPr>
            <w:tcW w:w="2164" w:type="pct"/>
            <w:noWrap w:val="0"/>
            <w:vAlign w:val="top"/>
          </w:tcPr>
          <w:p w14:paraId="4B76DA5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药品出入库信息</w:t>
            </w:r>
          </w:p>
        </w:tc>
        <w:tc>
          <w:tcPr>
            <w:tcW w:w="1305" w:type="pct"/>
            <w:gridSpan w:val="2"/>
            <w:noWrap w:val="0"/>
            <w:vAlign w:val="top"/>
          </w:tcPr>
          <w:p w14:paraId="21EB1DF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TB_YPRKXX</w:t>
            </w:r>
          </w:p>
        </w:tc>
      </w:tr>
      <w:tr w14:paraId="22FA4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62ACE78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39</w:t>
            </w:r>
          </w:p>
        </w:tc>
        <w:tc>
          <w:tcPr>
            <w:tcW w:w="1024" w:type="pct"/>
            <w:vMerge w:val="continue"/>
            <w:tcBorders>
              <w:top w:val="nil"/>
              <w:bottom w:val="nil"/>
            </w:tcBorders>
            <w:noWrap w:val="0"/>
            <w:vAlign w:val="top"/>
          </w:tcPr>
          <w:p w14:paraId="62848E6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7C50924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药品库存信息</w:t>
            </w:r>
          </w:p>
        </w:tc>
        <w:tc>
          <w:tcPr>
            <w:tcW w:w="1305" w:type="pct"/>
            <w:gridSpan w:val="2"/>
            <w:noWrap w:val="0"/>
            <w:vAlign w:val="top"/>
          </w:tcPr>
          <w:p w14:paraId="254ABA0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TB_YPKCXX</w:t>
            </w:r>
          </w:p>
        </w:tc>
      </w:tr>
      <w:tr w14:paraId="3AA2C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25AB202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40</w:t>
            </w:r>
          </w:p>
        </w:tc>
        <w:tc>
          <w:tcPr>
            <w:tcW w:w="1024" w:type="pct"/>
            <w:vMerge w:val="continue"/>
            <w:tcBorders>
              <w:top w:val="nil"/>
              <w:bottom w:val="nil"/>
            </w:tcBorders>
            <w:noWrap w:val="0"/>
            <w:vAlign w:val="top"/>
          </w:tcPr>
          <w:p w14:paraId="45D7093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401F360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药品销售信息</w:t>
            </w:r>
          </w:p>
        </w:tc>
        <w:tc>
          <w:tcPr>
            <w:tcW w:w="1305" w:type="pct"/>
            <w:gridSpan w:val="2"/>
            <w:noWrap w:val="0"/>
            <w:vAlign w:val="top"/>
          </w:tcPr>
          <w:p w14:paraId="2281FB3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TB_YPXSXX</w:t>
            </w:r>
          </w:p>
        </w:tc>
      </w:tr>
      <w:tr w14:paraId="3D0E9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07E3539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41</w:t>
            </w:r>
          </w:p>
        </w:tc>
        <w:tc>
          <w:tcPr>
            <w:tcW w:w="1024" w:type="pct"/>
            <w:vMerge w:val="continue"/>
            <w:tcBorders>
              <w:top w:val="nil"/>
              <w:bottom w:val="nil"/>
            </w:tcBorders>
            <w:noWrap w:val="0"/>
            <w:vAlign w:val="top"/>
          </w:tcPr>
          <w:p w14:paraId="3E4D7AF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40A1B1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抗菌药物基本情况统计</w:t>
            </w:r>
          </w:p>
        </w:tc>
        <w:tc>
          <w:tcPr>
            <w:tcW w:w="1305" w:type="pct"/>
            <w:gridSpan w:val="2"/>
            <w:noWrap w:val="0"/>
            <w:vAlign w:val="top"/>
          </w:tcPr>
          <w:p w14:paraId="0D53667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TB_KJYWJBJKTJ</w:t>
            </w:r>
          </w:p>
        </w:tc>
      </w:tr>
      <w:tr w14:paraId="1481F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1D0CA2F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42</w:t>
            </w:r>
          </w:p>
        </w:tc>
        <w:tc>
          <w:tcPr>
            <w:tcW w:w="1024" w:type="pct"/>
            <w:vMerge w:val="continue"/>
            <w:tcBorders>
              <w:top w:val="nil"/>
            </w:tcBorders>
            <w:noWrap w:val="0"/>
            <w:vAlign w:val="top"/>
          </w:tcPr>
          <w:p w14:paraId="574D41A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4469907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抗菌药物各品种统计</w:t>
            </w:r>
          </w:p>
        </w:tc>
        <w:tc>
          <w:tcPr>
            <w:tcW w:w="1305" w:type="pct"/>
            <w:gridSpan w:val="2"/>
            <w:noWrap w:val="0"/>
            <w:vAlign w:val="top"/>
          </w:tcPr>
          <w:p w14:paraId="4CF96C7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TB_KJYWGPZTJ</w:t>
            </w:r>
          </w:p>
        </w:tc>
      </w:tr>
      <w:tr w14:paraId="7F5A3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4577A88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43</w:t>
            </w:r>
          </w:p>
        </w:tc>
        <w:tc>
          <w:tcPr>
            <w:tcW w:w="1024" w:type="pct"/>
            <w:noWrap w:val="0"/>
            <w:vAlign w:val="top"/>
          </w:tcPr>
          <w:p w14:paraId="478BDFE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物资领取表</w:t>
            </w:r>
          </w:p>
        </w:tc>
        <w:tc>
          <w:tcPr>
            <w:tcW w:w="2164" w:type="pct"/>
            <w:noWrap w:val="0"/>
            <w:vAlign w:val="top"/>
          </w:tcPr>
          <w:p w14:paraId="0222B2E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物资领取记录表</w:t>
            </w:r>
          </w:p>
        </w:tc>
        <w:tc>
          <w:tcPr>
            <w:tcW w:w="1305" w:type="pct"/>
            <w:gridSpan w:val="2"/>
            <w:noWrap w:val="0"/>
            <w:vAlign w:val="top"/>
          </w:tcPr>
          <w:p w14:paraId="3889D6B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TB_WZLQJL</w:t>
            </w:r>
          </w:p>
        </w:tc>
      </w:tr>
      <w:tr w14:paraId="68C84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464" w:hRule="atLeast"/>
        </w:trPr>
        <w:tc>
          <w:tcPr>
            <w:tcW w:w="502" w:type="pct"/>
            <w:noWrap w:val="0"/>
            <w:vAlign w:val="top"/>
          </w:tcPr>
          <w:p w14:paraId="4538586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44</w:t>
            </w:r>
          </w:p>
        </w:tc>
        <w:tc>
          <w:tcPr>
            <w:tcW w:w="1024" w:type="pct"/>
            <w:vMerge w:val="restart"/>
            <w:tcBorders>
              <w:bottom w:val="nil"/>
            </w:tcBorders>
            <w:noWrap w:val="0"/>
            <w:vAlign w:val="top"/>
          </w:tcPr>
          <w:p w14:paraId="27BF7E3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5D01E3D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2FD9457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3DF34509">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本地基础字典数据</w:t>
            </w:r>
          </w:p>
        </w:tc>
        <w:tc>
          <w:tcPr>
            <w:tcW w:w="2164" w:type="pct"/>
            <w:noWrap w:val="0"/>
            <w:vAlign w:val="top"/>
          </w:tcPr>
          <w:p w14:paraId="53D789F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医院的科室字典表</w:t>
            </w:r>
          </w:p>
        </w:tc>
        <w:tc>
          <w:tcPr>
            <w:tcW w:w="1305" w:type="pct"/>
            <w:gridSpan w:val="2"/>
            <w:noWrap w:val="0"/>
            <w:vAlign w:val="top"/>
          </w:tcPr>
          <w:p w14:paraId="0058AE7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TB_KSXX</w:t>
            </w:r>
          </w:p>
        </w:tc>
      </w:tr>
      <w:tr w14:paraId="6CF80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2374BB9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45</w:t>
            </w:r>
          </w:p>
        </w:tc>
        <w:tc>
          <w:tcPr>
            <w:tcW w:w="1024" w:type="pct"/>
            <w:vMerge w:val="continue"/>
            <w:tcBorders>
              <w:top w:val="nil"/>
              <w:bottom w:val="nil"/>
            </w:tcBorders>
            <w:noWrap w:val="0"/>
            <w:vAlign w:val="top"/>
          </w:tcPr>
          <w:p w14:paraId="0FFD401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2FBF86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医护人员基本信息表</w:t>
            </w:r>
          </w:p>
        </w:tc>
        <w:tc>
          <w:tcPr>
            <w:tcW w:w="1305" w:type="pct"/>
            <w:gridSpan w:val="2"/>
            <w:noWrap w:val="0"/>
            <w:vAlign w:val="top"/>
          </w:tcPr>
          <w:p w14:paraId="01EE7EE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TB_YHRYJBXX</w:t>
            </w:r>
          </w:p>
        </w:tc>
      </w:tr>
      <w:tr w14:paraId="123E7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771F56E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46</w:t>
            </w:r>
          </w:p>
        </w:tc>
        <w:tc>
          <w:tcPr>
            <w:tcW w:w="1024" w:type="pct"/>
            <w:vMerge w:val="continue"/>
            <w:tcBorders>
              <w:top w:val="nil"/>
              <w:bottom w:val="nil"/>
            </w:tcBorders>
            <w:noWrap w:val="0"/>
            <w:vAlign w:val="top"/>
          </w:tcPr>
          <w:p w14:paraId="3414C65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D5F5F8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药品字典</w:t>
            </w:r>
          </w:p>
        </w:tc>
        <w:tc>
          <w:tcPr>
            <w:tcW w:w="1305" w:type="pct"/>
            <w:gridSpan w:val="2"/>
            <w:noWrap w:val="0"/>
            <w:vAlign w:val="top"/>
          </w:tcPr>
          <w:p w14:paraId="3E1B9B5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TB_YPZD</w:t>
            </w:r>
          </w:p>
        </w:tc>
      </w:tr>
      <w:tr w14:paraId="14D59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3DD0D09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47</w:t>
            </w:r>
          </w:p>
        </w:tc>
        <w:tc>
          <w:tcPr>
            <w:tcW w:w="1024" w:type="pct"/>
            <w:vMerge w:val="continue"/>
            <w:tcBorders>
              <w:top w:val="nil"/>
              <w:bottom w:val="nil"/>
            </w:tcBorders>
            <w:noWrap w:val="0"/>
            <w:vAlign w:val="top"/>
          </w:tcPr>
          <w:p w14:paraId="772DCB7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372DFED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诊疗项目字典</w:t>
            </w:r>
          </w:p>
        </w:tc>
        <w:tc>
          <w:tcPr>
            <w:tcW w:w="1305" w:type="pct"/>
            <w:gridSpan w:val="2"/>
            <w:noWrap w:val="0"/>
            <w:vAlign w:val="top"/>
          </w:tcPr>
          <w:p w14:paraId="4AA5B7A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TB_ZLXMZD</w:t>
            </w:r>
          </w:p>
        </w:tc>
      </w:tr>
      <w:tr w14:paraId="5001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79959BA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48</w:t>
            </w:r>
          </w:p>
        </w:tc>
        <w:tc>
          <w:tcPr>
            <w:tcW w:w="1024" w:type="pct"/>
            <w:vMerge w:val="continue"/>
            <w:tcBorders>
              <w:top w:val="nil"/>
              <w:bottom w:val="nil"/>
            </w:tcBorders>
            <w:noWrap w:val="0"/>
            <w:vAlign w:val="top"/>
          </w:tcPr>
          <w:p w14:paraId="2F103EE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1B1B2E2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疾病字典</w:t>
            </w:r>
          </w:p>
        </w:tc>
        <w:tc>
          <w:tcPr>
            <w:tcW w:w="1305" w:type="pct"/>
            <w:gridSpan w:val="2"/>
            <w:noWrap w:val="0"/>
            <w:vAlign w:val="top"/>
          </w:tcPr>
          <w:p w14:paraId="7D7DA1E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TB_JBZD</w:t>
            </w:r>
          </w:p>
        </w:tc>
      </w:tr>
      <w:tr w14:paraId="5EAC8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7" w:hRule="atLeast"/>
        </w:trPr>
        <w:tc>
          <w:tcPr>
            <w:tcW w:w="502" w:type="pct"/>
            <w:noWrap w:val="0"/>
            <w:vAlign w:val="top"/>
          </w:tcPr>
          <w:p w14:paraId="422943E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49</w:t>
            </w:r>
          </w:p>
        </w:tc>
        <w:tc>
          <w:tcPr>
            <w:tcW w:w="1024" w:type="pct"/>
            <w:vMerge w:val="continue"/>
            <w:tcBorders>
              <w:top w:val="nil"/>
            </w:tcBorders>
            <w:noWrap w:val="0"/>
            <w:vAlign w:val="top"/>
          </w:tcPr>
          <w:p w14:paraId="1DE70E3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3E8AFC3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物资字典</w:t>
            </w:r>
          </w:p>
        </w:tc>
        <w:tc>
          <w:tcPr>
            <w:tcW w:w="1305" w:type="pct"/>
            <w:gridSpan w:val="2"/>
            <w:noWrap w:val="0"/>
            <w:vAlign w:val="top"/>
          </w:tcPr>
          <w:p w14:paraId="548BD26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TB_WZZD</w:t>
            </w:r>
          </w:p>
        </w:tc>
      </w:tr>
      <w:tr w14:paraId="4FBF1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3EE9A78F">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50</w:t>
            </w:r>
          </w:p>
        </w:tc>
        <w:tc>
          <w:tcPr>
            <w:tcW w:w="1024" w:type="pct"/>
            <w:vMerge w:val="restart"/>
            <w:tcBorders>
              <w:bottom w:val="nil"/>
            </w:tcBorders>
            <w:noWrap w:val="0"/>
            <w:vAlign w:val="top"/>
          </w:tcPr>
          <w:p w14:paraId="01DD35B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p w14:paraId="2EABCD85">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本地字典与标准映</w:t>
            </w:r>
            <w:r>
              <w:rPr>
                <w:rFonts w:hint="eastAsia" w:ascii="宋体" w:hAnsi="宋体" w:eastAsia="宋体" w:cs="宋体"/>
                <w:color w:val="auto"/>
                <w:spacing w:val="-2"/>
                <w:kern w:val="2"/>
                <w:sz w:val="24"/>
                <w:szCs w:val="24"/>
                <w:lang w:val="en-US" w:eastAsia="en-US" w:bidi="ar-SA"/>
              </w:rPr>
              <w:t>射数据</w:t>
            </w:r>
          </w:p>
        </w:tc>
        <w:tc>
          <w:tcPr>
            <w:tcW w:w="2164" w:type="pct"/>
            <w:noWrap w:val="0"/>
            <w:vAlign w:val="top"/>
          </w:tcPr>
          <w:p w14:paraId="7A273AA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科室字典映射</w:t>
            </w:r>
          </w:p>
        </w:tc>
        <w:tc>
          <w:tcPr>
            <w:tcW w:w="1305" w:type="pct"/>
            <w:gridSpan w:val="2"/>
            <w:noWrap w:val="0"/>
            <w:vAlign w:val="top"/>
          </w:tcPr>
          <w:p w14:paraId="744F256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TB_KSYS</w:t>
            </w:r>
          </w:p>
        </w:tc>
      </w:tr>
      <w:tr w14:paraId="69DF6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57F2A39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51</w:t>
            </w:r>
          </w:p>
        </w:tc>
        <w:tc>
          <w:tcPr>
            <w:tcW w:w="1024" w:type="pct"/>
            <w:vMerge w:val="continue"/>
            <w:tcBorders>
              <w:top w:val="nil"/>
              <w:bottom w:val="nil"/>
            </w:tcBorders>
            <w:noWrap w:val="0"/>
            <w:vAlign w:val="top"/>
          </w:tcPr>
          <w:p w14:paraId="45F8134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39E4DF7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药品字典映射</w:t>
            </w:r>
          </w:p>
        </w:tc>
        <w:tc>
          <w:tcPr>
            <w:tcW w:w="1305" w:type="pct"/>
            <w:gridSpan w:val="2"/>
            <w:noWrap w:val="0"/>
            <w:vAlign w:val="top"/>
          </w:tcPr>
          <w:p w14:paraId="1B9BEB7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TB_YPYS</w:t>
            </w:r>
          </w:p>
        </w:tc>
      </w:tr>
      <w:tr w14:paraId="6DCD4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9" w:hRule="atLeast"/>
        </w:trPr>
        <w:tc>
          <w:tcPr>
            <w:tcW w:w="502" w:type="pct"/>
            <w:noWrap w:val="0"/>
            <w:vAlign w:val="top"/>
          </w:tcPr>
          <w:p w14:paraId="1194064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52</w:t>
            </w:r>
          </w:p>
        </w:tc>
        <w:tc>
          <w:tcPr>
            <w:tcW w:w="1024" w:type="pct"/>
            <w:vMerge w:val="continue"/>
            <w:tcBorders>
              <w:top w:val="nil"/>
              <w:bottom w:val="nil"/>
            </w:tcBorders>
            <w:noWrap w:val="0"/>
            <w:vAlign w:val="top"/>
          </w:tcPr>
          <w:p w14:paraId="3175191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2456F15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疾病字典映射</w:t>
            </w:r>
          </w:p>
        </w:tc>
        <w:tc>
          <w:tcPr>
            <w:tcW w:w="1305" w:type="pct"/>
            <w:gridSpan w:val="2"/>
            <w:noWrap w:val="0"/>
            <w:vAlign w:val="top"/>
          </w:tcPr>
          <w:p w14:paraId="68747C8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TB_JBYS</w:t>
            </w:r>
          </w:p>
        </w:tc>
      </w:tr>
      <w:tr w14:paraId="41546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16" w:hRule="atLeast"/>
        </w:trPr>
        <w:tc>
          <w:tcPr>
            <w:tcW w:w="502" w:type="pct"/>
            <w:noWrap w:val="0"/>
            <w:vAlign w:val="top"/>
          </w:tcPr>
          <w:p w14:paraId="6AC630D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3"/>
                <w:sz w:val="24"/>
                <w:szCs w:val="24"/>
              </w:rPr>
              <w:t>53</w:t>
            </w:r>
          </w:p>
        </w:tc>
        <w:tc>
          <w:tcPr>
            <w:tcW w:w="1024" w:type="pct"/>
            <w:vMerge w:val="continue"/>
            <w:tcBorders>
              <w:top w:val="nil"/>
              <w:bottom w:val="nil"/>
            </w:tcBorders>
            <w:noWrap w:val="0"/>
            <w:vAlign w:val="top"/>
          </w:tcPr>
          <w:p w14:paraId="671F061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13DA324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诊疗项目映射</w:t>
            </w:r>
          </w:p>
        </w:tc>
        <w:tc>
          <w:tcPr>
            <w:tcW w:w="1305" w:type="pct"/>
            <w:gridSpan w:val="2"/>
            <w:noWrap w:val="0"/>
            <w:vAlign w:val="top"/>
          </w:tcPr>
          <w:p w14:paraId="2FE6EFD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TB_ZLXMYS</w:t>
            </w:r>
          </w:p>
        </w:tc>
      </w:tr>
      <w:tr w14:paraId="67994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pct"/>
          <w:trHeight w:val="321" w:hRule="atLeast"/>
        </w:trPr>
        <w:tc>
          <w:tcPr>
            <w:tcW w:w="502" w:type="pct"/>
            <w:noWrap w:val="0"/>
            <w:vAlign w:val="top"/>
          </w:tcPr>
          <w:p w14:paraId="383C108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rPr>
              <w:t>54</w:t>
            </w:r>
          </w:p>
        </w:tc>
        <w:tc>
          <w:tcPr>
            <w:tcW w:w="1024" w:type="pct"/>
            <w:vMerge w:val="continue"/>
            <w:tcBorders>
              <w:top w:val="nil"/>
            </w:tcBorders>
            <w:noWrap w:val="0"/>
            <w:vAlign w:val="top"/>
          </w:tcPr>
          <w:p w14:paraId="3BD31D7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sz w:val="24"/>
                <w:szCs w:val="24"/>
              </w:rPr>
            </w:pPr>
          </w:p>
        </w:tc>
        <w:tc>
          <w:tcPr>
            <w:tcW w:w="2164" w:type="pct"/>
            <w:noWrap w:val="0"/>
            <w:vAlign w:val="top"/>
          </w:tcPr>
          <w:p w14:paraId="5F9F033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2"/>
                <w:kern w:val="2"/>
                <w:sz w:val="24"/>
                <w:szCs w:val="24"/>
                <w:lang w:val="en-US" w:eastAsia="en-US" w:bidi="ar-SA"/>
              </w:rPr>
              <w:t>收费明细费用类别映射</w:t>
            </w:r>
          </w:p>
        </w:tc>
        <w:tc>
          <w:tcPr>
            <w:tcW w:w="1305" w:type="pct"/>
            <w:gridSpan w:val="2"/>
            <w:noWrap w:val="0"/>
            <w:vAlign w:val="top"/>
          </w:tcPr>
          <w:p w14:paraId="0F41B574">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outlineLvl w:val="9"/>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TB_FYLBYS</w:t>
            </w:r>
          </w:p>
        </w:tc>
      </w:tr>
    </w:tbl>
    <w:p w14:paraId="7509BFB1">
      <w:pPr>
        <w:keepNext/>
        <w:keepLines/>
        <w:pageBreakBefore w:val="0"/>
        <w:widowControl w:val="0"/>
        <w:numPr>
          <w:ilvl w:val="3"/>
          <w:numId w:val="1"/>
        </w:numPr>
        <w:kinsoku/>
        <w:wordWrap/>
        <w:overflowPunct/>
        <w:topLinePunct w:val="0"/>
        <w:autoSpaceDE/>
        <w:autoSpaceDN/>
        <w:bidi w:val="0"/>
        <w:adjustRightInd/>
        <w:snapToGrid/>
        <w:spacing w:before="0" w:after="0" w:line="360" w:lineRule="auto"/>
        <w:ind w:left="0" w:right="0" w:firstLine="458" w:firstLineChars="200"/>
        <w:jc w:val="left"/>
        <w:textAlignment w:val="auto"/>
        <w:outlineLvl w:val="9"/>
        <w:rPr>
          <w:rFonts w:hint="eastAsia" w:ascii="宋体" w:hAnsi="宋体" w:eastAsia="宋体" w:cs="宋体"/>
          <w:b/>
          <w:bCs/>
          <w:color w:val="auto"/>
          <w:kern w:val="2"/>
          <w:sz w:val="24"/>
          <w:szCs w:val="24"/>
          <w:lang w:val="en-US" w:eastAsia="zh-CN" w:bidi="ar-SA"/>
        </w:rPr>
      </w:pPr>
      <w:bookmarkStart w:id="30" w:name="bookmark12"/>
      <w:bookmarkEnd w:id="30"/>
      <w:bookmarkStart w:id="31" w:name="bookmark11"/>
      <w:bookmarkEnd w:id="31"/>
      <w:r>
        <w:rPr>
          <w:rFonts w:hint="eastAsia" w:ascii="宋体" w:hAnsi="宋体" w:eastAsia="宋体" w:cs="宋体"/>
          <w:b/>
          <w:bCs/>
          <w:color w:val="auto"/>
          <w:spacing w:val="-6"/>
          <w:kern w:val="2"/>
          <w:sz w:val="24"/>
          <w:szCs w:val="24"/>
          <w:lang w:val="en-US" w:eastAsia="zh-CN" w:bidi="ar-SA"/>
        </w:rPr>
        <w:t>数据采集方式</w:t>
      </w:r>
    </w:p>
    <w:p w14:paraId="6A534DA0">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系统支持数据库对数据库的方式接入数据。原始数据抽取采集过程的作用是将接口要求的全部业务数据从医院业务系统内部数据库迁移到前置机的交换库缓存表中，要求是全部业务数据都应写入，不要过滤或删除任何记录；这段采集过程由医院厂商负责开发并维护，医院厂商应保证来自于同一个系统的业务明细子表数据能与业务主表关联，具体的实现方式由医院厂商自行决定。导入时应满足以下几点：</w:t>
      </w:r>
    </w:p>
    <w:p w14:paraId="014296EB">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来自于同一个系统的业务明细子表数据必须与业务主表通过系统内部唯一号关联。</w:t>
      </w:r>
    </w:p>
    <w:p w14:paraId="1C52FBD7">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如字典表发生变化，则应导入字典表的全量。</w:t>
      </w:r>
    </w:p>
    <w:p w14:paraId="5E451B79">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在具备运作条件的前提下，医院提交数据的方式为定时批量式的。定时批量式的提交采集数据，是要求医院内部信息系统自动生成数据并定时批量提交到前置机中约定的交换库缓存表中。特别需要说明的是：医疗机构内部信息系统在编制提交采集数据的程序逻辑时，不要将提交采集数据的操作逻辑嵌入到医院日常医疗业务流程中，即不要将提交采集数据成功与否作为日常医疗业务流程是否可继续流转的必要条件。而是作为一个单独的处理程序逻辑予以定时单独运作。</w:t>
      </w:r>
    </w:p>
    <w:p w14:paraId="5F6C929C">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bookmarkStart w:id="32" w:name="bookmark13"/>
      <w:bookmarkEnd w:id="32"/>
      <w:bookmarkStart w:id="33" w:name="bookmark14"/>
      <w:bookmarkEnd w:id="33"/>
      <w:r>
        <w:rPr>
          <w:rFonts w:hint="eastAsia" w:ascii="宋体" w:hAnsi="宋体" w:eastAsia="宋体" w:cs="宋体"/>
          <w:color w:val="auto"/>
          <w:spacing w:val="-1"/>
          <w:sz w:val="24"/>
          <w:szCs w:val="24"/>
        </w:rPr>
        <w:t>临床诊疗记录相关数据</w:t>
      </w:r>
    </w:p>
    <w:p w14:paraId="333309D1">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临床诊疗记录相关数据在数据逻辑上共可分为三类，共九个对象。第一类：服务对象信息。目前包括患者基本信息。第二类：就诊事件信息。目前包括门诊就诊信息和住院就诊信息这两个对象。第三类：诊疗报告。目前包括实验室检验报告、医学影像检查报告、住院病案首页主体报告、诊断明细报告、手术明细报告、电子病历报告这六个对象。</w:t>
      </w:r>
    </w:p>
    <w:p w14:paraId="1CC1CE07">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上述九个对象之间的关系在下图中以箭头表示。图中箭头表达的“1:1”表示必有且仅有一个关联关系，如一份实验室检验报告必定能关联到一次门诊就诊或一次住院就诊，一次门诊就诊必定能关联到一条患者基本信息记录。</w:t>
      </w:r>
    </w:p>
    <w:p w14:paraId="07F28D24">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（1）各类报告</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门诊就诊信息、住院就诊信息必须关联到且仅可关联到某一患者，关联的属性（外键）是“患者机构内唯一id”,在多个机构数据集中存储（区域基层医疗）的情况下还需要组合“医疗机构代码”一起进行唯一的关联。</w:t>
      </w:r>
    </w:p>
    <w:p w14:paraId="51B29640">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（2）各类报告必须分别关联到某一门诊就诊信息或住院就诊信息。</w:t>
      </w:r>
    </w:p>
    <w:p w14:paraId="0D3D726C">
      <w:pPr>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无法满足上述关联规则的数据将不会被中心整合归入患者个人的临床诊疗档案库提供共享调阅。</w:t>
      </w:r>
    </w:p>
    <w:p w14:paraId="62525817">
      <w:pPr>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公立医院绩效考核改造</w:t>
      </w:r>
    </w:p>
    <w:p w14:paraId="13C1076D">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34" w:name="_Toc157692381"/>
      <w:r>
        <w:rPr>
          <w:rFonts w:hint="eastAsia" w:ascii="宋体" w:hAnsi="宋体" w:eastAsia="宋体" w:cs="宋体"/>
          <w:b/>
          <w:bCs/>
          <w:color w:val="auto"/>
          <w:kern w:val="2"/>
          <w:sz w:val="24"/>
          <w:szCs w:val="24"/>
          <w:lang w:val="en-US" w:eastAsia="zh-CN" w:bidi="ar-SA"/>
        </w:rPr>
        <w:t>绩效首页</w:t>
      </w:r>
      <w:bookmarkEnd w:id="34"/>
    </w:p>
    <w:p w14:paraId="248B825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绩效首页支持对绩效考核所需指标的完整展示，包含医疗质量、运营效率、持续发展、满意度评价四个部分，提供数据统计和数据对比展示模式。</w:t>
      </w:r>
    </w:p>
    <w:p w14:paraId="02CD1C3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数据统计模式下，根据上报要求排列指标，可查看指标描述和本年统计数据，并于本年度指标目标值、历年数据进行对比。同时可以切换查看修正后的数据以及国家下发数据与目标值和历年数据的对比。提供数据导出和切换查询年份的功能。</w:t>
      </w:r>
    </w:p>
    <w:p w14:paraId="3742166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支持数据对比模式下，根据上报要求排列指标，提供对口径修改的指标进行数据修正功能，并于原始统计数据、国家下发数据和指标目标值进行对比，便于直观查看指标各个数据的差异，获取数据价值。</w:t>
      </w:r>
    </w:p>
    <w:p w14:paraId="500BBC0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支持对以上两种模式下的数据支持Excel导出功能，对页面展示的指标提供指标的详细解释说明，指标属性、指标导向、指标定义、数据来源和采集方式。</w:t>
      </w:r>
    </w:p>
    <w:p w14:paraId="2D007A33">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35" w:name="_Toc157692382"/>
      <w:r>
        <w:rPr>
          <w:rFonts w:hint="eastAsia" w:ascii="宋体" w:hAnsi="宋体" w:eastAsia="宋体" w:cs="宋体"/>
          <w:b/>
          <w:bCs/>
          <w:color w:val="auto"/>
          <w:kern w:val="2"/>
          <w:sz w:val="24"/>
          <w:szCs w:val="24"/>
          <w:lang w:val="en-US" w:eastAsia="zh-CN" w:bidi="ar-SA"/>
        </w:rPr>
        <w:t>医疗质量</w:t>
      </w:r>
      <w:bookmarkEnd w:id="35"/>
    </w:p>
    <w:p w14:paraId="5ADC5B99">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36" w:name="_Toc157692383"/>
      <w:r>
        <w:rPr>
          <w:rFonts w:hint="eastAsia" w:ascii="宋体" w:hAnsi="宋体" w:eastAsia="宋体" w:cs="宋体"/>
          <w:b/>
          <w:bCs/>
          <w:color w:val="auto"/>
          <w:kern w:val="2"/>
          <w:sz w:val="24"/>
          <w:szCs w:val="24"/>
          <w:lang w:val="en-US" w:eastAsia="zh-CN" w:bidi="ar-SA"/>
        </w:rPr>
        <w:t>功能定位</w:t>
      </w:r>
      <w:bookmarkEnd w:id="36"/>
    </w:p>
    <w:p w14:paraId="7AF54DD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展现医院分级诊疗和特需医疗服务的占比情况，便于更好地促进优质医疗资源下沉、有序就医和满足不同患者的需求。</w:t>
      </w:r>
    </w:p>
    <w:p w14:paraId="14E431E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具体分析的指标包括：门诊人次数与出院人次数比、下转患者人次数、出院患者手术占比和特需医疗服务占比四个指标。其中特需医疗服务占比包括特需医疗服务量占比和特需医疗服务收入占比。</w:t>
      </w:r>
    </w:p>
    <w:p w14:paraId="471DC84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各指标的计算方法如下：</w:t>
      </w:r>
    </w:p>
    <w:p w14:paraId="7A623CA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门诊人次数与出院人次数比：门诊人次数统计门诊挂号数，出院人次数统计周期内住院后出院的人数，并计算两者的比值。</w:t>
      </w:r>
    </w:p>
    <w:p w14:paraId="508C57C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下转患者人次数：下转患者包括门急诊下转患者和住院下转患者。门急诊下转患者包括医联体患者登记系统中，三级医院向二级医院、基层医疗机构下转的患者。住院下转患者包括病案首页在“离院方式”选项中，填写“医嘱转社区卫生服务机构/乡镇卫生院”的出院患者，及住院信息系统中查阅到的下转二级医院、基层医疗机构的出院患者。</w:t>
      </w:r>
    </w:p>
    <w:p w14:paraId="602F1D8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出院患者手术占比：出院患者手术和介入治疗人数和与出院患者总数的比值。</w:t>
      </w:r>
    </w:p>
    <w:p w14:paraId="77AA766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需医疗服务收入占比：（1）特需医疗服务量占比为特需医疗服务量（特需门诊患者人次数和享受特需医疗服务的出院人数）占同期全部医疗服务量（门诊患者人次数和出院人数）的比例，不含急诊和健康体检人次。（2）考核年度特需医疗服务收入（特需门诊医疗服务收入和住院患者特需医疗服务收入）占同期全部医疗服务收入的比例。</w:t>
      </w:r>
    </w:p>
    <w:p w14:paraId="15CA080E">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37" w:name="_Toc157692384"/>
      <w:r>
        <w:rPr>
          <w:rFonts w:hint="eastAsia" w:ascii="宋体" w:hAnsi="宋体" w:eastAsia="宋体" w:cs="宋体"/>
          <w:b/>
          <w:bCs/>
          <w:color w:val="auto"/>
          <w:kern w:val="2"/>
          <w:sz w:val="24"/>
          <w:szCs w:val="24"/>
          <w:lang w:val="en-US" w:eastAsia="zh-CN" w:bidi="ar-SA"/>
        </w:rPr>
        <w:t>手术分析</w:t>
      </w:r>
      <w:bookmarkEnd w:id="37"/>
    </w:p>
    <w:p w14:paraId="61B216F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对手术数据进行统计和计算，展示了手术的工作量和工作效率。为了管理者更好地了解医院的手术情况。</w:t>
      </w:r>
    </w:p>
    <w:p w14:paraId="177792B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具体分析的指标包括：日间手术占择期手术比例、出院患者手术占比、出院患者微创手术占比、出院患者四级手术比例。</w:t>
      </w:r>
    </w:p>
    <w:p w14:paraId="0C59349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各指标的计算方法如下：</w:t>
      </w:r>
    </w:p>
    <w:p w14:paraId="12DF7B4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日间手术占择期手术比例：日间手术患者人数与同期出院患者择期手术人数的比值。</w:t>
      </w:r>
    </w:p>
    <w:p w14:paraId="0A8F1C1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出院患者手术占比：出院患者手术人数与出院人数的比值。同一人多次手术按一人统计。</w:t>
      </w:r>
    </w:p>
    <w:p w14:paraId="41978A3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出院患者微创手术占比：出院患者微创手术人数与出院患者手术人数的比值。</w:t>
      </w:r>
    </w:p>
    <w:p w14:paraId="6B614B4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出院患者四级手术比例：出院患者住院期间实施四级手术和按照四级手术管理的介入诊疗人数之和与出院患者手术人数的比值。</w:t>
      </w:r>
    </w:p>
    <w:p w14:paraId="59C709FD">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38" w:name="_Toc157692385"/>
      <w:r>
        <w:rPr>
          <w:rFonts w:hint="eastAsia" w:ascii="宋体" w:hAnsi="宋体" w:eastAsia="宋体" w:cs="宋体"/>
          <w:b/>
          <w:bCs/>
          <w:color w:val="auto"/>
          <w:kern w:val="2"/>
          <w:sz w:val="24"/>
          <w:szCs w:val="24"/>
          <w:lang w:val="en-US" w:eastAsia="zh-CN" w:bidi="ar-SA"/>
        </w:rPr>
        <w:t>手术质量</w:t>
      </w:r>
      <w:bookmarkEnd w:id="38"/>
    </w:p>
    <w:p w14:paraId="1ED4631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统计手术情况，关注手术结果，更好地保证患者的手术安全和质量。</w:t>
      </w:r>
    </w:p>
    <w:p w14:paraId="15BFB6A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具体分析的指标包括：手术患者并发症发生率、I类切口手术部位感染率、优质护理服务病房覆盖率。</w:t>
      </w:r>
    </w:p>
    <w:p w14:paraId="4D83BFD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各指标计算方法如下：</w:t>
      </w:r>
    </w:p>
    <w:p w14:paraId="632DFC9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手术患者并发症发生率：住院病案首页中出院诊断符合“手术并发症诊断相关名称”且该诊断入院病情为“无”的病例与同期出院患者择期手术人数的比值。</w:t>
      </w:r>
    </w:p>
    <w:p w14:paraId="48CB671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I类切口手术部位感染率：出院患者手术为I类切口且病案首页中切口愈合等级字段填报为“丙级愈合”选项的人数与同期出院患者手术为I类切口人数的比值。</w:t>
      </w:r>
    </w:p>
    <w:p w14:paraId="730D849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优质护理服务病房覆盖率：医院已经开展优质护理服务的病房总数与医院全部病房总数的比值。</w:t>
      </w:r>
    </w:p>
    <w:p w14:paraId="10C40BAE">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39" w:name="_Toc157692386"/>
      <w:r>
        <w:rPr>
          <w:rFonts w:hint="eastAsia" w:ascii="宋体" w:hAnsi="宋体" w:eastAsia="宋体" w:cs="宋体"/>
          <w:b/>
          <w:bCs/>
          <w:color w:val="auto"/>
          <w:kern w:val="2"/>
          <w:sz w:val="24"/>
          <w:szCs w:val="24"/>
          <w:lang w:val="en-US" w:eastAsia="zh-CN" w:bidi="ar-SA"/>
        </w:rPr>
        <w:t>单病种分析</w:t>
      </w:r>
      <w:bookmarkEnd w:id="39"/>
    </w:p>
    <w:p w14:paraId="22326AC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以特定的病种为单位，通过对疾病诊疗全过程，包括诊断、检查、治疗、治疗效果以及医疗费用等，实施标准化控制，达到提高医疗质量和促进医疗资源合理利用的目的。</w:t>
      </w:r>
    </w:p>
    <w:p w14:paraId="6BA1C21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主要病种包括急性心肌梗死、心力衰竭、肺炎（住院、成人）、肺炎（住院、儿童）、脑梗死、髋关节置换术、膝关节置换术、冠状动脉旁路移植术、剖宫产、慢性阻塞性肺疾病。</w:t>
      </w:r>
    </w:p>
    <w:p w14:paraId="27E62B1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每个病种统计的指标为：平均住院日、平均费用、次均药费、次均手术治疗费、次均材料费、出院人次、死亡人数。</w:t>
      </w:r>
    </w:p>
    <w:p w14:paraId="174D86CA">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0" w:name="_Toc157692387"/>
      <w:r>
        <w:rPr>
          <w:rFonts w:hint="eastAsia" w:ascii="宋体" w:hAnsi="宋体" w:eastAsia="宋体" w:cs="宋体"/>
          <w:b/>
          <w:bCs/>
          <w:color w:val="auto"/>
          <w:kern w:val="2"/>
          <w:sz w:val="24"/>
          <w:szCs w:val="24"/>
          <w:lang w:val="en-US" w:eastAsia="zh-CN" w:bidi="ar-SA"/>
        </w:rPr>
        <w:t>设备阳性率</w:t>
      </w:r>
      <w:bookmarkEnd w:id="40"/>
    </w:p>
    <w:p w14:paraId="1331D80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别统计不同大型设备的检查报告阳性结果数与同期大型医用设备检查数的比值以及不同科室的检查报告阳性结果数与该科室同期大型医用设备检查数的比值。多角度多方面的给出设备阳性率监测指标的变化情况，使管理者更好地掌握各个设备的检查结果。以此促进大型医用设备科学配置和合理使用，充分发挥其在诊疗中的优势作用。</w:t>
      </w:r>
    </w:p>
    <w:p w14:paraId="6B156AB5">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1" w:name="_Toc157692388"/>
      <w:r>
        <w:rPr>
          <w:rFonts w:hint="eastAsia" w:ascii="宋体" w:hAnsi="宋体" w:eastAsia="宋体" w:cs="宋体"/>
          <w:b/>
          <w:bCs/>
          <w:color w:val="auto"/>
          <w:kern w:val="2"/>
          <w:sz w:val="24"/>
          <w:szCs w:val="24"/>
          <w:lang w:val="en-US" w:eastAsia="zh-CN" w:bidi="ar-SA"/>
        </w:rPr>
        <w:t>死亡情况统计</w:t>
      </w:r>
      <w:bookmarkEnd w:id="41"/>
    </w:p>
    <w:p w14:paraId="19628C5C">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统计医院总体出院患者死亡率以及低风险组死亡率，对各个科室的死亡人数统计，对低风险组的死亡人数统计，下钻到各死亡患者详细信息。统计分析医院的死亡情况，便于管理者更好地掌握死亡情况的变化趋势。</w:t>
      </w:r>
    </w:p>
    <w:p w14:paraId="7E5780BA">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2" w:name="_Toc157692389"/>
      <w:r>
        <w:rPr>
          <w:rFonts w:hint="eastAsia" w:ascii="宋体" w:hAnsi="宋体" w:eastAsia="宋体" w:cs="宋体"/>
          <w:b/>
          <w:bCs/>
          <w:color w:val="auto"/>
          <w:kern w:val="2"/>
          <w:sz w:val="24"/>
          <w:szCs w:val="24"/>
          <w:lang w:val="en-US" w:eastAsia="zh-CN" w:bidi="ar-SA"/>
        </w:rPr>
        <w:t>合理用药</w:t>
      </w:r>
      <w:bookmarkEnd w:id="42"/>
    </w:p>
    <w:p w14:paraId="55246D0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通过对处方使用比例、抗菌药使用强度、基药使用率、基要采购品种数和国家组织药品集中采购中标药品使用比例的统计分析，方便管理者监督药物的使用情况，及时统计用药数据以保证患者用药安全。逐步实现药学服务全覆盖，为患者提供个性化的合理用药指导。</w:t>
      </w:r>
    </w:p>
    <w:p w14:paraId="1D228C9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具体分析的指标包括：点评处方占处方总数的比例、抗菌药物使用强度、门诊患者基本药物处方占比、住院患者基本药物使用率、基本药物采购品种数占比、国家组织药品集中采购中标药品使用比例。</w:t>
      </w:r>
    </w:p>
    <w:p w14:paraId="2ACC7D9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各指标计算方法如下：</w:t>
      </w:r>
    </w:p>
    <w:p w14:paraId="7E7EB67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点评处方占处方总数的比例：该指标分为点评门急诊处方占比和点评出院患者住院医嘱占比两部分进行展示，均为点评处方数与处方总数的比值。</w:t>
      </w:r>
    </w:p>
    <w:p w14:paraId="34B46A9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抗菌药物使用强度：该指标为所有住院患者在院期间累计使用的抗菌药物数量与所有出院患者住院床日数的总和。</w:t>
      </w:r>
    </w:p>
    <w:p w14:paraId="6D8F783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门诊患者基本药物处方占比：门诊患者使用基本药物人数与门诊患者人数的比值。</w:t>
      </w:r>
    </w:p>
    <w:p w14:paraId="7BEE00F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住院患者基本药物使用率：出院患者在住院期间医嘱中使用基本药物的总人数占同期出院总人次数的比例。</w:t>
      </w:r>
    </w:p>
    <w:p w14:paraId="25EDEEC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b/>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基本药物采购品种数占比：医院配备使用的基本药品的品种总数与同期医院配备使用的全部药品品种总数。</w:t>
      </w:r>
    </w:p>
    <w:p w14:paraId="4AA406A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国家组织药品集中采购中标药品使用比例：医院采购的国家组织药品集中采购中选药品的采购量之和与包含国家组织药品集中采购的同通用名药品的中选药品和非中选药品采购量之和的比值。</w:t>
      </w:r>
    </w:p>
    <w:p w14:paraId="7AB3F92C">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3" w:name="_Toc157692390"/>
      <w:r>
        <w:rPr>
          <w:rFonts w:hint="eastAsia" w:ascii="宋体" w:hAnsi="宋体" w:eastAsia="宋体" w:cs="宋体"/>
          <w:b/>
          <w:bCs/>
          <w:color w:val="auto"/>
          <w:kern w:val="2"/>
          <w:sz w:val="24"/>
          <w:szCs w:val="24"/>
          <w:lang w:val="en-US" w:eastAsia="zh-CN" w:bidi="ar-SA"/>
        </w:rPr>
        <w:t>服务流程</w:t>
      </w:r>
      <w:bookmarkEnd w:id="43"/>
    </w:p>
    <w:p w14:paraId="20841F9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通过对门诊患者预约诊疗率及预约后等候时长的统计，便于管理者及时掌握门急诊预约诊疗服务情况，更好地优化预约诊疗服务制度。</w:t>
      </w:r>
    </w:p>
    <w:p w14:paraId="6F7CAB3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具体分析的指标包括：门诊患者平均预约诊疗率、门诊患者预约后平均等待时间。</w:t>
      </w:r>
    </w:p>
    <w:p w14:paraId="5F12287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各指标计算方法如下：</w:t>
      </w:r>
    </w:p>
    <w:p w14:paraId="0BD630F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门诊患者平均预约诊疗率：预约诊疗的门诊患者人次数与门诊挂号诊疗总人次数的比值。</w:t>
      </w:r>
    </w:p>
    <w:p w14:paraId="36B4ADC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门诊患者预约后平均等待时间：预约诊疗患者的就诊时间减去其到医院的报道时间与预约诊疗人次数的比值。</w:t>
      </w:r>
    </w:p>
    <w:p w14:paraId="4DF41446">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44" w:name="_Toc157692391"/>
      <w:bookmarkStart w:id="45" w:name="_Toc112335518"/>
      <w:r>
        <w:rPr>
          <w:rFonts w:hint="eastAsia" w:ascii="宋体" w:hAnsi="宋体" w:eastAsia="宋体" w:cs="宋体"/>
          <w:b/>
          <w:bCs/>
          <w:color w:val="auto"/>
          <w:kern w:val="2"/>
          <w:sz w:val="24"/>
          <w:szCs w:val="24"/>
          <w:lang w:val="en-US" w:eastAsia="zh-CN" w:bidi="ar-SA"/>
        </w:rPr>
        <w:t>运营效率</w:t>
      </w:r>
      <w:bookmarkEnd w:id="44"/>
      <w:bookmarkEnd w:id="45"/>
    </w:p>
    <w:p w14:paraId="425A0076">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6" w:name="_Toc157692392"/>
      <w:r>
        <w:rPr>
          <w:rFonts w:hint="eastAsia" w:ascii="宋体" w:hAnsi="宋体" w:eastAsia="宋体" w:cs="宋体"/>
          <w:b/>
          <w:bCs/>
          <w:color w:val="auto"/>
          <w:kern w:val="2"/>
          <w:sz w:val="24"/>
          <w:szCs w:val="24"/>
          <w:lang w:val="en-US" w:eastAsia="zh-CN" w:bidi="ar-SA"/>
        </w:rPr>
        <w:t>资源效率</w:t>
      </w:r>
      <w:bookmarkEnd w:id="46"/>
    </w:p>
    <w:p w14:paraId="4501751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对医院床位数、各科室医务人员结构进行统计，可以更直观地了解医生劳动负荷及医院人力资源配备情况，方便后续进一步推进分级诊疗制度，改善医务人员的工作环境和后勤保障，为改善医疗服务创造条件。</w:t>
      </w:r>
    </w:p>
    <w:p w14:paraId="1478803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具体分析的指标包括：卫生技术人员结构、医护比、每名执业医师日均住院工作负担、每百张病床药师人数。</w:t>
      </w:r>
    </w:p>
    <w:p w14:paraId="0EBE984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各项指标计算方法如下：</w:t>
      </w:r>
    </w:p>
    <w:p w14:paraId="5ACAE1C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卫生技术人员结构：具有副高级职称及以上的医、药、护、技四类在岗医务人员数与全院同期医务人员总数的比值。</w:t>
      </w:r>
    </w:p>
    <w:p w14:paraId="3FAAFB3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各类医师占比：医院麻醉、儿科、重症、病理、中医、感染性疾病科医师数量分别与全院同期医师总数的比值。</w:t>
      </w:r>
    </w:p>
    <w:p w14:paraId="1F59F08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医护比：医院注册执业（助理）医师数与全院同期注册护士总数之比。</w:t>
      </w:r>
    </w:p>
    <w:p w14:paraId="78C710A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每名执业医师日均住院工作负担：通过统计各个科室的各类执业（助理）医师数，计算全年医院各科室每日夜晚12点实际占用的病床数总和与执业医师总数的比值除以天数（365）后的结果。</w:t>
      </w:r>
    </w:p>
    <w:p w14:paraId="540E158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每百张病床药师人数：医院各类药师的总和与医院实际拥有的床位数的比值除以100后的结果。</w:t>
      </w:r>
    </w:p>
    <w:p w14:paraId="6AFF14DE">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7" w:name="_Toc157692393"/>
      <w:r>
        <w:rPr>
          <w:rFonts w:hint="eastAsia" w:ascii="宋体" w:hAnsi="宋体" w:eastAsia="宋体" w:cs="宋体"/>
          <w:b/>
          <w:bCs/>
          <w:color w:val="auto"/>
          <w:kern w:val="2"/>
          <w:sz w:val="24"/>
          <w:szCs w:val="24"/>
          <w:lang w:val="en-US" w:eastAsia="zh-CN" w:bidi="ar-SA"/>
        </w:rPr>
        <w:t>收支结构</w:t>
      </w:r>
      <w:bookmarkEnd w:id="47"/>
    </w:p>
    <w:p w14:paraId="790D657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展示医院门急诊和住院部分的收入占比情况以及各项支出情况。通过划分一系列二级指标直观反馈医院整体经济运营状况，引导医院提升精细化管理水平，降低潜在风险。</w:t>
      </w:r>
    </w:p>
    <w:p w14:paraId="698815F1">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具体分析的指标包括：门诊收入占医疗收入比例、门诊收入中来自医保基金的比例、住院收入占医疗收入比例、住院收入中来自医保基金的比例、人员经费占比、万元收入能耗占比、医疗盈余率、资产负债率。</w:t>
      </w:r>
    </w:p>
    <w:p w14:paraId="4226833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各指标计算方法如下：</w:t>
      </w:r>
    </w:p>
    <w:p w14:paraId="16E3E02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收入占医疗收入比例：医院开展门急诊医疗服务活动取得的收入与医院开展医疗服务活动取得的总收入的比值。其中门急诊医疗服务活动收入由门诊收入、急诊收入和健康体检收入等组成，医院医疗服务总收入由门急诊收入、住院收入和结算差额组成。</w:t>
      </w:r>
    </w:p>
    <w:p w14:paraId="74BBC69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门诊收入中来自医保基金的比例：医保患者在门急诊医疗服务活动中由医疗保险机构直接支付给医院的收入与医院开展门急诊医疗服务活动取得的收入的比值。</w:t>
      </w:r>
    </w:p>
    <w:p w14:paraId="0F2434C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住院收入占医疗收入比例：医院开展住院医疗服务活动取得的收入与医院同期开展医疗服务活动取得的收入的比值。</w:t>
      </w:r>
    </w:p>
    <w:p w14:paraId="581457C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住院收入中来自医保基金的比例：医保患者在住院医疗服务活动中由医疗保险机构直接支付给医院的收入与医院开展住院医疗服务活动取得的收入的比值。</w:t>
      </w:r>
    </w:p>
    <w:p w14:paraId="45CD298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人员支出占业务支出比重：该考核指标用“人员经费占比”表述，即医院全部人员发生的费用与医疗活动费用的比值。其中医疗活动费用由业务活动费用（不含财政项目拨款经费和科教经费）、单位管理费用（不含财政项目拨款经费和科教经费）、经营费用、资产处置费用、上缴上级费用、对附属单位补助费用、所得税费用、其他费用组成。</w:t>
      </w:r>
    </w:p>
    <w:p w14:paraId="4F1DA80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万元收入能耗支出：该指标用“万元收入能耗占比”表述，即医院年总能耗支出与年总收入的比值。其中，年总能耗指年度医院发生的水、电、气、热等能耗折算成吨标煤后之和，该指标即为每万元收入消耗的吨标煤数量。</w:t>
      </w:r>
    </w:p>
    <w:p w14:paraId="6AF10E6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收支结余：该指标以“医疗盈余率”表述，即医院医疗盈余与医疗活动收入的比值。其中，医疗盈余是医院年度医疗活动相关收入扣除医疗活动相关费用后的净额。</w:t>
      </w:r>
    </w:p>
    <w:p w14:paraId="0012A79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资产负债率：医院负债合计与资产合计的比值。其中，医院负债合计包括流动负债、非流动负债和受托代理负债，资产合计包括流动资产、非流动资产和受托代理资产。</w:t>
      </w:r>
    </w:p>
    <w:p w14:paraId="7BDF5427">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8" w:name="_Toc157692394"/>
      <w:r>
        <w:rPr>
          <w:rFonts w:hint="eastAsia" w:ascii="宋体" w:hAnsi="宋体" w:eastAsia="宋体" w:cs="宋体"/>
          <w:b/>
          <w:bCs/>
          <w:color w:val="auto"/>
          <w:kern w:val="2"/>
          <w:sz w:val="24"/>
          <w:szCs w:val="24"/>
          <w:lang w:val="en-US" w:eastAsia="zh-CN" w:bidi="ar-SA"/>
        </w:rPr>
        <w:t>收入分析</w:t>
      </w:r>
      <w:bookmarkEnd w:id="48"/>
    </w:p>
    <w:p w14:paraId="05C12F2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综合分析医院整体医疗收入、药品收入、检验收入、检查收入等各分项收入的构成比例和整体收入趋势。着重监测辅助用药收入占比和重点监控高值医用耗材收入占比两项指标。帮助管理者全面、快速的掌握医院收入的来源以及变化趋势，提前发现问题并有针对性的采取措施，进行合理的导向。规范医疗服务行为，控制医疗费用不合理增长。</w:t>
      </w:r>
    </w:p>
    <w:p w14:paraId="7A7B6AD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具体分析的指标包括：医疗服务收入占比、辅助用药收入占比、重点监控高值医用耗材收入占比。</w:t>
      </w:r>
    </w:p>
    <w:p w14:paraId="7CE5D6C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各项指标结算方法如下：</w:t>
      </w:r>
    </w:p>
    <w:p w14:paraId="100D1E8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医疗服务收入占比：考核年度医疗服务收入（不包含药品、耗材、检查检验收入）占医疗收入的比例。</w:t>
      </w:r>
    </w:p>
    <w:p w14:paraId="3166E56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辅助用药收入占比：统计并计算各科室辅助用药收入的总和与门急诊和住院药品的总收入的比值。</w:t>
      </w:r>
    </w:p>
    <w:p w14:paraId="0CAC3F9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重点监控高值医用耗材收入占比：新增加的考察指标。统计并计算各个科室重点监控高值医用耗材收入总和与门急诊和住院卫生材料收入总和的比值。</w:t>
      </w:r>
    </w:p>
    <w:p w14:paraId="03A6EAB0">
      <w:pPr>
        <w:keepNext/>
        <w:keepLines/>
        <w:pageBreakBefore w:val="0"/>
        <w:widowControl w:val="0"/>
        <w:numPr>
          <w:ilvl w:val="2"/>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2"/>
          <w:sz w:val="24"/>
          <w:szCs w:val="24"/>
          <w:lang w:val="en-US" w:eastAsia="zh-CN" w:bidi="ar-SA"/>
        </w:rPr>
      </w:pPr>
      <w:bookmarkStart w:id="49" w:name="_Toc157692395"/>
      <w:r>
        <w:rPr>
          <w:rFonts w:hint="eastAsia" w:ascii="宋体" w:hAnsi="宋体" w:eastAsia="宋体" w:cs="宋体"/>
          <w:b/>
          <w:bCs/>
          <w:color w:val="auto"/>
          <w:kern w:val="2"/>
          <w:sz w:val="24"/>
          <w:szCs w:val="24"/>
          <w:lang w:val="en-US" w:eastAsia="zh-CN" w:bidi="ar-SA"/>
        </w:rPr>
        <w:t>费用监控</w:t>
      </w:r>
      <w:bookmarkEnd w:id="49"/>
    </w:p>
    <w:p w14:paraId="39AC806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通过对医疗收入的监控，引导医院主动控制成本，合理检查、合理用药、合理治疗，控制医疗费用不合理增长。</w:t>
      </w:r>
    </w:p>
    <w:p w14:paraId="591CD9D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具体分析的指标包括：医疗收入增幅、门诊次均费用增幅、住院次均费用增幅、住院次均药品费用增幅。</w:t>
      </w:r>
    </w:p>
    <w:p w14:paraId="6330EDAC">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各指标计算方法如下：</w:t>
      </w:r>
    </w:p>
    <w:p w14:paraId="6C818CC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医疗收入增幅：年度医疗收入与上一年医疗收入之差与上一年医疗收入的比值。其中，医疗收入包括门急诊收入、住院收入和结算差额</w:t>
      </w:r>
    </w:p>
    <w:p w14:paraId="44ECFCB6">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门诊次均费用增幅：年度门急诊患者平均每次就诊费用与上一年度门急诊患者平均每次就诊费用之差与上一年度门急诊患者平均每次就诊费用的比值</w:t>
      </w:r>
    </w:p>
    <w:p w14:paraId="7392D80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门诊次均药品费用增幅：年度门急诊患者平均每次就诊药品费用与上一年度门急诊患者平均每次就诊药品费用之差与上一年度门急诊患者平均每次就诊药品费用的比值。</w:t>
      </w:r>
    </w:p>
    <w:p w14:paraId="3747E8E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住院次均费用增幅：年度出院患者平均每次住院的医药费用与上一年度出院患者平均每次住院的医药费用之差与上一年度出院患者平均每次住院的医药费用的比值。</w:t>
      </w:r>
    </w:p>
    <w:p w14:paraId="0FF8778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住院次均药品费用增幅：年度出院患者平均每次住院的药品费用与上一年度出院患者平均每次住院的药品费用之差与上一年度出院患者平均每次住院的药品费用的比值。</w:t>
      </w:r>
    </w:p>
    <w:p w14:paraId="3095BBCD">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0" w:name="_Toc157692396"/>
      <w:bookmarkStart w:id="51" w:name="_Toc155186229"/>
      <w:r>
        <w:rPr>
          <w:rFonts w:hint="eastAsia" w:ascii="宋体" w:hAnsi="宋体" w:eastAsia="宋体" w:cs="宋体"/>
          <w:b/>
          <w:bCs/>
          <w:color w:val="auto"/>
          <w:kern w:val="2"/>
          <w:sz w:val="24"/>
          <w:szCs w:val="24"/>
          <w:lang w:val="en-US" w:eastAsia="zh-CN" w:bidi="ar-SA"/>
        </w:rPr>
        <w:t>指标填报</w:t>
      </w:r>
      <w:bookmarkEnd w:id="50"/>
      <w:bookmarkEnd w:id="51"/>
    </w:p>
    <w:p w14:paraId="374FC55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指标填报页面支持将不能从信息系统中获得的数据设置为填报指标，用来完善整个绩效首页的指标数据。根据不同指标的填报周期分为年、季、月进行填报。进行过填报的时间周期会转为进行中，全部指标填报完的时间周期会变成已完成，未进行填报的时间周期显示为未开始，可以快速找到需要进行填写的指标周期。</w:t>
      </w:r>
    </w:p>
    <w:p w14:paraId="5053827B">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填报指标还可根据指标类型设置填报科室，设置后拥有填报权限的账号登陆后可对自己负责的指标进行填报，确保数据填报的准确性。</w:t>
      </w:r>
    </w:p>
    <w:p w14:paraId="18E8AD5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填报页面可以进行保存和提交，并且还可以设置空值提醒，确保提交指标数据的完整度。</w:t>
      </w:r>
    </w:p>
    <w:p w14:paraId="437D1A13">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2" w:name="_Toc157692397"/>
      <w:r>
        <w:rPr>
          <w:rFonts w:hint="eastAsia" w:ascii="宋体" w:hAnsi="宋体" w:eastAsia="宋体" w:cs="宋体"/>
          <w:b/>
          <w:bCs/>
          <w:color w:val="auto"/>
          <w:kern w:val="2"/>
          <w:sz w:val="24"/>
          <w:szCs w:val="24"/>
          <w:lang w:val="en-US" w:eastAsia="zh-CN" w:bidi="ar-SA"/>
        </w:rPr>
        <w:t>指标管理</w:t>
      </w:r>
      <w:bookmarkEnd w:id="52"/>
    </w:p>
    <w:p w14:paraId="19796B3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对公立医院绩效考核相关指标进行统一维护管理，主要维护指标的基本信息，包括指标名称、指标定义、计算方法、指标说明、指标意义、指标属性、指标类型、指标导向、采集方式、数据来源等。</w:t>
      </w:r>
    </w:p>
    <w:p w14:paraId="40C089BF">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3" w:name="_Toc157692398"/>
      <w:r>
        <w:rPr>
          <w:rFonts w:hint="eastAsia" w:ascii="宋体" w:hAnsi="宋体" w:eastAsia="宋体" w:cs="宋体"/>
          <w:b/>
          <w:bCs/>
          <w:color w:val="auto"/>
          <w:kern w:val="2"/>
          <w:sz w:val="24"/>
          <w:szCs w:val="24"/>
          <w:lang w:val="en-US" w:eastAsia="zh-CN" w:bidi="ar-SA"/>
        </w:rPr>
        <w:t>填报表单管理</w:t>
      </w:r>
      <w:bookmarkEnd w:id="53"/>
    </w:p>
    <w:p w14:paraId="78481319">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支持对指标管理中采集方式为表单填报的指标，可通过配置填报表单生成填报页面，每个指标可设置填报的责任部门与填报周期（年、季、月），保证各个科室填报各自负责的指标。</w:t>
      </w:r>
    </w:p>
    <w:p w14:paraId="1D31934B">
      <w:pPr>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电子病历分级评价数据质量测评工具</w:t>
      </w:r>
    </w:p>
    <w:p w14:paraId="2AE2D278">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测评数据接口</w:t>
      </w:r>
    </w:p>
    <w:p w14:paraId="3247666C">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按照测评项目要求提供患者、医嘱、检验、检查、病历等数据视图。</w:t>
      </w:r>
    </w:p>
    <w:p w14:paraId="73B6FD9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按照测评项目要求提供患者、护理记录、评估记录、执行记录等数据视图。</w:t>
      </w:r>
    </w:p>
    <w:p w14:paraId="5A46FC1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按照测评项目要求提供患者、医嘱、药品、病历等数据视图。</w:t>
      </w:r>
    </w:p>
    <w:p w14:paraId="3C1189C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按照测评项目要求提供检查请、检查报告等数据视图。</w:t>
      </w:r>
    </w:p>
    <w:p w14:paraId="733177D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按照测评项目要求提供检验标本、标本传送记录、检验结果数据视图。</w:t>
      </w:r>
    </w:p>
    <w:p w14:paraId="50534FD4">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按照测评项目要求提供治疗患者、预约、手术、麻醉和监护等数据视图。</w:t>
      </w:r>
    </w:p>
    <w:p w14:paraId="5895DC7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按照测评项目要求提供血液库存、配血、用血、门诊配药记录等数据视图。</w:t>
      </w:r>
    </w:p>
    <w:p w14:paraId="42E6357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按照测评项目要求提供病历质控记录等数据视图。</w:t>
      </w:r>
    </w:p>
    <w:p w14:paraId="0308DE8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按照测评项目要求提供医嘱、病案、病历等结构化数据视图。</w:t>
      </w:r>
    </w:p>
    <w:p w14:paraId="23F4D8A5">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测评数据抽取</w:t>
      </w:r>
    </w:p>
    <w:p w14:paraId="52734C5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配置测评数据需要抽取的数据源，支持Oracle和Sqlserver数据库。</w:t>
      </w:r>
    </w:p>
    <w:p w14:paraId="333A61B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配置测评数据同医院业务数据的映射关系，从字段到字段映射，点选配置，相同字段自动完成映射。</w:t>
      </w:r>
    </w:p>
    <w:p w14:paraId="5513AD2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配置测评数据的时间范围，临床按照此时间范围进行抽取。</w:t>
      </w:r>
    </w:p>
    <w:p w14:paraId="60A7975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配置数据是否抽取，配置成“有效”开始进行抽取，“无效”，数据不进行抽取。</w:t>
      </w:r>
    </w:p>
    <w:p w14:paraId="07C3A34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抽取源数据识别，用于抽取数据的唯一标识，进行数据修改更新。</w:t>
      </w:r>
    </w:p>
    <w:p w14:paraId="11B0696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抽取数据源识别时间标识，用于抽取数据源的时间范围判断。</w:t>
      </w:r>
    </w:p>
    <w:p w14:paraId="736CB90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验证数据中心数据同数据源数据是否可以对照，对照错误和字段不存在给予提示要求修正。</w:t>
      </w:r>
    </w:p>
    <w:p w14:paraId="3A36C6E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运行后台计划任务，配置计划任务时间，启动数据抽取。</w:t>
      </w:r>
    </w:p>
    <w:p w14:paraId="1CF3733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卸载后台计划任务，停止数据抽取。</w:t>
      </w:r>
    </w:p>
    <w:p w14:paraId="7962E169">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测评数据计算</w:t>
      </w:r>
    </w:p>
    <w:p w14:paraId="0EAC54AC">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配置自动计算时间点，计算时间范围，系统按计划运行。</w:t>
      </w:r>
    </w:p>
    <w:p w14:paraId="7829615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配置手动计算时间点，计算时间范围，直接启动计算。</w:t>
      </w:r>
    </w:p>
    <w:p w14:paraId="7A915ABC">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数据质量上报</w:t>
      </w:r>
    </w:p>
    <w:p w14:paraId="2C00CA3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查询系统的测评计算项目和指数，支持按照达标情况、角色进行分类查询。</w:t>
      </w: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导出电子病历分级评价平台要求填报的数据指数，包括数据查询sql。</w:t>
      </w:r>
    </w:p>
    <w:p w14:paraId="67547009">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测评数据分析</w:t>
      </w:r>
    </w:p>
    <w:p w14:paraId="725FA40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分析医院当前的数据质量级别，例如是否已经达到3级、4级。</w:t>
      </w:r>
    </w:p>
    <w:p w14:paraId="3AB0357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分析医院当前数据质量距离未达到级别的选择项和基本项差异。</w:t>
      </w:r>
    </w:p>
    <w:p w14:paraId="7B92AEA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查询对应级别的基本项指数，借助统计图查看通过项目和未通过项目，分析基本项达标比例。</w:t>
      </w:r>
    </w:p>
    <w:p w14:paraId="6B3DF3D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查询对应级别的选择项指数，借助统计图查看通过和未通过项目，分析选择项达标比例。</w:t>
      </w:r>
    </w:p>
    <w:p w14:paraId="1D1D8EE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数据指数未达标，查询异常数据。</w:t>
      </w:r>
    </w:p>
    <w:p w14:paraId="5878444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分析数据质量各个级别的数据走势和甘特图分布情况，分析得出医院的数据质量改进情况。</w:t>
      </w:r>
    </w:p>
    <w:p w14:paraId="5DF7F19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分析数据质量各个测评项目数据走势情况，分析得出临川相关数据改进情况。</w:t>
      </w:r>
    </w:p>
    <w:p w14:paraId="2DFFEE62">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分析总体评价达标项目情况、基本项达标情况、选择项达标情况。</w:t>
      </w:r>
    </w:p>
    <w:p w14:paraId="19F872E8">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测评系统监控</w:t>
      </w:r>
    </w:p>
    <w:p w14:paraId="3FFEC90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监控临床数据抽取性能、内存、磁盘、数据积压等情况。</w:t>
      </w:r>
    </w:p>
    <w:p w14:paraId="47522E7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查看系统数据整体情况。</w:t>
      </w:r>
    </w:p>
    <w:p w14:paraId="3DE283F1">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测试计算指标的SQL的执行性能。</w:t>
      </w:r>
    </w:p>
    <w:p w14:paraId="2B23817F">
      <w:pPr>
        <w:pageBreakBefore w:val="0"/>
        <w:widowControl w:val="0"/>
        <w:kinsoku/>
        <w:wordWrap/>
        <w:overflowPunct/>
        <w:topLinePunct w:val="0"/>
        <w:autoSpaceDE/>
        <w:autoSpaceDN/>
        <w:bidi w:val="0"/>
        <w:adjustRightInd/>
        <w:snapToGrid/>
        <w:spacing w:before="0" w:after="0" w:line="360" w:lineRule="auto"/>
        <w:ind w:left="0" w:leftChars="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支持监控数据抽取过程，因为数据库字段长度和表空间等问题产生的未导入数据。</w:t>
      </w:r>
    </w:p>
    <w:p w14:paraId="0B569779">
      <w:pPr>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电子病历五级评级咨询服务</w:t>
      </w:r>
    </w:p>
    <w:p w14:paraId="5E30063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为了保障评级工作有序及规范的开展，</w:t>
      </w:r>
      <w:r>
        <w:rPr>
          <w:rFonts w:hint="eastAsia" w:ascii="宋体" w:hAnsi="宋体" w:eastAsia="宋体" w:cs="宋体"/>
          <w:color w:val="auto"/>
          <w:kern w:val="2"/>
          <w:sz w:val="24"/>
          <w:szCs w:val="24"/>
          <w:lang w:val="en-US" w:eastAsia="zh-CN" w:bidi="ar-SA"/>
        </w:rPr>
        <w:t>投标人需承诺</w:t>
      </w:r>
      <w:r>
        <w:rPr>
          <w:rFonts w:hint="eastAsia" w:ascii="宋体" w:hAnsi="宋体" w:eastAsia="宋体" w:cs="宋体"/>
          <w:color w:val="auto"/>
          <w:kern w:val="2"/>
          <w:sz w:val="24"/>
          <w:szCs w:val="24"/>
          <w:lang w:val="zh-CN" w:eastAsia="zh-CN" w:bidi="ar-SA"/>
        </w:rPr>
        <w:t>结合评级标准及过程的理解、评级优秀项目案例的建设经验，为评级项目提供评级整体的指导工作，包括提供评级培训管理，差异分析及建设方案，评审过程指导，上报实证材料审核</w:t>
      </w:r>
      <w:r>
        <w:rPr>
          <w:rFonts w:hint="eastAsia" w:ascii="宋体" w:hAnsi="宋体" w:eastAsia="宋体" w:cs="宋体"/>
          <w:color w:val="auto"/>
          <w:kern w:val="2"/>
          <w:sz w:val="24"/>
          <w:szCs w:val="24"/>
          <w:lang w:val="en-US" w:eastAsia="zh-CN" w:bidi="ar-SA"/>
        </w:rPr>
        <w:t>等服务，具体要求如下：</w:t>
      </w:r>
    </w:p>
    <w:p w14:paraId="3013A3A0">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4" w:name="_Toc66784167"/>
      <w:r>
        <w:rPr>
          <w:rFonts w:hint="eastAsia" w:ascii="宋体" w:hAnsi="宋体" w:eastAsia="宋体" w:cs="宋体"/>
          <w:b/>
          <w:bCs/>
          <w:color w:val="auto"/>
          <w:kern w:val="2"/>
          <w:sz w:val="24"/>
          <w:szCs w:val="24"/>
          <w:lang w:val="en-US" w:eastAsia="zh-CN" w:bidi="ar-SA"/>
        </w:rPr>
        <w:t>评级培训</w:t>
      </w:r>
      <w:bookmarkEnd w:id="54"/>
      <w:r>
        <w:rPr>
          <w:rFonts w:hint="eastAsia" w:ascii="宋体" w:hAnsi="宋体" w:eastAsia="宋体" w:cs="宋体"/>
          <w:b/>
          <w:bCs/>
          <w:color w:val="auto"/>
          <w:kern w:val="2"/>
          <w:sz w:val="24"/>
          <w:szCs w:val="24"/>
          <w:lang w:val="en-US" w:eastAsia="zh-CN" w:bidi="ar-SA"/>
        </w:rPr>
        <w:t>管理</w:t>
      </w:r>
    </w:p>
    <w:p w14:paraId="42306E48">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评级项目建设初期，开展评级项目建设的启动会，为参与评级工作的领导和医务人员介绍评级的要求和意义，使参与评级的人员提高评级工作的认识，有助于系统的改造和应用的推广工作。</w:t>
      </w:r>
    </w:p>
    <w:p w14:paraId="7AF40AA9">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5" w:name="_Toc66784168"/>
      <w:r>
        <w:rPr>
          <w:rFonts w:hint="eastAsia" w:ascii="宋体" w:hAnsi="宋体" w:eastAsia="宋体" w:cs="宋体"/>
          <w:b/>
          <w:bCs/>
          <w:color w:val="auto"/>
          <w:kern w:val="2"/>
          <w:sz w:val="24"/>
          <w:szCs w:val="24"/>
          <w:lang w:val="en-US" w:eastAsia="zh-CN" w:bidi="ar-SA"/>
        </w:rPr>
        <w:t>差异分析及建设方案</w:t>
      </w:r>
      <w:bookmarkEnd w:id="55"/>
    </w:p>
    <w:p w14:paraId="71FC286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通过调研了解医院现有临床相关信息系统功能及应用情况，针对评级标准的要求和专家考察的内容，进行系统功能、应用情况、数据质量内容的差异分析，对需要建设内容进行梳理，制定评级整体的建设计划。此阶段形成差异报告，建设内容，评级整体的建设计划资产文档。</w:t>
      </w:r>
    </w:p>
    <w:p w14:paraId="1ED6E006">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6" w:name="_Toc66784169"/>
      <w:r>
        <w:rPr>
          <w:rFonts w:hint="eastAsia" w:ascii="宋体" w:hAnsi="宋体" w:eastAsia="宋体" w:cs="宋体"/>
          <w:b/>
          <w:bCs/>
          <w:color w:val="auto"/>
          <w:kern w:val="2"/>
          <w:sz w:val="24"/>
          <w:szCs w:val="24"/>
          <w:lang w:val="en-US" w:eastAsia="zh-CN" w:bidi="ar-SA"/>
        </w:rPr>
        <w:t>评审过程指导</w:t>
      </w:r>
      <w:bookmarkEnd w:id="56"/>
    </w:p>
    <w:p w14:paraId="15B3CBB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对于评审项目建设内容指导。对建设阶段评级标准的解读及相关问题提供专业的指导；报名指导方面，提供报名的过程指导，保障报名结果和质量；材料准备指导方面，提供材料准备相关的指导文档，指导材料准备过程中的相关工作，确保材料内容准确，详细，规范。</w:t>
      </w:r>
    </w:p>
    <w:p w14:paraId="25C27870">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7" w:name="_Toc66784170"/>
      <w:r>
        <w:rPr>
          <w:rFonts w:hint="eastAsia" w:ascii="宋体" w:hAnsi="宋体" w:eastAsia="宋体" w:cs="宋体"/>
          <w:b/>
          <w:bCs/>
          <w:color w:val="auto"/>
          <w:kern w:val="2"/>
          <w:sz w:val="24"/>
          <w:szCs w:val="24"/>
          <w:lang w:val="en-US" w:eastAsia="zh-CN" w:bidi="ar-SA"/>
        </w:rPr>
        <w:t>上报实证材料审核</w:t>
      </w:r>
      <w:bookmarkEnd w:id="57"/>
    </w:p>
    <w:p w14:paraId="65969F9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为确保评审过程关键内容实证材料的质量符合高要求，增加对实证材料的审核工作给出审核意见，并指导进行实证材料的修改工作，确保实证材料达到高质量的要求。</w:t>
      </w:r>
    </w:p>
    <w:p w14:paraId="5B282B4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为确保评审过程实证材料的质量，开展对报名实证材料、补充实证材料阶段的审核工作。上报前给出审核意见，并指导进行实证材料的修改工作。上报后对国家专家的审核意见进行分析，给出修改意见，指导项目组完成材料的补交工作。</w:t>
      </w:r>
    </w:p>
    <w:p w14:paraId="5B47AC42">
      <w:pPr>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医技预约平台</w:t>
      </w:r>
    </w:p>
    <w:p w14:paraId="48E50401">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58" w:name="_Toc65489049"/>
      <w:r>
        <w:rPr>
          <w:rFonts w:hint="eastAsia" w:ascii="宋体" w:hAnsi="宋体" w:eastAsia="宋体" w:cs="宋体"/>
          <w:b/>
          <w:bCs/>
          <w:color w:val="auto"/>
          <w:kern w:val="2"/>
          <w:sz w:val="24"/>
          <w:szCs w:val="24"/>
          <w:lang w:val="en-US" w:eastAsia="zh-CN" w:bidi="ar-SA"/>
        </w:rPr>
        <w:t>预约管理</w:t>
      </w:r>
      <w:bookmarkEnd w:id="58"/>
    </w:p>
    <w:p w14:paraId="52E8A97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通过搜索患者申请单信息、指定检查日期为患者预约。预约结束后提示患者检查具体内容以及注意事项，并打印纸质单据。单据是患者取报告的依据。</w:t>
      </w:r>
    </w:p>
    <w:p w14:paraId="5A6C396F">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通过搜索患者已预约申请单信息、指定检查日期为患者申请单变更预约。变更预约结束后提示患者检查具体内容以及注意事项，并打印纸质单据。单据是患者取报告的依据。</w:t>
      </w:r>
    </w:p>
    <w:p w14:paraId="466411B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bookmarkStart w:id="59" w:name="_Toc32245115"/>
      <w:bookmarkStart w:id="60" w:name="_Toc63331825"/>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取消患者的预约，并且释放号源供其他患者使用，取消之后仍可以重新选择时段预约。</w:t>
      </w:r>
      <w:bookmarkEnd w:id="59"/>
      <w:bookmarkEnd w:id="60"/>
    </w:p>
    <w:p w14:paraId="669EEB60">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帮助丢失预约指引单的患者提供补打功能，防止患者因没有指引单而无法取得检查报告。</w:t>
      </w:r>
    </w:p>
    <w:p w14:paraId="25FCB60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查询时间段内所有的预约结果，便于统计和分析。</w:t>
      </w:r>
    </w:p>
    <w:p w14:paraId="63ECDAE3">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处理无申请单情况的预约，解决紧急情况下的预约。</w:t>
      </w:r>
    </w:p>
    <w:p w14:paraId="3F6C5BD7">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提供分诊登记的功能，系统支持自动分诊，同时也支持需要手动分诊以及二次分诊的业务需求。</w:t>
      </w:r>
    </w:p>
    <w:p w14:paraId="2F6AB2BC">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因设备损坏、技师休假等原因导致当天预约到该诊室的患者不能进行检查而将一批患者统一调配到其他诊室。</w:t>
      </w:r>
    </w:p>
    <w:p w14:paraId="02C9ACDE">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用于跟踪患者申请单的预约变化，方便对预约准确率以及爽约情况等进行分析。</w:t>
      </w:r>
    </w:p>
    <w:p w14:paraId="16B79FB4">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支持系统提供申请单查询功能，便于查找历史未做的申请单信息。</w:t>
      </w:r>
    </w:p>
    <w:p w14:paraId="52727D7E">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61" w:name="_Toc65489060"/>
      <w:r>
        <w:rPr>
          <w:rFonts w:hint="eastAsia" w:ascii="宋体" w:hAnsi="宋体" w:eastAsia="宋体" w:cs="宋体"/>
          <w:b/>
          <w:bCs/>
          <w:color w:val="auto"/>
          <w:kern w:val="2"/>
          <w:sz w:val="24"/>
          <w:szCs w:val="24"/>
          <w:lang w:val="en-US" w:eastAsia="zh-CN" w:bidi="ar-SA"/>
        </w:rPr>
        <w:t>医技管理</w:t>
      </w:r>
      <w:bookmarkEnd w:id="61"/>
    </w:p>
    <w:p w14:paraId="40287E6F">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支持申请单模板的新建、编辑、启用、禁用。支持维护模板的时段显示方式。主要用于预约时患者是否可以预约到关联的设备上。</w:t>
      </w:r>
    </w:p>
    <w:p w14:paraId="3447FF55">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支持提供识别资源的功能，并为该资源设置预约模式，可做的检查项目，注意事项，对应设备。对资源分组，统一管理，同时也可配置是否支持医生预约，可见未来几日排班，是否支持打印等配置。</w:t>
      </w:r>
    </w:p>
    <w:p w14:paraId="074975AB">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支持诊室出诊设置、按计划排班、分类汇总。对服务组进行排班。</w:t>
      </w:r>
    </w:p>
    <w:p w14:paraId="4C8FDD30">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支持提供为服务组进行排班的功能，满足设置排班模板，门诊、住院患者的分配比例，具体检查时段与项目的关系。</w:t>
      </w:r>
    </w:p>
    <w:p w14:paraId="62A7397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支持不同权限的操作人员只能预约自己有权分配的设备。</w:t>
      </w:r>
    </w:p>
    <w:p w14:paraId="70797B9F">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62" w:name="_Toc65489066"/>
      <w:r>
        <w:rPr>
          <w:rFonts w:hint="eastAsia" w:ascii="宋体" w:hAnsi="宋体" w:eastAsia="宋体" w:cs="宋体"/>
          <w:b/>
          <w:bCs/>
          <w:color w:val="auto"/>
          <w:kern w:val="2"/>
          <w:sz w:val="24"/>
          <w:szCs w:val="24"/>
          <w:lang w:val="en-US" w:eastAsia="zh-CN" w:bidi="ar-SA"/>
        </w:rPr>
        <w:t>系统管理</w:t>
      </w:r>
      <w:bookmarkEnd w:id="62"/>
    </w:p>
    <w:p w14:paraId="57C2E0EC">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支持菜单的增加，修改，删除，顺序调整。</w:t>
      </w:r>
    </w:p>
    <w:p w14:paraId="624C8B19">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支持能够根据不同的医技科室来进行不同的资源配置。</w:t>
      </w:r>
    </w:p>
    <w:p w14:paraId="46795EE7">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支持不同的操作员可以预约不同的资源。</w:t>
      </w:r>
    </w:p>
    <w:p w14:paraId="4135340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支持对科室的新增、修改、启用、禁用、已分配用户、分配用户管理。</w:t>
      </w:r>
    </w:p>
    <w:p w14:paraId="2B468945">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支持维护医院全年的法定工作日，便于排班时合理分配。</w:t>
      </w:r>
    </w:p>
    <w:p w14:paraId="7218A148">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支持用于管理员监控系统连接池的使用情况。</w:t>
      </w:r>
    </w:p>
    <w:p w14:paraId="176D4851">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63" w:name="_Toc65489073"/>
      <w:r>
        <w:rPr>
          <w:rFonts w:hint="eastAsia" w:ascii="宋体" w:hAnsi="宋体" w:eastAsia="宋体" w:cs="宋体"/>
          <w:b/>
          <w:bCs/>
          <w:color w:val="auto"/>
          <w:kern w:val="2"/>
          <w:sz w:val="24"/>
          <w:szCs w:val="24"/>
          <w:lang w:val="en-US" w:eastAsia="zh-CN" w:bidi="ar-SA"/>
        </w:rPr>
        <w:t>基础管理</w:t>
      </w:r>
      <w:bookmarkEnd w:id="63"/>
    </w:p>
    <w:p w14:paraId="57947B6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支持预约系统的检查项目应该和医嘱术语一一对应，基础数据，男女类型、检查类型等维护。</w:t>
      </w:r>
    </w:p>
    <w:p w14:paraId="620E1BFD">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支持能够提供知识库，主要包括检查项目之间的互斥，以及预约时间的互斥提醒。</w:t>
      </w:r>
    </w:p>
    <w:p w14:paraId="2EEDDC0E">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支持对特殊配置，包括功能开关、参数分组等参数进行维护，供系统全局使用。</w:t>
      </w:r>
    </w:p>
    <w:p w14:paraId="45ECCAC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支持提供接口配置，方便接口管理。</w:t>
      </w:r>
    </w:p>
    <w:p w14:paraId="713100B8">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64" w:name="_Toc65489078"/>
      <w:r>
        <w:rPr>
          <w:rFonts w:hint="eastAsia" w:ascii="宋体" w:hAnsi="宋体" w:eastAsia="宋体" w:cs="宋体"/>
          <w:b/>
          <w:bCs/>
          <w:color w:val="auto"/>
          <w:kern w:val="2"/>
          <w:sz w:val="24"/>
          <w:szCs w:val="24"/>
          <w:lang w:val="en-US" w:eastAsia="zh-CN" w:bidi="ar-SA"/>
        </w:rPr>
        <w:t>诊间预约</w:t>
      </w:r>
      <w:bookmarkEnd w:id="64"/>
    </w:p>
    <w:p w14:paraId="648C01C5">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支持查看患者所有申请单信息。</w:t>
      </w:r>
    </w:p>
    <w:p w14:paraId="78221E0A">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支持门诊、住院医生为患者开单后直接进行预约。</w:t>
      </w:r>
    </w:p>
    <w:p w14:paraId="5ED54E81">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支持门诊、住院医生为患者变更预约的功能。</w:t>
      </w:r>
    </w:p>
    <w:p w14:paraId="0D67B33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支持申请单作废后，预约自动作废。</w:t>
      </w:r>
    </w:p>
    <w:p w14:paraId="5A9D44E9">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en-US" w:eastAsia="zh-CN" w:bidi="ar-SA"/>
        </w:rPr>
        <w:t>支持</w:t>
      </w:r>
      <w:r>
        <w:rPr>
          <w:rFonts w:hint="eastAsia" w:ascii="宋体" w:hAnsi="宋体" w:eastAsia="宋体" w:cs="宋体"/>
          <w:color w:val="auto"/>
          <w:kern w:val="2"/>
          <w:sz w:val="24"/>
          <w:szCs w:val="24"/>
          <w:lang w:val="zh-CN" w:eastAsia="zh-CN" w:bidi="ar-SA"/>
        </w:rPr>
        <w:t>查看申请单详细信息。</w:t>
      </w:r>
    </w:p>
    <w:p w14:paraId="114EFF36">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支持打印带有预约结果的指引单。</w:t>
      </w:r>
    </w:p>
    <w:p w14:paraId="20A99413">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bookmarkStart w:id="65" w:name="_Toc65489085"/>
      <w:r>
        <w:rPr>
          <w:rFonts w:hint="eastAsia" w:ascii="宋体" w:hAnsi="宋体" w:eastAsia="宋体" w:cs="宋体"/>
          <w:b/>
          <w:bCs/>
          <w:color w:val="auto"/>
          <w:kern w:val="2"/>
          <w:sz w:val="24"/>
          <w:szCs w:val="24"/>
          <w:lang w:val="en-US" w:eastAsia="zh-CN" w:bidi="ar-SA"/>
        </w:rPr>
        <w:t>线上预约</w:t>
      </w:r>
      <w:bookmarkEnd w:id="65"/>
    </w:p>
    <w:p w14:paraId="10BED8F8">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系统支持线上预约服务，可以为app、公众号、互联网医院等线上产品，提供申请单查询、预约、变更预约、取消预约、历史纪录查询等接口服务。</w:t>
      </w:r>
    </w:p>
    <w:p w14:paraId="098C6EAB">
      <w:pPr>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482" w:firstLineChars="200"/>
        <w:jc w:val="left"/>
        <w:outlineLvl w:val="9"/>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三级医院等级评审系统</w:t>
      </w:r>
    </w:p>
    <w:p w14:paraId="39010382">
      <w:pPr>
        <w:pageBreakBefore w:val="0"/>
        <w:widowControl w:val="0"/>
        <w:kinsoku/>
        <w:wordWrap/>
        <w:overflowPunct/>
        <w:topLinePunct w:val="0"/>
        <w:autoSpaceDE/>
        <w:autoSpaceDN/>
        <w:bidi w:val="0"/>
        <w:adjustRightInd/>
        <w:snapToGrid/>
        <w:spacing w:line="360" w:lineRule="auto"/>
        <w:ind w:left="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系统需要依据国家颁布的三级医院评审标准，为医院进行等级评审及复审工作而服务的，是集数据提取、数据清洗、数据挖掘、数据上报、数据分析于一体的管理系统。系统需要包括人工填报、自动抽取、指标数据中心、评审报告、评审指标知识库、系统管理等功能模块。具体要求如下：</w:t>
      </w:r>
    </w:p>
    <w:p w14:paraId="4CB63C83">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数据人工填报</w:t>
      </w:r>
    </w:p>
    <w:p w14:paraId="06EA2DD5">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解析《三级医院评审标准》中的指标，需支持对于系统无法提取的指标数据，以普通表单和明细表单的方式展示，快捷进行数据填报。将填报工作日常化，根据收集频率进行定期数据填写。普通类型表单主要按月度、季度或年度进行填写。明细表单，系统初始化时会将数据进行导入，后续当发生信息变更，用户随时进行调整，不受月份和年份的限制。</w:t>
      </w:r>
    </w:p>
    <w:p w14:paraId="6DF4A20C">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数据自动抽取</w:t>
      </w:r>
    </w:p>
    <w:p w14:paraId="2999D91D">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利用ETL工具进行抓取指标数据涉及的业务数据。在抽取过程中需自动将不规范的数据清洗转换为标准数据，构建成高质量、高完整度的评审数据中心。抽取工作需支持增量数据抽取。</w:t>
      </w:r>
    </w:p>
    <w:p w14:paraId="06791825">
      <w:pPr>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both"/>
        <w:textAlignment w:val="baseline"/>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指标数据中心</w:t>
      </w:r>
    </w:p>
    <w:p w14:paraId="0C09A97A">
      <w:pPr>
        <w:pageBreakBefore w:val="0"/>
        <w:widowControl w:val="0"/>
        <w:kinsoku/>
        <w:wordWrap/>
        <w:overflowPunct/>
        <w:topLinePunct w:val="0"/>
        <w:autoSpaceDE/>
        <w:autoSpaceDN/>
        <w:bidi w:val="0"/>
        <w:adjustRightInd/>
        <w:snapToGrid/>
        <w:spacing w:before="0" w:after="0" w:line="360" w:lineRule="auto"/>
        <w:ind w:left="0" w:firstLine="480" w:firstLineChars="200"/>
        <w:jc w:val="both"/>
        <w:outlineLvl w:val="9"/>
        <w:rPr>
          <w:rFonts w:ascii="宋体" w:hAnsi="宋体" w:eastAsia="宋体" w:cs="Times New Roman"/>
          <w:color w:val="auto"/>
          <w:kern w:val="2"/>
          <w:sz w:val="24"/>
          <w:szCs w:val="20"/>
          <w:lang w:val="zh-CN" w:eastAsia="zh-CN" w:bidi="ar-SA"/>
        </w:rPr>
      </w:pPr>
      <w:r>
        <w:rPr>
          <w:rFonts w:hint="eastAsia" w:ascii="宋体" w:hAnsi="宋体" w:eastAsia="宋体" w:cs="宋体"/>
          <w:color w:val="auto"/>
          <w:kern w:val="2"/>
          <w:sz w:val="24"/>
          <w:szCs w:val="24"/>
          <w:lang w:val="zh-CN" w:eastAsia="zh-CN" w:bidi="ar-SA"/>
        </w:rPr>
        <w:t>需要梳理医院各信息系统的现有数据，充分解析三级医院等级评审指标，汇集各业务系统（包括HIS、LIS、PACS等）中与评审指标相关的业务数据，通过对汇集的数据进行挖掘和清洗，形成评审指标数据中心。所有评审指标的数据均需从指标数据中心中获取，统一统计口径。使用指标数据中心中的数据，进行指标运算和数据结果展示，提高指标计算的透明性和稳定性，保证指标计算结果的准确性。</w:t>
      </w:r>
    </w:p>
    <w:p w14:paraId="57C121F6">
      <w:pPr>
        <w:widowControl w:val="0"/>
        <w:spacing w:line="360" w:lineRule="auto"/>
        <w:ind w:firstLine="480" w:firstLineChars="200"/>
        <w:jc w:val="both"/>
        <w:outlineLvl w:val="9"/>
        <w:rPr>
          <w:rFonts w:ascii="宋体" w:hAnsi="宋体" w:eastAsia="宋体" w:cs="Times New Roman"/>
          <w:color w:val="auto"/>
          <w:kern w:val="2"/>
          <w:sz w:val="24"/>
          <w:szCs w:val="20"/>
          <w:lang w:val="zh-CN" w:eastAsia="zh-CN" w:bidi="ar-SA"/>
        </w:rPr>
      </w:pPr>
      <w:r>
        <w:rPr>
          <w:rFonts w:hint="eastAsia" w:ascii="宋体" w:hAnsi="宋体" w:eastAsia="宋体" w:cs="Times New Roman"/>
          <w:color w:val="auto"/>
          <w:kern w:val="2"/>
          <w:sz w:val="24"/>
          <w:szCs w:val="20"/>
          <w:lang w:val="zh-CN" w:eastAsia="zh-CN" w:bidi="ar-SA"/>
        </w:rPr>
        <w:t>指标数据项需包括如下内容：</w:t>
      </w:r>
    </w:p>
    <w:tbl>
      <w:tblPr>
        <w:tblStyle w:val="3"/>
        <w:tblW w:w="4579" w:type="pct"/>
        <w:tblInd w:w="392" w:type="dxa"/>
        <w:tblLayout w:type="autofit"/>
        <w:tblCellMar>
          <w:top w:w="0" w:type="dxa"/>
          <w:left w:w="108" w:type="dxa"/>
          <w:bottom w:w="0" w:type="dxa"/>
          <w:right w:w="108" w:type="dxa"/>
        </w:tblCellMar>
      </w:tblPr>
      <w:tblGrid>
        <w:gridCol w:w="1921"/>
        <w:gridCol w:w="5883"/>
      </w:tblGrid>
      <w:tr w14:paraId="2155A0BC">
        <w:trPr>
          <w:trHeight w:val="416" w:hRule="atLeast"/>
        </w:trPr>
        <w:tc>
          <w:tcPr>
            <w:tcW w:w="123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DA1B47">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资源配置与运行数据</w:t>
            </w:r>
          </w:p>
        </w:tc>
        <w:tc>
          <w:tcPr>
            <w:tcW w:w="3769" w:type="pct"/>
            <w:tcBorders>
              <w:top w:val="single" w:color="auto" w:sz="4" w:space="0"/>
              <w:left w:val="nil"/>
              <w:bottom w:val="single" w:color="auto" w:sz="4" w:space="0"/>
              <w:right w:val="single" w:color="auto" w:sz="4" w:space="0"/>
              <w:tl2br w:val="nil"/>
              <w:tr2bl w:val="nil"/>
            </w:tcBorders>
            <w:noWrap w:val="0"/>
            <w:vAlign w:val="center"/>
          </w:tcPr>
          <w:p w14:paraId="3EFFAA0A">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包括床位配置、卫生技术人员配备、相关科室资源配置、运行指标和科研指标的相关指标内容。</w:t>
            </w:r>
          </w:p>
        </w:tc>
      </w:tr>
      <w:tr w14:paraId="68E23BC3">
        <w:tblPrEx>
          <w:tblCellMar>
            <w:top w:w="0" w:type="dxa"/>
            <w:left w:w="108" w:type="dxa"/>
            <w:bottom w:w="0" w:type="dxa"/>
            <w:right w:w="108" w:type="dxa"/>
          </w:tblCellMar>
        </w:tblPrEx>
        <w:trPr>
          <w:trHeight w:val="996" w:hRule="atLeast"/>
        </w:trPr>
        <w:tc>
          <w:tcPr>
            <w:tcW w:w="1231" w:type="pct"/>
            <w:tcBorders>
              <w:top w:val="nil"/>
              <w:left w:val="single" w:color="auto" w:sz="4" w:space="0"/>
              <w:bottom w:val="single" w:color="auto" w:sz="4" w:space="0"/>
              <w:right w:val="single" w:color="auto" w:sz="4" w:space="0"/>
              <w:tl2br w:val="nil"/>
              <w:tr2bl w:val="nil"/>
            </w:tcBorders>
            <w:noWrap w:val="0"/>
            <w:vAlign w:val="center"/>
          </w:tcPr>
          <w:p w14:paraId="33E7AE40">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医疗服务能力与医院质量安全</w:t>
            </w:r>
          </w:p>
        </w:tc>
        <w:tc>
          <w:tcPr>
            <w:tcW w:w="3769" w:type="pct"/>
            <w:tcBorders>
              <w:top w:val="single" w:color="auto" w:sz="4" w:space="0"/>
              <w:left w:val="nil"/>
              <w:bottom w:val="single" w:color="auto" w:sz="4" w:space="0"/>
              <w:right w:val="single" w:color="auto" w:sz="4" w:space="0"/>
              <w:tl2br w:val="nil"/>
              <w:tr2bl w:val="nil"/>
            </w:tcBorders>
            <w:noWrap w:val="0"/>
            <w:vAlign w:val="center"/>
          </w:tcPr>
          <w:p w14:paraId="6380F430">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包括医疗服务能力指标、医院质量指标和医疗安全指标的相关指标内容。</w:t>
            </w:r>
          </w:p>
        </w:tc>
      </w:tr>
      <w:tr w14:paraId="6ABD6AF8">
        <w:tblPrEx>
          <w:tblCellMar>
            <w:top w:w="0" w:type="dxa"/>
            <w:left w:w="108" w:type="dxa"/>
            <w:bottom w:w="0" w:type="dxa"/>
            <w:right w:w="108" w:type="dxa"/>
          </w:tblCellMar>
        </w:tblPrEx>
        <w:trPr>
          <w:trHeight w:val="300" w:hRule="atLeast"/>
        </w:trPr>
        <w:tc>
          <w:tcPr>
            <w:tcW w:w="1231" w:type="pct"/>
            <w:vMerge w:val="restart"/>
            <w:tcBorders>
              <w:top w:val="nil"/>
              <w:left w:val="single" w:color="auto" w:sz="4" w:space="0"/>
              <w:bottom w:val="single" w:color="auto" w:sz="4" w:space="0"/>
              <w:right w:val="single" w:color="auto" w:sz="4" w:space="0"/>
              <w:tl2br w:val="nil"/>
              <w:tr2bl w:val="nil"/>
            </w:tcBorders>
            <w:noWrap w:val="0"/>
            <w:vAlign w:val="center"/>
          </w:tcPr>
          <w:p w14:paraId="47FCBFDC">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重点专业</w:t>
            </w:r>
          </w:p>
          <w:p w14:paraId="2114D6F6">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质量控制</w:t>
            </w:r>
          </w:p>
        </w:tc>
        <w:tc>
          <w:tcPr>
            <w:tcW w:w="3769" w:type="pct"/>
            <w:tcBorders>
              <w:top w:val="single" w:color="auto" w:sz="4" w:space="0"/>
              <w:left w:val="nil"/>
              <w:bottom w:val="single" w:color="auto" w:sz="4" w:space="0"/>
              <w:right w:val="single" w:color="auto" w:sz="4" w:space="0"/>
              <w:tl2br w:val="nil"/>
              <w:tr2bl w:val="nil"/>
            </w:tcBorders>
            <w:noWrap w:val="0"/>
            <w:vAlign w:val="center"/>
          </w:tcPr>
          <w:p w14:paraId="1B3CDB42">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麻醉专业医疗质量控制指标。</w:t>
            </w:r>
          </w:p>
        </w:tc>
      </w:tr>
      <w:tr w14:paraId="0EE33FD4">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49D76E5">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09EF331">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重症医学专业医疗质量控制指标。</w:t>
            </w:r>
          </w:p>
        </w:tc>
      </w:tr>
      <w:tr w14:paraId="6FF037A2">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1BEE65A8">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0453BEBA">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急诊专业医疗质量控制指标。</w:t>
            </w:r>
          </w:p>
        </w:tc>
      </w:tr>
      <w:tr w14:paraId="42FD3D25">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3744D06">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06F369F8">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临床检验专业医疗质量控制指标。</w:t>
            </w:r>
          </w:p>
        </w:tc>
      </w:tr>
      <w:tr w14:paraId="20C1FBDE">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FA01F77">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20AAFF12">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病理专业医疗质量控制指标。</w:t>
            </w:r>
          </w:p>
        </w:tc>
      </w:tr>
      <w:tr w14:paraId="0FA36F61">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6EDDB6A">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1EB40D6B">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医院感染专业医疗质量控制指标。</w:t>
            </w:r>
          </w:p>
        </w:tc>
      </w:tr>
      <w:tr w14:paraId="65731FA6">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E1E05B4">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13A5B095">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临床用血质量控制指标。</w:t>
            </w:r>
          </w:p>
        </w:tc>
      </w:tr>
      <w:tr w14:paraId="6A6873D9">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38DF6226">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B4CFF05">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呼吸内科专业医疗质量控制指标。</w:t>
            </w:r>
          </w:p>
        </w:tc>
      </w:tr>
      <w:tr w14:paraId="36264970">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CD8CB51">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03F8D4E7">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产科专业医疗质量控制指标。</w:t>
            </w:r>
          </w:p>
        </w:tc>
      </w:tr>
      <w:tr w14:paraId="46010B89">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382E894">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0D8F89FB">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神经系统疾病医疗质量控制指标。</w:t>
            </w:r>
          </w:p>
        </w:tc>
      </w:tr>
      <w:tr w14:paraId="3B27D412">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3E1D0089">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24475B13">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肾病专业医疗质量控制指标。</w:t>
            </w:r>
          </w:p>
        </w:tc>
      </w:tr>
      <w:tr w14:paraId="560DF780">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52FF14A">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1D0A9D10">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护理专业医疗质量控制指标。</w:t>
            </w:r>
          </w:p>
        </w:tc>
      </w:tr>
      <w:tr w14:paraId="2EA0E935">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BE790CC">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466511B6">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药事管理专业医疗质量控制指标。</w:t>
            </w:r>
          </w:p>
        </w:tc>
      </w:tr>
      <w:tr w14:paraId="558F936D">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806C10C">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18FA4C8D">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病案管理质量控制指标。</w:t>
            </w:r>
          </w:p>
        </w:tc>
      </w:tr>
      <w:tr w14:paraId="3D4FA13A">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77D09594">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BAEE7C9">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心血管系统疾病相关专业医疗质量控制指标。</w:t>
            </w:r>
          </w:p>
        </w:tc>
      </w:tr>
      <w:tr w14:paraId="03964A4C">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78024BBA">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3860F5AC">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超声诊断专业医疗质量控制指标。</w:t>
            </w:r>
          </w:p>
        </w:tc>
      </w:tr>
      <w:tr w14:paraId="248C01F2">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9C8F25A">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427A2A6B">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康复医学专业医疗质量控制指标。</w:t>
            </w:r>
          </w:p>
        </w:tc>
      </w:tr>
      <w:tr w14:paraId="6431AB45">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5BC8FB6">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CB6979A">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临床营养专业医疗质量控制指标。</w:t>
            </w:r>
          </w:p>
        </w:tc>
      </w:tr>
      <w:tr w14:paraId="2465F382">
        <w:tblPrEx>
          <w:tblCellMar>
            <w:top w:w="0" w:type="dxa"/>
            <w:left w:w="108" w:type="dxa"/>
            <w:bottom w:w="0" w:type="dxa"/>
            <w:right w:w="108" w:type="dxa"/>
          </w:tblCellMar>
        </w:tblPrEx>
        <w:trPr>
          <w:trHeight w:val="416" w:hRule="atLeast"/>
        </w:trPr>
        <w:tc>
          <w:tcPr>
            <w:tcW w:w="1231" w:type="pct"/>
            <w:vMerge w:val="restart"/>
            <w:tcBorders>
              <w:top w:val="nil"/>
              <w:left w:val="single" w:color="auto" w:sz="4" w:space="0"/>
              <w:bottom w:val="single" w:color="auto" w:sz="4" w:space="0"/>
              <w:right w:val="single" w:color="auto" w:sz="4" w:space="0"/>
              <w:tl2br w:val="nil"/>
              <w:tr2bl w:val="nil"/>
            </w:tcBorders>
            <w:noWrap w:val="0"/>
            <w:vAlign w:val="center"/>
          </w:tcPr>
          <w:p w14:paraId="6656D5B0">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单病种（术种）质量控制</w:t>
            </w:r>
          </w:p>
        </w:tc>
        <w:tc>
          <w:tcPr>
            <w:tcW w:w="3769" w:type="pct"/>
            <w:tcBorders>
              <w:top w:val="nil"/>
              <w:left w:val="nil"/>
              <w:bottom w:val="single" w:color="auto" w:sz="4" w:space="0"/>
              <w:right w:val="single" w:color="auto" w:sz="4" w:space="0"/>
              <w:tl2br w:val="nil"/>
              <w:tr2bl w:val="nil"/>
            </w:tcBorders>
            <w:noWrap w:val="0"/>
            <w:vAlign w:val="center"/>
          </w:tcPr>
          <w:p w14:paraId="400EAD25">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包括10大系统、51个单病种的消耗资源指标（包括平均住院日、次均费用、病死率和病例上报率，不同病种以国家标准文件为准）。</w:t>
            </w:r>
          </w:p>
        </w:tc>
      </w:tr>
      <w:tr w14:paraId="6812A303">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E5E7AFC">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5EFE55D4">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心血管系统疾病/手术（8个）。</w:t>
            </w:r>
          </w:p>
        </w:tc>
      </w:tr>
      <w:tr w14:paraId="081CC62D">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CE081C8">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50A8913">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神经系统疾病/手术（9个）。</w:t>
            </w:r>
          </w:p>
        </w:tc>
      </w:tr>
      <w:tr w14:paraId="25848DC5">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962A877">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509608E9">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呼吸系统疾病（5个）。</w:t>
            </w:r>
          </w:p>
        </w:tc>
      </w:tr>
      <w:tr w14:paraId="043C2A89">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B2E6F8E">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6CA1331">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运动系统疾病/手术（3个）。</w:t>
            </w:r>
          </w:p>
        </w:tc>
      </w:tr>
      <w:tr w14:paraId="493B7249">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D9936C8">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223BA7A3">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生殖系统疾病/手术（3个）。</w:t>
            </w:r>
          </w:p>
        </w:tc>
      </w:tr>
      <w:tr w14:paraId="448C0797">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8013A2E">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008405B6">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肿瘤（手术治疗）（6个）。</w:t>
            </w:r>
          </w:p>
        </w:tc>
      </w:tr>
      <w:tr w14:paraId="049753F1">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F5AC25E">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5D44A956">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泌尿系统疾病/手术（3个）。</w:t>
            </w:r>
          </w:p>
        </w:tc>
      </w:tr>
      <w:tr w14:paraId="15E95C83">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22B700F">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4D5960E1">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口腔系统疾病/手术（3个）。</w:t>
            </w:r>
          </w:p>
        </w:tc>
      </w:tr>
      <w:tr w14:paraId="0C7D4581">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5FA3BFD">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4EEB4412">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眼科系统疾病/手术（2个）。</w:t>
            </w:r>
          </w:p>
        </w:tc>
      </w:tr>
      <w:tr w14:paraId="0AF36959">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EB08597">
            <w:pPr>
              <w:spacing w:line="360" w:lineRule="auto"/>
              <w:ind w:firstLine="0" w:firstLineChars="0"/>
              <w:jc w:val="center"/>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center"/>
          </w:tcPr>
          <w:p w14:paraId="73234635">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其他疾病/手术（9个）。</w:t>
            </w:r>
          </w:p>
        </w:tc>
      </w:tr>
      <w:tr w14:paraId="584917B8">
        <w:tblPrEx>
          <w:tblCellMar>
            <w:top w:w="0" w:type="dxa"/>
            <w:left w:w="108" w:type="dxa"/>
            <w:bottom w:w="0" w:type="dxa"/>
            <w:right w:w="108" w:type="dxa"/>
          </w:tblCellMar>
        </w:tblPrEx>
        <w:trPr>
          <w:trHeight w:val="300" w:hRule="atLeast"/>
        </w:trPr>
        <w:tc>
          <w:tcPr>
            <w:tcW w:w="1231" w:type="pct"/>
            <w:vMerge w:val="restart"/>
            <w:tcBorders>
              <w:top w:val="nil"/>
              <w:left w:val="single" w:color="auto" w:sz="4" w:space="0"/>
              <w:bottom w:val="single" w:color="auto" w:sz="4" w:space="0"/>
              <w:right w:val="single" w:color="auto" w:sz="4" w:space="0"/>
              <w:tl2br w:val="nil"/>
              <w:tr2bl w:val="nil"/>
            </w:tcBorders>
            <w:noWrap w:val="0"/>
            <w:vAlign w:val="center"/>
          </w:tcPr>
          <w:p w14:paraId="1A4C11BA">
            <w:pPr>
              <w:spacing w:line="360" w:lineRule="auto"/>
              <w:ind w:firstLine="0" w:firstLineChars="0"/>
              <w:jc w:val="center"/>
              <w:outlineLvl w:val="9"/>
              <w:rPr>
                <w:rFonts w:ascii="宋体" w:hAnsi="宋体" w:eastAsia="宋体" w:cs="Times New Roman"/>
                <w:color w:val="auto"/>
                <w:kern w:val="0"/>
                <w:sz w:val="24"/>
                <w:szCs w:val="22"/>
              </w:rPr>
            </w:pPr>
            <w:r>
              <w:rPr>
                <w:rFonts w:hint="eastAsia" w:ascii="宋体" w:hAnsi="宋体" w:eastAsia="宋体" w:cs="Times New Roman"/>
                <w:color w:val="auto"/>
                <w:kern w:val="0"/>
                <w:sz w:val="24"/>
                <w:szCs w:val="22"/>
              </w:rPr>
              <w:t>重点医疗技术临床应用质量控制</w:t>
            </w:r>
          </w:p>
        </w:tc>
        <w:tc>
          <w:tcPr>
            <w:tcW w:w="3769" w:type="pct"/>
            <w:tcBorders>
              <w:top w:val="nil"/>
              <w:left w:val="nil"/>
              <w:bottom w:val="single" w:color="auto" w:sz="4" w:space="0"/>
              <w:right w:val="single" w:color="auto" w:sz="4" w:space="0"/>
              <w:tl2br w:val="nil"/>
              <w:tr2bl w:val="nil"/>
            </w:tcBorders>
            <w:noWrap w:val="0"/>
            <w:vAlign w:val="center"/>
          </w:tcPr>
          <w:p w14:paraId="790EE67E">
            <w:pPr>
              <w:spacing w:line="360" w:lineRule="auto"/>
              <w:ind w:firstLine="0" w:firstLineChars="0"/>
              <w:outlineLvl w:val="9"/>
              <w:rPr>
                <w:rFonts w:ascii="宋体" w:hAnsi="宋体" w:eastAsia="宋体" w:cs="Times New Roman"/>
                <w:color w:val="auto"/>
                <w:kern w:val="0"/>
                <w:sz w:val="24"/>
                <w:szCs w:val="22"/>
              </w:rPr>
            </w:pPr>
            <w:r>
              <w:rPr>
                <w:rFonts w:hint="eastAsia" w:ascii="宋体" w:hAnsi="宋体" w:eastAsia="宋体" w:cs="Times New Roman"/>
                <w:color w:val="auto"/>
                <w:sz w:val="24"/>
                <w:szCs w:val="22"/>
              </w:rPr>
              <w:t>包括国家限制类医疗技术，体器官捐献、获取与移植技术和其他重点医疗技术质量控制指标</w:t>
            </w:r>
            <w:r>
              <w:rPr>
                <w:rFonts w:hint="eastAsia" w:ascii="宋体" w:hAnsi="宋体" w:eastAsia="宋体" w:cs="Times New Roman"/>
                <w:color w:val="auto"/>
                <w:kern w:val="0"/>
                <w:sz w:val="24"/>
                <w:szCs w:val="22"/>
              </w:rPr>
              <w:t>的相关指标内容。</w:t>
            </w:r>
          </w:p>
        </w:tc>
      </w:tr>
      <w:tr w14:paraId="182A692B">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60B70A6">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2CAE4BE">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异基因造血干细胞移植技术临床应用质量控制指标。</w:t>
            </w:r>
          </w:p>
        </w:tc>
      </w:tr>
      <w:tr w14:paraId="61380EEB">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E945EB8">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26243009">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同种胰岛移植技术临床应用质量控制指标。</w:t>
            </w:r>
          </w:p>
        </w:tc>
      </w:tr>
      <w:tr w14:paraId="111D81E6">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0FD29A1">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1D957998">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同种异体运动系统结构性组织移植技术临床应用质量控制指标。</w:t>
            </w:r>
          </w:p>
        </w:tc>
      </w:tr>
      <w:tr w14:paraId="0CE1AEC3">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66DB90D">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65EC754B">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同种异体角膜移植技术临床应用质量控制指标。</w:t>
            </w:r>
          </w:p>
        </w:tc>
      </w:tr>
      <w:tr w14:paraId="5CE05595">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5474D87E">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1A57B2C9">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性别重置技术临床应用质量控制指标。</w:t>
            </w:r>
          </w:p>
        </w:tc>
      </w:tr>
      <w:tr w14:paraId="55AE7CA1">
        <w:tblPrEx>
          <w:tblCellMar>
            <w:top w:w="0" w:type="dxa"/>
            <w:left w:w="108" w:type="dxa"/>
            <w:bottom w:w="0" w:type="dxa"/>
            <w:right w:w="108" w:type="dxa"/>
          </w:tblCellMar>
        </w:tblPrEx>
        <w:trPr>
          <w:trHeight w:val="286"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3D372ECD">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3205B0CD">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质子和重离子加速器放射治疗技术临床应用质量控制指标。</w:t>
            </w:r>
          </w:p>
        </w:tc>
      </w:tr>
      <w:tr w14:paraId="31B74E81">
        <w:tblPrEx>
          <w:tblCellMar>
            <w:top w:w="0" w:type="dxa"/>
            <w:left w:w="108" w:type="dxa"/>
            <w:bottom w:w="0" w:type="dxa"/>
            <w:right w:w="108" w:type="dxa"/>
          </w:tblCellMar>
        </w:tblPrEx>
        <w:trPr>
          <w:trHeight w:val="106"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174C88BF">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63AB593A">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放射性粒子植入治疗技术临床应用质量控制指标。</w:t>
            </w:r>
          </w:p>
        </w:tc>
      </w:tr>
      <w:tr w14:paraId="63F3B943">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37ECAA4">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2C1C2C0">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肿瘤消融治疗技术临床应用质量控制指标。</w:t>
            </w:r>
          </w:p>
        </w:tc>
      </w:tr>
      <w:tr w14:paraId="4FF68107">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4C0231D">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5642A3F2">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心室辅助技术临床应用质量控制指标。</w:t>
            </w:r>
          </w:p>
        </w:tc>
      </w:tr>
      <w:tr w14:paraId="6ED9689C">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FDED4B0">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D901CBC">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人工智能辅助治疗技术临床应用质量控制指标。</w:t>
            </w:r>
          </w:p>
        </w:tc>
      </w:tr>
      <w:tr w14:paraId="33403C57">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73E132F2">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61DFF6B3">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体外膜肺氧合（ECMO）技术临床应用质量控制指标。</w:t>
            </w:r>
          </w:p>
        </w:tc>
      </w:tr>
      <w:tr w14:paraId="39A81606">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3D94991">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208BAA7C">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自体器官移植技术临床应用质量控制指标。</w:t>
            </w:r>
          </w:p>
        </w:tc>
      </w:tr>
      <w:tr w14:paraId="67D51AF3">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41297C8">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4BF44FB">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向人体器官获取组织报送的潜在器官捐献者人数与院内死亡人数比。</w:t>
            </w:r>
          </w:p>
        </w:tc>
      </w:tr>
      <w:tr w14:paraId="3476D061">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D23B816">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A6F92F6">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实现器官捐献的人数与院内死亡人数比。</w:t>
            </w:r>
          </w:p>
        </w:tc>
      </w:tr>
      <w:tr w14:paraId="3F138FF1">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6C324E67">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56E91B1">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人体器官获取组织质量控制指标。</w:t>
            </w:r>
          </w:p>
        </w:tc>
      </w:tr>
      <w:tr w14:paraId="19EA77BB">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0F8B3FEE">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251182E6">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肝脏移植技术医疗质量控制指标。</w:t>
            </w:r>
          </w:p>
        </w:tc>
      </w:tr>
      <w:tr w14:paraId="53305BEF">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BD9FF10">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5A1E82E8">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肾脏移植技术医疗质量控制指标。</w:t>
            </w:r>
          </w:p>
        </w:tc>
      </w:tr>
      <w:tr w14:paraId="7FC212D8">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4DF4062D">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7D8C8A7E">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心脏移植技术医疗质量控制指标。</w:t>
            </w:r>
          </w:p>
        </w:tc>
      </w:tr>
      <w:tr w14:paraId="19980EE8">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1F9908E3">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2252197B">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肺脏移植技术医疗质量控制指标。</w:t>
            </w:r>
          </w:p>
        </w:tc>
      </w:tr>
      <w:tr w14:paraId="0145C5C5">
        <w:tblPrEx>
          <w:tblCellMar>
            <w:top w:w="0" w:type="dxa"/>
            <w:left w:w="108" w:type="dxa"/>
            <w:bottom w:w="0" w:type="dxa"/>
            <w:right w:w="108" w:type="dxa"/>
          </w:tblCellMar>
        </w:tblPrEx>
        <w:trPr>
          <w:trHeight w:val="300" w:hRule="atLeast"/>
        </w:trPr>
        <w:tc>
          <w:tcPr>
            <w:tcW w:w="1231" w:type="pct"/>
            <w:vMerge w:val="continue"/>
            <w:tcBorders>
              <w:top w:val="nil"/>
              <w:left w:val="single" w:color="auto" w:sz="4" w:space="0"/>
              <w:bottom w:val="single" w:color="auto" w:sz="4" w:space="0"/>
              <w:right w:val="single" w:color="auto" w:sz="4" w:space="0"/>
              <w:tl2br w:val="nil"/>
              <w:tr2bl w:val="nil"/>
            </w:tcBorders>
            <w:noWrap w:val="0"/>
            <w:vAlign w:val="center"/>
          </w:tcPr>
          <w:p w14:paraId="20DBC844">
            <w:pPr>
              <w:spacing w:line="360" w:lineRule="auto"/>
              <w:ind w:firstLine="0" w:firstLineChars="0"/>
              <w:outlineLvl w:val="9"/>
              <w:rPr>
                <w:rFonts w:ascii="宋体" w:hAnsi="宋体" w:eastAsia="宋体" w:cs="Times New Roman"/>
                <w:color w:val="auto"/>
                <w:kern w:val="0"/>
                <w:sz w:val="24"/>
                <w:szCs w:val="22"/>
              </w:rPr>
            </w:pPr>
          </w:p>
        </w:tc>
        <w:tc>
          <w:tcPr>
            <w:tcW w:w="3769" w:type="pct"/>
            <w:tcBorders>
              <w:top w:val="nil"/>
              <w:left w:val="nil"/>
              <w:bottom w:val="single" w:color="auto" w:sz="4" w:space="0"/>
              <w:right w:val="single" w:color="auto" w:sz="4" w:space="0"/>
              <w:tl2br w:val="nil"/>
              <w:tr2bl w:val="nil"/>
            </w:tcBorders>
            <w:noWrap w:val="0"/>
            <w:vAlign w:val="top"/>
          </w:tcPr>
          <w:p w14:paraId="3634E884">
            <w:pPr>
              <w:spacing w:line="360" w:lineRule="auto"/>
              <w:ind w:firstLine="0" w:firstLineChars="0"/>
              <w:outlineLvl w:val="9"/>
              <w:rPr>
                <w:rFonts w:ascii="宋体" w:hAnsi="宋体" w:eastAsia="宋体" w:cs="Times New Roman"/>
                <w:color w:val="auto"/>
                <w:sz w:val="24"/>
                <w:szCs w:val="22"/>
              </w:rPr>
            </w:pPr>
            <w:r>
              <w:rPr>
                <w:rFonts w:hint="eastAsia" w:ascii="宋体" w:hAnsi="宋体" w:eastAsia="宋体" w:cs="Times New Roman"/>
                <w:color w:val="auto"/>
                <w:sz w:val="24"/>
                <w:szCs w:val="22"/>
              </w:rPr>
              <w:t>消化内镜诊疗技术医疗质量控制指标。</w:t>
            </w:r>
          </w:p>
        </w:tc>
      </w:tr>
    </w:tbl>
    <w:p w14:paraId="18845AA3">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outlineLvl w:val="9"/>
        <w:rPr>
          <w:rFonts w:ascii="宋体" w:hAnsi="宋体" w:eastAsia="宋体" w:cs="Times New Roman"/>
          <w:color w:val="auto"/>
          <w:kern w:val="2"/>
          <w:sz w:val="24"/>
          <w:szCs w:val="24"/>
          <w:lang w:val="en-US" w:eastAsia="zh-CN" w:bidi="ar-SA"/>
        </w:rPr>
      </w:pPr>
    </w:p>
    <w:p w14:paraId="3FCC00FF">
      <w:pPr>
        <w:keepNext w:val="0"/>
        <w:keepLines w:val="0"/>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left"/>
        <w:textAlignment w:val="baseline"/>
        <w:outlineLvl w:val="9"/>
        <w:rPr>
          <w:rFonts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评审报告</w:t>
      </w:r>
    </w:p>
    <w:p w14:paraId="135CBE96">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outlineLvl w:val="9"/>
        <w:rPr>
          <w:rFonts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以《三级医院评审标准》指标数据为结果导向，整合系统自动提取的全部指标数据和科室填报的全部指标数据，按各类评审指标的章节、主题进行分类展示。需支持多次自评，能够帮助医院及时发现问题，快速整改完善。</w:t>
      </w:r>
    </w:p>
    <w:p w14:paraId="3CB844E2">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outlineLvl w:val="9"/>
        <w:rPr>
          <w:rFonts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指标展示形式以指标公式为主，可显示计算规则及对应的数据，系统需能够自动提取指标数据，并根据评分规则自动计算自评得分。同时，明细填报类的指标数据要能够支持查看对应的明细内容。评审报告需要支持根据登录者的角色进行查看权限的分配，支持科室人员查看本科的指标数据汇总信息。</w:t>
      </w:r>
    </w:p>
    <w:p w14:paraId="69DFB12A">
      <w:pPr>
        <w:keepNext w:val="0"/>
        <w:keepLines w:val="0"/>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left"/>
        <w:textAlignment w:val="baseline"/>
        <w:outlineLvl w:val="9"/>
        <w:rPr>
          <w:rFonts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评审指标知识库</w:t>
      </w:r>
    </w:p>
    <w:p w14:paraId="717CA62F">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outlineLvl w:val="9"/>
        <w:rPr>
          <w:rFonts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根据《三级医院评审标准》文件进行指标解析及拆解，形成原子级数据指标。在系统中，需要支持维护三级医院等级评审指标（国家标准及省级标准）相关内容，包括指标定义、计算方法、采集方式、目标值等供系统内部使用。在知识库中，还需要提供评分规则功能，自定义评分细则，用于自评，便于快速发现问题，及时整改。</w:t>
      </w:r>
    </w:p>
    <w:p w14:paraId="48513522">
      <w:pPr>
        <w:keepNext w:val="0"/>
        <w:keepLines w:val="0"/>
        <w:pageBreakBefore w:val="0"/>
        <w:widowControl w:val="0"/>
        <w:numPr>
          <w:ilvl w:val="1"/>
          <w:numId w:val="1"/>
        </w:numPr>
        <w:tabs>
          <w:tab w:val="left" w:pos="718"/>
        </w:tabs>
        <w:kinsoku/>
        <w:wordWrap/>
        <w:overflowPunct/>
        <w:topLinePunct w:val="0"/>
        <w:autoSpaceDE/>
        <w:autoSpaceDN/>
        <w:bidi w:val="0"/>
        <w:adjustRightInd/>
        <w:snapToGrid/>
        <w:spacing w:before="0" w:after="0" w:line="360" w:lineRule="auto"/>
        <w:ind w:left="0" w:leftChars="0" w:firstLine="482" w:firstLineChars="200"/>
        <w:jc w:val="left"/>
        <w:textAlignment w:val="baseline"/>
        <w:outlineLvl w:val="9"/>
        <w:rPr>
          <w:rFonts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系统管理</w:t>
      </w:r>
    </w:p>
    <w:p w14:paraId="0480281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1.系统配置</w:t>
      </w:r>
    </w:p>
    <w:p w14:paraId="02FA5F8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需支持配置系统运行的基础信息，包括系统名称、环境变量等。</w:t>
      </w:r>
    </w:p>
    <w:p w14:paraId="6195927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2.用户管理</w:t>
      </w:r>
    </w:p>
    <w:p w14:paraId="2ED7D6B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需支持与HIS系统进行对接，导入HIS用户及登陆密码。同时，支持给每一个用户分配对应的角色。</w:t>
      </w:r>
    </w:p>
    <w:p w14:paraId="1BC8039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3.角色管理</w:t>
      </w:r>
    </w:p>
    <w:p w14:paraId="703892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需支持根据医院的实际情况，设置系统的用户角色。</w:t>
      </w:r>
    </w:p>
    <w:p w14:paraId="128FB7E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4.表单分配</w:t>
      </w:r>
    </w:p>
    <w:p w14:paraId="597D08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需支持给各个角色配置填报表单填使用权限以及评审报告章节的查看权限。</w:t>
      </w:r>
    </w:p>
    <w:p w14:paraId="3A7766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宋体" w:hAnsi="宋体" w:eastAsia="宋体" w:cs="Times New Roman"/>
          <w:color w:val="auto"/>
          <w:sz w:val="24"/>
          <w:szCs w:val="24"/>
        </w:rPr>
      </w:pPr>
      <w:r>
        <w:rPr>
          <w:rFonts w:hint="eastAsia" w:ascii="宋体" w:hAnsi="宋体" w:eastAsia="宋体" w:cs="Times New Roman"/>
          <w:color w:val="auto"/>
          <w:sz w:val="24"/>
          <w:szCs w:val="24"/>
        </w:rPr>
        <w:t>5.字典维护</w:t>
      </w:r>
    </w:p>
    <w:p w14:paraId="7DF518A7">
      <w:pPr>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jc w:val="left"/>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需支持对系统基础字典的数据进行信息维护。</w:t>
      </w:r>
    </w:p>
    <w:p w14:paraId="71E234C1">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2" w:firstLineChars="200"/>
        <w:jc w:val="left"/>
        <w:textAlignment w:val="auto"/>
        <w:outlineLvl w:val="9"/>
        <w:rPr>
          <w:rStyle w:val="5"/>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三、</w:t>
      </w:r>
      <w:r>
        <w:rPr>
          <w:rStyle w:val="5"/>
          <w:rFonts w:hint="eastAsia" w:ascii="宋体" w:hAnsi="宋体" w:eastAsia="宋体" w:cs="宋体"/>
          <w:b/>
          <w:color w:val="auto"/>
          <w:kern w:val="2"/>
          <w:sz w:val="24"/>
          <w:szCs w:val="24"/>
          <w:lang w:val="en-US" w:eastAsia="zh-CN" w:bidi="ar-SA"/>
        </w:rPr>
        <w:t>项目其他要求及说明</w:t>
      </w:r>
    </w:p>
    <w:p w14:paraId="1EB018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hint="eastAsia" w:ascii="宋体" w:hAnsi="宋体" w:eastAsia="宋体" w:cs="Times New Roman"/>
          <w:color w:val="auto"/>
          <w:sz w:val="24"/>
          <w:szCs w:val="21"/>
        </w:rPr>
        <w:t>1、培训要求：</w:t>
      </w:r>
    </w:p>
    <w:p w14:paraId="36363E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1</w:t>
      </w:r>
      <w:r>
        <w:rPr>
          <w:rFonts w:hint="eastAsia" w:ascii="宋体" w:hAnsi="宋体" w:eastAsia="宋体" w:cs="Times New Roman"/>
          <w:color w:val="auto"/>
          <w:sz w:val="24"/>
          <w:szCs w:val="21"/>
        </w:rPr>
        <w:t>.1投标人须提供有关的安装、操作、基本的正确使用常识和使用技巧的培训以及相应的应用软件技术、系统操作等方面的培训。有关应用软件的操作培训课程，培训应该在系统试运行前完成。</w:t>
      </w:r>
    </w:p>
    <w:p w14:paraId="1B1675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1</w:t>
      </w:r>
      <w:r>
        <w:rPr>
          <w:rFonts w:hint="eastAsia" w:ascii="宋体" w:hAnsi="宋体" w:eastAsia="宋体" w:cs="Times New Roman"/>
          <w:color w:val="auto"/>
          <w:sz w:val="24"/>
          <w:szCs w:val="21"/>
        </w:rPr>
        <w:t>.2投标人在实施过程中提供全面培训，包括面向系统管理员和业务人员相应的培训、配置管理和系统维护培训、数据定义和管理培训、客户端操作培训。</w:t>
      </w:r>
    </w:p>
    <w:p w14:paraId="42705B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1</w:t>
      </w:r>
      <w:r>
        <w:rPr>
          <w:rFonts w:hint="eastAsia" w:ascii="宋体" w:hAnsi="宋体" w:eastAsia="宋体" w:cs="Times New Roman"/>
          <w:color w:val="auto"/>
          <w:sz w:val="24"/>
          <w:szCs w:val="21"/>
        </w:rPr>
        <w:t>.3培训主要对象：</w:t>
      </w:r>
    </w:p>
    <w:p w14:paraId="299CBA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hint="eastAsia" w:ascii="宋体" w:hAnsi="宋体" w:eastAsia="宋体" w:cs="Times New Roman"/>
          <w:color w:val="auto"/>
          <w:sz w:val="24"/>
          <w:szCs w:val="21"/>
        </w:rPr>
        <w:t>为了使采购人相关人员掌握有关应用系统的使用、维护和管理方法，达到能独立进行管理、故障处理、日常测试和维护等工作的目的，应进行系统的技术培训，以保证所建设的系统能够正常、安全、平稳地运行。</w:t>
      </w:r>
    </w:p>
    <w:p w14:paraId="2D0AFB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1</w:t>
      </w:r>
      <w:r>
        <w:rPr>
          <w:rFonts w:hint="eastAsia" w:ascii="宋体" w:hAnsi="宋体" w:eastAsia="宋体" w:cs="Times New Roman"/>
          <w:color w:val="auto"/>
          <w:sz w:val="24"/>
          <w:szCs w:val="21"/>
        </w:rPr>
        <w:t>.4使用培训：对采购人的相关人员的用户进行设备及应用系统使用培训，掌握软件的使用。</w:t>
      </w:r>
    </w:p>
    <w:p w14:paraId="223792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hint="eastAsia" w:ascii="宋体" w:hAnsi="宋体" w:eastAsia="宋体" w:cs="Times New Roman"/>
          <w:color w:val="auto"/>
          <w:sz w:val="24"/>
          <w:szCs w:val="21"/>
        </w:rPr>
        <w:t>2、售后服务要求：</w:t>
      </w:r>
    </w:p>
    <w:p w14:paraId="7F01AF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2</w:t>
      </w:r>
      <w:r>
        <w:rPr>
          <w:rFonts w:hint="eastAsia" w:ascii="宋体" w:hAnsi="宋体" w:eastAsia="宋体" w:cs="Times New Roman"/>
          <w:color w:val="auto"/>
          <w:sz w:val="24"/>
          <w:szCs w:val="21"/>
        </w:rPr>
        <w:t>.1中标人针对本项目提供为期一年的质保期，在质保期内提供软件升级服务，上门维修和技术支持服务，并进行终身维护。</w:t>
      </w:r>
    </w:p>
    <w:p w14:paraId="450514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1"/>
        </w:rPr>
      </w:pPr>
      <w:r>
        <w:rPr>
          <w:rFonts w:ascii="宋体" w:hAnsi="宋体" w:eastAsia="宋体" w:cs="Times New Roman"/>
          <w:color w:val="auto"/>
          <w:sz w:val="24"/>
          <w:szCs w:val="21"/>
        </w:rPr>
        <w:t>2</w:t>
      </w:r>
      <w:r>
        <w:rPr>
          <w:rFonts w:hint="eastAsia" w:ascii="宋体" w:hAnsi="宋体" w:eastAsia="宋体" w:cs="Times New Roman"/>
          <w:color w:val="auto"/>
          <w:sz w:val="24"/>
          <w:szCs w:val="21"/>
        </w:rPr>
        <w:t>.2中标人应在质保期内提供提供7×24小时的技术咨询服务，售后技术咨询服务响应时间不得超过24小时。如出现产品故障无法远程修复，中标人应在</w:t>
      </w:r>
      <w:r>
        <w:rPr>
          <w:rFonts w:hint="eastAsia" w:ascii="宋体" w:hAnsi="宋体" w:eastAsia="宋体" w:cs="Times New Roman"/>
          <w:color w:val="auto"/>
          <w:sz w:val="24"/>
          <w:szCs w:val="21"/>
          <w:lang w:val="en-US" w:eastAsia="zh-CN"/>
        </w:rPr>
        <w:t>4</w:t>
      </w:r>
      <w:r>
        <w:rPr>
          <w:rFonts w:hint="eastAsia" w:ascii="宋体" w:hAnsi="宋体" w:eastAsia="宋体" w:cs="Times New Roman"/>
          <w:color w:val="auto"/>
          <w:sz w:val="24"/>
          <w:szCs w:val="21"/>
        </w:rPr>
        <w:t>小时内达到现场予以解决。</w:t>
      </w:r>
    </w:p>
    <w:p w14:paraId="70621B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3、项目验收</w:t>
      </w:r>
    </w:p>
    <w:p w14:paraId="48D8CC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1"/>
        </w:rPr>
      </w:pPr>
      <w:r>
        <w:rPr>
          <w:rFonts w:hint="eastAsia" w:ascii="宋体" w:hAnsi="宋体" w:eastAsia="宋体" w:cs="Times New Roman"/>
          <w:color w:val="auto"/>
          <w:sz w:val="24"/>
          <w:szCs w:val="21"/>
        </w:rPr>
        <w:t>3.1本项目采用现场运行、测试验收方式验收。中标人完成的开发项目达到的质量标准应符合国家、地方及相关政府管理部门和行业与本项目有关的各项技术标准、规范要求，并满足采购人实际需求。</w:t>
      </w:r>
    </w:p>
    <w:p w14:paraId="2DEC15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4、服务团队要求</w:t>
      </w:r>
    </w:p>
    <w:p w14:paraId="0E2A6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4.1</w:t>
      </w:r>
      <w:r>
        <w:rPr>
          <w:rFonts w:hint="eastAsia" w:ascii="宋体" w:hAnsi="宋体" w:eastAsia="宋体" w:cs="Times New Roman"/>
          <w:color w:val="auto"/>
          <w:sz w:val="24"/>
          <w:szCs w:val="24"/>
        </w:rPr>
        <w:t>投标人或所投软件产品制造商需针对本项目组建专业技术服务团队</w:t>
      </w:r>
      <w:r>
        <w:rPr>
          <w:rFonts w:hint="eastAsia" w:ascii="宋体" w:hAnsi="宋体" w:eastAsia="宋体" w:cs="Times New Roman"/>
          <w:color w:val="auto"/>
          <w:sz w:val="24"/>
          <w:szCs w:val="24"/>
          <w:lang w:eastAsia="zh-CN"/>
        </w:rPr>
        <w:t>，</w:t>
      </w:r>
      <w:r>
        <w:rPr>
          <w:rFonts w:hint="eastAsia" w:ascii="宋体" w:hAnsi="宋体" w:eastAsia="宋体" w:cs="Times New Roman"/>
          <w:color w:val="auto"/>
          <w:kern w:val="1"/>
          <w:sz w:val="24"/>
          <w:lang w:val="en-US" w:eastAsia="zh-CN"/>
        </w:rPr>
        <w:t>相关人员应具有相应的专业技术能力</w:t>
      </w:r>
      <w:r>
        <w:rPr>
          <w:rFonts w:hint="eastAsia" w:ascii="宋体" w:hAnsi="宋体" w:eastAsia="宋体" w:cs="Times New Roman"/>
          <w:color w:val="auto"/>
          <w:sz w:val="24"/>
          <w:szCs w:val="24"/>
          <w:lang w:eastAsia="zh-CN"/>
        </w:rPr>
        <w:t>。</w:t>
      </w:r>
    </w:p>
    <w:p w14:paraId="5A24B3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4.2</w:t>
      </w:r>
      <w:r>
        <w:rPr>
          <w:rFonts w:hint="eastAsia" w:ascii="宋体" w:hAnsi="宋体" w:eastAsia="宋体" w:cs="Times New Roman"/>
          <w:color w:val="auto"/>
          <w:sz w:val="24"/>
          <w:szCs w:val="24"/>
        </w:rPr>
        <w:t>项目实施期间，中标人项目小组由现场工程师和非现场工程师组成。现场工程师包括项目经理一名，工程师4名，研发人员2名。项目经理是中标人负责该项目实施交付的全权代表，由中标人有资质的项目经理担任，项目工期内，未经采购人同意，中标人不得随意更换、调用项目经理。项目验收合格后</w:t>
      </w:r>
      <w:r>
        <w:rPr>
          <w:rFonts w:hint="eastAsia" w:ascii="宋体" w:hAnsi="宋体" w:eastAsia="宋体" w:cs="Times New Roman"/>
          <w:color w:val="auto"/>
          <w:sz w:val="24"/>
          <w:szCs w:val="24"/>
          <w:lang w:val="en-US" w:eastAsia="zh-CN"/>
        </w:rPr>
        <w:t>提供</w:t>
      </w:r>
      <w:r>
        <w:rPr>
          <w:rFonts w:hint="eastAsia" w:ascii="宋体" w:hAnsi="宋体" w:eastAsia="宋体" w:cs="Times New Roman"/>
          <w:color w:val="auto"/>
          <w:sz w:val="24"/>
          <w:szCs w:val="24"/>
        </w:rPr>
        <w:t>一年驻场</w:t>
      </w:r>
      <w:r>
        <w:rPr>
          <w:rFonts w:hint="eastAsia" w:ascii="宋体" w:hAnsi="宋体" w:eastAsia="宋体" w:cs="Times New Roman"/>
          <w:color w:val="auto"/>
          <w:sz w:val="24"/>
          <w:szCs w:val="24"/>
          <w:lang w:val="en-US" w:eastAsia="zh-CN"/>
        </w:rPr>
        <w:t>服务</w:t>
      </w:r>
      <w:r>
        <w:rPr>
          <w:rFonts w:hint="eastAsia" w:ascii="宋体" w:hAnsi="宋体" w:eastAsia="宋体" w:cs="Times New Roman"/>
          <w:color w:val="auto"/>
          <w:sz w:val="24"/>
          <w:szCs w:val="24"/>
        </w:rPr>
        <w:t>。</w:t>
      </w:r>
    </w:p>
    <w:p w14:paraId="2EA71D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Times New Roman"/>
          <w:color w:val="auto"/>
          <w:sz w:val="24"/>
          <w:szCs w:val="24"/>
        </w:rPr>
        <w:t>服务时间及地点</w:t>
      </w:r>
    </w:p>
    <w:p w14:paraId="0DD851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rPr>
        <w:t>.1交付时间:签订合同后</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0天内</w:t>
      </w:r>
      <w:r>
        <w:rPr>
          <w:rFonts w:hint="eastAsia" w:ascii="宋体" w:hAnsi="宋体" w:eastAsia="宋体" w:cs="Times New Roman"/>
          <w:color w:val="auto"/>
          <w:sz w:val="24"/>
          <w:szCs w:val="24"/>
          <w:lang w:val="en-US" w:eastAsia="zh-CN"/>
        </w:rPr>
        <w:t>完成项目建设。</w:t>
      </w:r>
    </w:p>
    <w:p w14:paraId="234EAA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rPr>
        <w:t>.2服务地点:采购人指定地点</w:t>
      </w:r>
    </w:p>
    <w:p w14:paraId="518E73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、结算方法</w:t>
      </w:r>
    </w:p>
    <w:p w14:paraId="6E27F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.1、付款人：湖南医药学院第一附属医院</w:t>
      </w:r>
    </w:p>
    <w:p w14:paraId="253F6F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.2、付款方式：</w:t>
      </w:r>
      <w:r>
        <w:rPr>
          <w:rFonts w:hint="eastAsia" w:ascii="宋体" w:hAnsi="宋体" w:eastAsia="宋体" w:cs="Times New Roman"/>
          <w:color w:val="auto"/>
          <w:sz w:val="24"/>
          <w:szCs w:val="24"/>
          <w:lang w:val="en-US" w:eastAsia="zh-CN"/>
        </w:rPr>
        <w:t>合同签订之后支付30%，完成政策性接口改造支付60%，剩余10%服务期满之后支付。</w:t>
      </w:r>
    </w:p>
    <w:p w14:paraId="2403FB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rPr>
        <w:t>本项目采用费用包干方式，投标人报价包括但不限于深化设计、设备采购、软件开发、系统集成、安装部署、使用培训、运行维护等所需要的全部费用。如一旦中标，项目实施中出现任何遗漏，均由中标人负责提供，采购人不再支付任何费用。</w:t>
      </w:r>
    </w:p>
    <w:p w14:paraId="36EE86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8、</w:t>
      </w:r>
      <w:r>
        <w:rPr>
          <w:rFonts w:hint="eastAsia" w:ascii="宋体" w:hAnsi="宋体" w:eastAsia="宋体" w:cs="Times New Roman"/>
          <w:color w:val="auto"/>
          <w:sz w:val="24"/>
          <w:szCs w:val="24"/>
        </w:rPr>
        <w:t>运维期内，中标人负责对其提供的设备进行维修及软件升级，且不得收取合同之外的任何维护保养、技术服务、人力、物料等费用。中标人提供的伴随服务包括但不限于产品运输、安装和调试、技术培训、售后服务以及其他相关服务。</w:t>
      </w:r>
    </w:p>
    <w:p w14:paraId="7D890B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中标人在合同履行期间应严格遵守安全操作规程，确保人员安全。在项目实施及运维期间任何事故，均由中标人负责。</w:t>
      </w:r>
    </w:p>
    <w:p w14:paraId="228121A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cs="Times New Roman"/>
          <w:b/>
          <w:color w:val="auto"/>
          <w:sz w:val="24"/>
          <w:szCs w:val="24"/>
        </w:rPr>
      </w:pPr>
      <w:r>
        <w:rPr>
          <w:rFonts w:hint="eastAsia" w:ascii="宋体" w:hAnsi="宋体" w:eastAsia="宋体" w:cs="Times New Roman"/>
          <w:b/>
          <w:color w:val="auto"/>
          <w:sz w:val="24"/>
          <w:szCs w:val="24"/>
        </w:rPr>
        <w:t>对于上述项目要求，投标人应在投标文件中进行响应，作出承诺及说明。</w:t>
      </w:r>
    </w:p>
    <w:p w14:paraId="48405F37">
      <w:bookmarkStart w:id="66" w:name="_GoBack"/>
      <w:bookmarkEnd w:id="6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90D77"/>
    <w:multiLevelType w:val="multilevel"/>
    <w:tmpl w:val="D3290D77"/>
    <w:lvl w:ilvl="0" w:tentative="0">
      <w:start w:val="1"/>
      <w:numFmt w:val="decimal"/>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suff w:val="space"/>
      <w:lvlText w:val="%1.%2.%3."/>
      <w:lvlJc w:val="left"/>
      <w:pPr>
        <w:ind w:left="855"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2C9"/>
    <w:rsid w:val="00AF6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Calibri"/>
      <w:kern w:val="2"/>
      <w:sz w:val="21"/>
      <w:szCs w:val="21"/>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able of figures"/>
    <w:next w:val="1"/>
    <w:qFormat/>
    <w:uiPriority w:val="99"/>
    <w:pPr>
      <w:widowControl w:val="0"/>
      <w:ind w:left="200" w:leftChars="200" w:hanging="200" w:hangingChars="200"/>
      <w:jc w:val="both"/>
    </w:pPr>
    <w:rPr>
      <w:rFonts w:ascii="Calibri" w:hAnsi="Calibri" w:eastAsia="宋体" w:cs="Times New Roman"/>
      <w:kern w:val="2"/>
      <w:sz w:val="21"/>
      <w:szCs w:val="22"/>
      <w:lang w:val="en-US" w:eastAsia="zh-CN" w:bidi="ar-SA"/>
    </w:rPr>
  </w:style>
  <w:style w:type="table" w:styleId="4">
    <w:name w:val="Table Grid"/>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标题 2_0"/>
    <w:next w:val="7"/>
    <w:unhideWhenUsed/>
    <w:qFormat/>
    <w:uiPriority w:val="0"/>
    <w:pPr>
      <w:keepNext/>
      <w:keepLines/>
      <w:widowControl w:val="0"/>
      <w:spacing w:line="360" w:lineRule="auto"/>
      <w:jc w:val="both"/>
      <w:outlineLvl w:val="1"/>
    </w:pPr>
    <w:rPr>
      <w:rFonts w:ascii="Arial" w:hAnsi="Arial" w:eastAsia="宋体" w:cs="Times New Roman"/>
      <w:b/>
      <w:bCs/>
      <w:kern w:val="2"/>
      <w:sz w:val="24"/>
      <w:szCs w:val="32"/>
      <w:lang w:val="en-US" w:eastAsia="zh-CN" w:bidi="ar-SA"/>
    </w:rPr>
  </w:style>
  <w:style w:type="paragraph" w:customStyle="1" w:styleId="7">
    <w:name w:val="正文_0"/>
    <w:next w:val="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
    <w:name w:val="标题 4_0"/>
    <w:next w:val="7"/>
    <w:qFormat/>
    <w:uiPriority w:val="0"/>
    <w:pPr>
      <w:keepNext/>
      <w:keepLines/>
      <w:widowControl w:val="0"/>
      <w:spacing w:before="280" w:after="290" w:line="376" w:lineRule="auto"/>
      <w:jc w:val="both"/>
      <w:outlineLvl w:val="3"/>
    </w:pPr>
    <w:rPr>
      <w:rFonts w:ascii="Arial" w:hAnsi="Arial" w:eastAsia="黑体" w:cs="Times New Roman"/>
      <w:b/>
      <w:bCs/>
      <w:kern w:val="2"/>
      <w:sz w:val="28"/>
      <w:szCs w:val="28"/>
      <w:lang w:val="en-US" w:eastAsia="zh-CN" w:bidi="ar-SA"/>
    </w:rPr>
  </w:style>
  <w:style w:type="paragraph" w:customStyle="1" w:styleId="9">
    <w:name w:val="正文_1"/>
    <w:qFormat/>
    <w:uiPriority w:val="0"/>
    <w:pPr>
      <w:widowControl w:val="0"/>
      <w:jc w:val="both"/>
    </w:pPr>
    <w:rPr>
      <w:rFonts w:ascii="Calibri" w:hAnsi="Calibri" w:eastAsia="宋体" w:cs="Times New Roman"/>
      <w:kern w:val="2"/>
      <w:sz w:val="21"/>
      <w:szCs w:val="22"/>
      <w:lang w:val="en-US" w:eastAsia="zh-CN" w:bidi="ar-SA"/>
    </w:rPr>
  </w:style>
  <w:style w:type="table" w:customStyle="1" w:styleId="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2025-07-09T06:46:00Z</dcterms:created>
  <dc:creator>11</dc:creator>
  <cp:lastModifiedBy>11</cp:lastModifiedBy>
  <dcterms:modified xsi:type="dcterms:W3CDTF">2025-07-09T06:46:49Z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8B7262E147B44C5D8E84A8DCC401DD7E_11</vt:lpwstr>
  </property>
  <property fmtid="{D5CDD505-2E9C-101B-9397-08002B2CF9AE}" pid="4" name="KSOTemplateDocerSaveRecord">
    <vt:lpwstr>eyJoZGlkIjoiNTEyZTg2ZWNjMzhjMTUyMDQzZTg4ZTFmNWQ1NmZjMzMiLCJ1c2VySWQiOiIyNTAwODA0NTYifQ==</vt:lpwstr>
  </property>
</Properties>
</file>