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版本号：N510001202500453220251230001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《四川省“十五五”低空经济发展规划》编制服务采购项目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N5100012025004532</w:t>
      </w:r>
    </w:p>
    <w:p>
      <w:pPr>
        <w:pStyle w:val="null3"/>
        <w:jc w:val="center"/>
        <w:outlineLvl w:val="2"/>
      </w:pPr>
      <w:r>
        <w:rPr>
          <w:rFonts w:ascii="仿宋_GB2312" w:hAnsi="仿宋_GB2312" w:cs="仿宋_GB2312" w:eastAsia="仿宋_GB2312"/>
          <w:sz w:val="28"/>
          <w:b/>
        </w:rPr>
        <w:t>四川省发展和改革委员会</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2025年12月30日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四川省发展和改革委员会</w:t>
      </w:r>
      <w:r>
        <w:rPr>
          <w:rFonts w:ascii="仿宋_GB2312" w:hAnsi="仿宋_GB2312" w:cs="仿宋_GB2312" w:eastAsia="仿宋_GB2312"/>
        </w:rPr>
        <w:t xml:space="preserve"> 委托，拟对 </w:t>
      </w:r>
      <w:r>
        <w:rPr>
          <w:rFonts w:ascii="仿宋_GB2312" w:hAnsi="仿宋_GB2312" w:cs="仿宋_GB2312" w:eastAsia="仿宋_GB2312"/>
        </w:rPr>
        <w:t>《四川省“十五五”低空经济发展规划》编制服务采购项目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N5100012025004532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《四川省“十五五”低空经济发展规划》编制服务采购项目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本项目共1个包，采购《四川省“十五五”低空经济发展规划》编制服务供应商一名。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具体内容详见附件《供应商信用融资补充事宜》）。</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四川省发展和改革委员会</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成都市锦江区滨江东路156号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610011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028-86705627</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四川国际招标有限责任公司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冯先生、杨先生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18583278650、15528045735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采购包1：1,520,700.00元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代理服务费收费标准：（1）依照成本加合理利润的原则，代理服务费按固定价收取17000.00元（人民币壹万柒仟元），由成交供应商在领取中标通知书前向采购代理机构一次性缴纳。 （2）收款单位：四川国际招标有限责任公司。 （3）开户行：中国民生银行股份有限公司成都分行营业部。 （4）银行账号：9902001840194037。 （5）采购合同签订前向代理机构交纳代理服务费。 （6）代理服务费交纳完成后，可按照以下温馨提示开具发票：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四川省发展和改革委员会</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四川省发展和改革委员会</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90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根据采购文件中“技术要求”及成交供应商响应文件内容进行验收；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根据采购文件中“服务要求”、“其他要求”及成交供应商响应文件内容进行验收；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由采购人组织，按照财政部发布的《关于进一步加强政府采购需求和履约验收管理的指导意见》（财库[2016]205号）的要求以及本项目采购文件、成交供应商响应文件进行验收；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四川省发展和改革委员会</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联系人：曾老师</w:t>
      </w:r>
    </w:p>
    <w:p>
      <w:pPr>
        <w:pStyle w:val="null3"/>
        <w:jc w:val="left"/>
      </w:pPr>
      <w:r>
        <w:rPr>
          <w:rFonts w:ascii="仿宋_GB2312" w:hAnsi="仿宋_GB2312" w:cs="仿宋_GB2312" w:eastAsia="仿宋_GB2312"/>
        </w:rPr>
        <w:t>联系电话：028-86705627</w:t>
      </w:r>
    </w:p>
    <w:p>
      <w:pPr>
        <w:pStyle w:val="null3"/>
        <w:jc w:val="left"/>
      </w:pPr>
      <w:r>
        <w:rPr>
          <w:rFonts w:ascii="仿宋_GB2312" w:hAnsi="仿宋_GB2312" w:cs="仿宋_GB2312" w:eastAsia="仿宋_GB2312"/>
        </w:rPr>
        <w:t>地址：成都市锦江区滨江东路156号</w:t>
      </w:r>
    </w:p>
    <w:p>
      <w:pPr>
        <w:pStyle w:val="null3"/>
        <w:jc w:val="left"/>
      </w:pPr>
      <w:r>
        <w:rPr>
          <w:rFonts w:ascii="仿宋_GB2312" w:hAnsi="仿宋_GB2312" w:cs="仿宋_GB2312" w:eastAsia="仿宋_GB2312"/>
        </w:rPr>
        <w:t>邮编：610011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联系电话：028-87797776（分机号：820/725）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1,520,700.00</w:t>
      </w:r>
    </w:p>
    <w:p>
      <w:pPr>
        <w:pStyle w:val="null3"/>
        <w:jc w:val="left"/>
      </w:pPr>
      <w:r>
        <w:rPr>
          <w:rFonts w:ascii="仿宋_GB2312" w:hAnsi="仿宋_GB2312" w:cs="仿宋_GB2312" w:eastAsia="仿宋_GB2312"/>
        </w:rPr>
        <w:t>采购包最高限价（元）: 1,520,700.00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C13010000 区域规划和设计服务</w:t>
            </w:r>
          </w:p>
        </w:tc>
        <w:tc>
          <w:tcPr>
            <w:tcW w:type="dxa" w:w="821"/>
          </w:tcPr>
          <w:p>
            <w:pPr>
              <w:pStyle w:val="null3"/>
              <w:jc w:val="left"/>
            </w:pPr>
            <w:r>
              <w:rPr>
                <w:rFonts w:ascii="仿宋_GB2312" w:hAnsi="仿宋_GB2312" w:cs="仿宋_GB2312" w:eastAsia="仿宋_GB2312"/>
              </w:rPr>
              <w:t>《四川省“十五五”低空经济发展规划》编制服务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1,520,700.00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《四川省“十五五”低空经济发展规划》编制服务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1,520,700.00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标的名称：《四川省“十五五”低空经济发展规划》编制服务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一、规划范围</w:t>
            </w:r>
          </w:p>
          <w:p>
            <w:pPr>
              <w:pStyle w:val="null3"/>
              <w:jc w:val="both"/>
            </w:pPr>
            <w:r>
              <w:rPr>
                <w:rFonts w:ascii="仿宋_GB2312" w:hAnsi="仿宋_GB2312" w:cs="仿宋_GB2312" w:eastAsia="仿宋_GB2312"/>
                <w:sz w:val="21"/>
              </w:rPr>
              <w:t>规划范围包括全省，规划期为2026—2030年。</w:t>
            </w:r>
          </w:p>
          <w:p>
            <w:pPr>
              <w:pStyle w:val="null3"/>
              <w:jc w:val="both"/>
            </w:pPr>
            <w:r>
              <w:rPr>
                <w:rFonts w:ascii="仿宋_GB2312" w:hAnsi="仿宋_GB2312" w:cs="仿宋_GB2312" w:eastAsia="仿宋_GB2312"/>
                <w:sz w:val="21"/>
              </w:rPr>
              <w:t>二、编制依据</w:t>
            </w:r>
          </w:p>
          <w:p>
            <w:pPr>
              <w:pStyle w:val="null3"/>
              <w:jc w:val="both"/>
            </w:pPr>
            <w:r>
              <w:rPr>
                <w:rFonts w:ascii="仿宋_GB2312" w:hAnsi="仿宋_GB2312" w:cs="仿宋_GB2312" w:eastAsia="仿宋_GB2312"/>
                <w:sz w:val="21"/>
              </w:rPr>
              <w:t>依据《国家综合立体交通网规划纲要》《无人驾驶航空器飞行管理暂行条例》《四川省通用机场布局规划（2016—2030年）》《四川省人民政府关于促进低空经济发展的指导意见》《四川省关于支持低空经济发展的若干政策措施》要求，结合四川低空经济发展实际与未来需求进行规划编制。</w:t>
            </w:r>
          </w:p>
          <w:p>
            <w:pPr>
              <w:pStyle w:val="null3"/>
              <w:jc w:val="both"/>
            </w:pPr>
            <w:r>
              <w:rPr>
                <w:rFonts w:ascii="仿宋_GB2312" w:hAnsi="仿宋_GB2312" w:cs="仿宋_GB2312" w:eastAsia="仿宋_GB2312"/>
                <w:sz w:val="21"/>
              </w:rPr>
              <w:t>三、规划内容</w:t>
            </w:r>
          </w:p>
          <w:p>
            <w:pPr>
              <w:pStyle w:val="null3"/>
              <w:jc w:val="both"/>
            </w:pPr>
            <w:r>
              <w:rPr>
                <w:rFonts w:ascii="仿宋_GB2312" w:hAnsi="仿宋_GB2312" w:cs="仿宋_GB2312" w:eastAsia="仿宋_GB2312"/>
                <w:sz w:val="21"/>
              </w:rPr>
              <w:t>具体至少包括以下内容：</w:t>
            </w:r>
          </w:p>
          <w:p>
            <w:pPr>
              <w:pStyle w:val="null3"/>
              <w:jc w:val="both"/>
            </w:pPr>
            <w:r>
              <w:rPr>
                <w:rFonts w:ascii="仿宋_GB2312" w:hAnsi="仿宋_GB2312" w:cs="仿宋_GB2312" w:eastAsia="仿宋_GB2312"/>
                <w:sz w:val="21"/>
              </w:rPr>
              <w:t>（1）规划总则。明确规划背景、规划范围、规划期限、规划依据等内容，同时应充分衔接国土空间规划等上位规划，有机融合功能定位、总体格局、“三区三线”、规划分区与用地布局内容，落实上位规划约束性指标要求。</w:t>
            </w:r>
          </w:p>
          <w:p>
            <w:pPr>
              <w:pStyle w:val="null3"/>
              <w:jc w:val="both"/>
            </w:pPr>
            <w:r>
              <w:rPr>
                <w:rFonts w:ascii="仿宋_GB2312" w:hAnsi="仿宋_GB2312" w:cs="仿宋_GB2312" w:eastAsia="仿宋_GB2312"/>
                <w:sz w:val="21"/>
              </w:rPr>
              <w:t>（2）综合分析。根据四川低空经济发展现状条件，深入分析区位地理条件、空域资源禀赋条件、产业制造基础条件、区域空间规划条件、区域政策体系、产业发展方向，应梳理出四川低空经济发展的优势机遇和问题挑战。</w:t>
            </w:r>
          </w:p>
          <w:p>
            <w:pPr>
              <w:pStyle w:val="null3"/>
              <w:jc w:val="both"/>
            </w:pPr>
            <w:r>
              <w:rPr>
                <w:rFonts w:ascii="仿宋_GB2312" w:hAnsi="仿宋_GB2312" w:cs="仿宋_GB2312" w:eastAsia="仿宋_GB2312"/>
                <w:sz w:val="21"/>
              </w:rPr>
              <w:t>（3）发展定位与战略。结合四川打造“西部低空经济发展高地”的战略目标，落实中央《关于推进低空经济高质量发展的意见》和我省《关于促进低空经济发展的指导意见》，初步考虑围绕产业创新发展、低空空域供给、基础设施建设、应用场景打造、低空安全管理等方面提出“十五五”阶段性目标、基本思路、产业布局、重点任务及重大项目。</w:t>
            </w:r>
          </w:p>
          <w:p>
            <w:pPr>
              <w:pStyle w:val="null3"/>
              <w:jc w:val="both"/>
            </w:pPr>
            <w:r>
              <w:rPr>
                <w:rFonts w:ascii="仿宋_GB2312" w:hAnsi="仿宋_GB2312" w:cs="仿宋_GB2312" w:eastAsia="仿宋_GB2312"/>
                <w:sz w:val="21"/>
              </w:rPr>
              <w:t>（4）低空产业整体规划。至少包括低空装备制造、低空服务业态、促进制造与服务两业融合、加快科技与产业融合创新等方面。重点关注无人机、eVTOL、通用飞机等制造领域，核心零部件生产、材料研发及系统集成等制造领域，通导监气象装备和反制装备以及检测检验装备，低空服务、运营服务业和科技服务等相关业态。</w:t>
            </w:r>
          </w:p>
          <w:p>
            <w:pPr>
              <w:pStyle w:val="null3"/>
              <w:jc w:val="both"/>
            </w:pPr>
            <w:r>
              <w:rPr>
                <w:rFonts w:ascii="仿宋_GB2312" w:hAnsi="仿宋_GB2312" w:cs="仿宋_GB2312" w:eastAsia="仿宋_GB2312"/>
                <w:sz w:val="21"/>
              </w:rPr>
              <w:t>（5）应用场景规划。至少包括推进生产作业规模化应用、提升公共事业集约化服务、促进生活消费大众化参与、加强要素场景化一体统筹。</w:t>
            </w:r>
          </w:p>
          <w:p>
            <w:pPr>
              <w:pStyle w:val="null3"/>
              <w:jc w:val="both"/>
            </w:pPr>
            <w:r>
              <w:rPr>
                <w:rFonts w:ascii="仿宋_GB2312" w:hAnsi="仿宋_GB2312" w:cs="仿宋_GB2312" w:eastAsia="仿宋_GB2312"/>
                <w:sz w:val="21"/>
              </w:rPr>
              <w:t>（6）基础设施布局规划。至少包括低空智联网络高效覆盖、低空起降场点合理布局、布局低空管理服务设施。重点关注通信、导航设施、低空气象设施、通用航空机场、无人机起降场以及起降场配套保障设施、监管服务平台及调动地区积极性完善优化平台算力和功能等方面。</w:t>
            </w:r>
          </w:p>
          <w:p>
            <w:pPr>
              <w:pStyle w:val="null3"/>
              <w:jc w:val="both"/>
            </w:pPr>
            <w:r>
              <w:rPr>
                <w:rFonts w:ascii="仿宋_GB2312" w:hAnsi="仿宋_GB2312" w:cs="仿宋_GB2312" w:eastAsia="仿宋_GB2312"/>
                <w:sz w:val="21"/>
              </w:rPr>
              <w:t>（7）低空资源统筹规划。至少包括空域资源供给、使用质效、飞行规则、安全管理，重点关注空域网格化管理、航路划设、低空飞行服务站建设、数智化管理、畅通军地民协调机制划设航线。</w:t>
            </w:r>
          </w:p>
          <w:p>
            <w:pPr>
              <w:pStyle w:val="null3"/>
              <w:jc w:val="both"/>
            </w:pPr>
            <w:r>
              <w:rPr>
                <w:rFonts w:ascii="仿宋_GB2312" w:hAnsi="仿宋_GB2312" w:cs="仿宋_GB2312" w:eastAsia="仿宋_GB2312"/>
                <w:sz w:val="21"/>
              </w:rPr>
              <w:t>（8）产业生态规划。至少包括促进低空科技平台载体、产业集群发展、产业金融、开放合作。</w:t>
            </w:r>
          </w:p>
          <w:p>
            <w:pPr>
              <w:pStyle w:val="null3"/>
              <w:jc w:val="both"/>
            </w:pPr>
            <w:r>
              <w:rPr>
                <w:rFonts w:ascii="仿宋_GB2312" w:hAnsi="仿宋_GB2312" w:cs="仿宋_GB2312" w:eastAsia="仿宋_GB2312"/>
                <w:sz w:val="21"/>
              </w:rPr>
              <w:t>（9）实施保障体系规划。至少包括强统筹协调、构建安全体系、开展先行试点、加强监测评估、强化行业规范。</w:t>
            </w:r>
          </w:p>
          <w:p>
            <w:pPr>
              <w:pStyle w:val="null3"/>
              <w:jc w:val="both"/>
            </w:pPr>
            <w:r>
              <w:rPr>
                <w:rFonts w:ascii="仿宋_GB2312" w:hAnsi="仿宋_GB2312" w:cs="仿宋_GB2312" w:eastAsia="仿宋_GB2312"/>
                <w:sz w:val="21"/>
              </w:rPr>
              <w:t>四、成果要求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、成果形式</w:t>
            </w:r>
          </w:p>
          <w:p>
            <w:pPr>
              <w:pStyle w:val="null3"/>
              <w:jc w:val="both"/>
            </w:pPr>
            <w:r>
              <w:rPr>
                <w:rFonts w:ascii="仿宋_GB2312" w:hAnsi="仿宋_GB2312" w:cs="仿宋_GB2312" w:eastAsia="仿宋_GB2312"/>
                <w:sz w:val="21"/>
              </w:rPr>
              <w:t>（1）规划成果应包括书面成果、相应规划成果电子数据文件。主要包括《四川省“十五五”低空经济发展规划》（内容不低于3万字）、四川省低空经济发展调研报告（内容不低于1万字）、四川省低空基础设施布局研究报告（内容不低于1万字），以及2份主题研究报告（内容不低于5000字）。</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、成果主要内容</w:t>
            </w:r>
          </w:p>
          <w:p>
            <w:pPr>
              <w:pStyle w:val="null3"/>
              <w:jc w:val="both"/>
            </w:pPr>
            <w:r>
              <w:rPr>
                <w:rFonts w:ascii="仿宋_GB2312" w:hAnsi="仿宋_GB2312" w:cs="仿宋_GB2312" w:eastAsia="仿宋_GB2312"/>
                <w:sz w:val="21"/>
              </w:rPr>
              <w:t>（1）成果文本应以条文的形式表述规划结论。相关文字表述应当准确规范、简明扼要。</w:t>
            </w:r>
          </w:p>
          <w:p>
            <w:pPr>
              <w:pStyle w:val="null3"/>
              <w:jc w:val="both"/>
            </w:pPr>
            <w:r>
              <w:rPr>
                <w:rFonts w:ascii="仿宋_GB2312" w:hAnsi="仿宋_GB2312" w:cs="仿宋_GB2312" w:eastAsia="仿宋_GB2312"/>
                <w:sz w:val="21"/>
              </w:rPr>
              <w:t>（2）规划附件：包括规划附图、规划表格和其他材料汇编等。</w:t>
            </w:r>
          </w:p>
          <w:p>
            <w:pPr>
              <w:pStyle w:val="null3"/>
              <w:jc w:val="both"/>
            </w:pPr>
            <w:r>
              <w:rPr>
                <w:rFonts w:ascii="仿宋_GB2312" w:hAnsi="仿宋_GB2312" w:cs="仿宋_GB2312" w:eastAsia="仿宋_GB2312"/>
                <w:sz w:val="21"/>
              </w:rPr>
              <w:t>（3）规划文本、图集、基础资料汇编纸质成果 10套，电子版 1 份。</w:t>
            </w:r>
          </w:p>
          <w:p>
            <w:pPr>
              <w:pStyle w:val="null3"/>
              <w:jc w:val="both"/>
            </w:pPr>
            <w:r>
              <w:rPr>
                <w:rFonts w:ascii="仿宋_GB2312" w:hAnsi="仿宋_GB2312" w:cs="仿宋_GB2312" w:eastAsia="仿宋_GB2312"/>
                <w:sz w:val="21"/>
              </w:rPr>
              <w:t>（4）相关成果知识产权归采购人所有。</w:t>
            </w:r>
          </w:p>
          <w:p>
            <w:pPr>
              <w:pStyle w:val="null3"/>
              <w:jc w:val="both"/>
            </w:pPr>
            <w:r>
              <w:rPr>
                <w:rFonts w:ascii="仿宋_GB2312" w:hAnsi="仿宋_GB2312" w:cs="仿宋_GB2312" w:eastAsia="仿宋_GB2312"/>
                <w:sz w:val="21"/>
              </w:rPr>
              <w:t>五、人员要求</w:t>
            </w:r>
          </w:p>
          <w:p>
            <w:pPr>
              <w:pStyle w:val="null3"/>
              <w:jc w:val="left"/>
            </w:pPr>
            <w:r>
              <w:rPr>
                <w:rFonts w:ascii="仿宋_GB2312" w:hAnsi="仿宋_GB2312" w:cs="仿宋_GB2312" w:eastAsia="仿宋_GB2312"/>
                <w:sz w:val="21"/>
              </w:rPr>
              <w:t>供应商需针对本项目成立项目小组，负责本项目的实施。其中项目负责人负责对项目进行统筹安排及人员调度。</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b/>
              </w:rPr>
              <w:t>1、基本要求</w:t>
            </w:r>
          </w:p>
          <w:p>
            <w:pPr>
              <w:pStyle w:val="null3"/>
              <w:ind w:firstLine="400"/>
              <w:jc w:val="left"/>
            </w:pPr>
            <w:r>
              <w:rPr>
                <w:rFonts w:ascii="仿宋_GB2312" w:hAnsi="仿宋_GB2312" w:cs="仿宋_GB2312" w:eastAsia="仿宋_GB2312"/>
                <w:sz w:val="20"/>
              </w:rPr>
              <w:t>1.1</w:t>
            </w:r>
            <w:r>
              <w:rPr>
                <w:rFonts w:ascii="仿宋_GB2312" w:hAnsi="仿宋_GB2312" w:cs="仿宋_GB2312" w:eastAsia="仿宋_GB2312"/>
                <w:sz w:val="20"/>
              </w:rPr>
              <w:t>成交供应商应客观、公正、廉洁地履行采购人的服务任务职责，并接受采购人的监督管理，按时完成服务任务，工作质量达到采购人要求，对不符合质量要求或违反廉政纪律的，采购人将按照合同约定扣减相应服务费用或暂停服务任务或终止其服务合同或提请相关部门将其列入失信名单，并追究相关法律责任。</w:t>
            </w:r>
          </w:p>
          <w:p>
            <w:pPr>
              <w:pStyle w:val="null3"/>
              <w:ind w:firstLine="400"/>
              <w:jc w:val="left"/>
            </w:pPr>
            <w:r>
              <w:rPr>
                <w:rFonts w:ascii="仿宋_GB2312" w:hAnsi="仿宋_GB2312" w:cs="仿宋_GB2312" w:eastAsia="仿宋_GB2312"/>
                <w:sz w:val="20"/>
              </w:rPr>
              <w:t>1.2</w:t>
            </w:r>
            <w:r>
              <w:rPr>
                <w:rFonts w:ascii="仿宋_GB2312" w:hAnsi="仿宋_GB2312" w:cs="仿宋_GB2312" w:eastAsia="仿宋_GB2312"/>
                <w:sz w:val="20"/>
              </w:rPr>
              <w:t>成交供应商与采购人签订服务合同，双方按照合同约定共同承担和遵守；采购人根据工作需要有权对成交供应商进行考核。</w:t>
            </w:r>
          </w:p>
          <w:p>
            <w:pPr>
              <w:pStyle w:val="null3"/>
              <w:ind w:firstLine="400"/>
              <w:jc w:val="left"/>
            </w:pPr>
            <w:r>
              <w:rPr>
                <w:rFonts w:ascii="仿宋_GB2312" w:hAnsi="仿宋_GB2312" w:cs="仿宋_GB2312" w:eastAsia="仿宋_GB2312"/>
                <w:sz w:val="20"/>
              </w:rPr>
              <w:t>1.3</w:t>
            </w:r>
            <w:r>
              <w:rPr>
                <w:rFonts w:ascii="仿宋_GB2312" w:hAnsi="仿宋_GB2312" w:cs="仿宋_GB2312" w:eastAsia="仿宋_GB2312"/>
                <w:sz w:val="20"/>
              </w:rPr>
              <w:t>供应商在服务期间，可能因国家政策变化或其他原因导致无具体业务执行，采购人不保证供应商的具体业务量，均按实际发生业务结算。请供应商考虑此风险的情况下自主决定是否参与本项目。</w:t>
            </w:r>
          </w:p>
          <w:p>
            <w:pPr>
              <w:pStyle w:val="null3"/>
              <w:ind w:firstLine="400"/>
              <w:jc w:val="left"/>
            </w:pPr>
            <w:r>
              <w:rPr>
                <w:rFonts w:ascii="仿宋_GB2312" w:hAnsi="仿宋_GB2312" w:cs="仿宋_GB2312" w:eastAsia="仿宋_GB2312"/>
                <w:sz w:val="20"/>
              </w:rPr>
              <w:t>1.4</w:t>
            </w:r>
            <w:r>
              <w:rPr>
                <w:rFonts w:ascii="仿宋_GB2312" w:hAnsi="仿宋_GB2312" w:cs="仿宋_GB2312" w:eastAsia="仿宋_GB2312"/>
                <w:sz w:val="20"/>
              </w:rPr>
              <w:t>成交供应商在服务期间不得泄露任何服务内容相关信息。</w:t>
            </w:r>
            <w:r>
              <w:rPr>
                <w:rFonts w:ascii="仿宋_GB2312" w:hAnsi="仿宋_GB2312" w:cs="仿宋_GB2312" w:eastAsia="仿宋_GB2312"/>
                <w:sz w:val="20"/>
                <w:b/>
              </w:rPr>
              <w:t>（提供承诺函并加盖供应商电子签章，格式自拟）</w:t>
            </w:r>
          </w:p>
          <w:p>
            <w:pPr>
              <w:pStyle w:val="null3"/>
              <w:ind w:firstLine="402"/>
              <w:jc w:val="left"/>
            </w:pPr>
            <w:r>
              <w:rPr>
                <w:rFonts w:ascii="仿宋_GB2312" w:hAnsi="仿宋_GB2312" w:cs="仿宋_GB2312" w:eastAsia="仿宋_GB2312"/>
                <w:sz w:val="20"/>
                <w:b/>
              </w:rPr>
              <w:t>2</w:t>
            </w:r>
            <w:r>
              <w:rPr>
                <w:rFonts w:ascii="仿宋_GB2312" w:hAnsi="仿宋_GB2312" w:cs="仿宋_GB2312" w:eastAsia="仿宋_GB2312"/>
                <w:sz w:val="20"/>
                <w:b/>
              </w:rPr>
              <w:t>、能力要求：</w:t>
            </w:r>
          </w:p>
          <w:p>
            <w:pPr>
              <w:pStyle w:val="null3"/>
              <w:ind w:firstLine="400"/>
              <w:jc w:val="left"/>
            </w:pPr>
            <w:r>
              <w:rPr>
                <w:rFonts w:ascii="仿宋_GB2312" w:hAnsi="仿宋_GB2312" w:cs="仿宋_GB2312" w:eastAsia="仿宋_GB2312"/>
                <w:sz w:val="20"/>
              </w:rPr>
              <w:t>2.1</w:t>
            </w:r>
            <w:r>
              <w:rPr>
                <w:rFonts w:ascii="仿宋_GB2312" w:hAnsi="仿宋_GB2312" w:cs="仿宋_GB2312" w:eastAsia="仿宋_GB2312"/>
                <w:sz w:val="20"/>
              </w:rPr>
              <w:t>具有内控制度以及质量保障体系；</w:t>
            </w:r>
          </w:p>
          <w:p>
            <w:pPr>
              <w:pStyle w:val="null3"/>
              <w:ind w:firstLine="400"/>
              <w:jc w:val="left"/>
            </w:pPr>
            <w:r>
              <w:rPr>
                <w:rFonts w:ascii="仿宋_GB2312" w:hAnsi="仿宋_GB2312" w:cs="仿宋_GB2312" w:eastAsia="仿宋_GB2312"/>
                <w:sz w:val="21"/>
              </w:rPr>
              <w:t>★2.2</w:t>
            </w:r>
            <w:r>
              <w:rPr>
                <w:rFonts w:ascii="仿宋_GB2312" w:hAnsi="仿宋_GB2312" w:cs="仿宋_GB2312" w:eastAsia="仿宋_GB2312"/>
                <w:sz w:val="21"/>
              </w:rPr>
              <w:t>供应商需为本项目配置专业的服务团队，必要时需按采购人要求现场集中办公。在规划编制工作开展期间，供应商技术服务团队成员在服务过程中原则上不得临时调换，否则采购人有权以虚假响应追究成交供应商相关责任（供应商如因不可抗力需调整团队人员的，应向采购人提出书面申请，经同意后方可更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付款进度安排（以此为准）</w:t>
            </w:r>
          </w:p>
        </w:tc>
        <w:tc>
          <w:tcPr>
            <w:tcW w:type="dxa" w:w="5814"/>
          </w:tcPr>
          <w:p>
            <w:pPr>
              <w:pStyle w:val="null3"/>
              <w:jc w:val="left"/>
            </w:pPr>
            <w:r>
              <w:rPr>
                <w:rFonts w:ascii="仿宋_GB2312" w:hAnsi="仿宋_GB2312" w:cs="仿宋_GB2312" w:eastAsia="仿宋_GB2312"/>
                <w:sz w:val="32"/>
              </w:rPr>
              <w:t>【因系统固化原因，3.3.2.商务要求中的付款进度安排不适用本项目，具体付款进度安排以此为准；供应商应答“付款进度安排”时，可仅应答本条要求即可，对于3.3.2商务要求中“付款进度安排”要求的应答不作强制要求】</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合同签订后，提交《四川省“十五五”低空经济发展规划》送审稿且收到供应商有效发票之日起 15 个工作日内支付合同金额的 50%；</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提交《四川省“十五五”低空经济发展规划》印发稿和研究报告（规划支撑详本）且项目成果验收合格后，供应商应当在采购人组织验收合格之日起，7 个工作日内开具等额发票交予采购人，采购人收到供应商有效发票之日起15个工作日内支付合同金额的 50%。</w:t>
            </w:r>
          </w:p>
          <w:p>
            <w:pPr>
              <w:pStyle w:val="null3"/>
              <w:jc w:val="left"/>
            </w:pPr>
            <w:r>
              <w:rPr>
                <w:rFonts w:ascii="仿宋_GB2312" w:hAnsi="仿宋_GB2312" w:cs="仿宋_GB2312" w:eastAsia="仿宋_GB2312"/>
                <w:sz w:val="21"/>
              </w:rPr>
              <w:t>注：每次付款前，成交供应商须向采购人出具合法有效完整的增值税发票及凭证资料后进行支付结算，付款方式均采用公对公的银行转账，采购人接受转账的开户信息以合同载明的为准。如因成交供应商未按照要求提供合法有效的发票导致逾期付款的，不视为采购人违约，采购人不承担任何责任。</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自合同签订之日起300天。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因系统固化原因，本项目“验收、交付标准和方法”以此为准，招标文件第二章2.6.6.履约验收方案中内容若与此处要求有冲突的，以此处要求为准： 1.验收组织方式：自行验收； 2.是否邀请本项目的其他供应商：否； 3.是否邀请专家：否； 4.是否邀请服务对象：否； 5.是否邀请第三方检测机构：否； 6.履约验收程序：一次性验收； 7.履约验收时间：成交供应商提出验收申请之日起，达到验收条件起30日内，验收合同总金额的100%； 8.验收组织的其他事项：无； 9.技术履约验收内容：根据采购文件中“技术要求”及成交供应商响应文件内容进行验收； 10.商务履约验收内容：根据采购文件中“服务要求”、“其他要求”及成交供应商响应文件内容进行验收； 11.履约验收标准：由采购人组织，按照财政部发布的《关于进一步加强政府采购需求和履约验收管理的指导意见》（财库[2016]205号）的要求以及本项目采购文件、成交供应商的响应文件进行验收； 12.履约验收其他事项：无。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1、合同款项，合同签订后，提交《四川省“十五五”低空经济发展规划》送审稿且收到供应商有效发票之日起，达到付款条件起15日内，支付合同总金额的50.00%</w:t>
            </w:r>
          </w:p>
          <w:p>
            <w:pPr>
              <w:pStyle w:val="null3"/>
              <w:jc w:val="left"/>
            </w:pPr>
            <w:r>
              <w:rPr>
                <w:rFonts w:ascii="仿宋_GB2312" w:hAnsi="仿宋_GB2312" w:cs="仿宋_GB2312" w:eastAsia="仿宋_GB2312"/>
              </w:rPr>
              <w:t>2、合同款项，提交《四川省“十五五”低空经济发展规划》印发稿和研究报告（规划支撑详本）且项目成果验收合格后，供应商应当在采购人组织验收合格之日起，7 个工作日内开具等额发票交予采购人，达到付款条件起15日内，支付合同总金额的50.00%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按照采购合同约定执行。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第三章“技术、服务及其他要求”中“3.2.技术要求”，“3.3.服务要求”中全部内容。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第七章“拟签订采购合同文本”中全部内容。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①可提供2023年度或2024年度经审计的财务报告，②也可提供2024年度供应商内部的财务报表扫描件（至少包含资产负债表）；③也可提供截至投标文件提交截止之日前一年内银行出具的资信证明；④投标人注册时间截至投标文件提交截止之日前不足一年的，也可提供在相关主管部门备案的公司章程等证明材料。供应商提供的证明资料满足以上任意一项均视为符合要求。</w:t>
            </w:r>
          </w:p>
        </w:tc>
        <w:tc>
          <w:tcPr>
            <w:tcW w:type="dxa" w:w="1910"/>
          </w:tcPr>
          <w:p>
            <w:pPr>
              <w:pStyle w:val="null3"/>
              <w:jc w:val="left"/>
            </w:pPr>
            <w:r>
              <w:rPr>
                <w:rFonts w:ascii="仿宋_GB2312" w:hAnsi="仿宋_GB2312" w:cs="仿宋_GB2312" w:eastAsia="仿宋_GB2312"/>
              </w:rPr>
              <w:t>供应商应提交的相关资格证明材料.docx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采购包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910"/>
          </w:tcPr>
          <w:p>
            <w:pPr>
              <w:pStyle w:val="null3"/>
              <w:jc w:val="left"/>
            </w:pPr>
            <w:r>
              <w:rPr>
                <w:rFonts w:ascii="仿宋_GB2312" w:hAnsi="仿宋_GB2312" w:cs="仿宋_GB2312" w:eastAsia="仿宋_GB2312"/>
              </w:rPr>
              <w:t>供应商认为需要提供的其他证明材料.docx,服务要求应答表.docx,报价明细表,报价表,投标（响应）函,技术要求应答表.docx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供应商按照采购文件要求上传相关材料</w:t>
            </w:r>
          </w:p>
        </w:tc>
        <w:tc>
          <w:tcPr>
            <w:tcW w:type="dxa" w:w="1910"/>
          </w:tcPr>
          <w:p>
            <w:pPr>
              <w:pStyle w:val="null3"/>
              <w:jc w:val="left"/>
            </w:pPr>
            <w:r>
              <w:rPr>
                <w:rFonts w:ascii="仿宋_GB2312" w:hAnsi="仿宋_GB2312" w:cs="仿宋_GB2312" w:eastAsia="仿宋_GB2312"/>
              </w:rPr>
              <w:t>供应商认为需要提供的其他证明材料.docx,服务要求应答表.docx,报价明细表,报价表,投标（响应）函,技术要求应答表.docx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报价明细表,报价表</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需要供应商进行承诺的实质性要求（以此为准）</w:t>
            </w:r>
          </w:p>
        </w:tc>
        <w:tc>
          <w:tcPr>
            <w:tcW w:type="dxa" w:w="3322"/>
          </w:tcPr>
          <w:p>
            <w:pPr>
              <w:pStyle w:val="null3"/>
              <w:jc w:val="left"/>
            </w:pPr>
            <w:r>
              <w:rPr>
                <w:rFonts w:ascii="仿宋_GB2312" w:hAnsi="仿宋_GB2312" w:cs="仿宋_GB2312" w:eastAsia="仿宋_GB2312"/>
              </w:rPr>
              <w:t>因一体化系统固化，序号1中的“具体标准和要求：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不适用本项目，以此处内容为准：采购文件中明确要求单独提供承诺函的，供应商按照采购文件要求上传承诺函。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供应商认为需要提供的其他证明材料.docx,投标（响应）函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项目理解方案</w:t>
            </w:r>
          </w:p>
        </w:tc>
        <w:tc>
          <w:tcPr>
            <w:tcW w:type="dxa" w:w="2575"/>
          </w:tcPr>
          <w:p>
            <w:pPr>
              <w:pStyle w:val="null3"/>
              <w:jc w:val="left"/>
            </w:pPr>
            <w:r>
              <w:rPr>
                <w:rFonts w:ascii="仿宋_GB2312" w:hAnsi="仿宋_GB2312" w:cs="仿宋_GB2312" w:eastAsia="仿宋_GB2312"/>
              </w:rPr>
              <w:t>供应商需针对本项目提供项目理解方案，内容至少包括：①项目实施背景、②四川省低空现状分析、③研究意义。 完整提供上述3项内容的得18分；每有一项未提供扣6分，扣完为止；每有一处有缺陷扣3分，每项最多扣6分。 （缺陷是指存在项目名称错误、地点区域错误、内容与本项目需求无关、有框架或标题、适用的标准（方法）错误、明显复制其他项目内容等任意一种情形）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供应商需针对本项目提供实施方案，内容至少包括①主要研究方法、②主要研究内容、③项目重难点分析及解决方法。 完整提供上述3项内容的得18分；每有一项未提供扣6分，扣完为止；每有一处有缺陷扣3分，每项最多扣6分。 （缺陷是指存在项目名称错误、地点区域错误、内容与本项目需求无关、仅有框架或标题、适用的标准（方法）错误、明显复制其他项目内容等任意一种情形）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进度计划方案</w:t>
            </w:r>
          </w:p>
        </w:tc>
        <w:tc>
          <w:tcPr>
            <w:tcW w:type="dxa" w:w="2575"/>
          </w:tcPr>
          <w:p>
            <w:pPr>
              <w:pStyle w:val="null3"/>
              <w:jc w:val="left"/>
            </w:pPr>
            <w:r>
              <w:rPr>
                <w:rFonts w:ascii="仿宋_GB2312" w:hAnsi="仿宋_GB2312" w:cs="仿宋_GB2312" w:eastAsia="仿宋_GB2312"/>
              </w:rPr>
              <w:t>供应商需针对本项目提供进度计划方案，内容至少包括①进度控制方案、②调研计划及进度保障措施。 完整提供上述2项内容的得14分；每有一项未提供扣7分，扣完为止；每有一处有缺陷扣3.5分，每项最多扣7分。 （缺陷是指存在项目名称错误、地点区域错误、内容与本项目需求无关、仅有框架或标题、适用的标准（方法）错误、明显复制其他项目内容等任意一种情形）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质量保障措施</w:t>
            </w:r>
          </w:p>
        </w:tc>
        <w:tc>
          <w:tcPr>
            <w:tcW w:type="dxa" w:w="2575"/>
          </w:tcPr>
          <w:p>
            <w:pPr>
              <w:pStyle w:val="null3"/>
              <w:jc w:val="left"/>
            </w:pPr>
            <w:r>
              <w:rPr>
                <w:rFonts w:ascii="仿宋_GB2312" w:hAnsi="仿宋_GB2312" w:cs="仿宋_GB2312" w:eastAsia="仿宋_GB2312"/>
              </w:rPr>
              <w:t>供应商需针对本项目提供质量保障措施，内容至少包括①项目成果质量保障、②服务管理措施。 完整提供上述2项内容的得10分；每有一项未提供扣5分，扣完为止；每有一处有缺陷扣2.5分，每项最多扣5分。 （缺陷是指存在项目名称错误、地点区域错误、内容与本项目需求无关、仅有框架或标题、适用的标准（方法）错误、明显复制其他项目内容等任意一种情形）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 项目负责人具有博士学位，提供学位证书得1分，具有规划类或经济类或情报类或管理类专业高级技术职称得2分。本项最高得3分。 说明：需提供相关证书扫描件并加盖供应商公章。 （2）项目成员（除项目负责人外） ①项目成员具有硕士或以上学位且专业涵盖工学、理学领域，每提供一个得1分，本项最高得5分； ②项目成员具有副高级技术职称及以上，每提供一个得1分，本项最高得5分； ③项目成员具有注册咨询工程师（投资）证书，每提供一个得1分，本项最高得5分。 注：①一人多证可重复计分；②需提供相关证书扫描件并加盖供应商公章。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供应商提供自2024年1月1日至响应文件递交截止之日类似项目业绩，每提供1份，得2分，满分12分。类似项目业绩是指：低空经济领域业绩。 注：①业绩认定时间以合同签订时间为准；②需提供合同扫描件（合同扫描件至少应包括签订合同的首页、项目名称、服务内容页及签字盖章页等关键页并加盖供应商公章）。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供应商认为需要提供的其他证明材料.docx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满足磋商文件要求且响应价格最低的响应报价为磋商基准价，其价格分为满分。其他供应商的价格分统一按照下列公式计算：磋商报价得分=(磋商基准价／最后磋商报价)*10%*100。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详见附件：供应商认为需要提供的其他证明材料.docx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