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062F95">
      <w:pPr>
        <w:kinsoku w:val="0"/>
        <w:autoSpaceDE w:val="0"/>
        <w:autoSpaceDN w:val="0"/>
        <w:adjustRightInd w:val="0"/>
        <w:snapToGrid w:val="0"/>
        <w:spacing w:line="275"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2B7273EE">
      <w:pPr>
        <w:kinsoku w:val="0"/>
        <w:autoSpaceDE w:val="0"/>
        <w:autoSpaceDN w:val="0"/>
        <w:adjustRightInd w:val="0"/>
        <w:snapToGrid w:val="0"/>
        <w:spacing w:line="275"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76FE279D">
      <w:pPr>
        <w:kinsoku w:val="0"/>
        <w:autoSpaceDE w:val="0"/>
        <w:autoSpaceDN w:val="0"/>
        <w:adjustRightInd w:val="0"/>
        <w:snapToGrid w:val="0"/>
        <w:spacing w:line="276"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3E068377">
      <w:pPr>
        <w:bidi w:val="0"/>
        <w:jc w:val="center"/>
        <w:outlineLvl w:val="9"/>
        <w:rPr>
          <w:rFonts w:hint="eastAsia" w:ascii="宋体" w:hAnsi="宋体" w:eastAsia="宋体" w:cs="宋体"/>
          <w:b w:val="0"/>
          <w:bCs w:val="0"/>
          <w:color w:val="000000"/>
          <w:sz w:val="52"/>
          <w:szCs w:val="52"/>
          <w:lang w:val="en-US" w:eastAsia="en-US" w:bidi="ar-SA"/>
        </w:rPr>
      </w:pPr>
      <w:r>
        <w:rPr>
          <w:rFonts w:hint="eastAsia" w:ascii="宋体" w:hAnsi="宋体" w:eastAsia="宋体" w:cs="宋体"/>
          <w:b w:val="0"/>
          <w:bCs w:val="0"/>
          <w:color w:val="000000"/>
          <w:sz w:val="52"/>
          <w:szCs w:val="52"/>
          <w:lang w:val="en-US" w:eastAsia="en-US" w:bidi="ar-SA"/>
        </w:rPr>
        <w:t>耿马县2024年小型水库维修养护工程</w:t>
      </w:r>
    </w:p>
    <w:p w14:paraId="4DC5AE20">
      <w:pPr>
        <w:bidi w:val="0"/>
        <w:jc w:val="center"/>
        <w:outlineLvl w:val="9"/>
        <w:rPr>
          <w:rFonts w:hint="eastAsia" w:ascii="宋体" w:hAnsi="宋体" w:eastAsia="宋体" w:cs="宋体"/>
          <w:b w:val="0"/>
          <w:bCs w:val="0"/>
          <w:color w:val="000000"/>
          <w:sz w:val="52"/>
          <w:szCs w:val="52"/>
          <w:lang w:val="en-US" w:eastAsia="zh-CN" w:bidi="ar-SA"/>
        </w:rPr>
      </w:pPr>
      <w:r>
        <w:rPr>
          <w:rFonts w:hint="eastAsia" w:ascii="宋体" w:hAnsi="宋体" w:eastAsia="宋体" w:cs="宋体"/>
          <w:b w:val="0"/>
          <w:bCs w:val="0"/>
          <w:color w:val="000000"/>
          <w:sz w:val="52"/>
          <w:szCs w:val="52"/>
          <w:lang w:val="en-US" w:eastAsia="zh-CN" w:bidi="ar-SA"/>
        </w:rPr>
        <w:t>第</w:t>
      </w:r>
      <w:r>
        <w:rPr>
          <w:rFonts w:hint="eastAsia" w:ascii="宋体" w:hAnsi="宋体" w:eastAsia="宋体" w:cs="宋体"/>
          <w:b w:val="0"/>
          <w:bCs w:val="0"/>
          <w:color w:val="000000"/>
          <w:sz w:val="52"/>
          <w:szCs w:val="52"/>
          <w:u w:val="single"/>
          <w:lang w:val="en-US" w:eastAsia="zh-CN" w:bidi="ar-SA"/>
        </w:rPr>
        <w:t xml:space="preserve">  三  </w:t>
      </w:r>
      <w:r>
        <w:rPr>
          <w:rFonts w:hint="eastAsia" w:ascii="宋体" w:hAnsi="宋体" w:eastAsia="宋体" w:cs="宋体"/>
          <w:b w:val="0"/>
          <w:bCs w:val="0"/>
          <w:color w:val="000000"/>
          <w:sz w:val="52"/>
          <w:szCs w:val="52"/>
          <w:lang w:val="en-US" w:eastAsia="zh-CN" w:bidi="ar-SA"/>
        </w:rPr>
        <w:t>标段</w:t>
      </w:r>
    </w:p>
    <w:p w14:paraId="1BA0D8D9">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0BE5E43C">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0ECD00EB">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1F40AFD6">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704A2837">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2CD94243">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5DBF72C4">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3D6F7D96">
      <w:pPr>
        <w:widowControl w:val="0"/>
        <w:spacing w:before="120" w:after="120"/>
        <w:jc w:val="center"/>
        <w:outlineLvl w:val="9"/>
        <w:rPr>
          <w:rFonts w:hint="eastAsia" w:ascii="微软雅黑 Light" w:hAnsi="微软雅黑 Light" w:eastAsia="微软雅黑 Light" w:cs="微软雅黑 Light"/>
          <w:b/>
          <w:bCs/>
          <w:caps/>
          <w:smallCaps w:val="0"/>
          <w:color w:val="auto"/>
          <w:spacing w:val="34"/>
          <w:kern w:val="2"/>
          <w:sz w:val="84"/>
          <w:szCs w:val="84"/>
          <w:highlight w:val="none"/>
          <w:lang w:val="en-US" w:eastAsia="en-US" w:bidi="ar-SA"/>
        </w:rPr>
      </w:pPr>
    </w:p>
    <w:p w14:paraId="2B2773F2">
      <w:pPr>
        <w:widowControl w:val="0"/>
        <w:spacing w:before="120" w:after="120"/>
        <w:jc w:val="center"/>
        <w:outlineLvl w:val="9"/>
        <w:rPr>
          <w:rFonts w:hint="eastAsia" w:ascii="黑体" w:hAnsi="黑体" w:eastAsia="黑体" w:cs="黑体"/>
          <w:b w:val="0"/>
          <w:bCs w:val="0"/>
          <w:caps/>
          <w:smallCaps w:val="0"/>
          <w:color w:val="auto"/>
          <w:spacing w:val="34"/>
          <w:kern w:val="2"/>
          <w:sz w:val="84"/>
          <w:szCs w:val="84"/>
          <w:highlight w:val="none"/>
          <w:lang w:val="en-US" w:eastAsia="en-US" w:bidi="ar-SA"/>
        </w:rPr>
      </w:pPr>
      <w:r>
        <w:rPr>
          <w:rFonts w:hint="eastAsia" w:ascii="黑体" w:hAnsi="黑体" w:eastAsia="黑体" w:cs="黑体"/>
          <w:b w:val="0"/>
          <w:bCs w:val="0"/>
          <w:caps/>
          <w:smallCaps w:val="0"/>
          <w:color w:val="auto"/>
          <w:spacing w:val="34"/>
          <w:kern w:val="2"/>
          <w:sz w:val="84"/>
          <w:szCs w:val="84"/>
          <w:highlight w:val="none"/>
          <w:lang w:val="en-US" w:eastAsia="en-US" w:bidi="ar-SA"/>
        </w:rPr>
        <w:t>竞争性</w:t>
      </w:r>
      <w:r>
        <w:rPr>
          <w:rFonts w:hint="eastAsia" w:ascii="黑体" w:hAnsi="黑体" w:eastAsia="黑体" w:cs="黑体"/>
          <w:b w:val="0"/>
          <w:bCs w:val="0"/>
          <w:caps/>
          <w:smallCaps w:val="0"/>
          <w:color w:val="auto"/>
          <w:spacing w:val="34"/>
          <w:kern w:val="2"/>
          <w:sz w:val="84"/>
          <w:szCs w:val="84"/>
          <w:highlight w:val="none"/>
          <w:lang w:val="en-US" w:eastAsia="zh-CN" w:bidi="ar-SA"/>
        </w:rPr>
        <w:t>磋商</w:t>
      </w:r>
      <w:r>
        <w:rPr>
          <w:rFonts w:hint="eastAsia" w:ascii="黑体" w:hAnsi="黑体" w:eastAsia="黑体" w:cs="黑体"/>
          <w:b w:val="0"/>
          <w:bCs w:val="0"/>
          <w:caps/>
          <w:smallCaps w:val="0"/>
          <w:color w:val="auto"/>
          <w:spacing w:val="34"/>
          <w:kern w:val="2"/>
          <w:sz w:val="84"/>
          <w:szCs w:val="84"/>
          <w:highlight w:val="none"/>
          <w:lang w:val="en-US" w:eastAsia="en-US" w:bidi="ar-SA"/>
        </w:rPr>
        <w:t>文件</w:t>
      </w:r>
    </w:p>
    <w:p w14:paraId="533BF512">
      <w:pPr>
        <w:spacing w:before="100" w:line="225" w:lineRule="auto"/>
        <w:jc w:val="both"/>
        <w:outlineLvl w:val="9"/>
        <w:rPr>
          <w:rFonts w:hint="eastAsia" w:ascii="宋体" w:hAnsi="宋体" w:eastAsia="宋体" w:cs="宋体"/>
          <w:color w:val="000000"/>
          <w:sz w:val="31"/>
          <w:szCs w:val="31"/>
          <w:lang w:val="en-US" w:eastAsia="zh-CN" w:bidi="ar-SA"/>
        </w:rPr>
      </w:pPr>
    </w:p>
    <w:p w14:paraId="2732D9FE">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70C3DDCE">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7261B0FB">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6FD0302E">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5B5559D0">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5DD0A639">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62E61595">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1C70179E">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33B1574C">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4C117F64">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3D413FB3">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1616AC6E">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0C607FF9">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72EA1423">
      <w:pPr>
        <w:keepNext w:val="0"/>
        <w:keepLines w:val="0"/>
        <w:pageBreakBefore w:val="0"/>
        <w:widowControl/>
        <w:kinsoku w:val="0"/>
        <w:wordWrap/>
        <w:overflowPunct/>
        <w:topLinePunct w:val="0"/>
        <w:autoSpaceDE w:val="0"/>
        <w:autoSpaceDN w:val="0"/>
        <w:bidi w:val="0"/>
        <w:adjustRightInd w:val="0"/>
        <w:snapToGrid w:val="0"/>
        <w:spacing w:line="480" w:lineRule="auto"/>
        <w:ind w:firstLine="560" w:firstLineChars="200"/>
        <w:jc w:val="left"/>
        <w:textAlignment w:val="baseline"/>
        <w:outlineLvl w:val="9"/>
        <w:rPr>
          <w:rFonts w:hint="eastAsia" w:ascii="宋体" w:hAnsi="宋体" w:eastAsia="宋体" w:cs="宋体"/>
          <w:b w:val="0"/>
          <w:bCs w:val="0"/>
          <w:color w:val="000000"/>
          <w:sz w:val="28"/>
          <w:szCs w:val="28"/>
          <w:lang w:val="en-US" w:eastAsia="zh-CN" w:bidi="ar-SA"/>
        </w:rPr>
      </w:pPr>
      <w:r>
        <w:rPr>
          <w:rFonts w:hint="eastAsia" w:ascii="宋体" w:hAnsi="宋体" w:eastAsia="宋体" w:cs="宋体"/>
          <w:b w:val="0"/>
          <w:bCs w:val="0"/>
          <w:color w:val="000000"/>
          <w:sz w:val="28"/>
          <w:szCs w:val="28"/>
          <w:lang w:val="en-US" w:eastAsia="zh-CN" w:bidi="ar-SA"/>
        </w:rPr>
        <w:t>采购</w:t>
      </w:r>
      <w:r>
        <w:rPr>
          <w:rFonts w:hint="eastAsia" w:ascii="宋体" w:hAnsi="宋体" w:eastAsia="宋体" w:cs="宋体"/>
          <w:b w:val="0"/>
          <w:bCs w:val="0"/>
          <w:color w:val="000000"/>
          <w:sz w:val="28"/>
          <w:szCs w:val="28"/>
          <w:lang w:val="en-US" w:eastAsia="en-US" w:bidi="ar-SA"/>
        </w:rPr>
        <w:t>人：</w:t>
      </w:r>
      <w:r>
        <w:rPr>
          <w:rFonts w:hint="eastAsia" w:ascii="宋体" w:hAnsi="宋体" w:eastAsia="宋体" w:cs="宋体"/>
          <w:b w:val="0"/>
          <w:bCs w:val="0"/>
          <w:color w:val="000000"/>
          <w:sz w:val="28"/>
          <w:szCs w:val="28"/>
          <w:lang w:val="en-US" w:eastAsia="zh-CN" w:bidi="ar-SA"/>
        </w:rPr>
        <w:t>耿马傣族佤族自治县水务局</w:t>
      </w:r>
    </w:p>
    <w:p w14:paraId="53E80956">
      <w:pPr>
        <w:keepNext w:val="0"/>
        <w:keepLines w:val="0"/>
        <w:pageBreakBefore w:val="0"/>
        <w:widowControl/>
        <w:kinsoku w:val="0"/>
        <w:wordWrap/>
        <w:overflowPunct/>
        <w:topLinePunct w:val="0"/>
        <w:autoSpaceDE w:val="0"/>
        <w:autoSpaceDN w:val="0"/>
        <w:bidi w:val="0"/>
        <w:adjustRightInd w:val="0"/>
        <w:snapToGrid w:val="0"/>
        <w:spacing w:line="480" w:lineRule="auto"/>
        <w:ind w:firstLine="560" w:firstLineChars="200"/>
        <w:jc w:val="left"/>
        <w:textAlignment w:val="baseline"/>
        <w:outlineLvl w:val="9"/>
        <w:rPr>
          <w:rFonts w:hint="default" w:ascii="宋体" w:hAnsi="宋体" w:eastAsia="宋体" w:cs="宋体"/>
          <w:b w:val="0"/>
          <w:bCs w:val="0"/>
          <w:color w:val="000000"/>
          <w:sz w:val="28"/>
          <w:szCs w:val="28"/>
          <w:lang w:val="en-US" w:eastAsia="zh-CN" w:bidi="ar-SA"/>
        </w:rPr>
      </w:pPr>
      <w:r>
        <w:rPr>
          <w:rFonts w:hint="eastAsia" w:ascii="宋体" w:hAnsi="宋体" w:eastAsia="宋体" w:cs="宋体"/>
          <w:b w:val="0"/>
          <w:bCs w:val="0"/>
          <w:color w:val="000000"/>
          <w:sz w:val="28"/>
          <w:szCs w:val="28"/>
          <w:lang w:val="en-US" w:eastAsia="zh-CN" w:bidi="ar-SA"/>
        </w:rPr>
        <w:t>采购</w:t>
      </w:r>
      <w:r>
        <w:rPr>
          <w:rFonts w:hint="eastAsia" w:ascii="宋体" w:hAnsi="宋体" w:eastAsia="宋体" w:cs="宋体"/>
          <w:b w:val="0"/>
          <w:bCs w:val="0"/>
          <w:color w:val="000000"/>
          <w:sz w:val="28"/>
          <w:szCs w:val="28"/>
          <w:lang w:val="en-US" w:eastAsia="en-US" w:bidi="ar-SA"/>
        </w:rPr>
        <w:t>代理机构：</w:t>
      </w:r>
      <w:r>
        <w:rPr>
          <w:rFonts w:hint="eastAsia" w:ascii="宋体" w:hAnsi="宋体" w:eastAsia="宋体" w:cs="宋体"/>
          <w:b w:val="0"/>
          <w:bCs w:val="0"/>
          <w:color w:val="000000"/>
          <w:sz w:val="28"/>
          <w:szCs w:val="28"/>
          <w:lang w:val="en-US" w:eastAsia="zh-CN" w:bidi="ar-SA"/>
        </w:rPr>
        <w:t>云南方圆工程咨询有限公司</w:t>
      </w:r>
    </w:p>
    <w:p w14:paraId="7CA2343B">
      <w:pPr>
        <w:keepNext w:val="0"/>
        <w:keepLines w:val="0"/>
        <w:pageBreakBefore w:val="0"/>
        <w:widowControl/>
        <w:kinsoku w:val="0"/>
        <w:wordWrap/>
        <w:overflowPunct/>
        <w:topLinePunct w:val="0"/>
        <w:autoSpaceDE w:val="0"/>
        <w:autoSpaceDN w:val="0"/>
        <w:bidi w:val="0"/>
        <w:adjustRightInd w:val="0"/>
        <w:snapToGrid w:val="0"/>
        <w:spacing w:line="480" w:lineRule="auto"/>
        <w:ind w:firstLine="560" w:firstLineChars="200"/>
        <w:textAlignment w:val="baseline"/>
        <w:outlineLvl w:val="9"/>
        <w:rPr>
          <w:rFonts w:hint="eastAsia" w:ascii="宋体" w:hAnsi="宋体" w:eastAsia="宋体" w:cs="宋体"/>
          <w:b w:val="0"/>
          <w:bCs w:val="0"/>
          <w:color w:val="000000"/>
          <w:sz w:val="28"/>
          <w:szCs w:val="28"/>
          <w:lang w:val="en-US" w:eastAsia="zh-CN" w:bidi="ar-SA"/>
        </w:rPr>
        <w:sectPr>
          <w:pgSz w:w="11906" w:h="16838"/>
          <w:pgMar w:top="1417" w:right="1587" w:bottom="1417" w:left="1587" w:header="851" w:footer="992" w:gutter="0"/>
          <w:cols w:space="425" w:num="1"/>
          <w:docGrid w:type="lines" w:linePitch="312" w:charSpace="0"/>
        </w:sectPr>
      </w:pPr>
      <w:r>
        <w:rPr>
          <w:rFonts w:hint="eastAsia" w:ascii="宋体" w:hAnsi="宋体" w:eastAsia="宋体" w:cs="宋体"/>
          <w:b w:val="0"/>
          <w:bCs w:val="0"/>
          <w:color w:val="000000"/>
          <w:sz w:val="28"/>
          <w:szCs w:val="28"/>
          <w:lang w:val="en-US" w:eastAsia="zh-CN" w:bidi="ar-SA"/>
        </w:rPr>
        <w:t>编制日期：2024年8月</w:t>
      </w:r>
    </w:p>
    <w:p w14:paraId="1B444CC5">
      <w:pPr>
        <w:keepNext w:val="0"/>
        <w:keepLines w:val="0"/>
        <w:pageBreakBefore w:val="0"/>
        <w:widowControl w:val="0"/>
        <w:kinsoku/>
        <w:wordWrap/>
        <w:overflowPunct/>
        <w:topLinePunct w:val="0"/>
        <w:autoSpaceDE w:val="0"/>
        <w:autoSpaceDN w:val="0"/>
        <w:bidi w:val="0"/>
        <w:adjustRightInd/>
        <w:snapToGrid/>
        <w:spacing w:before="313" w:beforeLines="100" w:after="313" w:afterLines="100"/>
        <w:ind w:left="0" w:right="0"/>
        <w:jc w:val="center"/>
        <w:textAlignment w:val="auto"/>
        <w:outlineLvl w:val="9"/>
        <w:rPr>
          <w:rFonts w:hint="eastAsia" w:ascii="宋体" w:hAnsi="宋体" w:eastAsia="宋体" w:cs="宋体"/>
          <w:b/>
          <w:bCs/>
          <w:snapToGrid/>
          <w:kern w:val="0"/>
          <w:sz w:val="40"/>
          <w:szCs w:val="40"/>
          <w:highlight w:val="none"/>
          <w:lang w:val="zh-CN" w:eastAsia="zh-CN" w:bidi="zh-CN"/>
        </w:rPr>
      </w:pPr>
      <w:r>
        <w:rPr>
          <w:rFonts w:hint="eastAsia" w:ascii="宋体" w:hAnsi="宋体" w:eastAsia="宋体" w:cs="宋体"/>
          <w:b/>
          <w:bCs/>
          <w:snapToGrid/>
          <w:kern w:val="0"/>
          <w:sz w:val="40"/>
          <w:szCs w:val="40"/>
          <w:highlight w:val="none"/>
          <w:lang w:val="zh-CN" w:eastAsia="zh-CN" w:bidi="zh-CN"/>
        </w:rPr>
        <w:t>注意事项</w:t>
      </w:r>
    </w:p>
    <w:p w14:paraId="5A14A7ED">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zh-CN" w:eastAsia="zh-CN" w:bidi="zh-CN"/>
        </w:rPr>
        <w:t>各</w:t>
      </w:r>
      <w:r>
        <w:rPr>
          <w:rFonts w:hint="eastAsia" w:ascii="宋体" w:hAnsi="宋体" w:eastAsia="宋体" w:cs="宋体"/>
          <w:snapToGrid/>
          <w:kern w:val="0"/>
          <w:sz w:val="22"/>
          <w:szCs w:val="22"/>
          <w:highlight w:val="none"/>
          <w:lang w:val="en-US" w:eastAsia="zh-CN" w:bidi="zh-CN"/>
        </w:rPr>
        <w:t>供应商</w:t>
      </w:r>
      <w:r>
        <w:rPr>
          <w:rFonts w:hint="eastAsia" w:ascii="宋体" w:hAnsi="宋体" w:eastAsia="宋体" w:cs="宋体"/>
          <w:snapToGrid/>
          <w:kern w:val="0"/>
          <w:sz w:val="22"/>
          <w:szCs w:val="22"/>
          <w:highlight w:val="none"/>
          <w:lang w:val="zh-CN" w:eastAsia="zh-CN" w:bidi="zh-CN"/>
        </w:rPr>
        <w:t>：</w:t>
      </w:r>
    </w:p>
    <w:p w14:paraId="79B0EAAB">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zh-CN" w:eastAsia="zh-CN" w:bidi="zh-CN"/>
        </w:rPr>
        <w:t>为遵循</w:t>
      </w:r>
      <w:r>
        <w:rPr>
          <w:rFonts w:hint="eastAsia" w:ascii="宋体" w:hAnsi="宋体" w:eastAsia="宋体" w:cs="宋体"/>
          <w:snapToGrid/>
          <w:kern w:val="0"/>
          <w:sz w:val="22"/>
          <w:szCs w:val="22"/>
          <w:highlight w:val="none"/>
          <w:lang w:val="en-US" w:eastAsia="zh-CN" w:bidi="zh-CN"/>
        </w:rPr>
        <w:t>磋商</w:t>
      </w:r>
      <w:r>
        <w:rPr>
          <w:rFonts w:hint="eastAsia" w:ascii="宋体" w:hAnsi="宋体" w:eastAsia="宋体" w:cs="宋体"/>
          <w:snapToGrid/>
          <w:kern w:val="0"/>
          <w:sz w:val="22"/>
          <w:szCs w:val="22"/>
          <w:highlight w:val="none"/>
          <w:lang w:val="zh-CN" w:eastAsia="zh-CN" w:bidi="zh-CN"/>
        </w:rPr>
        <w:t>文件的有关规定，</w:t>
      </w:r>
      <w:r>
        <w:rPr>
          <w:rFonts w:hint="eastAsia" w:ascii="宋体" w:hAnsi="宋体" w:eastAsia="宋体" w:cs="宋体"/>
          <w:snapToGrid/>
          <w:kern w:val="0"/>
          <w:sz w:val="22"/>
          <w:szCs w:val="22"/>
          <w:highlight w:val="none"/>
          <w:lang w:val="en-US" w:eastAsia="zh-CN" w:bidi="zh-CN"/>
        </w:rPr>
        <w:t>供应商</w:t>
      </w:r>
      <w:r>
        <w:rPr>
          <w:rFonts w:hint="eastAsia" w:ascii="宋体" w:hAnsi="宋体" w:eastAsia="宋体" w:cs="宋体"/>
          <w:snapToGrid/>
          <w:kern w:val="0"/>
          <w:sz w:val="22"/>
          <w:szCs w:val="22"/>
          <w:highlight w:val="none"/>
          <w:lang w:val="zh-CN" w:eastAsia="zh-CN" w:bidi="zh-CN"/>
        </w:rPr>
        <w:t>必须按时参加</w:t>
      </w:r>
      <w:r>
        <w:rPr>
          <w:rFonts w:hint="eastAsia" w:ascii="宋体" w:hAnsi="宋体" w:eastAsia="宋体" w:cs="宋体"/>
          <w:snapToGrid/>
          <w:kern w:val="0"/>
          <w:sz w:val="22"/>
          <w:szCs w:val="22"/>
          <w:highlight w:val="none"/>
          <w:lang w:val="en-US" w:eastAsia="zh-CN" w:bidi="zh-CN"/>
        </w:rPr>
        <w:t>磋商</w:t>
      </w:r>
      <w:r>
        <w:rPr>
          <w:rFonts w:hint="eastAsia" w:ascii="宋体" w:hAnsi="宋体" w:eastAsia="宋体" w:cs="宋体"/>
          <w:snapToGrid/>
          <w:kern w:val="0"/>
          <w:sz w:val="22"/>
          <w:szCs w:val="22"/>
          <w:highlight w:val="none"/>
          <w:lang w:val="zh-CN" w:eastAsia="zh-CN" w:bidi="zh-CN"/>
        </w:rPr>
        <w:t>会议，不得缺席或迟到，并在你单位出席</w:t>
      </w:r>
      <w:r>
        <w:rPr>
          <w:rFonts w:hint="eastAsia" w:ascii="宋体" w:hAnsi="宋体" w:eastAsia="宋体" w:cs="宋体"/>
          <w:snapToGrid/>
          <w:kern w:val="0"/>
          <w:sz w:val="22"/>
          <w:szCs w:val="22"/>
          <w:highlight w:val="none"/>
          <w:lang w:val="en-US" w:eastAsia="zh-CN" w:bidi="zh-CN"/>
        </w:rPr>
        <w:t>磋商会议</w:t>
      </w:r>
      <w:r>
        <w:rPr>
          <w:rFonts w:hint="eastAsia" w:ascii="宋体" w:hAnsi="宋体" w:eastAsia="宋体" w:cs="宋体"/>
          <w:snapToGrid/>
          <w:kern w:val="0"/>
          <w:sz w:val="22"/>
          <w:szCs w:val="22"/>
          <w:highlight w:val="none"/>
          <w:lang w:val="zh-CN" w:eastAsia="zh-CN" w:bidi="zh-CN"/>
        </w:rPr>
        <w:t>时，除携带你们认为必需的资料外，还必须随身携带如下证明文件到现场：</w:t>
      </w:r>
    </w:p>
    <w:p w14:paraId="54604C95">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zh-CN" w:eastAsia="zh-CN" w:bidi="zh-CN"/>
        </w:rPr>
        <w:t>1</w:t>
      </w:r>
      <w:r>
        <w:rPr>
          <w:rFonts w:hint="eastAsia" w:ascii="宋体" w:hAnsi="宋体" w:eastAsia="宋体" w:cs="宋体"/>
          <w:snapToGrid/>
          <w:kern w:val="0"/>
          <w:sz w:val="22"/>
          <w:szCs w:val="22"/>
          <w:highlight w:val="none"/>
          <w:lang w:val="en-US" w:eastAsia="zh-CN" w:bidi="zh-CN"/>
        </w:rPr>
        <w:t>.</w:t>
      </w:r>
      <w:r>
        <w:rPr>
          <w:rFonts w:hint="eastAsia" w:ascii="宋体" w:hAnsi="宋体" w:eastAsia="宋体" w:cs="宋体"/>
          <w:snapToGrid/>
          <w:kern w:val="0"/>
          <w:sz w:val="22"/>
          <w:szCs w:val="22"/>
          <w:highlight w:val="none"/>
          <w:lang w:val="zh-CN" w:eastAsia="zh-CN" w:bidi="zh-CN"/>
        </w:rPr>
        <w:t>营业执照（原件或加盖公章的复印件）；</w:t>
      </w:r>
    </w:p>
    <w:p w14:paraId="2BF23C6E">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default" w:ascii="宋体" w:hAnsi="宋体" w:eastAsia="宋体" w:cs="宋体"/>
          <w:snapToGrid/>
          <w:kern w:val="0"/>
          <w:sz w:val="22"/>
          <w:szCs w:val="22"/>
          <w:highlight w:val="none"/>
          <w:lang w:val="en-US" w:eastAsia="zh-CN" w:bidi="zh-CN"/>
        </w:rPr>
      </w:pPr>
      <w:r>
        <w:rPr>
          <w:rFonts w:hint="eastAsia" w:ascii="宋体" w:hAnsi="宋体" w:eastAsia="宋体" w:cs="宋体"/>
          <w:snapToGrid/>
          <w:kern w:val="0"/>
          <w:sz w:val="22"/>
          <w:szCs w:val="22"/>
          <w:highlight w:val="none"/>
          <w:lang w:val="en-US" w:eastAsia="zh-CN" w:bidi="zh-CN"/>
        </w:rPr>
        <w:t>2.法定代表人身份证明书；</w:t>
      </w:r>
    </w:p>
    <w:p w14:paraId="643D7DE8">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en-US" w:eastAsia="zh-CN" w:bidi="zh-CN"/>
        </w:rPr>
        <w:t>3.</w:t>
      </w:r>
      <w:r>
        <w:rPr>
          <w:rFonts w:hint="eastAsia" w:ascii="宋体" w:hAnsi="宋体" w:eastAsia="宋体" w:cs="宋体"/>
          <w:snapToGrid/>
          <w:kern w:val="0"/>
          <w:sz w:val="22"/>
          <w:szCs w:val="22"/>
          <w:highlight w:val="none"/>
          <w:lang w:val="zh-CN" w:eastAsia="zh-CN" w:bidi="zh-CN"/>
        </w:rPr>
        <w:t>法定代表人或授权代理人（代理人参加</w:t>
      </w:r>
      <w:r>
        <w:rPr>
          <w:rFonts w:hint="eastAsia" w:ascii="宋体" w:hAnsi="宋体" w:eastAsia="宋体" w:cs="宋体"/>
          <w:snapToGrid/>
          <w:kern w:val="0"/>
          <w:sz w:val="22"/>
          <w:szCs w:val="22"/>
          <w:highlight w:val="none"/>
          <w:lang w:val="en-US" w:eastAsia="zh-CN" w:bidi="zh-CN"/>
        </w:rPr>
        <w:t>竞标</w:t>
      </w:r>
      <w:r>
        <w:rPr>
          <w:rFonts w:hint="eastAsia" w:ascii="宋体" w:hAnsi="宋体" w:eastAsia="宋体" w:cs="宋体"/>
          <w:snapToGrid/>
          <w:kern w:val="0"/>
          <w:sz w:val="22"/>
          <w:szCs w:val="22"/>
          <w:highlight w:val="none"/>
          <w:lang w:val="zh-CN" w:eastAsia="zh-CN" w:bidi="zh-CN"/>
        </w:rPr>
        <w:t>的须持法人授权委托书原件），携带身份证原件；</w:t>
      </w:r>
    </w:p>
    <w:p w14:paraId="653ECAAA">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en-US" w:eastAsia="zh-CN" w:bidi="zh-CN"/>
        </w:rPr>
        <w:t>磋商会议</w:t>
      </w:r>
      <w:r>
        <w:rPr>
          <w:rFonts w:hint="eastAsia" w:ascii="宋体" w:hAnsi="宋体" w:eastAsia="宋体" w:cs="宋体"/>
          <w:snapToGrid/>
          <w:kern w:val="0"/>
          <w:sz w:val="22"/>
          <w:szCs w:val="22"/>
          <w:highlight w:val="none"/>
          <w:lang w:val="zh-CN" w:eastAsia="zh-CN" w:bidi="zh-CN"/>
        </w:rPr>
        <w:t>前需将以上证件交给</w:t>
      </w:r>
      <w:r>
        <w:rPr>
          <w:rFonts w:hint="eastAsia" w:ascii="宋体" w:hAnsi="宋体" w:eastAsia="宋体" w:cs="宋体"/>
          <w:snapToGrid/>
          <w:kern w:val="0"/>
          <w:sz w:val="22"/>
          <w:szCs w:val="22"/>
          <w:highlight w:val="none"/>
          <w:lang w:val="en-US" w:eastAsia="zh-CN" w:bidi="zh-CN"/>
        </w:rPr>
        <w:t>代理机构</w:t>
      </w:r>
      <w:r>
        <w:rPr>
          <w:rFonts w:hint="eastAsia" w:ascii="宋体" w:hAnsi="宋体" w:eastAsia="宋体" w:cs="宋体"/>
          <w:snapToGrid/>
          <w:kern w:val="0"/>
          <w:sz w:val="22"/>
          <w:szCs w:val="22"/>
          <w:highlight w:val="none"/>
          <w:lang w:val="zh-CN" w:eastAsia="zh-CN" w:bidi="zh-CN"/>
        </w:rPr>
        <w:t>进行登记，所提交的证件不用密封，单独提交，</w:t>
      </w:r>
      <w:r>
        <w:rPr>
          <w:rFonts w:hint="eastAsia" w:ascii="宋体" w:hAnsi="宋体" w:eastAsia="宋体" w:cs="宋体"/>
          <w:snapToGrid/>
          <w:kern w:val="0"/>
          <w:sz w:val="22"/>
          <w:szCs w:val="22"/>
          <w:highlight w:val="none"/>
          <w:lang w:val="en-US" w:eastAsia="zh-CN" w:bidi="zh-CN"/>
        </w:rPr>
        <w:t>进行</w:t>
      </w:r>
      <w:r>
        <w:rPr>
          <w:rFonts w:hint="eastAsia" w:ascii="宋体" w:hAnsi="宋体" w:eastAsia="宋体" w:cs="宋体"/>
          <w:snapToGrid/>
          <w:kern w:val="0"/>
          <w:sz w:val="22"/>
          <w:szCs w:val="22"/>
          <w:highlight w:val="none"/>
          <w:lang w:val="zh-CN" w:eastAsia="zh-CN" w:bidi="zh-CN"/>
        </w:rPr>
        <w:t>审验，不提交证件或证件不合格的，所提交的响应文件视为无效响应文件。同时</w:t>
      </w:r>
      <w:r>
        <w:rPr>
          <w:rFonts w:hint="eastAsia" w:ascii="宋体" w:hAnsi="宋体" w:eastAsia="宋体" w:cs="宋体"/>
          <w:snapToGrid/>
          <w:kern w:val="0"/>
          <w:sz w:val="22"/>
          <w:szCs w:val="22"/>
          <w:highlight w:val="none"/>
          <w:lang w:val="en-US" w:eastAsia="zh-CN" w:bidi="zh-CN"/>
        </w:rPr>
        <w:t>以上</w:t>
      </w:r>
      <w:r>
        <w:rPr>
          <w:rFonts w:hint="eastAsia" w:ascii="宋体" w:hAnsi="宋体" w:eastAsia="宋体" w:cs="宋体"/>
          <w:snapToGrid/>
          <w:kern w:val="0"/>
          <w:sz w:val="22"/>
          <w:szCs w:val="22"/>
          <w:highlight w:val="none"/>
          <w:lang w:val="zh-CN" w:eastAsia="zh-CN" w:bidi="zh-CN"/>
        </w:rPr>
        <w:t>相关证件的复印件须附在响应文件内。</w:t>
      </w:r>
    </w:p>
    <w:p w14:paraId="248530E7">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p>
    <w:p w14:paraId="197186A8">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en-US" w:eastAsia="zh-CN" w:bidi="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napToGrid/>
          <w:kern w:val="0"/>
          <w:sz w:val="22"/>
          <w:szCs w:val="22"/>
          <w:highlight w:val="none"/>
          <w:lang w:val="en-US" w:eastAsia="zh-CN" w:bidi="zh-CN"/>
        </w:rPr>
        <w:t>注：供应商代表（法定代表人或授权代理人）必须携响应文件纸质版和电子光盘按时参加磋商会议，不得缺席或迟到，未按规定到场的供应商所交响应文件视为无效。</w:t>
      </w:r>
    </w:p>
    <w:p w14:paraId="67A38B69">
      <w:pPr>
        <w:widowControl w:val="0"/>
        <w:kinsoku/>
        <w:autoSpaceDE/>
        <w:autoSpaceDN/>
        <w:adjustRightInd/>
        <w:snapToGrid/>
        <w:spacing w:before="0" w:after="200" w:line="276" w:lineRule="auto"/>
        <w:ind w:left="0" w:right="0"/>
        <w:jc w:val="both"/>
        <w:textAlignment w:val="auto"/>
        <w:outlineLvl w:val="9"/>
        <w:rPr>
          <w:rFonts w:hint="eastAsia" w:ascii="宋体" w:hAnsi="宋体" w:eastAsia="宋体" w:cs="宋体"/>
          <w:b/>
          <w:snapToGrid/>
          <w:color w:val="auto"/>
          <w:kern w:val="2"/>
          <w:sz w:val="21"/>
          <w:szCs w:val="24"/>
          <w:highlight w:val="none"/>
          <w:lang w:val="en-US" w:eastAsia="zh-CN" w:bidi="ar-SA"/>
        </w:rPr>
      </w:pPr>
      <w:r>
        <w:rPr>
          <w:rFonts w:hint="eastAsia" w:ascii="宋体" w:hAnsi="宋体" w:eastAsia="宋体" w:cs="宋体"/>
          <w:b/>
          <w:snapToGrid/>
          <w:color w:val="auto"/>
          <w:kern w:val="2"/>
          <w:sz w:val="22"/>
          <w:szCs w:val="24"/>
          <w:highlight w:val="none"/>
          <w:lang w:val="en-US" w:eastAsia="zh-CN" w:bidi="ar-SA"/>
        </w:rPr>
        <w:t>附件：</w:t>
      </w:r>
    </w:p>
    <w:p w14:paraId="096D23B3">
      <w:pPr>
        <w:widowControl w:val="0"/>
        <w:kinsoku/>
        <w:autoSpaceDE/>
        <w:autoSpaceDN/>
        <w:adjustRightInd/>
        <w:snapToGrid/>
        <w:spacing w:before="0" w:after="200" w:line="276" w:lineRule="auto"/>
        <w:ind w:left="0" w:right="0" w:firstLine="883"/>
        <w:jc w:val="center"/>
        <w:textAlignment w:val="auto"/>
        <w:outlineLvl w:val="9"/>
        <w:rPr>
          <w:rFonts w:hint="eastAsia" w:ascii="宋体" w:hAnsi="宋体" w:eastAsia="宋体" w:cs="宋体"/>
          <w:b/>
          <w:snapToGrid/>
          <w:color w:val="auto"/>
          <w:spacing w:val="40"/>
          <w:kern w:val="2"/>
          <w:sz w:val="36"/>
          <w:szCs w:val="44"/>
          <w:highlight w:val="none"/>
          <w:lang w:val="en-US" w:eastAsia="zh-CN" w:bidi="ar-SA"/>
        </w:rPr>
      </w:pPr>
      <w:bookmarkStart w:id="0" w:name="_Toc24684"/>
      <w:bookmarkStart w:id="1" w:name="_Toc4436"/>
      <w:bookmarkStart w:id="2" w:name="_Toc28976"/>
      <w:r>
        <w:rPr>
          <w:rFonts w:hint="eastAsia" w:ascii="宋体" w:hAnsi="宋体" w:eastAsia="宋体" w:cs="宋体"/>
          <w:b/>
          <w:snapToGrid/>
          <w:color w:val="auto"/>
          <w:spacing w:val="40"/>
          <w:kern w:val="2"/>
          <w:sz w:val="36"/>
          <w:szCs w:val="44"/>
          <w:highlight w:val="none"/>
          <w:lang w:val="en-US" w:eastAsia="zh-CN" w:bidi="ar-SA"/>
        </w:rPr>
        <w:t>最终承诺及报价表（第二次报价）</w:t>
      </w:r>
      <w:bookmarkEnd w:id="0"/>
      <w:bookmarkEnd w:id="1"/>
      <w:bookmarkEnd w:id="2"/>
    </w:p>
    <w:p w14:paraId="7061EE79">
      <w:pPr>
        <w:widowControl w:val="0"/>
        <w:tabs>
          <w:tab w:val="left" w:pos="0"/>
        </w:tabs>
        <w:kinsoku/>
        <w:autoSpaceDE w:val="0"/>
        <w:autoSpaceDN w:val="0"/>
        <w:adjustRightInd w:val="0"/>
        <w:snapToGrid/>
        <w:spacing w:before="0" w:after="0" w:line="360" w:lineRule="auto"/>
        <w:ind w:left="0" w:right="0"/>
        <w:jc w:val="both"/>
        <w:textAlignment w:val="auto"/>
        <w:outlineLvl w:val="9"/>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标段名称：耿马县2024年小型水库维修养护工程</w:t>
      </w:r>
      <w:r>
        <w:rPr>
          <w:rFonts w:hint="eastAsia" w:ascii="宋体" w:hAnsi="宋体" w:eastAsia="宋体" w:cs="宋体"/>
          <w:snapToGrid/>
          <w:color w:val="auto"/>
          <w:kern w:val="2"/>
          <w:sz w:val="22"/>
          <w:szCs w:val="22"/>
          <w:highlight w:val="none"/>
          <w:u w:val="none"/>
          <w:lang w:val="en-US" w:eastAsia="zh-CN" w:bidi="ar-SA"/>
        </w:rPr>
        <w:t>第</w:t>
      </w:r>
      <w:r>
        <w:rPr>
          <w:rFonts w:hint="eastAsia" w:ascii="宋体" w:hAnsi="宋体" w:eastAsia="宋体" w:cs="宋体"/>
          <w:snapToGrid/>
          <w:color w:val="auto"/>
          <w:kern w:val="2"/>
          <w:sz w:val="22"/>
          <w:szCs w:val="22"/>
          <w:highlight w:val="none"/>
          <w:u w:val="single"/>
          <w:lang w:val="en-US" w:eastAsia="zh-CN" w:bidi="ar-SA"/>
        </w:rPr>
        <w:t xml:space="preserve">  三  </w:t>
      </w:r>
      <w:r>
        <w:rPr>
          <w:rFonts w:hint="eastAsia" w:ascii="宋体" w:hAnsi="宋体" w:eastAsia="宋体" w:cs="宋体"/>
          <w:snapToGrid/>
          <w:color w:val="auto"/>
          <w:kern w:val="2"/>
          <w:sz w:val="22"/>
          <w:szCs w:val="22"/>
          <w:highlight w:val="none"/>
          <w:u w:val="none"/>
          <w:lang w:val="en-US" w:eastAsia="zh-CN" w:bidi="ar-SA"/>
        </w:rPr>
        <w:t>标段</w:t>
      </w:r>
    </w:p>
    <w:p w14:paraId="00DA1886">
      <w:pPr>
        <w:widowControl w:val="0"/>
        <w:tabs>
          <w:tab w:val="left" w:pos="0"/>
        </w:tabs>
        <w:kinsoku/>
        <w:autoSpaceDE w:val="0"/>
        <w:autoSpaceDN w:val="0"/>
        <w:adjustRightInd w:val="0"/>
        <w:snapToGrid/>
        <w:spacing w:before="0" w:after="0" w:line="360" w:lineRule="auto"/>
        <w:ind w:left="0" w:right="0"/>
        <w:jc w:val="both"/>
        <w:textAlignment w:val="auto"/>
        <w:outlineLvl w:val="9"/>
        <w:rPr>
          <w:rFonts w:hint="default"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标段编号：YNFY2024-LCSL-003-03</w:t>
      </w:r>
    </w:p>
    <w:tbl>
      <w:tblPr>
        <w:tblStyle w:val="7"/>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4"/>
        <w:gridCol w:w="7783"/>
      </w:tblGrid>
      <w:tr w14:paraId="3799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1884" w:type="dxa"/>
            <w:tcBorders>
              <w:tl2br w:val="nil"/>
              <w:tr2bl w:val="nil"/>
            </w:tcBorders>
            <w:vAlign w:val="center"/>
          </w:tcPr>
          <w:p w14:paraId="454CF467">
            <w:pPr>
              <w:widowControl w:val="0"/>
              <w:kinsoku/>
              <w:autoSpaceDE/>
              <w:autoSpaceDN/>
              <w:adjustRightInd/>
              <w:snapToGrid/>
              <w:spacing w:before="0" w:after="200" w:line="400" w:lineRule="atLeast"/>
              <w:ind w:left="0" w:right="0"/>
              <w:jc w:val="center"/>
              <w:textAlignment w:val="auto"/>
              <w:outlineLvl w:val="9"/>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最终报价</w:t>
            </w:r>
          </w:p>
        </w:tc>
        <w:tc>
          <w:tcPr>
            <w:tcW w:w="7783" w:type="dxa"/>
            <w:tcBorders>
              <w:tl2br w:val="nil"/>
              <w:tr2bl w:val="nil"/>
            </w:tcBorders>
            <w:vAlign w:val="center"/>
          </w:tcPr>
          <w:p w14:paraId="4085A6B5">
            <w:pPr>
              <w:widowControl w:val="0"/>
              <w:kinsoku/>
              <w:autoSpaceDE/>
              <w:autoSpaceDN/>
              <w:adjustRightInd/>
              <w:snapToGrid/>
              <w:spacing w:before="0" w:after="200" w:line="400" w:lineRule="atLeast"/>
              <w:ind w:left="0" w:right="0"/>
              <w:jc w:val="both"/>
              <w:textAlignment w:val="auto"/>
              <w:outlineLvl w:val="9"/>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总报价：小写：￥</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元，</w:t>
            </w:r>
          </w:p>
          <w:p w14:paraId="1268E651">
            <w:pPr>
              <w:widowControl w:val="0"/>
              <w:kinsoku/>
              <w:autoSpaceDE/>
              <w:autoSpaceDN/>
              <w:adjustRightInd/>
              <w:snapToGrid/>
              <w:spacing w:before="0" w:after="200" w:line="400" w:lineRule="atLeast"/>
              <w:ind w:left="0" w:right="0" w:firstLine="880" w:firstLineChars="400"/>
              <w:jc w:val="both"/>
              <w:textAlignment w:val="auto"/>
              <w:outlineLvl w:val="9"/>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大写：</w:t>
            </w:r>
            <w:r>
              <w:rPr>
                <w:rFonts w:hint="eastAsia" w:ascii="宋体" w:hAnsi="宋体" w:eastAsia="宋体" w:cs="宋体"/>
                <w:snapToGrid/>
                <w:color w:val="auto"/>
                <w:kern w:val="2"/>
                <w:sz w:val="22"/>
                <w:szCs w:val="22"/>
                <w:highlight w:val="none"/>
                <w:u w:val="single"/>
                <w:lang w:val="en-US" w:eastAsia="zh-CN" w:bidi="ar-SA"/>
              </w:rPr>
              <w:t xml:space="preserve">                       </w:t>
            </w:r>
          </w:p>
        </w:tc>
      </w:tr>
      <w:tr w14:paraId="020F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6" w:hRule="atLeast"/>
          <w:jc w:val="center"/>
        </w:trPr>
        <w:tc>
          <w:tcPr>
            <w:tcW w:w="1884" w:type="dxa"/>
            <w:tcBorders>
              <w:tl2br w:val="nil"/>
              <w:tr2bl w:val="nil"/>
            </w:tcBorders>
            <w:vAlign w:val="center"/>
          </w:tcPr>
          <w:p w14:paraId="5B932158">
            <w:pPr>
              <w:widowControl w:val="0"/>
              <w:kinsoku/>
              <w:autoSpaceDE/>
              <w:autoSpaceDN/>
              <w:adjustRightInd/>
              <w:snapToGrid/>
              <w:spacing w:before="0" w:after="200" w:line="400" w:lineRule="atLeast"/>
              <w:ind w:left="0" w:right="0"/>
              <w:jc w:val="center"/>
              <w:textAlignment w:val="auto"/>
              <w:outlineLvl w:val="9"/>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补充相关承诺</w:t>
            </w:r>
          </w:p>
        </w:tc>
        <w:tc>
          <w:tcPr>
            <w:tcW w:w="7783" w:type="dxa"/>
            <w:tcBorders>
              <w:tl2br w:val="nil"/>
              <w:tr2bl w:val="nil"/>
            </w:tcBorders>
            <w:vAlign w:val="center"/>
          </w:tcPr>
          <w:p w14:paraId="406AC4E4">
            <w:pPr>
              <w:widowControl w:val="0"/>
              <w:kinsoku/>
              <w:autoSpaceDE/>
              <w:autoSpaceDN/>
              <w:adjustRightInd/>
              <w:snapToGrid/>
              <w:spacing w:before="0" w:after="200" w:line="400" w:lineRule="atLeast"/>
              <w:ind w:left="0" w:right="0" w:firstLine="420"/>
              <w:jc w:val="center"/>
              <w:textAlignment w:val="auto"/>
              <w:outlineLvl w:val="9"/>
              <w:rPr>
                <w:rFonts w:hint="eastAsia" w:ascii="宋体" w:hAnsi="宋体" w:eastAsia="宋体" w:cs="宋体"/>
                <w:snapToGrid/>
                <w:color w:val="auto"/>
                <w:kern w:val="2"/>
                <w:sz w:val="22"/>
                <w:szCs w:val="22"/>
                <w:highlight w:val="none"/>
                <w:lang w:val="en-US" w:eastAsia="zh-CN" w:bidi="ar-SA"/>
              </w:rPr>
            </w:pPr>
          </w:p>
        </w:tc>
      </w:tr>
    </w:tbl>
    <w:p w14:paraId="557C2B13">
      <w:pPr>
        <w:widowControl w:val="0"/>
        <w:kinsoku/>
        <w:autoSpaceDE/>
        <w:autoSpaceDN/>
        <w:adjustRightInd/>
        <w:snapToGrid/>
        <w:spacing w:before="0" w:after="200" w:line="360" w:lineRule="auto"/>
        <w:ind w:left="0" w:right="0"/>
        <w:jc w:val="left"/>
        <w:textAlignment w:val="auto"/>
        <w:outlineLvl w:val="9"/>
        <w:rPr>
          <w:rFonts w:hint="eastAsia" w:ascii="宋体" w:hAnsi="宋体" w:eastAsia="宋体" w:cs="宋体"/>
          <w:snapToGrid w:val="0"/>
          <w:color w:val="auto"/>
          <w:kern w:val="0"/>
          <w:sz w:val="22"/>
          <w:szCs w:val="22"/>
          <w:highlight w:val="none"/>
          <w:lang w:val="zh-CN" w:eastAsia="zh-CN" w:bidi="ar-SA"/>
        </w:rPr>
      </w:pPr>
    </w:p>
    <w:p w14:paraId="69EF25EB">
      <w:pPr>
        <w:widowControl w:val="0"/>
        <w:kinsoku/>
        <w:autoSpaceDE/>
        <w:autoSpaceDN/>
        <w:adjustRightInd/>
        <w:snapToGrid/>
        <w:spacing w:before="0" w:after="200" w:line="360" w:lineRule="auto"/>
        <w:ind w:left="0" w:right="0"/>
        <w:jc w:val="left"/>
        <w:textAlignment w:val="auto"/>
        <w:outlineLvl w:val="9"/>
        <w:rPr>
          <w:rFonts w:hint="eastAsia" w:ascii="宋体" w:hAnsi="宋体" w:eastAsia="宋体" w:cs="宋体"/>
          <w:snapToGrid w:val="0"/>
          <w:color w:val="auto"/>
          <w:kern w:val="0"/>
          <w:sz w:val="22"/>
          <w:szCs w:val="22"/>
          <w:highlight w:val="none"/>
          <w:lang w:val="zh-CN" w:eastAsia="zh-CN" w:bidi="ar-SA"/>
        </w:rPr>
      </w:pPr>
      <w:r>
        <w:rPr>
          <w:rFonts w:hint="eastAsia" w:ascii="宋体" w:hAnsi="宋体" w:eastAsia="宋体" w:cs="宋体"/>
          <w:snapToGrid w:val="0"/>
          <w:color w:val="auto"/>
          <w:kern w:val="0"/>
          <w:sz w:val="22"/>
          <w:szCs w:val="22"/>
          <w:highlight w:val="none"/>
          <w:lang w:val="en-US" w:eastAsia="zh-CN" w:bidi="ar-SA"/>
        </w:rPr>
        <w:t>供应商</w:t>
      </w:r>
      <w:r>
        <w:rPr>
          <w:rFonts w:hint="eastAsia" w:ascii="宋体" w:hAnsi="宋体" w:eastAsia="宋体" w:cs="宋体"/>
          <w:snapToGrid w:val="0"/>
          <w:color w:val="auto"/>
          <w:kern w:val="0"/>
          <w:sz w:val="22"/>
          <w:szCs w:val="22"/>
          <w:highlight w:val="none"/>
          <w:lang w:val="zh-CN" w:eastAsia="zh-CN" w:bidi="ar-SA"/>
        </w:rPr>
        <w:t>（加盖公章）：________________________________</w:t>
      </w:r>
    </w:p>
    <w:p w14:paraId="0321F207">
      <w:pPr>
        <w:widowControl w:val="0"/>
        <w:kinsoku/>
        <w:autoSpaceDE/>
        <w:autoSpaceDN/>
        <w:adjustRightInd/>
        <w:snapToGrid/>
        <w:spacing w:before="0" w:after="200" w:line="360" w:lineRule="auto"/>
        <w:ind w:left="0" w:right="0"/>
        <w:jc w:val="left"/>
        <w:textAlignment w:val="auto"/>
        <w:outlineLvl w:val="9"/>
        <w:rPr>
          <w:rFonts w:hint="eastAsia" w:ascii="宋体" w:hAnsi="宋体" w:eastAsia="宋体" w:cs="宋体"/>
          <w:snapToGrid w:val="0"/>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法定代表人</w:t>
      </w:r>
      <w:r>
        <w:rPr>
          <w:rFonts w:hint="eastAsia" w:ascii="宋体" w:hAnsi="宋体" w:eastAsia="宋体" w:cs="宋体"/>
          <w:snapToGrid w:val="0"/>
          <w:color w:val="auto"/>
          <w:kern w:val="0"/>
          <w:sz w:val="22"/>
          <w:szCs w:val="22"/>
          <w:highlight w:val="none"/>
          <w:lang w:val="en-US" w:eastAsia="zh-CN" w:bidi="ar-SA"/>
        </w:rPr>
        <w:t>或其委托代理人（签字或盖章）</w:t>
      </w:r>
      <w:r>
        <w:rPr>
          <w:rFonts w:hint="eastAsia" w:ascii="宋体" w:hAnsi="宋体" w:eastAsia="宋体" w:cs="宋体"/>
          <w:snapToGrid w:val="0"/>
          <w:color w:val="auto"/>
          <w:kern w:val="0"/>
          <w:sz w:val="22"/>
          <w:szCs w:val="22"/>
          <w:highlight w:val="none"/>
          <w:lang w:val="zh-CN" w:eastAsia="zh-CN" w:bidi="ar-SA"/>
        </w:rPr>
        <w:t>：________________</w:t>
      </w:r>
    </w:p>
    <w:p w14:paraId="4881AB64">
      <w:pPr>
        <w:bidi w:val="0"/>
        <w:outlineLvl w:val="9"/>
        <w:rPr>
          <w:rFonts w:hint="eastAsia" w:ascii="宋体" w:hAnsi="宋体" w:eastAsia="宋体" w:cs="宋体"/>
          <w:snapToGrid w:val="0"/>
          <w:color w:val="auto"/>
          <w:kern w:val="0"/>
          <w:sz w:val="22"/>
          <w:szCs w:val="22"/>
          <w:highlight w:val="none"/>
          <w:lang w:val="en-US" w:eastAsia="zh-CN" w:bidi="ar-SA"/>
        </w:rPr>
        <w:sectPr>
          <w:pgSz w:w="11906" w:h="16838"/>
          <w:pgMar w:top="1440" w:right="1800" w:bottom="1440" w:left="1800" w:header="851" w:footer="992" w:gutter="0"/>
          <w:cols w:space="425" w:num="1"/>
          <w:docGrid w:type="lines" w:linePitch="312" w:charSpace="0"/>
        </w:sectPr>
      </w:pPr>
      <w:bookmarkStart w:id="3" w:name="_Toc27001"/>
      <w:r>
        <w:rPr>
          <w:rFonts w:hint="eastAsia" w:ascii="宋体" w:hAnsi="宋体" w:eastAsia="宋体" w:cs="宋体"/>
          <w:snapToGrid w:val="0"/>
          <w:color w:val="auto"/>
          <w:kern w:val="0"/>
          <w:sz w:val="22"/>
          <w:szCs w:val="22"/>
          <w:highlight w:val="none"/>
          <w:lang w:val="en-US" w:eastAsia="zh-CN" w:bidi="ar-SA"/>
        </w:rPr>
        <w:t>日  期：______年_____月_____日</w:t>
      </w:r>
      <w:bookmarkEnd w:id="3"/>
    </w:p>
    <w:p w14:paraId="2BC3FF4D">
      <w:pPr>
        <w:spacing w:before="0" w:beforeLines="0" w:after="0" w:afterLines="0" w:line="240" w:lineRule="auto"/>
        <w:ind w:left="0" w:leftChars="0" w:right="0" w:rightChars="0" w:firstLine="0" w:firstLineChars="0"/>
        <w:jc w:val="center"/>
        <w:rPr>
          <w:sz w:val="36"/>
          <w:szCs w:val="36"/>
        </w:rPr>
      </w:pPr>
      <w:bookmarkStart w:id="4" w:name="_Toc4999"/>
      <w:r>
        <w:rPr>
          <w:rFonts w:ascii="宋体" w:hAnsi="宋体" w:eastAsia="宋体"/>
          <w:sz w:val="36"/>
          <w:szCs w:val="36"/>
        </w:rPr>
        <w:t>目</w:t>
      </w:r>
      <w:r>
        <w:rPr>
          <w:rFonts w:hint="eastAsia" w:ascii="宋体" w:hAnsi="宋体" w:eastAsia="宋体"/>
          <w:sz w:val="36"/>
          <w:szCs w:val="36"/>
          <w:lang w:val="en-US" w:eastAsia="zh-CN"/>
        </w:rPr>
        <w:t xml:space="preserve">  </w:t>
      </w:r>
      <w:r>
        <w:rPr>
          <w:rFonts w:ascii="宋体" w:hAnsi="宋体" w:eastAsia="宋体"/>
          <w:sz w:val="36"/>
          <w:szCs w:val="36"/>
        </w:rPr>
        <w:t>录</w:t>
      </w:r>
    </w:p>
    <w:p w14:paraId="75A57C04">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b/>
          <w:snapToGrid w:val="0"/>
          <w:color w:val="000000" w:themeColor="text1"/>
          <w:kern w:val="44"/>
          <w:sz w:val="32"/>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b/>
          <w:snapToGrid w:val="0"/>
          <w:color w:val="000000" w:themeColor="text1"/>
          <w:kern w:val="44"/>
          <w:sz w:val="32"/>
          <w:szCs w:val="18"/>
          <w:highlight w:val="none"/>
          <w:lang w:val="en-US" w:eastAsia="zh-CN" w:bidi="ar-SA"/>
          <w14:textFill>
            <w14:solidFill>
              <w14:schemeClr w14:val="tx1"/>
            </w14:solidFill>
          </w14:textFill>
        </w:rPr>
        <w:instrText xml:space="preserve">TOC \o "1-2" \h \u </w:instrText>
      </w:r>
      <w:r>
        <w:rPr>
          <w:rFonts w:hint="eastAsia" w:ascii="等线 Light" w:hAnsi="等线 Light" w:eastAsia="等线 Light" w:cs="等线 Light"/>
          <w:b/>
          <w:snapToGrid w:val="0"/>
          <w:color w:val="000000" w:themeColor="text1"/>
          <w:kern w:val="44"/>
          <w:sz w:val="32"/>
          <w:szCs w:val="18"/>
          <w:highlight w:val="none"/>
          <w:lang w:val="en-US" w:eastAsia="zh-CN" w:bidi="ar-SA"/>
          <w14:textFill>
            <w14:solidFill>
              <w14:schemeClr w14:val="tx1"/>
            </w14:solidFill>
          </w14:textFill>
        </w:rPr>
        <w:fldChar w:fldCharType="separate"/>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_Toc7747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第一章  竞争性磋商公告</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_Toc7747 \h </w:instrText>
      </w:r>
      <w:r>
        <w:rPr>
          <w:rFonts w:hint="eastAsia" w:ascii="等线 Light" w:hAnsi="等线 Light" w:eastAsia="等线 Light" w:cs="等线 Light"/>
        </w:rPr>
        <w:fldChar w:fldCharType="separate"/>
      </w:r>
      <w:r>
        <w:rPr>
          <w:rFonts w:hint="eastAsia" w:ascii="等线 Light" w:hAnsi="等线 Light" w:eastAsia="等线 Light" w:cs="等线 Light"/>
        </w:rPr>
        <w:t>1</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43F6E70">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_Toc10998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一、项目基本情况</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_Toc10998 \h </w:instrText>
      </w:r>
      <w:r>
        <w:rPr>
          <w:rFonts w:hint="eastAsia" w:ascii="等线 Light" w:hAnsi="等线 Light" w:eastAsia="等线 Light" w:cs="等线 Light"/>
        </w:rPr>
        <w:fldChar w:fldCharType="separate"/>
      </w:r>
      <w:r>
        <w:rPr>
          <w:rFonts w:hint="eastAsia" w:ascii="等线 Light" w:hAnsi="等线 Light" w:eastAsia="等线 Light" w:cs="等线 Light"/>
        </w:rPr>
        <w:t>1</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307CCC6D">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_Toc31958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▲二、供应商的资格要求</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_Toc31958 \h </w:instrText>
      </w:r>
      <w:r>
        <w:rPr>
          <w:rFonts w:hint="eastAsia" w:ascii="等线 Light" w:hAnsi="等线 Light" w:eastAsia="等线 Light" w:cs="等线 Light"/>
        </w:rPr>
        <w:fldChar w:fldCharType="separate"/>
      </w:r>
      <w:r>
        <w:rPr>
          <w:rFonts w:hint="eastAsia" w:ascii="等线 Light" w:hAnsi="等线 Light" w:eastAsia="等线 Light" w:cs="等线 Light"/>
        </w:rPr>
        <w:t>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1253F37B">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_Toc2494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三、获取采购文件</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_Toc2494 \h </w:instrText>
      </w:r>
      <w:r>
        <w:rPr>
          <w:rFonts w:hint="eastAsia" w:ascii="等线 Light" w:hAnsi="等线 Light" w:eastAsia="等线 Light" w:cs="等线 Light"/>
        </w:rPr>
        <w:fldChar w:fldCharType="separate"/>
      </w:r>
      <w:r>
        <w:rPr>
          <w:rFonts w:hint="eastAsia" w:ascii="等线 Light" w:hAnsi="等线 Light" w:eastAsia="等线 Light" w:cs="等线 Light"/>
        </w:rPr>
        <w:t>5</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CABF89A">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_Toc23582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四、响应文件提交</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_Toc23582 \h </w:instrText>
      </w:r>
      <w:r>
        <w:rPr>
          <w:rFonts w:hint="eastAsia" w:ascii="等线 Light" w:hAnsi="等线 Light" w:eastAsia="等线 Light" w:cs="等线 Light"/>
        </w:rPr>
        <w:fldChar w:fldCharType="separate"/>
      </w:r>
      <w:r>
        <w:rPr>
          <w:rFonts w:hint="eastAsia" w:ascii="等线 Light" w:hAnsi="等线 Light" w:eastAsia="等线 Light" w:cs="等线 Light"/>
        </w:rPr>
        <w:t>5</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17AC977">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_Toc14249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五、开启</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_Toc14249 \h </w:instrText>
      </w:r>
      <w:r>
        <w:rPr>
          <w:rFonts w:hint="eastAsia" w:ascii="等线 Light" w:hAnsi="等线 Light" w:eastAsia="等线 Light" w:cs="等线 Light"/>
        </w:rPr>
        <w:fldChar w:fldCharType="separate"/>
      </w:r>
      <w:r>
        <w:rPr>
          <w:rFonts w:hint="eastAsia" w:ascii="等线 Light" w:hAnsi="等线 Light" w:eastAsia="等线 Light" w:cs="等线 Light"/>
        </w:rPr>
        <w:t>5</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1F28CB5D">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_Toc13108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六、公告期限</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_Toc13108 \h </w:instrText>
      </w:r>
      <w:r>
        <w:rPr>
          <w:rFonts w:hint="eastAsia" w:ascii="等线 Light" w:hAnsi="等线 Light" w:eastAsia="等线 Light" w:cs="等线 Light"/>
        </w:rPr>
        <w:fldChar w:fldCharType="separate"/>
      </w:r>
      <w:r>
        <w:rPr>
          <w:rFonts w:hint="eastAsia" w:ascii="等线 Light" w:hAnsi="等线 Light" w:eastAsia="等线 Light" w:cs="等线 Light"/>
        </w:rPr>
        <w:t>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25009CE0">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_Toc17276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七、其他补充事宜</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_Toc17276 \h </w:instrText>
      </w:r>
      <w:r>
        <w:rPr>
          <w:rFonts w:hint="eastAsia" w:ascii="等线 Light" w:hAnsi="等线 Light" w:eastAsia="等线 Light" w:cs="等线 Light"/>
        </w:rPr>
        <w:fldChar w:fldCharType="separate"/>
      </w:r>
      <w:r>
        <w:rPr>
          <w:rFonts w:hint="eastAsia" w:ascii="等线 Light" w:hAnsi="等线 Light" w:eastAsia="等线 Light" w:cs="等线 Light"/>
        </w:rPr>
        <w:t>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15DDC09D">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_Toc16790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八、凡对本次采购提出询问，请按以下方式联系</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_Toc16790 \h </w:instrText>
      </w:r>
      <w:r>
        <w:rPr>
          <w:rFonts w:hint="eastAsia" w:ascii="等线 Light" w:hAnsi="等线 Light" w:eastAsia="等线 Light" w:cs="等线 Light"/>
        </w:rPr>
        <w:fldChar w:fldCharType="separate"/>
      </w:r>
      <w:r>
        <w:rPr>
          <w:rFonts w:hint="eastAsia" w:ascii="等线 Light" w:hAnsi="等线 Light" w:eastAsia="等线 Light" w:cs="等线 Light"/>
        </w:rPr>
        <w:t>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49D7C7BD">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_Toc21347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第二章  磋商申请人须知</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_Toc21347 \h </w:instrText>
      </w:r>
      <w:r>
        <w:rPr>
          <w:rFonts w:hint="eastAsia" w:ascii="等线 Light" w:hAnsi="等线 Light" w:eastAsia="等线 Light" w:cs="等线 Light"/>
        </w:rPr>
        <w:fldChar w:fldCharType="separate"/>
      </w:r>
      <w:r>
        <w:rPr>
          <w:rFonts w:hint="eastAsia" w:ascii="等线 Light" w:hAnsi="等线 Light" w:eastAsia="等线 Light" w:cs="等线 Light"/>
        </w:rPr>
        <w:t>8</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3AF0C771">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_Toc28379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磋商申请人须知前附表</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_Toc28379 \h </w:instrText>
      </w:r>
      <w:r>
        <w:rPr>
          <w:rFonts w:hint="eastAsia" w:ascii="等线 Light" w:hAnsi="等线 Light" w:eastAsia="等线 Light" w:cs="等线 Light"/>
        </w:rPr>
        <w:fldChar w:fldCharType="separate"/>
      </w:r>
      <w:r>
        <w:rPr>
          <w:rFonts w:hint="eastAsia" w:ascii="等线 Light" w:hAnsi="等线 Light" w:eastAsia="等线 Light" w:cs="等线 Light"/>
        </w:rPr>
        <w:t>8</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255EC5D6">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_Toc2635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磋商申请人须知正文</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_Toc2635 \h </w:instrText>
      </w:r>
      <w:r>
        <w:rPr>
          <w:rFonts w:hint="eastAsia" w:ascii="等线 Light" w:hAnsi="等线 Light" w:eastAsia="等线 Light" w:cs="等线 Light"/>
        </w:rPr>
        <w:fldChar w:fldCharType="separate"/>
      </w:r>
      <w:r>
        <w:rPr>
          <w:rFonts w:hint="eastAsia" w:ascii="等线 Light" w:hAnsi="等线 Light" w:eastAsia="等线 Light" w:cs="等线 Light"/>
        </w:rPr>
        <w:t>13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6BAA0283">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_Toc3362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1、总则</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_Toc3362 \h </w:instrText>
      </w:r>
      <w:r>
        <w:rPr>
          <w:rFonts w:hint="eastAsia" w:ascii="等线 Light" w:hAnsi="等线 Light" w:eastAsia="等线 Light" w:cs="等线 Light"/>
        </w:rPr>
        <w:fldChar w:fldCharType="separate"/>
      </w:r>
      <w:r>
        <w:rPr>
          <w:rFonts w:hint="eastAsia" w:ascii="等线 Light" w:hAnsi="等线 Light" w:eastAsia="等线 Light" w:cs="等线 Light"/>
        </w:rPr>
        <w:t>13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616AE31E">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_Toc26900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2、磋商文件</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_Toc26900 \h </w:instrText>
      </w:r>
      <w:r>
        <w:rPr>
          <w:rFonts w:hint="eastAsia" w:ascii="等线 Light" w:hAnsi="等线 Light" w:eastAsia="等线 Light" w:cs="等线 Light"/>
        </w:rPr>
        <w:fldChar w:fldCharType="separate"/>
      </w:r>
      <w:r>
        <w:rPr>
          <w:rFonts w:hint="eastAsia" w:ascii="等线 Light" w:hAnsi="等线 Light" w:eastAsia="等线 Light" w:cs="等线 Light"/>
        </w:rPr>
        <w:t>15</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2C081DDF">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_Toc15369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3、磋商响应文件</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_Toc15369 \h </w:instrText>
      </w:r>
      <w:r>
        <w:rPr>
          <w:rFonts w:hint="eastAsia" w:ascii="等线 Light" w:hAnsi="等线 Light" w:eastAsia="等线 Light" w:cs="等线 Light"/>
        </w:rPr>
        <w:fldChar w:fldCharType="separate"/>
      </w:r>
      <w:r>
        <w:rPr>
          <w:rFonts w:hint="eastAsia" w:ascii="等线 Light" w:hAnsi="等线 Light" w:eastAsia="等线 Light" w:cs="等线 Light"/>
        </w:rPr>
        <w:t>16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9EDA6C3">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_Toc4667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5、磋商会</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_Toc4667 \h </w:instrText>
      </w:r>
      <w:r>
        <w:rPr>
          <w:rFonts w:hint="eastAsia" w:ascii="等线 Light" w:hAnsi="等线 Light" w:eastAsia="等线 Light" w:cs="等线 Light"/>
        </w:rPr>
        <w:fldChar w:fldCharType="separate"/>
      </w:r>
      <w:r>
        <w:rPr>
          <w:rFonts w:hint="eastAsia" w:ascii="等线 Light" w:hAnsi="等线 Light" w:eastAsia="等线 Light" w:cs="等线 Light"/>
        </w:rPr>
        <w:t>19</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4E6E5B2A">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_Toc22561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6、资格审查</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_Toc22561 \h </w:instrText>
      </w:r>
      <w:r>
        <w:rPr>
          <w:rFonts w:hint="eastAsia" w:ascii="等线 Light" w:hAnsi="等线 Light" w:eastAsia="等线 Light" w:cs="等线 Light"/>
        </w:rPr>
        <w:fldChar w:fldCharType="separate"/>
      </w:r>
      <w:r>
        <w:rPr>
          <w:rFonts w:hint="eastAsia" w:ascii="等线 Light" w:hAnsi="等线 Light" w:eastAsia="等线 Light" w:cs="等线 Light"/>
        </w:rPr>
        <w:t>19</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2EC5808A">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_Toc19437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7、磋商</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_Toc19437 \h </w:instrText>
      </w:r>
      <w:r>
        <w:rPr>
          <w:rFonts w:hint="eastAsia" w:ascii="等线 Light" w:hAnsi="等线 Light" w:eastAsia="等线 Light" w:cs="等线 Light"/>
        </w:rPr>
        <w:fldChar w:fldCharType="separate"/>
      </w:r>
      <w:r>
        <w:rPr>
          <w:rFonts w:hint="eastAsia" w:ascii="等线 Light" w:hAnsi="等线 Light" w:eastAsia="等线 Light" w:cs="等线 Light"/>
        </w:rPr>
        <w:t>19</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430F2305">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_Toc828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8、成交和合同</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_Toc828 \h </w:instrText>
      </w:r>
      <w:r>
        <w:rPr>
          <w:rFonts w:hint="eastAsia" w:ascii="等线 Light" w:hAnsi="等线 Light" w:eastAsia="等线 Light" w:cs="等线 Light"/>
        </w:rPr>
        <w:fldChar w:fldCharType="separate"/>
      </w:r>
      <w:r>
        <w:rPr>
          <w:rFonts w:hint="eastAsia" w:ascii="等线 Light" w:hAnsi="等线 Light" w:eastAsia="等线 Light" w:cs="等线 Light"/>
        </w:rPr>
        <w:t>20</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68F44C9B">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_Toc15271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9、纪律和监督</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_Toc15271 \h </w:instrText>
      </w:r>
      <w:r>
        <w:rPr>
          <w:rFonts w:hint="eastAsia" w:ascii="等线 Light" w:hAnsi="等线 Light" w:eastAsia="等线 Light" w:cs="等线 Light"/>
        </w:rPr>
        <w:fldChar w:fldCharType="separate"/>
      </w:r>
      <w:r>
        <w:rPr>
          <w:rFonts w:hint="eastAsia" w:ascii="等线 Light" w:hAnsi="等线 Light" w:eastAsia="等线 Light" w:cs="等线 Light"/>
        </w:rPr>
        <w:t>21</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74A0C91">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_Toc29713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10、质疑与投诉</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_Toc29713 \h </w:instrText>
      </w:r>
      <w:r>
        <w:rPr>
          <w:rFonts w:hint="eastAsia" w:ascii="等线 Light" w:hAnsi="等线 Light" w:eastAsia="等线 Light" w:cs="等线 Light"/>
        </w:rPr>
        <w:fldChar w:fldCharType="separate"/>
      </w:r>
      <w:r>
        <w:rPr>
          <w:rFonts w:hint="eastAsia" w:ascii="等线 Light" w:hAnsi="等线 Light" w:eastAsia="等线 Light" w:cs="等线 Light"/>
        </w:rPr>
        <w:t>22</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605D855">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_Toc28613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11、需要补充的其他内容</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_Toc28613 \h </w:instrText>
      </w:r>
      <w:r>
        <w:rPr>
          <w:rFonts w:hint="eastAsia" w:ascii="等线 Light" w:hAnsi="等线 Light" w:eastAsia="等线 Light" w:cs="等线 Light"/>
        </w:rPr>
        <w:fldChar w:fldCharType="separate"/>
      </w:r>
      <w:r>
        <w:rPr>
          <w:rFonts w:hint="eastAsia" w:ascii="等线 Light" w:hAnsi="等线 Light" w:eastAsia="等线 Light" w:cs="等线 Light"/>
        </w:rPr>
        <w:t>23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B3AF965">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_Toc28672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第三章  合同书样式及主要条款</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_Toc28672 \h </w:instrText>
      </w:r>
      <w:r>
        <w:rPr>
          <w:rFonts w:hint="eastAsia" w:ascii="等线 Light" w:hAnsi="等线 Light" w:eastAsia="等线 Light" w:cs="等线 Light"/>
        </w:rPr>
        <w:fldChar w:fldCharType="separate"/>
      </w:r>
      <w:r>
        <w:rPr>
          <w:rFonts w:hint="eastAsia" w:ascii="等线 Light" w:hAnsi="等线 Light" w:eastAsia="等线 Light" w:cs="等线 Light"/>
        </w:rPr>
        <w:t>24</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44C4079">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_Toc11961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合同条款前附表</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_Toc11961 \h </w:instrText>
      </w:r>
      <w:r>
        <w:rPr>
          <w:rFonts w:hint="eastAsia" w:ascii="等线 Light" w:hAnsi="等线 Light" w:eastAsia="等线 Light" w:cs="等线 Light"/>
        </w:rPr>
        <w:fldChar w:fldCharType="separate"/>
      </w:r>
      <w:r>
        <w:rPr>
          <w:rFonts w:hint="eastAsia" w:ascii="等线 Light" w:hAnsi="等线 Light" w:eastAsia="等线 Light" w:cs="等线 Light"/>
        </w:rPr>
        <w:t>24</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39C2183">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_Toc10241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val="0"/>
          <w:szCs w:val="28"/>
          <w:highlight w:val="none"/>
        </w:rPr>
        <w:t>第一节</w:t>
      </w:r>
      <w:r>
        <w:rPr>
          <w:rFonts w:hint="eastAsia" w:ascii="等线 Light" w:hAnsi="等线 Light" w:eastAsia="等线 Light" w:cs="等线 Light"/>
          <w:bCs w:val="0"/>
          <w:szCs w:val="28"/>
          <w:highlight w:val="none"/>
          <w:lang w:val="en-US" w:eastAsia="zh-CN"/>
        </w:rPr>
        <w:t xml:space="preserve">  </w:t>
      </w:r>
      <w:r>
        <w:rPr>
          <w:rFonts w:hint="eastAsia" w:ascii="等线 Light" w:hAnsi="等线 Light" w:eastAsia="等线 Light" w:cs="等线 Light"/>
          <w:bCs w:val="0"/>
          <w:szCs w:val="28"/>
          <w:highlight w:val="none"/>
        </w:rPr>
        <w:t>通用合同条款</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_Toc10241 \h </w:instrText>
      </w:r>
      <w:r>
        <w:rPr>
          <w:rFonts w:hint="eastAsia" w:ascii="等线 Light" w:hAnsi="等线 Light" w:eastAsia="等线 Light" w:cs="等线 Light"/>
        </w:rPr>
        <w:fldChar w:fldCharType="separate"/>
      </w:r>
      <w:r>
        <w:rPr>
          <w:rFonts w:hint="eastAsia" w:ascii="等线 Light" w:hAnsi="等线 Light" w:eastAsia="等线 Light" w:cs="等线 Light"/>
        </w:rPr>
        <w:t>27</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7900082">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_Toc188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val="0"/>
          <w:szCs w:val="28"/>
          <w:highlight w:val="none"/>
        </w:rPr>
        <w:t>第二节</w:t>
      </w:r>
      <w:r>
        <w:rPr>
          <w:rFonts w:hint="eastAsia" w:ascii="等线 Light" w:hAnsi="等线 Light" w:eastAsia="等线 Light" w:cs="等线 Light"/>
          <w:bCs w:val="0"/>
          <w:szCs w:val="28"/>
          <w:highlight w:val="none"/>
          <w:lang w:val="en-US" w:eastAsia="zh-CN"/>
        </w:rPr>
        <w:t xml:space="preserve">  </w:t>
      </w:r>
      <w:r>
        <w:rPr>
          <w:rFonts w:hint="eastAsia" w:ascii="等线 Light" w:hAnsi="等线 Light" w:eastAsia="等线 Light" w:cs="等线 Light"/>
          <w:bCs w:val="0"/>
          <w:szCs w:val="28"/>
          <w:highlight w:val="none"/>
        </w:rPr>
        <w:t>专用合同条款</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_Toc188 \h </w:instrText>
      </w:r>
      <w:r>
        <w:rPr>
          <w:rFonts w:hint="eastAsia" w:ascii="等线 Light" w:hAnsi="等线 Light" w:eastAsia="等线 Light" w:cs="等线 Light"/>
        </w:rPr>
        <w:fldChar w:fldCharType="separate"/>
      </w:r>
      <w:r>
        <w:rPr>
          <w:rFonts w:hint="eastAsia" w:ascii="等线 Light" w:hAnsi="等线 Light" w:eastAsia="等线 Light" w:cs="等线 Light"/>
        </w:rPr>
        <w:t>64</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C6E19D4">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_Toc14853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val="0"/>
          <w:szCs w:val="28"/>
          <w:highlight w:val="none"/>
        </w:rPr>
        <w:t>第三节</w:t>
      </w:r>
      <w:r>
        <w:rPr>
          <w:rFonts w:hint="eastAsia" w:ascii="等线 Light" w:hAnsi="等线 Light" w:eastAsia="等线 Light" w:cs="等线 Light"/>
          <w:bCs w:val="0"/>
          <w:szCs w:val="28"/>
          <w:highlight w:val="none"/>
          <w:lang w:val="en-US" w:eastAsia="zh-CN"/>
        </w:rPr>
        <w:t xml:space="preserve">  </w:t>
      </w:r>
      <w:r>
        <w:rPr>
          <w:rFonts w:hint="eastAsia" w:ascii="等线 Light" w:hAnsi="等线 Light" w:eastAsia="等线 Light" w:cs="等线 Light"/>
          <w:bCs w:val="0"/>
          <w:szCs w:val="28"/>
          <w:highlight w:val="none"/>
        </w:rPr>
        <w:t>合同附件格式</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_Toc14853 \h </w:instrText>
      </w:r>
      <w:r>
        <w:rPr>
          <w:rFonts w:hint="eastAsia" w:ascii="等线 Light" w:hAnsi="等线 Light" w:eastAsia="等线 Light" w:cs="等线 Light"/>
        </w:rPr>
        <w:fldChar w:fldCharType="separate"/>
      </w:r>
      <w:r>
        <w:rPr>
          <w:rFonts w:hint="eastAsia" w:ascii="等线 Light" w:hAnsi="等线 Light" w:eastAsia="等线 Light" w:cs="等线 Light"/>
        </w:rPr>
        <w:t>76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0AA6135">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_Toc20528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第四章  响应文件格式</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_Toc20528 \h </w:instrText>
      </w:r>
      <w:r>
        <w:rPr>
          <w:rFonts w:hint="eastAsia" w:ascii="等线 Light" w:hAnsi="等线 Light" w:eastAsia="等线 Light" w:cs="等线 Light"/>
        </w:rPr>
        <w:fldChar w:fldCharType="separate"/>
      </w:r>
      <w:r>
        <w:rPr>
          <w:rFonts w:hint="eastAsia" w:ascii="等线 Light" w:hAnsi="等线 Light" w:eastAsia="等线 Light" w:cs="等线 Light"/>
        </w:rPr>
        <w:t>86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2EE98BA">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_Toc25161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snapToGrid/>
          <w:kern w:val="2"/>
          <w:szCs w:val="28"/>
          <w:highlight w:val="none"/>
          <w:lang w:val="en-US" w:eastAsia="zh-CN" w:bidi="ar-SA"/>
        </w:rPr>
        <w:t>一、资格证明文件</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_Toc25161 \h </w:instrText>
      </w:r>
      <w:r>
        <w:rPr>
          <w:rFonts w:hint="eastAsia" w:ascii="等线 Light" w:hAnsi="等线 Light" w:eastAsia="等线 Light" w:cs="等线 Light"/>
        </w:rPr>
        <w:fldChar w:fldCharType="separate"/>
      </w:r>
      <w:r>
        <w:rPr>
          <w:rFonts w:hint="eastAsia" w:ascii="等线 Light" w:hAnsi="等线 Light" w:eastAsia="等线 Light" w:cs="等线 Light"/>
        </w:rPr>
        <w:t>88</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2B708920">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_Toc7710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snapToGrid/>
          <w:kern w:val="2"/>
          <w:szCs w:val="28"/>
          <w:highlight w:val="none"/>
          <w:lang w:val="en-US" w:eastAsia="zh-CN" w:bidi="ar-SA"/>
        </w:rPr>
        <w:t>二、报价部分</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_Toc7710 \h </w:instrText>
      </w:r>
      <w:r>
        <w:rPr>
          <w:rFonts w:hint="eastAsia" w:ascii="等线 Light" w:hAnsi="等线 Light" w:eastAsia="等线 Light" w:cs="等线 Light"/>
        </w:rPr>
        <w:fldChar w:fldCharType="separate"/>
      </w:r>
      <w:r>
        <w:rPr>
          <w:rFonts w:hint="eastAsia" w:ascii="等线 Light" w:hAnsi="等线 Light" w:eastAsia="等线 Light" w:cs="等线 Light"/>
        </w:rPr>
        <w:t>100</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4FDB71B8">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_Toc1140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snapToGrid/>
          <w:kern w:val="2"/>
          <w:szCs w:val="28"/>
          <w:highlight w:val="none"/>
          <w:lang w:val="en-US" w:eastAsia="zh-CN" w:bidi="ar-SA"/>
        </w:rPr>
        <w:t>三、技术和商务部分</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_Toc1140 \h </w:instrText>
      </w:r>
      <w:r>
        <w:rPr>
          <w:rFonts w:hint="eastAsia" w:ascii="等线 Light" w:hAnsi="等线 Light" w:eastAsia="等线 Light" w:cs="等线 Light"/>
        </w:rPr>
        <w:fldChar w:fldCharType="separate"/>
      </w:r>
      <w:r>
        <w:rPr>
          <w:rFonts w:hint="eastAsia" w:ascii="等线 Light" w:hAnsi="等线 Light" w:eastAsia="等线 Light" w:cs="等线 Light"/>
        </w:rPr>
        <w:t>103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69291BAB">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_Toc29537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第五章  采购需求</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_Toc29537 \h </w:instrText>
      </w:r>
      <w:r>
        <w:rPr>
          <w:rFonts w:hint="eastAsia" w:ascii="等线 Light" w:hAnsi="等线 Light" w:eastAsia="等线 Light" w:cs="等线 Light"/>
        </w:rPr>
        <w:fldChar w:fldCharType="separate"/>
      </w:r>
      <w:r>
        <w:rPr>
          <w:rFonts w:hint="eastAsia" w:ascii="等线 Light" w:hAnsi="等线 Light" w:eastAsia="等线 Light" w:cs="等线 Light"/>
        </w:rPr>
        <w:t>121</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4B1AAF0">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_Toc12920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snapToGrid/>
          <w:kern w:val="2"/>
          <w:szCs w:val="24"/>
          <w:highlight w:val="none"/>
          <w:lang w:val="en-US" w:eastAsia="zh-CN" w:bidi="ar-SA"/>
        </w:rPr>
        <w:t>一、项目基本内容：</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_Toc12920 \h </w:instrText>
      </w:r>
      <w:r>
        <w:rPr>
          <w:rFonts w:hint="eastAsia" w:ascii="等线 Light" w:hAnsi="等线 Light" w:eastAsia="等线 Light" w:cs="等线 Light"/>
        </w:rPr>
        <w:fldChar w:fldCharType="separate"/>
      </w:r>
      <w:r>
        <w:rPr>
          <w:rFonts w:hint="eastAsia" w:ascii="等线 Light" w:hAnsi="等线 Light" w:eastAsia="等线 Light" w:cs="等线 Light"/>
        </w:rPr>
        <w:t>121</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68A5D999">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_Toc15498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snapToGrid/>
          <w:kern w:val="2"/>
          <w:szCs w:val="24"/>
          <w:highlight w:val="none"/>
          <w:lang w:val="en-US" w:eastAsia="zh-CN" w:bidi="ar-SA"/>
        </w:rPr>
        <w:t>二、招标工程量清单及编制说明</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_Toc15498 \h </w:instrText>
      </w:r>
      <w:r>
        <w:rPr>
          <w:rFonts w:hint="eastAsia" w:ascii="等线 Light" w:hAnsi="等线 Light" w:eastAsia="等线 Light" w:cs="等线 Light"/>
        </w:rPr>
        <w:fldChar w:fldCharType="separate"/>
      </w:r>
      <w:r>
        <w:rPr>
          <w:rFonts w:hint="eastAsia" w:ascii="等线 Light" w:hAnsi="等线 Light" w:eastAsia="等线 Light" w:cs="等线 Light"/>
        </w:rPr>
        <w:t>122</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FFC7D52">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_Toc18307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第六章  磋商程序和方法</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_Toc18307 \h </w:instrText>
      </w:r>
      <w:r>
        <w:rPr>
          <w:rFonts w:hint="eastAsia" w:ascii="等线 Light" w:hAnsi="等线 Light" w:eastAsia="等线 Light" w:cs="等线 Light"/>
        </w:rPr>
        <w:fldChar w:fldCharType="separate"/>
      </w:r>
      <w:r>
        <w:rPr>
          <w:rFonts w:hint="eastAsia" w:ascii="等线 Light" w:hAnsi="等线 Light" w:eastAsia="等线 Light" w:cs="等线 Light"/>
        </w:rPr>
        <w:t>123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5ECC36F">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_Toc28028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一、磋商小组</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_Toc28028 \h </w:instrText>
      </w:r>
      <w:r>
        <w:rPr>
          <w:rFonts w:hint="eastAsia" w:ascii="等线 Light" w:hAnsi="等线 Light" w:eastAsia="等线 Light" w:cs="等线 Light"/>
        </w:rPr>
        <w:fldChar w:fldCharType="separate"/>
      </w:r>
      <w:r>
        <w:rPr>
          <w:rFonts w:hint="eastAsia" w:ascii="等线 Light" w:hAnsi="等线 Light" w:eastAsia="等线 Light" w:cs="等线 Light"/>
        </w:rPr>
        <w:t>123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9F5E84A">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_Toc8078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二、磋商程序</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_Toc8078 \h </w:instrText>
      </w:r>
      <w:r>
        <w:rPr>
          <w:rFonts w:hint="eastAsia" w:ascii="等线 Light" w:hAnsi="等线 Light" w:eastAsia="等线 Light" w:cs="等线 Light"/>
        </w:rPr>
        <w:fldChar w:fldCharType="separate"/>
      </w:r>
      <w:r>
        <w:rPr>
          <w:rFonts w:hint="eastAsia" w:ascii="等线 Light" w:hAnsi="等线 Light" w:eastAsia="等线 Light" w:cs="等线 Light"/>
        </w:rPr>
        <w:t>123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AFBE397">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_Toc29523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四、授予合同</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_Toc29523 \h </w:instrText>
      </w:r>
      <w:r>
        <w:rPr>
          <w:rFonts w:hint="eastAsia" w:ascii="等线 Light" w:hAnsi="等线 Light" w:eastAsia="等线 Light" w:cs="等线 Light"/>
        </w:rPr>
        <w:fldChar w:fldCharType="separate"/>
      </w:r>
      <w:r>
        <w:rPr>
          <w:rFonts w:hint="eastAsia" w:ascii="等线 Light" w:hAnsi="等线 Light" w:eastAsia="等线 Light" w:cs="等线 Light"/>
        </w:rPr>
        <w:t>124</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1EF4565F">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_Toc30792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三、磋商方法</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_Toc30792 \h </w:instrText>
      </w:r>
      <w:r>
        <w:rPr>
          <w:rFonts w:hint="eastAsia" w:ascii="等线 Light" w:hAnsi="等线 Light" w:eastAsia="等线 Light" w:cs="等线 Light"/>
        </w:rPr>
        <w:fldChar w:fldCharType="separate"/>
      </w:r>
      <w:r>
        <w:rPr>
          <w:rFonts w:hint="eastAsia" w:ascii="等线 Light" w:hAnsi="等线 Light" w:eastAsia="等线 Light" w:cs="等线 Light"/>
        </w:rPr>
        <w:t>124</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1906BA93">
      <w:pPr>
        <w:keepNext/>
        <w:widowControl w:val="0"/>
        <w:autoSpaceDE w:val="0"/>
        <w:autoSpaceDN w:val="0"/>
        <w:adjustRightInd w:val="0"/>
        <w:jc w:val="center"/>
        <w:outlineLvl w:val="9"/>
        <w:rPr>
          <w:rFonts w:hint="eastAsia" w:ascii="等线 Light" w:hAnsi="等线 Light" w:eastAsia="等线 Light" w:cs="等线 Light"/>
          <w:b/>
          <w:snapToGrid w:val="0"/>
          <w:color w:val="000000" w:themeColor="text1"/>
          <w:kern w:val="44"/>
          <w:sz w:val="21"/>
          <w:szCs w:val="18"/>
          <w:highlight w:val="none"/>
          <w:lang w:val="en-US" w:eastAsia="zh-CN" w:bidi="ar-SA"/>
          <w14:textFill>
            <w14:solidFill>
              <w14:schemeClr w14:val="tx1"/>
            </w14:solidFill>
          </w14:textFill>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0C4981F">
      <w:pPr>
        <w:pStyle w:val="2"/>
        <w:rPr>
          <w:rFonts w:hint="eastAsia"/>
          <w:lang w:val="en-US" w:eastAsia="zh-CN"/>
        </w:rPr>
        <w:sectPr>
          <w:pgSz w:w="11906" w:h="16838"/>
          <w:pgMar w:top="1440" w:right="1800" w:bottom="1440" w:left="1800" w:header="851" w:footer="992" w:gutter="0"/>
          <w:cols w:space="425" w:num="1"/>
          <w:docGrid w:type="lines" w:linePitch="312" w:charSpace="0"/>
        </w:sectPr>
      </w:pPr>
    </w:p>
    <w:bookmarkEnd w:id="4"/>
    <w:p w14:paraId="64E804E0">
      <w:pPr>
        <w:keepNext/>
        <w:widowControl w:val="0"/>
        <w:autoSpaceDE w:val="0"/>
        <w:autoSpaceDN w:val="0"/>
        <w:adjustRightInd w:val="0"/>
        <w:jc w:val="center"/>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bookmarkStart w:id="5" w:name="_Toc7747"/>
      <w:bookmarkStart w:id="6" w:name="_Toc75729691"/>
      <w:bookmarkStart w:id="7" w:name="_Toc134284764"/>
      <w:bookmarkStart w:id="8" w:name="_Toc21347"/>
      <w:bookmarkStart w:id="9" w:name="_Toc134284733"/>
      <w:bookmarkStart w:id="10" w:name="_Toc718"/>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第一章  竞争性磋商公告</w:t>
      </w:r>
      <w:bookmarkEnd w:id="5"/>
    </w:p>
    <w:p w14:paraId="441A0C83">
      <w:pPr>
        <w:widowControl w:val="0"/>
        <w:pBdr>
          <w:top w:val="single" w:color="auto" w:sz="4" w:space="1"/>
          <w:left w:val="single" w:color="auto" w:sz="4" w:space="4"/>
          <w:bottom w:val="single" w:color="auto" w:sz="4" w:space="1"/>
          <w:right w:val="single" w:color="auto" w:sz="4" w:space="4"/>
        </w:pBdr>
        <w:kinsoku/>
        <w:autoSpaceDE/>
        <w:autoSpaceDN/>
        <w:adjustRightInd/>
        <w:snapToGrid/>
        <w:spacing w:line="440" w:lineRule="exact"/>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项目概况</w:t>
      </w:r>
    </w:p>
    <w:p w14:paraId="28B5CB3C">
      <w:pPr>
        <w:widowControl w:val="0"/>
        <w:pBdr>
          <w:top w:val="single" w:color="auto" w:sz="4" w:space="1"/>
          <w:left w:val="single" w:color="auto" w:sz="4" w:space="4"/>
          <w:bottom w:val="single" w:color="auto" w:sz="4" w:space="1"/>
          <w:right w:val="single" w:color="auto" w:sz="4" w:space="4"/>
        </w:pBdr>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u w:val="none"/>
          <w:lang w:val="en-US" w:eastAsia="zh-CN" w:bidi="ar-SA"/>
        </w:rPr>
      </w:pPr>
      <w:r>
        <w:rPr>
          <w:rFonts w:hint="eastAsia" w:ascii="宋体" w:hAnsi="宋体" w:eastAsia="宋体" w:cs="宋体"/>
          <w:snapToGrid/>
          <w:color w:val="auto"/>
          <w:kern w:val="2"/>
          <w:sz w:val="22"/>
          <w:szCs w:val="28"/>
          <w:highlight w:val="none"/>
          <w:u w:val="none"/>
          <w:lang w:val="en-US" w:eastAsia="zh-CN" w:bidi="ar-SA"/>
        </w:rPr>
        <w:fldChar w:fldCharType="begin"/>
      </w:r>
      <w:r>
        <w:rPr>
          <w:rFonts w:hint="eastAsia" w:ascii="宋体" w:hAnsi="宋体" w:eastAsia="宋体" w:cs="宋体"/>
          <w:snapToGrid/>
          <w:color w:val="auto"/>
          <w:kern w:val="2"/>
          <w:sz w:val="22"/>
          <w:szCs w:val="28"/>
          <w:highlight w:val="none"/>
          <w:u w:val="none"/>
          <w:lang w:val="en-US" w:eastAsia="zh-CN" w:bidi="ar-SA"/>
        </w:rPr>
        <w:instrText xml:space="preserve"> HYPERLINK "mailto:云南大学软件学院数字媒体技术专业实验室建设项目采购的潜在供应商应在云南中咨海外咨询有限公司3楼前台（云南省昆明市滇池度假区中天融域小区17幢1单元3楼）或zzhw02@vip.163.com邮箱获取竞争性谈判文件，并于2023年" </w:instrText>
      </w:r>
      <w:r>
        <w:rPr>
          <w:rFonts w:hint="eastAsia" w:ascii="宋体" w:hAnsi="宋体" w:eastAsia="宋体" w:cs="宋体"/>
          <w:snapToGrid/>
          <w:color w:val="auto"/>
          <w:kern w:val="2"/>
          <w:sz w:val="22"/>
          <w:szCs w:val="28"/>
          <w:highlight w:val="none"/>
          <w:u w:val="none"/>
          <w:lang w:val="en-US" w:eastAsia="zh-CN" w:bidi="ar-SA"/>
        </w:rPr>
        <w:fldChar w:fldCharType="separate"/>
      </w:r>
      <w:r>
        <w:rPr>
          <w:rFonts w:hint="eastAsia" w:ascii="宋体" w:hAnsi="宋体" w:eastAsia="宋体" w:cs="宋体"/>
          <w:snapToGrid/>
          <w:color w:val="auto"/>
          <w:kern w:val="2"/>
          <w:sz w:val="22"/>
          <w:szCs w:val="28"/>
          <w:highlight w:val="none"/>
          <w:u w:val="single"/>
          <w:lang w:val="en-US" w:eastAsia="zh-CN" w:bidi="ar-SA"/>
        </w:rPr>
        <w:t>耿马县2024年小型水库维修养护工程</w:t>
      </w:r>
      <w:r>
        <w:rPr>
          <w:rFonts w:hint="eastAsia" w:ascii="宋体" w:hAnsi="宋体" w:eastAsia="宋体" w:cs="宋体"/>
          <w:snapToGrid/>
          <w:color w:val="auto"/>
          <w:kern w:val="2"/>
          <w:sz w:val="22"/>
          <w:szCs w:val="22"/>
          <w:highlight w:val="none"/>
          <w:u w:val="none"/>
          <w:lang w:val="en-US" w:eastAsia="zh-CN" w:bidi="ar-SA"/>
        </w:rPr>
        <w:t>的潜在供应商应在</w:t>
      </w:r>
      <w:r>
        <w:rPr>
          <w:rFonts w:hint="eastAsia" w:ascii="宋体" w:hAnsi="宋体" w:eastAsia="宋体" w:cs="宋体"/>
          <w:snapToGrid/>
          <w:color w:val="auto"/>
          <w:kern w:val="2"/>
          <w:sz w:val="22"/>
          <w:szCs w:val="22"/>
          <w:highlight w:val="none"/>
          <w:u w:val="single"/>
          <w:lang w:val="en-US" w:eastAsia="zh-CN" w:bidi="ar-SA"/>
        </w:rPr>
        <w:t>云南方圆工程咨询有限公司（云南省临沧市耿马县滨河家园9栋1706室）</w:t>
      </w:r>
      <w:r>
        <w:rPr>
          <w:rFonts w:hint="eastAsia" w:ascii="宋体" w:hAnsi="宋体" w:eastAsia="宋体" w:cs="宋体"/>
          <w:snapToGrid/>
          <w:color w:val="auto"/>
          <w:kern w:val="2"/>
          <w:sz w:val="22"/>
          <w:szCs w:val="22"/>
          <w:highlight w:val="none"/>
          <w:u w:val="none"/>
          <w:lang w:val="en-US" w:eastAsia="zh-CN" w:bidi="ar-SA"/>
        </w:rPr>
        <w:t>获取采购文件，并于</w:t>
      </w:r>
      <w:r>
        <w:rPr>
          <w:rFonts w:hint="eastAsia" w:ascii="宋体" w:hAnsi="宋体" w:eastAsia="宋体" w:cs="宋体"/>
          <w:i/>
          <w:iCs/>
          <w:snapToGrid/>
          <w:color w:val="auto"/>
          <w:kern w:val="2"/>
          <w:sz w:val="22"/>
          <w:szCs w:val="22"/>
          <w:highlight w:val="none"/>
          <w:u w:val="single"/>
          <w:lang w:val="en-US" w:eastAsia="zh-CN" w:bidi="ar-SA"/>
        </w:rPr>
        <w:t>2024年08月23日上午09：00分</w:t>
      </w:r>
      <w:r>
        <w:rPr>
          <w:rFonts w:hint="eastAsia" w:ascii="宋体" w:hAnsi="宋体" w:eastAsia="宋体" w:cs="宋体"/>
          <w:snapToGrid/>
          <w:color w:val="auto"/>
          <w:kern w:val="2"/>
          <w:sz w:val="22"/>
          <w:szCs w:val="22"/>
          <w:highlight w:val="none"/>
          <w:u w:val="none"/>
          <w:lang w:val="en-US" w:eastAsia="zh-CN" w:bidi="ar-SA"/>
        </w:rPr>
        <w:t xml:space="preserve"> </w:t>
      </w:r>
      <w:r>
        <w:rPr>
          <w:rFonts w:hint="eastAsia" w:ascii="宋体" w:hAnsi="宋体" w:eastAsia="宋体" w:cs="宋体"/>
          <w:b/>
          <w:bCs/>
          <w:snapToGrid/>
          <w:color w:val="auto"/>
          <w:kern w:val="2"/>
          <w:sz w:val="22"/>
          <w:szCs w:val="22"/>
          <w:highlight w:val="none"/>
          <w:u w:val="none"/>
          <w:lang w:val="en-US" w:eastAsia="zh-CN" w:bidi="ar-SA"/>
        </w:rPr>
        <w:fldChar w:fldCharType="end"/>
      </w:r>
      <w:r>
        <w:rPr>
          <w:rFonts w:hint="eastAsia" w:ascii="宋体" w:hAnsi="宋体" w:eastAsia="宋体" w:cs="宋体"/>
          <w:bCs/>
          <w:snapToGrid/>
          <w:color w:val="auto"/>
          <w:kern w:val="2"/>
          <w:sz w:val="22"/>
          <w:szCs w:val="22"/>
          <w:highlight w:val="none"/>
          <w:u w:val="none"/>
          <w:lang w:val="en-US" w:eastAsia="zh-CN" w:bidi="ar-SA"/>
        </w:rPr>
        <w:t>（北京时间）前提交响应文件</w:t>
      </w:r>
      <w:r>
        <w:rPr>
          <w:rFonts w:hint="eastAsia" w:ascii="宋体" w:hAnsi="宋体" w:eastAsia="宋体" w:cs="宋体"/>
          <w:snapToGrid/>
          <w:color w:val="auto"/>
          <w:kern w:val="2"/>
          <w:sz w:val="22"/>
          <w:szCs w:val="22"/>
          <w:highlight w:val="none"/>
          <w:u w:val="none"/>
          <w:lang w:val="en-US" w:eastAsia="zh-CN" w:bidi="ar-SA"/>
        </w:rPr>
        <w:t>。</w:t>
      </w:r>
    </w:p>
    <w:p w14:paraId="37BE172D">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11" w:name="_Toc6849"/>
      <w:bookmarkStart w:id="12" w:name="_Toc28359079"/>
      <w:bookmarkStart w:id="13" w:name="_Toc28359002"/>
      <w:bookmarkStart w:id="14" w:name="_Toc10998"/>
      <w:bookmarkStart w:id="15" w:name="_Toc35393621"/>
      <w:bookmarkStart w:id="16" w:name="_Toc35393790"/>
      <w:bookmarkStart w:id="17" w:name="_Hlk24379207"/>
      <w:r>
        <w:rPr>
          <w:rFonts w:hint="eastAsia" w:ascii="黑体" w:hAnsi="黑体" w:eastAsia="黑体" w:cs="黑体"/>
          <w:snapToGrid/>
          <w:color w:val="auto"/>
          <w:kern w:val="0"/>
          <w:sz w:val="28"/>
          <w:szCs w:val="28"/>
          <w:highlight w:val="none"/>
          <w:lang w:val="en-US" w:eastAsia="zh-CN" w:bidi="ar-SA"/>
        </w:rPr>
        <w:t>一、项目基本情况</w:t>
      </w:r>
      <w:bookmarkEnd w:id="11"/>
      <w:bookmarkEnd w:id="12"/>
      <w:bookmarkEnd w:id="13"/>
      <w:bookmarkEnd w:id="14"/>
      <w:bookmarkEnd w:id="15"/>
      <w:bookmarkEnd w:id="16"/>
    </w:p>
    <w:bookmarkEnd w:id="17"/>
    <w:p w14:paraId="4C282C71">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bookmarkStart w:id="18" w:name="_Toc35393622"/>
      <w:bookmarkStart w:id="19" w:name="_Toc35393791"/>
      <w:bookmarkStart w:id="20" w:name="_Toc28359080"/>
      <w:bookmarkStart w:id="21" w:name="_Toc28359003"/>
      <w:r>
        <w:rPr>
          <w:rFonts w:hint="eastAsia" w:ascii="宋体" w:hAnsi="宋体" w:eastAsia="宋体" w:cs="宋体"/>
          <w:snapToGrid/>
          <w:color w:val="auto"/>
          <w:kern w:val="2"/>
          <w:sz w:val="22"/>
          <w:szCs w:val="22"/>
          <w:highlight w:val="none"/>
          <w:lang w:val="en-US" w:eastAsia="zh-CN" w:bidi="ar-SA"/>
        </w:rPr>
        <w:t>1.项目编号：YNFY2024-LCSL-003</w:t>
      </w:r>
    </w:p>
    <w:p w14:paraId="1E83FC0C">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2.项目名称：耿马县2024年小型水库维修养护工程；</w:t>
      </w:r>
    </w:p>
    <w:p w14:paraId="5DE71EC4">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w:t>
      </w:r>
      <w:r>
        <w:rPr>
          <w:rFonts w:hint="eastAsia" w:ascii="宋体" w:hAnsi="宋体" w:eastAsia="宋体" w:cs="宋体"/>
          <w:sz w:val="22"/>
          <w:szCs w:val="22"/>
          <w:highlight w:val="none"/>
          <w:lang w:val="en-US" w:eastAsia="zh-CN" w:bidi="zh-CN"/>
        </w:rPr>
        <w:t>标段划分：</w:t>
      </w:r>
      <w:r>
        <w:rPr>
          <w:rFonts w:hint="eastAsia" w:ascii="宋体" w:hAnsi="宋体" w:eastAsia="宋体" w:cs="宋体"/>
          <w:snapToGrid/>
          <w:color w:val="auto"/>
          <w:kern w:val="0"/>
          <w:sz w:val="22"/>
          <w:szCs w:val="22"/>
          <w:highlight w:val="none"/>
          <w:lang w:val="en-US" w:eastAsia="zh-CN" w:bidi="ar-SA"/>
        </w:rPr>
        <w:t>本项目划分为 3 个标段，标段划分如下：</w:t>
      </w:r>
    </w:p>
    <w:tbl>
      <w:tblPr>
        <w:tblStyle w:val="8"/>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5031"/>
        <w:gridCol w:w="2661"/>
      </w:tblGrid>
      <w:tr w14:paraId="2C695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9" w:type="dxa"/>
            <w:noWrap w:val="0"/>
            <w:vAlign w:val="center"/>
          </w:tcPr>
          <w:p w14:paraId="0B92737F">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标段号</w:t>
            </w:r>
          </w:p>
        </w:tc>
        <w:tc>
          <w:tcPr>
            <w:tcW w:w="5031" w:type="dxa"/>
            <w:noWrap w:val="0"/>
            <w:vAlign w:val="center"/>
          </w:tcPr>
          <w:p w14:paraId="6A8B50BF">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标段名称</w:t>
            </w:r>
          </w:p>
        </w:tc>
        <w:tc>
          <w:tcPr>
            <w:tcW w:w="2661" w:type="dxa"/>
            <w:noWrap w:val="0"/>
            <w:vAlign w:val="center"/>
          </w:tcPr>
          <w:p w14:paraId="29AA4F1D">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标段编号</w:t>
            </w:r>
          </w:p>
        </w:tc>
      </w:tr>
      <w:tr w14:paraId="51EC4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9" w:type="dxa"/>
            <w:noWrap w:val="0"/>
            <w:vAlign w:val="center"/>
          </w:tcPr>
          <w:p w14:paraId="123E160D">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第一标段</w:t>
            </w:r>
          </w:p>
        </w:tc>
        <w:tc>
          <w:tcPr>
            <w:tcW w:w="5031" w:type="dxa"/>
            <w:noWrap w:val="0"/>
            <w:vAlign w:val="center"/>
          </w:tcPr>
          <w:p w14:paraId="692EC820">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zh-CN" w:eastAsia="zh-CN" w:bidi="ar-SA"/>
              </w:rPr>
              <w:t>耿马县2024年小型水库维修养护工程</w:t>
            </w:r>
            <w:r>
              <w:rPr>
                <w:rFonts w:hint="eastAsia" w:ascii="宋体" w:hAnsi="宋体" w:eastAsia="宋体" w:cs="宋体"/>
                <w:b w:val="0"/>
                <w:bCs w:val="0"/>
                <w:snapToGrid/>
                <w:color w:val="auto"/>
                <w:kern w:val="0"/>
                <w:sz w:val="22"/>
                <w:szCs w:val="22"/>
                <w:highlight w:val="none"/>
                <w:vertAlign w:val="baseline"/>
                <w:lang w:val="en-US" w:eastAsia="zh-CN" w:bidi="ar-SA"/>
              </w:rPr>
              <w:t>第一标段</w:t>
            </w:r>
          </w:p>
        </w:tc>
        <w:tc>
          <w:tcPr>
            <w:tcW w:w="2661" w:type="dxa"/>
            <w:noWrap w:val="0"/>
            <w:vAlign w:val="center"/>
          </w:tcPr>
          <w:p w14:paraId="67805F48">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default"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YNFY2024-LCSL-003-01</w:t>
            </w:r>
          </w:p>
        </w:tc>
      </w:tr>
      <w:tr w14:paraId="096FE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9" w:type="dxa"/>
            <w:noWrap w:val="0"/>
            <w:vAlign w:val="center"/>
          </w:tcPr>
          <w:p w14:paraId="34837EC7">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第二标段</w:t>
            </w:r>
          </w:p>
        </w:tc>
        <w:tc>
          <w:tcPr>
            <w:tcW w:w="5031" w:type="dxa"/>
            <w:noWrap w:val="0"/>
            <w:vAlign w:val="center"/>
          </w:tcPr>
          <w:p w14:paraId="0E8CDD9B">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zh-CN" w:eastAsia="zh-CN" w:bidi="ar-SA"/>
              </w:rPr>
              <w:t>耿马县2024年小型水库维修养护工程</w:t>
            </w:r>
            <w:r>
              <w:rPr>
                <w:rFonts w:hint="eastAsia" w:ascii="宋体" w:hAnsi="宋体" w:eastAsia="宋体" w:cs="宋体"/>
                <w:b w:val="0"/>
                <w:bCs w:val="0"/>
                <w:snapToGrid/>
                <w:color w:val="auto"/>
                <w:kern w:val="0"/>
                <w:sz w:val="22"/>
                <w:szCs w:val="22"/>
                <w:highlight w:val="none"/>
                <w:vertAlign w:val="baseline"/>
                <w:lang w:val="en-US" w:eastAsia="zh-CN" w:bidi="ar-SA"/>
              </w:rPr>
              <w:t>第二标段</w:t>
            </w:r>
          </w:p>
        </w:tc>
        <w:tc>
          <w:tcPr>
            <w:tcW w:w="2661" w:type="dxa"/>
            <w:noWrap w:val="0"/>
            <w:vAlign w:val="center"/>
          </w:tcPr>
          <w:p w14:paraId="61DD528C">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YNFY2024-LCSL-003-02</w:t>
            </w:r>
          </w:p>
        </w:tc>
      </w:tr>
      <w:tr w14:paraId="3F67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9" w:type="dxa"/>
            <w:noWrap w:val="0"/>
            <w:vAlign w:val="center"/>
          </w:tcPr>
          <w:p w14:paraId="3B306989">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第三标段</w:t>
            </w:r>
          </w:p>
        </w:tc>
        <w:tc>
          <w:tcPr>
            <w:tcW w:w="5031" w:type="dxa"/>
            <w:noWrap w:val="0"/>
            <w:vAlign w:val="center"/>
          </w:tcPr>
          <w:p w14:paraId="7E952C4F">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zh-CN" w:eastAsia="zh-CN" w:bidi="ar-SA"/>
              </w:rPr>
              <w:t>耿马县2024年小型水库维修养护工程</w:t>
            </w:r>
            <w:r>
              <w:rPr>
                <w:rFonts w:hint="eastAsia" w:ascii="宋体" w:hAnsi="宋体" w:eastAsia="宋体" w:cs="宋体"/>
                <w:b w:val="0"/>
                <w:bCs w:val="0"/>
                <w:snapToGrid/>
                <w:color w:val="auto"/>
                <w:kern w:val="0"/>
                <w:sz w:val="22"/>
                <w:szCs w:val="22"/>
                <w:highlight w:val="none"/>
                <w:vertAlign w:val="baseline"/>
                <w:lang w:val="en-US" w:eastAsia="zh-CN" w:bidi="ar-SA"/>
              </w:rPr>
              <w:t>第三标段</w:t>
            </w:r>
          </w:p>
        </w:tc>
        <w:tc>
          <w:tcPr>
            <w:tcW w:w="2661" w:type="dxa"/>
            <w:noWrap w:val="0"/>
            <w:vAlign w:val="center"/>
          </w:tcPr>
          <w:p w14:paraId="1FEDF0AD">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YNFY2024-LCSL-003-03</w:t>
            </w:r>
          </w:p>
        </w:tc>
      </w:tr>
    </w:tbl>
    <w:p w14:paraId="1CEA34FB">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4.采购方式：竞争性磋商；</w:t>
      </w:r>
    </w:p>
    <w:p w14:paraId="34CF8019">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5.预算金额：</w:t>
      </w:r>
    </w:p>
    <w:p w14:paraId="75530A74">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第一标段：预算金额为</w:t>
      </w:r>
      <w:r>
        <w:rPr>
          <w:rFonts w:hint="eastAsia" w:ascii="宋体" w:hAnsi="宋体" w:eastAsia="宋体" w:cs="宋体"/>
          <w:snapToGrid/>
          <w:color w:val="auto"/>
          <w:kern w:val="2"/>
          <w:sz w:val="22"/>
          <w:szCs w:val="22"/>
          <w:highlight w:val="none"/>
          <w:u w:val="single"/>
          <w:lang w:val="en-US" w:eastAsia="zh-CN" w:bidi="ar-SA"/>
        </w:rPr>
        <w:t>502364.01</w:t>
      </w:r>
      <w:r>
        <w:rPr>
          <w:rFonts w:hint="eastAsia" w:ascii="宋体" w:hAnsi="宋体" w:eastAsia="宋体" w:cs="宋体"/>
          <w:snapToGrid/>
          <w:color w:val="auto"/>
          <w:kern w:val="2"/>
          <w:sz w:val="22"/>
          <w:szCs w:val="22"/>
          <w:highlight w:val="none"/>
          <w:lang w:val="en-US" w:eastAsia="zh-CN" w:bidi="ar-SA"/>
        </w:rPr>
        <w:t>元；</w:t>
      </w:r>
    </w:p>
    <w:p w14:paraId="50E4DF38">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第二标段：预算金额为</w:t>
      </w:r>
      <w:r>
        <w:rPr>
          <w:rFonts w:hint="eastAsia" w:ascii="宋体" w:hAnsi="宋体" w:eastAsia="宋体" w:cs="宋体"/>
          <w:snapToGrid/>
          <w:color w:val="auto"/>
          <w:kern w:val="2"/>
          <w:sz w:val="22"/>
          <w:szCs w:val="22"/>
          <w:highlight w:val="none"/>
          <w:u w:val="single"/>
          <w:lang w:val="en-US" w:eastAsia="zh-CN" w:bidi="ar-SA"/>
        </w:rPr>
        <w:t>74208.91</w:t>
      </w:r>
      <w:r>
        <w:rPr>
          <w:rFonts w:hint="eastAsia" w:ascii="宋体" w:hAnsi="宋体" w:eastAsia="宋体" w:cs="宋体"/>
          <w:snapToGrid/>
          <w:color w:val="auto"/>
          <w:kern w:val="2"/>
          <w:sz w:val="22"/>
          <w:szCs w:val="22"/>
          <w:highlight w:val="none"/>
          <w:lang w:val="en-US" w:eastAsia="zh-CN" w:bidi="ar-SA"/>
        </w:rPr>
        <w:t>元；</w:t>
      </w:r>
    </w:p>
    <w:p w14:paraId="1D3D9735">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第三标段：预算金额为</w:t>
      </w:r>
      <w:r>
        <w:rPr>
          <w:rFonts w:hint="eastAsia" w:ascii="宋体" w:hAnsi="宋体" w:eastAsia="宋体" w:cs="宋体"/>
          <w:snapToGrid/>
          <w:color w:val="auto"/>
          <w:kern w:val="2"/>
          <w:sz w:val="22"/>
          <w:szCs w:val="22"/>
          <w:highlight w:val="none"/>
          <w:u w:val="single"/>
          <w:lang w:val="en-US" w:eastAsia="zh-CN" w:bidi="ar-SA"/>
        </w:rPr>
        <w:t>71104.25</w:t>
      </w:r>
      <w:r>
        <w:rPr>
          <w:rFonts w:hint="eastAsia" w:ascii="宋体" w:hAnsi="宋体" w:eastAsia="宋体" w:cs="宋体"/>
          <w:snapToGrid/>
          <w:color w:val="auto"/>
          <w:kern w:val="2"/>
          <w:sz w:val="22"/>
          <w:szCs w:val="22"/>
          <w:highlight w:val="none"/>
          <w:lang w:val="en-US" w:eastAsia="zh-CN" w:bidi="ar-SA"/>
        </w:rPr>
        <w:t>元。</w:t>
      </w:r>
    </w:p>
    <w:p w14:paraId="07501EF5">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▲6.最高限价：</w:t>
      </w:r>
    </w:p>
    <w:p w14:paraId="3638E50C">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第一标段：最高限价为</w:t>
      </w:r>
      <w:r>
        <w:rPr>
          <w:rFonts w:hint="eastAsia" w:ascii="宋体" w:hAnsi="宋体" w:eastAsia="宋体" w:cs="宋体"/>
          <w:snapToGrid/>
          <w:color w:val="auto"/>
          <w:kern w:val="2"/>
          <w:sz w:val="22"/>
          <w:szCs w:val="22"/>
          <w:highlight w:val="none"/>
          <w:u w:val="single"/>
          <w:lang w:val="en-US" w:eastAsia="zh-CN" w:bidi="ar-SA"/>
        </w:rPr>
        <w:t>502364.01</w:t>
      </w:r>
      <w:r>
        <w:rPr>
          <w:rFonts w:hint="eastAsia" w:ascii="宋体" w:hAnsi="宋体" w:eastAsia="宋体" w:cs="宋体"/>
          <w:snapToGrid/>
          <w:color w:val="auto"/>
          <w:kern w:val="2"/>
          <w:sz w:val="22"/>
          <w:szCs w:val="22"/>
          <w:highlight w:val="none"/>
          <w:lang w:val="en-US" w:eastAsia="zh-CN" w:bidi="ar-SA"/>
        </w:rPr>
        <w:t>元；</w:t>
      </w:r>
    </w:p>
    <w:p w14:paraId="31F8AE1B">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第二标段：最高限价为</w:t>
      </w:r>
      <w:r>
        <w:rPr>
          <w:rFonts w:hint="eastAsia" w:ascii="宋体" w:hAnsi="宋体" w:eastAsia="宋体" w:cs="宋体"/>
          <w:snapToGrid/>
          <w:color w:val="auto"/>
          <w:kern w:val="2"/>
          <w:sz w:val="22"/>
          <w:szCs w:val="22"/>
          <w:highlight w:val="none"/>
          <w:u w:val="single"/>
          <w:lang w:val="en-US" w:eastAsia="zh-CN" w:bidi="ar-SA"/>
        </w:rPr>
        <w:t>74208.91</w:t>
      </w:r>
      <w:r>
        <w:rPr>
          <w:rFonts w:hint="eastAsia" w:ascii="宋体" w:hAnsi="宋体" w:eastAsia="宋体" w:cs="宋体"/>
          <w:snapToGrid/>
          <w:color w:val="auto"/>
          <w:kern w:val="2"/>
          <w:sz w:val="22"/>
          <w:szCs w:val="22"/>
          <w:highlight w:val="none"/>
          <w:lang w:val="en-US" w:eastAsia="zh-CN" w:bidi="ar-SA"/>
        </w:rPr>
        <w:t>元；</w:t>
      </w:r>
    </w:p>
    <w:p w14:paraId="4B71A73B">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第三标段：最高限价为</w:t>
      </w:r>
      <w:r>
        <w:rPr>
          <w:rFonts w:hint="eastAsia" w:ascii="宋体" w:hAnsi="宋体" w:eastAsia="宋体" w:cs="宋体"/>
          <w:snapToGrid/>
          <w:color w:val="auto"/>
          <w:kern w:val="2"/>
          <w:sz w:val="22"/>
          <w:szCs w:val="22"/>
          <w:highlight w:val="none"/>
          <w:u w:val="single"/>
          <w:lang w:val="en-US" w:eastAsia="zh-CN" w:bidi="ar-SA"/>
        </w:rPr>
        <w:t>71104.25</w:t>
      </w:r>
      <w:r>
        <w:rPr>
          <w:rFonts w:hint="eastAsia" w:ascii="宋体" w:hAnsi="宋体" w:eastAsia="宋体" w:cs="宋体"/>
          <w:snapToGrid/>
          <w:color w:val="auto"/>
          <w:kern w:val="2"/>
          <w:sz w:val="22"/>
          <w:szCs w:val="22"/>
          <w:highlight w:val="none"/>
          <w:lang w:val="en-US" w:eastAsia="zh-CN" w:bidi="ar-SA"/>
        </w:rPr>
        <w:t>元。</w:t>
      </w:r>
    </w:p>
    <w:p w14:paraId="1798A050">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7.采购需求：</w:t>
      </w:r>
    </w:p>
    <w:p w14:paraId="0F497B06">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7.1 建设规模：耿马县2024年小型水库维修养护工程均为水库工程，分别为者卖水库、场部水库、箐门口水库、大浪坝水库、华侨五队二坝水库、坝卡水库、大路脚水库。7座水库包括小（一）型水库3座，小（二）型水库4座。根据《防洪标准》（GB50201-2014）及《水利水电工程等级划分及洪水标准》（SL252-2017）规定：小（一）型水库工程，工程等别为Ⅳ等其主要建筑物级别为4级，次要建筑物为5级，临时建筑物为5级防洪标准采用山区的规定确定设计洪水重现期标准为P-30年一遇（0.33%）。校核洪水重现期标准为P=即300年一遇（0.33%）永久性泄水建筑物消能防冲设计洪水标准为P=5%（20年遇）；小（二）型水库工程，工程等别为V等，其主要建筑物级别为5级，次要建筑物为5级，临时建筑物为5级。防洪标准采用山区的规定确定设计洪水重现期标准为P=20年一</w:t>
      </w:r>
      <w:r>
        <w:rPr>
          <w:rFonts w:hint="eastAsia" w:ascii="宋体" w:hAnsi="宋体" w:eastAsia="宋体" w:cs="宋体"/>
          <w:sz w:val="22"/>
          <w:szCs w:val="22"/>
          <w:highlight w:val="none"/>
          <w:lang w:val="en-US" w:eastAsia="zh-CN" w:bidi="zh-CN"/>
        </w:rPr>
        <w:t>遇（5%）校核洪水重现期标准为P=即200年一遇（0.5%）。永久性泄水建筑物消能防冲设计洪水标准为P=10%（10年一遇）。</w:t>
      </w:r>
    </w:p>
    <w:p w14:paraId="549EBB1E">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7.2 建设内容：</w:t>
      </w:r>
    </w:p>
    <w:p w14:paraId="03AB0DDA">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7.2.1 水库建筑工程维修养护工程</w:t>
      </w:r>
    </w:p>
    <w:p w14:paraId="5298D230">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z w:val="22"/>
          <w:szCs w:val="22"/>
          <w:highlight w:val="none"/>
          <w:lang w:val="en-US" w:eastAsia="zh-CN" w:bidi="zh-CN"/>
        </w:rPr>
        <w:t>（1）者卖水库</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维修养护工程</w:t>
      </w:r>
      <w:r>
        <w:rPr>
          <w:rFonts w:hint="eastAsia" w:ascii="宋体" w:hAnsi="宋体" w:eastAsia="宋体" w:cs="宋体"/>
          <w:sz w:val="22"/>
          <w:szCs w:val="22"/>
          <w:highlight w:val="none"/>
          <w:lang w:val="en-US" w:eastAsia="zh-CN" w:bidi="zh-CN"/>
        </w:rPr>
        <w:t>：①机电设施维修养护工程、②附属设施维修养护工程</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、③坝区绿化工程、④物料动力消耗。</w:t>
      </w:r>
    </w:p>
    <w:p w14:paraId="25B49EAE">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（2）耿马县勐撒农场场部水库溢洪道泄水段地质灾害应急处理工程：新建拦砂坝。</w:t>
      </w:r>
    </w:p>
    <w:p w14:paraId="103200CD">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（3）箐门口水库维修养护工程：输水涵管闸门养护工程。</w:t>
      </w:r>
    </w:p>
    <w:p w14:paraId="68E740C2">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（4）大浪坝水库维修养护工程：</w:t>
      </w:r>
      <w:r>
        <w:rPr>
          <w:rFonts w:hint="eastAsia" w:ascii="宋体" w:hAnsi="宋体" w:eastAsia="宋体" w:cs="宋体"/>
          <w:sz w:val="22"/>
          <w:szCs w:val="22"/>
          <w:highlight w:val="none"/>
          <w:lang w:val="en-US" w:eastAsia="zh-CN" w:bidi="zh-CN"/>
        </w:rPr>
        <w:t>①</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主体工程维修养护、</w:t>
      </w:r>
      <w:r>
        <w:rPr>
          <w:rFonts w:hint="eastAsia" w:ascii="宋体" w:hAnsi="宋体" w:eastAsia="宋体" w:cs="宋体"/>
          <w:sz w:val="22"/>
          <w:szCs w:val="22"/>
          <w:highlight w:val="none"/>
          <w:lang w:val="en-US" w:eastAsia="zh-CN" w:bidi="zh-CN"/>
        </w:rPr>
        <w:t>②</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物料动力消耗。</w:t>
      </w:r>
    </w:p>
    <w:p w14:paraId="1D0066A9">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（5）华侨五队二坝水库维修养护工程：主体工程维修养护。</w:t>
      </w:r>
    </w:p>
    <w:p w14:paraId="428B0633">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（6）坝卡水库维修养护工程：主体工程维修养护。</w:t>
      </w:r>
    </w:p>
    <w:p w14:paraId="74E65DB2">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（7）大路脚水库维修养护工程：主体工程维修养护。</w:t>
      </w:r>
    </w:p>
    <w:p w14:paraId="61F767A4">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7.2.2 水库安全运行管护工程：印制水库安全知识宣传册、水库运行管理规定告知书、安全警示牌、大坝安全责任公示牌。</w:t>
      </w:r>
    </w:p>
    <w:p w14:paraId="452B14AF">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napToGrid/>
          <w:color w:val="auto"/>
          <w:kern w:val="2"/>
          <w:sz w:val="22"/>
          <w:szCs w:val="22"/>
          <w:highlight w:val="none"/>
          <w:lang w:val="en-US" w:eastAsia="zh-CN" w:bidi="ar-SA"/>
        </w:rPr>
        <w:t>▲</w:t>
      </w:r>
      <w:r>
        <w:rPr>
          <w:rFonts w:hint="eastAsia" w:ascii="宋体" w:hAnsi="宋体" w:eastAsia="宋体" w:cs="宋体"/>
          <w:snapToGrid/>
          <w:color w:val="auto"/>
          <w:kern w:val="0"/>
          <w:sz w:val="22"/>
          <w:szCs w:val="22"/>
          <w:highlight w:val="none"/>
          <w:lang w:val="en-US" w:eastAsia="zh-CN" w:bidi="ar-SA"/>
        </w:rPr>
        <w:t xml:space="preserve">7.3 </w:t>
      </w:r>
      <w:r>
        <w:rPr>
          <w:rFonts w:hint="eastAsia" w:ascii="宋体" w:hAnsi="宋体" w:eastAsia="宋体" w:cs="宋体"/>
          <w:sz w:val="22"/>
          <w:szCs w:val="22"/>
          <w:highlight w:val="none"/>
          <w:lang w:val="en-US" w:eastAsia="zh-CN" w:bidi="zh-CN"/>
        </w:rPr>
        <w:t>采购范围：</w:t>
      </w:r>
    </w:p>
    <w:p w14:paraId="769B7C33">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第一标段：</w:t>
      </w:r>
      <w:r>
        <w:rPr>
          <w:rFonts w:hint="eastAsia" w:ascii="宋体" w:hAnsi="宋体" w:eastAsia="宋体" w:cs="宋体"/>
          <w:color w:val="auto"/>
          <w:kern w:val="0"/>
          <w:sz w:val="22"/>
          <w:szCs w:val="22"/>
          <w:highlight w:val="none"/>
          <w:lang w:val="en-US" w:eastAsia="zh-CN"/>
        </w:rPr>
        <w:t>完成</w:t>
      </w:r>
      <w:r>
        <w:rPr>
          <w:rFonts w:hint="eastAsia" w:ascii="宋体" w:hAnsi="宋体" w:eastAsia="宋体" w:cs="宋体"/>
          <w:sz w:val="22"/>
          <w:szCs w:val="22"/>
          <w:highlight w:val="none"/>
          <w:lang w:val="zh-CN" w:eastAsia="zh-CN" w:bidi="zh-CN"/>
        </w:rPr>
        <w:t>耿马县2024年小型水库维修养护工程</w:t>
      </w:r>
      <w:r>
        <w:rPr>
          <w:rFonts w:hint="eastAsia" w:ascii="宋体" w:hAnsi="宋体" w:eastAsia="宋体" w:cs="宋体"/>
          <w:sz w:val="22"/>
          <w:szCs w:val="22"/>
          <w:highlight w:val="none"/>
          <w:lang w:val="en-US" w:eastAsia="zh-CN" w:bidi="zh-CN"/>
        </w:rPr>
        <w:t>第一标段</w:t>
      </w:r>
      <w:r>
        <w:rPr>
          <w:rFonts w:hint="eastAsia" w:ascii="宋体" w:hAnsi="宋体" w:eastAsia="宋体" w:cs="宋体"/>
          <w:b w:val="0"/>
          <w:bCs w:val="0"/>
          <w:color w:val="auto"/>
          <w:kern w:val="0"/>
          <w:sz w:val="22"/>
          <w:szCs w:val="22"/>
          <w:highlight w:val="none"/>
          <w:vertAlign w:val="baseline"/>
          <w:lang w:val="en-US" w:eastAsia="zh-CN"/>
        </w:rPr>
        <w:t>的全部建设内容，包含者卖水库维修养护工程、耿马县勐撒农场场部水库溢洪道泄水段地质灾害应急处理工程、大浪坝水库维修养护工程、华侨五队二坝水库维修养护工程、坝卡水库维修养护工程、大路脚水库维修养护工程，具体内容详见招标工程量清单；</w:t>
      </w:r>
    </w:p>
    <w:p w14:paraId="7423AFBF">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第二标段：</w:t>
      </w:r>
      <w:r>
        <w:rPr>
          <w:rFonts w:hint="eastAsia" w:ascii="宋体" w:hAnsi="宋体" w:eastAsia="宋体" w:cs="宋体"/>
          <w:color w:val="auto"/>
          <w:kern w:val="0"/>
          <w:sz w:val="22"/>
          <w:szCs w:val="22"/>
          <w:highlight w:val="none"/>
          <w:lang w:val="en-US" w:eastAsia="zh-CN"/>
        </w:rPr>
        <w:t>完成</w:t>
      </w:r>
      <w:r>
        <w:rPr>
          <w:rFonts w:hint="eastAsia" w:ascii="宋体" w:hAnsi="宋体" w:eastAsia="宋体" w:cs="宋体"/>
          <w:sz w:val="22"/>
          <w:szCs w:val="22"/>
          <w:highlight w:val="none"/>
          <w:lang w:val="zh-CN" w:eastAsia="zh-CN" w:bidi="zh-CN"/>
        </w:rPr>
        <w:t>耿马县2024年小型水库维修养护工程</w:t>
      </w:r>
      <w:r>
        <w:rPr>
          <w:rFonts w:hint="eastAsia" w:ascii="宋体" w:hAnsi="宋体" w:eastAsia="宋体" w:cs="宋体"/>
          <w:sz w:val="22"/>
          <w:szCs w:val="22"/>
          <w:highlight w:val="none"/>
          <w:lang w:val="en-US" w:eastAsia="zh-CN" w:bidi="zh-CN"/>
        </w:rPr>
        <w:t>第二标段</w:t>
      </w:r>
      <w:r>
        <w:rPr>
          <w:rFonts w:hint="eastAsia" w:ascii="宋体" w:hAnsi="宋体" w:eastAsia="宋体" w:cs="宋体"/>
          <w:b w:val="0"/>
          <w:bCs w:val="0"/>
          <w:color w:val="auto"/>
          <w:kern w:val="0"/>
          <w:sz w:val="22"/>
          <w:szCs w:val="22"/>
          <w:highlight w:val="none"/>
          <w:vertAlign w:val="baseline"/>
          <w:lang w:val="en-US" w:eastAsia="zh-CN"/>
        </w:rPr>
        <w:t>的全部建设内容，包含</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箐门口水库维修养护工程，</w:t>
      </w:r>
      <w:r>
        <w:rPr>
          <w:rFonts w:hint="eastAsia" w:ascii="宋体" w:hAnsi="宋体" w:eastAsia="宋体" w:cs="宋体"/>
          <w:b w:val="0"/>
          <w:bCs w:val="0"/>
          <w:color w:val="auto"/>
          <w:kern w:val="0"/>
          <w:sz w:val="22"/>
          <w:szCs w:val="22"/>
          <w:highlight w:val="none"/>
          <w:vertAlign w:val="baseline"/>
          <w:lang w:val="en-US" w:eastAsia="zh-CN"/>
        </w:rPr>
        <w:t>具体内容详见招标工程量清单；</w:t>
      </w:r>
    </w:p>
    <w:p w14:paraId="6B6B1DD1">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z w:val="22"/>
          <w:szCs w:val="22"/>
          <w:highlight w:val="none"/>
          <w:lang w:val="en-US" w:eastAsia="zh-CN" w:bidi="zh-CN"/>
        </w:rPr>
        <w:t>第三标段：</w:t>
      </w:r>
      <w:r>
        <w:rPr>
          <w:rFonts w:hint="eastAsia" w:ascii="宋体" w:hAnsi="宋体" w:eastAsia="宋体" w:cs="宋体"/>
          <w:color w:val="auto"/>
          <w:kern w:val="0"/>
          <w:sz w:val="22"/>
          <w:szCs w:val="22"/>
          <w:highlight w:val="none"/>
          <w:lang w:val="en-US" w:eastAsia="zh-CN"/>
        </w:rPr>
        <w:t>完成</w:t>
      </w:r>
      <w:r>
        <w:rPr>
          <w:rFonts w:hint="eastAsia" w:ascii="宋体" w:hAnsi="宋体" w:eastAsia="宋体" w:cs="宋体"/>
          <w:sz w:val="22"/>
          <w:szCs w:val="22"/>
          <w:highlight w:val="none"/>
          <w:lang w:val="zh-CN" w:eastAsia="zh-CN" w:bidi="zh-CN"/>
        </w:rPr>
        <w:t>耿马县2024年小型水库维修养护工程</w:t>
      </w:r>
      <w:r>
        <w:rPr>
          <w:rFonts w:hint="eastAsia" w:ascii="宋体" w:hAnsi="宋体" w:eastAsia="宋体" w:cs="宋体"/>
          <w:sz w:val="22"/>
          <w:szCs w:val="22"/>
          <w:highlight w:val="none"/>
          <w:lang w:val="en-US" w:eastAsia="zh-CN" w:bidi="zh-CN"/>
        </w:rPr>
        <w:t>第三标段</w:t>
      </w:r>
      <w:r>
        <w:rPr>
          <w:rFonts w:hint="eastAsia" w:ascii="宋体" w:hAnsi="宋体" w:eastAsia="宋体" w:cs="宋体"/>
          <w:b w:val="0"/>
          <w:bCs w:val="0"/>
          <w:color w:val="auto"/>
          <w:kern w:val="0"/>
          <w:sz w:val="22"/>
          <w:szCs w:val="22"/>
          <w:highlight w:val="none"/>
          <w:vertAlign w:val="baseline"/>
          <w:lang w:val="en-US" w:eastAsia="zh-CN"/>
        </w:rPr>
        <w:t>的全部建设内容，包含</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水库安全运行管护工程，</w:t>
      </w:r>
      <w:r>
        <w:rPr>
          <w:rFonts w:hint="eastAsia" w:ascii="宋体" w:hAnsi="宋体" w:eastAsia="宋体" w:cs="宋体"/>
          <w:b w:val="0"/>
          <w:bCs w:val="0"/>
          <w:color w:val="auto"/>
          <w:kern w:val="0"/>
          <w:sz w:val="22"/>
          <w:szCs w:val="22"/>
          <w:highlight w:val="none"/>
          <w:vertAlign w:val="baseline"/>
          <w:lang w:val="en-US" w:eastAsia="zh-CN"/>
        </w:rPr>
        <w:t>具体内容详见招标工程量清单。</w:t>
      </w:r>
    </w:p>
    <w:p w14:paraId="71527190">
      <w:pPr>
        <w:keepNext w:val="0"/>
        <w:keepLines w:val="0"/>
        <w:pageBreakBefore w:val="0"/>
        <w:widowControl/>
        <w:kinsoku/>
        <w:wordWrap/>
        <w:overflowPunct/>
        <w:topLinePunct w:val="0"/>
        <w:autoSpaceDE/>
        <w:autoSpaceDN/>
        <w:bidi w:val="0"/>
        <w:adjustRightInd/>
        <w:snapToGrid/>
        <w:spacing w:line="480" w:lineRule="exact"/>
        <w:ind w:firstLine="440" w:firstLineChars="200"/>
        <w:jc w:val="both"/>
        <w:textAlignment w:val="center"/>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注：具体详见竞争性磋商文件第五章《采购需求》</w:t>
      </w:r>
      <w:r>
        <w:rPr>
          <w:rFonts w:hint="eastAsia" w:ascii="宋体" w:hAnsi="宋体" w:eastAsia="宋体" w:cs="宋体"/>
          <w:snapToGrid/>
          <w:color w:val="auto"/>
          <w:kern w:val="2"/>
          <w:sz w:val="22"/>
          <w:szCs w:val="22"/>
          <w:highlight w:val="none"/>
          <w:lang w:val="en-US" w:eastAsia="zh-CN" w:bidi="ar-SA"/>
        </w:rPr>
        <w:t>。</w:t>
      </w:r>
    </w:p>
    <w:p w14:paraId="370992F9">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w:t>
      </w:r>
      <w:r>
        <w:rPr>
          <w:rFonts w:hint="eastAsia" w:ascii="宋体" w:hAnsi="宋体" w:eastAsia="宋体" w:cs="宋体"/>
          <w:snapToGrid/>
          <w:color w:val="auto"/>
          <w:kern w:val="0"/>
          <w:sz w:val="22"/>
          <w:szCs w:val="22"/>
          <w:highlight w:val="none"/>
          <w:lang w:val="en-US" w:eastAsia="zh-CN" w:bidi="ar-SA"/>
        </w:rPr>
        <w:t>8.工期：90日历天。</w:t>
      </w:r>
    </w:p>
    <w:p w14:paraId="4BC2350A">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9.建设地点：项目位于耿马县境内</w:t>
      </w:r>
      <w:r>
        <w:rPr>
          <w:rFonts w:hint="eastAsia" w:ascii="宋体" w:hAnsi="宋体" w:eastAsia="宋体" w:cs="宋体"/>
          <w:snapToGrid/>
          <w:color w:val="auto"/>
          <w:kern w:val="0"/>
          <w:sz w:val="22"/>
          <w:szCs w:val="22"/>
          <w:highlight w:val="none"/>
          <w:lang w:val="en-US" w:eastAsia="zh-CN" w:bidi="ar-SA"/>
        </w:rPr>
        <w:t>。</w:t>
      </w:r>
    </w:p>
    <w:p w14:paraId="0E6AD80F">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▲10.本项目（否）接受联合体竞标。</w:t>
      </w:r>
    </w:p>
    <w:p w14:paraId="44A364C1">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22" w:name="_Toc20544"/>
      <w:bookmarkStart w:id="23" w:name="_Toc31958"/>
      <w:r>
        <w:rPr>
          <w:rFonts w:hint="eastAsia" w:ascii="黑体" w:hAnsi="黑体" w:eastAsia="黑体" w:cs="黑体"/>
          <w:snapToGrid/>
          <w:color w:val="auto"/>
          <w:kern w:val="0"/>
          <w:sz w:val="28"/>
          <w:szCs w:val="28"/>
          <w:highlight w:val="none"/>
          <w:lang w:val="en-US" w:eastAsia="zh-CN" w:bidi="ar-SA"/>
        </w:rPr>
        <w:t>▲二、供应商的资格要求</w:t>
      </w:r>
      <w:bookmarkEnd w:id="18"/>
      <w:bookmarkEnd w:id="19"/>
      <w:bookmarkEnd w:id="20"/>
      <w:bookmarkEnd w:id="21"/>
      <w:bookmarkEnd w:id="22"/>
      <w:bookmarkEnd w:id="23"/>
    </w:p>
    <w:p w14:paraId="5C4380EF">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bookmarkStart w:id="24" w:name="_Toc35393792"/>
      <w:bookmarkStart w:id="25" w:name="_Toc35393623"/>
      <w:r>
        <w:rPr>
          <w:rFonts w:hint="eastAsia" w:ascii="宋体" w:hAnsi="宋体" w:eastAsia="宋体" w:cs="宋体"/>
          <w:snapToGrid/>
          <w:color w:val="auto"/>
          <w:kern w:val="2"/>
          <w:sz w:val="22"/>
          <w:szCs w:val="22"/>
          <w:highlight w:val="none"/>
          <w:lang w:val="en-US" w:eastAsia="zh-CN" w:bidi="ar-SA"/>
        </w:rPr>
        <w:t>1.满足《中华人民共和国政府采购法》第二十二条规定，具体要求如下：</w:t>
      </w:r>
    </w:p>
    <w:p w14:paraId="478F29DA">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 供应商须具有独立承担民事责任的能力：供应商</w:t>
      </w:r>
      <w:r>
        <w:rPr>
          <w:rFonts w:hint="eastAsia" w:ascii="宋体" w:hAnsi="宋体" w:eastAsia="宋体" w:cs="宋体"/>
          <w:bCs/>
          <w:snapToGrid/>
          <w:color w:val="auto"/>
          <w:kern w:val="0"/>
          <w:sz w:val="22"/>
          <w:szCs w:val="22"/>
          <w:highlight w:val="none"/>
          <w:lang w:val="en-US" w:eastAsia="zh-CN" w:bidi="ar-SA"/>
        </w:rPr>
        <w:t>为法人或者其他组织，提供有效的营业执照或事业单位法人证书</w:t>
      </w:r>
      <w:r>
        <w:rPr>
          <w:rFonts w:hint="eastAsia" w:ascii="宋体" w:hAnsi="宋体" w:eastAsia="宋体" w:cs="宋体"/>
          <w:bCs/>
          <w:snapToGrid/>
          <w:color w:val="auto"/>
          <w:kern w:val="2"/>
          <w:sz w:val="22"/>
          <w:szCs w:val="22"/>
          <w:highlight w:val="none"/>
          <w:lang w:val="en-US" w:eastAsia="zh-CN" w:bidi="ar-SA"/>
        </w:rPr>
        <w:t>；</w:t>
      </w:r>
    </w:p>
    <w:p w14:paraId="44052778">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 供应商须具有良好的商业信誉和健全的财务会计制度：</w:t>
      </w:r>
    </w:p>
    <w:p w14:paraId="7F533542">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1.2.1 供应商在本项目提交响应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1210AA4A">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1.2.2 供应商须提供2021年-2023年度任意一年的审计报告或财务报表或公司内部完整的财务报表或开标日期前3个月内由银行开具的资信证明文件（或资金证明文件）或有良好的商业信誉和健全的财务会计制度的自行承诺（成立不满1年的投标人提供自成立以来公司内部完整的财务报表或开标日期前3个月内由银行开具的资信证明文件（或资金证明文件）或有良好的商业信誉和健全的财务会计制度的自行承诺）；</w:t>
      </w:r>
    </w:p>
    <w:p w14:paraId="5E549169">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1.3 供应商须具有履行合同所必需的设备和专业技术能力（提供说明、承诺或其他证明材料）；</w:t>
      </w:r>
    </w:p>
    <w:p w14:paraId="3619B7F8">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 供应商须具有依法缴纳税收和社会保障资金的良好记录：</w:t>
      </w:r>
    </w:p>
    <w:p w14:paraId="5DC35DDD">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z w:val="22"/>
          <w:szCs w:val="22"/>
        </w:rPr>
      </w:pPr>
      <w:r>
        <w:rPr>
          <w:rFonts w:hint="eastAsia" w:ascii="宋体" w:hAnsi="宋体" w:eastAsia="宋体" w:cs="宋体"/>
          <w:snapToGrid/>
          <w:color w:val="auto"/>
          <w:kern w:val="2"/>
          <w:sz w:val="22"/>
          <w:szCs w:val="22"/>
          <w:highlight w:val="none"/>
          <w:lang w:val="en-US" w:eastAsia="zh-CN" w:bidi="ar-SA"/>
        </w:rPr>
        <w:t xml:space="preserve">1.4.1 </w:t>
      </w:r>
      <w:r>
        <w:rPr>
          <w:rFonts w:hint="eastAsia" w:ascii="宋体" w:hAnsi="宋体" w:eastAsia="宋体" w:cs="宋体"/>
          <w:sz w:val="22"/>
          <w:szCs w:val="22"/>
        </w:rPr>
        <w:t>提供</w:t>
      </w: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sz w:val="22"/>
          <w:szCs w:val="22"/>
        </w:rPr>
        <w:t>缴税所属时间在2024年01月至本项目响应文件提交截止时间前任意</w:t>
      </w:r>
      <w:r>
        <w:rPr>
          <w:rFonts w:hint="eastAsia" w:ascii="宋体" w:hAnsi="宋体" w:eastAsia="宋体" w:cs="宋体"/>
          <w:sz w:val="22"/>
          <w:szCs w:val="22"/>
          <w:lang w:val="en-US" w:eastAsia="zh-CN"/>
        </w:rPr>
        <w:t>1</w:t>
      </w:r>
      <w:r>
        <w:rPr>
          <w:rFonts w:hint="eastAsia" w:ascii="宋体" w:hAnsi="宋体" w:eastAsia="宋体" w:cs="宋体"/>
          <w:sz w:val="22"/>
          <w:szCs w:val="22"/>
        </w:rPr>
        <w:t>个月的税务局税收通用缴款书或银行电子缴税（费）凭证或税务局出具纳税情况的相关证明，依法免税的，应提供依法免税的相关证明文件</w:t>
      </w:r>
      <w:r>
        <w:rPr>
          <w:rFonts w:hint="eastAsia" w:ascii="宋体" w:hAnsi="宋体" w:eastAsia="宋体" w:cs="宋体"/>
          <w:sz w:val="22"/>
          <w:szCs w:val="22"/>
          <w:lang w:eastAsia="zh-CN"/>
        </w:rPr>
        <w:t>，</w:t>
      </w:r>
      <w:r>
        <w:rPr>
          <w:rFonts w:hint="eastAsia" w:ascii="宋体" w:hAnsi="宋体" w:eastAsia="宋体" w:cs="宋体"/>
          <w:b/>
          <w:bCs/>
          <w:sz w:val="22"/>
          <w:szCs w:val="22"/>
          <w:lang w:val="en-US" w:eastAsia="zh-CN"/>
        </w:rPr>
        <w:t>或提供</w:t>
      </w:r>
      <w:r>
        <w:rPr>
          <w:rFonts w:hint="eastAsia" w:ascii="宋体" w:hAnsi="宋体" w:eastAsia="宋体" w:cs="宋体"/>
          <w:b/>
          <w:bCs/>
          <w:snapToGrid/>
          <w:color w:val="auto"/>
          <w:kern w:val="2"/>
          <w:sz w:val="22"/>
          <w:szCs w:val="22"/>
          <w:highlight w:val="none"/>
          <w:lang w:val="en-US" w:eastAsia="zh-CN" w:bidi="ar-SA"/>
        </w:rPr>
        <w:t>有依法缴纳税收良好记录的自行承诺</w:t>
      </w:r>
      <w:r>
        <w:rPr>
          <w:rFonts w:hint="eastAsia" w:ascii="宋体" w:hAnsi="宋体" w:eastAsia="宋体" w:cs="宋体"/>
          <w:sz w:val="22"/>
          <w:szCs w:val="22"/>
        </w:rPr>
        <w:t>；</w:t>
      </w:r>
    </w:p>
    <w:p w14:paraId="2D00DCD1">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sz w:val="22"/>
          <w:szCs w:val="22"/>
          <w:lang w:val="en-US" w:eastAsia="zh-CN"/>
        </w:rPr>
        <w:t xml:space="preserve">1.4.2 </w:t>
      </w:r>
      <w:r>
        <w:rPr>
          <w:rFonts w:hint="eastAsia" w:ascii="宋体" w:hAnsi="宋体" w:eastAsia="宋体" w:cs="宋体"/>
          <w:sz w:val="22"/>
          <w:szCs w:val="22"/>
        </w:rPr>
        <w:t>提供供应商缴费所属时间在2024年01月至本项目响应文件提交截止时间前任意</w:t>
      </w:r>
      <w:r>
        <w:rPr>
          <w:rFonts w:hint="eastAsia" w:ascii="宋体" w:hAnsi="宋体" w:eastAsia="宋体" w:cs="宋体"/>
          <w:sz w:val="22"/>
          <w:szCs w:val="22"/>
          <w:lang w:val="en-US" w:eastAsia="zh-CN"/>
        </w:rPr>
        <w:t>1</w:t>
      </w:r>
      <w:r>
        <w:rPr>
          <w:rFonts w:hint="eastAsia" w:ascii="宋体" w:hAnsi="宋体" w:eastAsia="宋体" w:cs="宋体"/>
          <w:sz w:val="22"/>
          <w:szCs w:val="22"/>
        </w:rPr>
        <w:t>个月的社会保险费缴款书或银行电子缴税（费）凭证或社保管理部门出具的有效的缴款证明，依法免缴的，应提供依法免缴的相关证明文件</w:t>
      </w:r>
      <w:r>
        <w:rPr>
          <w:rFonts w:hint="eastAsia" w:ascii="宋体" w:hAnsi="宋体" w:eastAsia="宋体" w:cs="宋体"/>
          <w:sz w:val="22"/>
          <w:szCs w:val="22"/>
          <w:lang w:eastAsia="zh-CN"/>
        </w:rPr>
        <w:t>，</w:t>
      </w:r>
      <w:r>
        <w:rPr>
          <w:rFonts w:hint="eastAsia" w:ascii="宋体" w:hAnsi="宋体" w:eastAsia="宋体" w:cs="宋体"/>
          <w:b/>
          <w:bCs/>
          <w:sz w:val="22"/>
          <w:szCs w:val="22"/>
          <w:lang w:val="en-US" w:eastAsia="zh-CN"/>
        </w:rPr>
        <w:t>或提供</w:t>
      </w:r>
      <w:r>
        <w:rPr>
          <w:rFonts w:hint="eastAsia" w:ascii="宋体" w:hAnsi="宋体" w:eastAsia="宋体" w:cs="宋体"/>
          <w:b/>
          <w:bCs/>
          <w:snapToGrid/>
          <w:color w:val="auto"/>
          <w:kern w:val="2"/>
          <w:sz w:val="22"/>
          <w:szCs w:val="22"/>
          <w:highlight w:val="none"/>
          <w:lang w:val="en-US" w:eastAsia="zh-CN" w:bidi="ar-SA"/>
        </w:rPr>
        <w:t>有依法缴纳社会保障资金的自行承诺</w:t>
      </w:r>
      <w:r>
        <w:rPr>
          <w:rFonts w:hint="eastAsia" w:ascii="宋体" w:hAnsi="宋体" w:eastAsia="宋体" w:cs="宋体"/>
          <w:sz w:val="22"/>
          <w:szCs w:val="22"/>
          <w:lang w:eastAsia="zh-CN"/>
        </w:rPr>
        <w:t>；</w:t>
      </w:r>
    </w:p>
    <w:p w14:paraId="4A59AAA9">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较大数额是指标准高于200万元的罚款）等行政处罚】的书面声明；</w:t>
      </w:r>
    </w:p>
    <w:p w14:paraId="13D0643A">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1.6法律、行政法规规定的其他条件：单位负责人为同一人或者存在直接控股、管理关系的不同供应商，不得参加同一合同项下的政府采购活动（提供声明书）；</w:t>
      </w:r>
    </w:p>
    <w:p w14:paraId="06092AB3">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2.落实政府采购政策需满足的资格要求：无；</w:t>
      </w:r>
    </w:p>
    <w:p w14:paraId="574192CE">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3.本项目的特定资格要求：</w:t>
      </w:r>
    </w:p>
    <w:p w14:paraId="692FB528">
      <w:pPr>
        <w:keepNext w:val="0"/>
        <w:keepLines w:val="0"/>
        <w:pageBreakBefore w:val="0"/>
        <w:widowControl w:val="0"/>
        <w:kinsoku/>
        <w:wordWrap/>
        <w:overflowPunct/>
        <w:topLinePunct w:val="0"/>
        <w:autoSpaceDE w:val="0"/>
        <w:autoSpaceDN w:val="0"/>
        <w:bidi w:val="0"/>
        <w:adjustRightInd/>
        <w:snapToGrid/>
        <w:spacing w:before="0" w:after="0" w:line="480" w:lineRule="exact"/>
        <w:ind w:left="0" w:leftChars="0" w:right="0" w:rightChars="0" w:firstLine="440" w:firstLineChars="200"/>
        <w:textAlignment w:val="auto"/>
        <w:outlineLvl w:val="9"/>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 xml:space="preserve">3.1 </w:t>
      </w:r>
      <w:r>
        <w:rPr>
          <w:rFonts w:hint="eastAsia" w:ascii="宋体" w:hAnsi="宋体" w:eastAsia="宋体" w:cs="宋体"/>
          <w:i w:val="0"/>
          <w:iCs w:val="0"/>
          <w:snapToGrid/>
          <w:color w:val="auto"/>
          <w:kern w:val="2"/>
          <w:sz w:val="22"/>
          <w:szCs w:val="22"/>
          <w:lang w:val="en-US" w:eastAsia="zh-CN" w:bidi="ar-SA"/>
        </w:rPr>
        <w:t>第一标段</w:t>
      </w:r>
      <w:r>
        <w:rPr>
          <w:rFonts w:hint="eastAsia" w:ascii="宋体" w:hAnsi="宋体" w:eastAsia="宋体" w:cs="宋体"/>
          <w:snapToGrid/>
          <w:color w:val="auto"/>
          <w:kern w:val="0"/>
          <w:sz w:val="22"/>
          <w:szCs w:val="22"/>
          <w:highlight w:val="none"/>
          <w:lang w:val="en-US" w:eastAsia="zh-CN" w:bidi="ar-SA"/>
        </w:rPr>
        <w:t>：</w:t>
      </w:r>
    </w:p>
    <w:p w14:paraId="089CBC18">
      <w:pPr>
        <w:keepNext w:val="0"/>
        <w:keepLines w:val="0"/>
        <w:pageBreakBefore w:val="0"/>
        <w:widowControl w:val="0"/>
        <w:kinsoku/>
        <w:wordWrap/>
        <w:overflowPunct/>
        <w:topLinePunct w:val="0"/>
        <w:autoSpaceDE w:val="0"/>
        <w:autoSpaceDN w:val="0"/>
        <w:bidi w:val="0"/>
        <w:adjustRightInd/>
        <w:snapToGrid/>
        <w:spacing w:before="0" w:after="0" w:line="480" w:lineRule="exact"/>
        <w:ind w:left="0" w:leftChars="0" w:right="0" w:rightChars="0" w:firstLine="440" w:firstLineChars="200"/>
        <w:textAlignment w:val="auto"/>
        <w:outlineLvl w:val="9"/>
        <w:rPr>
          <w:rFonts w:hint="eastAsia" w:ascii="宋体" w:hAnsi="宋体" w:eastAsia="宋体" w:cs="宋体"/>
          <w:snapToGrid/>
          <w:color w:val="FF0000"/>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资质要求：</w:t>
      </w: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b w:val="0"/>
          <w:bCs w:val="0"/>
          <w:color w:val="auto"/>
          <w:kern w:val="0"/>
          <w:sz w:val="22"/>
          <w:szCs w:val="22"/>
          <w:highlight w:val="none"/>
          <w:vertAlign w:val="baseline"/>
          <w:lang w:val="en-US" w:eastAsia="zh-CN"/>
        </w:rPr>
        <w:t>应具备水利水电工程施工总承包叁级（含叁级）及以上资质，且具有有效安全生产许可证，竞标期间未被依法暂停或者取消竞标资格</w:t>
      </w:r>
      <w:r>
        <w:rPr>
          <w:rFonts w:hint="eastAsia" w:ascii="宋体" w:hAnsi="宋体" w:eastAsia="宋体" w:cs="宋体"/>
          <w:snapToGrid/>
          <w:color w:val="auto"/>
          <w:kern w:val="2"/>
          <w:sz w:val="22"/>
          <w:szCs w:val="22"/>
          <w:highlight w:val="none"/>
          <w:lang w:val="en-US" w:eastAsia="zh-CN" w:bidi="ar-SA"/>
        </w:rPr>
        <w:t>。</w:t>
      </w:r>
    </w:p>
    <w:p w14:paraId="64A0562E">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b w:val="0"/>
          <w:bCs w:val="0"/>
          <w:snapToGrid/>
          <w:kern w:val="0"/>
          <w:sz w:val="22"/>
          <w:szCs w:val="22"/>
          <w:highlight w:val="none"/>
          <w:lang w:val="en-US" w:eastAsia="zh-CN" w:bidi="ar-SA"/>
        </w:rPr>
      </w:pPr>
      <w:r>
        <w:rPr>
          <w:rFonts w:hint="eastAsia" w:ascii="宋体" w:hAnsi="宋体" w:eastAsia="宋体" w:cs="宋体"/>
          <w:b w:val="0"/>
          <w:bCs w:val="0"/>
          <w:snapToGrid/>
          <w:kern w:val="0"/>
          <w:sz w:val="22"/>
          <w:szCs w:val="22"/>
          <w:highlight w:val="none"/>
          <w:lang w:val="en-US" w:eastAsia="zh-CN" w:bidi="ar-SA"/>
        </w:rPr>
        <w:t>拟投入本工程的主要人员要求：</w:t>
      </w:r>
    </w:p>
    <w:p w14:paraId="2BACA9B4">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经理资格要求：须具备水利水电工程二级注册建造师资格证书，具备有效的水利行业颁发的项目负责人安全生产考核合格证书（B证），具有水利工程相关专业中级以上（含中级）技术职称，且不得担任其他在建工程项目的项目负责人。</w:t>
      </w:r>
    </w:p>
    <w:p w14:paraId="0DD65D21">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项目技术负责人资格：须具备水利工程相关专业中级以上（含中级）技术职称。</w:t>
      </w:r>
    </w:p>
    <w:p w14:paraId="48514D83">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2"/>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其他要求：拟投入本工程的其他人员应包括专职安全生产管理人员、质检员，须提供相关执业资格证书。</w:t>
      </w:r>
    </w:p>
    <w:p w14:paraId="37764418">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按照《建筑施工企业安全生产许可证动态监管暂行办法》施工单位</w:t>
      </w:r>
      <w:r>
        <w:rPr>
          <w:rFonts w:hint="eastAsia" w:ascii="宋体" w:hAnsi="宋体" w:eastAsia="宋体" w:cs="宋体"/>
          <w:b/>
          <w:bCs/>
          <w:snapToGrid/>
          <w:kern w:val="0"/>
          <w:sz w:val="22"/>
          <w:szCs w:val="22"/>
          <w:highlight w:val="none"/>
          <w:lang w:val="en-US" w:eastAsia="zh-CN" w:bidi="ar-SA"/>
        </w:rPr>
        <w:t>均应提供</w:t>
      </w:r>
      <w:r>
        <w:rPr>
          <w:rFonts w:hint="eastAsia" w:ascii="宋体" w:hAnsi="宋体" w:eastAsia="宋体" w:cs="宋体"/>
          <w:snapToGrid/>
          <w:kern w:val="0"/>
          <w:sz w:val="22"/>
          <w:szCs w:val="22"/>
          <w:highlight w:val="none"/>
          <w:lang w:val="en-US" w:eastAsia="zh-CN" w:bidi="ar-SA"/>
        </w:rPr>
        <w:t>安全生产许可证，以及企业主要负责人、拟担任该项目经理和专职安全生产管理人员相应的安全生产考核合格证书。</w:t>
      </w:r>
    </w:p>
    <w:p w14:paraId="6C4E9156">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 xml:space="preserve">3.2 </w:t>
      </w:r>
      <w:r>
        <w:rPr>
          <w:rFonts w:hint="eastAsia" w:ascii="宋体" w:hAnsi="宋体" w:eastAsia="宋体" w:cs="宋体"/>
          <w:i w:val="0"/>
          <w:iCs w:val="0"/>
          <w:snapToGrid/>
          <w:color w:val="auto"/>
          <w:kern w:val="2"/>
          <w:sz w:val="22"/>
          <w:szCs w:val="22"/>
          <w:lang w:val="en-US" w:eastAsia="zh-CN" w:bidi="ar-SA"/>
        </w:rPr>
        <w:t>第二标段</w:t>
      </w:r>
      <w:r>
        <w:rPr>
          <w:rFonts w:hint="eastAsia" w:ascii="宋体" w:hAnsi="宋体" w:eastAsia="宋体" w:cs="宋体"/>
          <w:snapToGrid/>
          <w:color w:val="auto"/>
          <w:kern w:val="0"/>
          <w:sz w:val="22"/>
          <w:szCs w:val="22"/>
          <w:highlight w:val="none"/>
          <w:lang w:val="en-US" w:eastAsia="zh-CN" w:bidi="ar-SA"/>
        </w:rPr>
        <w:t>：</w:t>
      </w:r>
    </w:p>
    <w:p w14:paraId="5949854E">
      <w:pPr>
        <w:keepNext w:val="0"/>
        <w:keepLines w:val="0"/>
        <w:pageBreakBefore w:val="0"/>
        <w:widowControl w:val="0"/>
        <w:kinsoku/>
        <w:wordWrap/>
        <w:overflowPunct/>
        <w:topLinePunct w:val="0"/>
        <w:autoSpaceDE w:val="0"/>
        <w:autoSpaceDN w:val="0"/>
        <w:bidi w:val="0"/>
        <w:adjustRightInd/>
        <w:snapToGrid/>
        <w:spacing w:before="0" w:after="0" w:line="480" w:lineRule="exact"/>
        <w:ind w:left="0" w:leftChars="0" w:right="0" w:rightChars="0" w:firstLine="440" w:firstLineChars="200"/>
        <w:textAlignment w:val="auto"/>
        <w:outlineLvl w:val="9"/>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资质要求：</w:t>
      </w: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b w:val="0"/>
          <w:bCs w:val="0"/>
          <w:color w:val="auto"/>
          <w:kern w:val="0"/>
          <w:sz w:val="22"/>
          <w:szCs w:val="22"/>
          <w:highlight w:val="none"/>
          <w:vertAlign w:val="baseline"/>
          <w:lang w:val="en-US" w:eastAsia="zh-CN"/>
        </w:rPr>
        <w:t>应具备水利水电工程施工总承包叁级（含叁级）及以上资质或</w:t>
      </w:r>
      <w:r>
        <w:rPr>
          <w:rFonts w:hint="eastAsia" w:ascii="宋体" w:hAnsi="宋体" w:eastAsia="宋体" w:cs="宋体"/>
          <w:color w:val="auto"/>
          <w:kern w:val="0"/>
          <w:sz w:val="22"/>
          <w:szCs w:val="22"/>
          <w:highlight w:val="none"/>
          <w:lang w:val="en-US" w:eastAsia="zh-CN"/>
        </w:rPr>
        <w:t>水工金属结构制作与安装工</w:t>
      </w:r>
      <w:r>
        <w:rPr>
          <w:rFonts w:hint="eastAsia" w:ascii="宋体" w:hAnsi="宋体" w:eastAsia="宋体" w:cs="宋体"/>
          <w:kern w:val="0"/>
          <w:sz w:val="22"/>
          <w:szCs w:val="22"/>
          <w:highlight w:val="none"/>
          <w:lang w:val="en-US" w:eastAsia="zh-CN"/>
        </w:rPr>
        <w:t>程专业承包叁级(含叁级)及以上资质</w:t>
      </w:r>
      <w:r>
        <w:rPr>
          <w:rFonts w:hint="eastAsia" w:ascii="宋体" w:hAnsi="宋体" w:eastAsia="宋体" w:cs="宋体"/>
          <w:b w:val="0"/>
          <w:bCs w:val="0"/>
          <w:color w:val="auto"/>
          <w:kern w:val="0"/>
          <w:sz w:val="22"/>
          <w:szCs w:val="22"/>
          <w:highlight w:val="none"/>
          <w:vertAlign w:val="baseline"/>
          <w:lang w:val="en-US" w:eastAsia="zh-CN"/>
        </w:rPr>
        <w:t>，且具有有效安全生产许可证，竞标期间未被依法暂停或者取消竞标资格</w:t>
      </w:r>
      <w:r>
        <w:rPr>
          <w:rFonts w:hint="eastAsia" w:ascii="宋体" w:hAnsi="宋体" w:eastAsia="宋体" w:cs="宋体"/>
          <w:snapToGrid/>
          <w:color w:val="auto"/>
          <w:kern w:val="2"/>
          <w:sz w:val="22"/>
          <w:szCs w:val="22"/>
          <w:highlight w:val="none"/>
          <w:lang w:val="en-US" w:eastAsia="zh-CN" w:bidi="ar-SA"/>
        </w:rPr>
        <w:t>。</w:t>
      </w:r>
    </w:p>
    <w:p w14:paraId="4C37A672">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b w:val="0"/>
          <w:bCs w:val="0"/>
          <w:snapToGrid/>
          <w:color w:val="auto"/>
          <w:kern w:val="0"/>
          <w:sz w:val="22"/>
          <w:szCs w:val="22"/>
          <w:highlight w:val="none"/>
          <w:lang w:val="en-US" w:eastAsia="zh-CN" w:bidi="ar-SA"/>
        </w:rPr>
      </w:pPr>
      <w:r>
        <w:rPr>
          <w:rFonts w:hint="eastAsia" w:ascii="宋体" w:hAnsi="宋体" w:eastAsia="宋体" w:cs="宋体"/>
          <w:b w:val="0"/>
          <w:bCs w:val="0"/>
          <w:snapToGrid/>
          <w:color w:val="auto"/>
          <w:kern w:val="0"/>
          <w:sz w:val="22"/>
          <w:szCs w:val="22"/>
          <w:highlight w:val="none"/>
          <w:lang w:val="en-US" w:eastAsia="zh-CN" w:bidi="ar-SA"/>
        </w:rPr>
        <w:t>拟投入本工程的主要人员要求：</w:t>
      </w:r>
    </w:p>
    <w:p w14:paraId="185FA24A">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经理资格要求：须具备水利水电工程二级注册建造师资格证书，具备有效的水利行业颁发的项目负责人安全生产考核合格证书（B证），具有水利工程相关专业中级以上（含中级）技术职称，且不得担任其他在建工程项目的项目负责人。</w:t>
      </w:r>
    </w:p>
    <w:p w14:paraId="5F6F8E97">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项目技术负责人资格：须具备水利工程相关专业中级以上（含中级）技术职称。</w:t>
      </w:r>
    </w:p>
    <w:p w14:paraId="572E30EA">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2"/>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其他要求：拟投入本工程的其他人员应包括专职安全生产管理人员、质检员，须提供相关执业资格证书。</w:t>
      </w:r>
    </w:p>
    <w:p w14:paraId="437CC1C4">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按照《建筑施工企业安全生产许可证动态监管暂行办法》施工单位</w:t>
      </w:r>
      <w:r>
        <w:rPr>
          <w:rFonts w:hint="eastAsia" w:ascii="宋体" w:hAnsi="宋体" w:eastAsia="宋体" w:cs="宋体"/>
          <w:b/>
          <w:bCs/>
          <w:snapToGrid/>
          <w:kern w:val="0"/>
          <w:sz w:val="22"/>
          <w:szCs w:val="22"/>
          <w:highlight w:val="none"/>
          <w:lang w:val="en-US" w:eastAsia="zh-CN" w:bidi="ar-SA"/>
        </w:rPr>
        <w:t>均应提供</w:t>
      </w:r>
      <w:r>
        <w:rPr>
          <w:rFonts w:hint="eastAsia" w:ascii="宋体" w:hAnsi="宋体" w:eastAsia="宋体" w:cs="宋体"/>
          <w:snapToGrid/>
          <w:kern w:val="0"/>
          <w:sz w:val="22"/>
          <w:szCs w:val="22"/>
          <w:highlight w:val="none"/>
          <w:lang w:val="en-US" w:eastAsia="zh-CN" w:bidi="ar-SA"/>
        </w:rPr>
        <w:t>安全生产</w:t>
      </w:r>
      <w:r>
        <w:rPr>
          <w:rFonts w:hint="eastAsia" w:ascii="宋体" w:hAnsi="宋体" w:eastAsia="宋体" w:cs="宋体"/>
          <w:snapToGrid/>
          <w:color w:val="auto"/>
          <w:kern w:val="0"/>
          <w:sz w:val="22"/>
          <w:szCs w:val="22"/>
          <w:highlight w:val="none"/>
          <w:lang w:val="en-US" w:eastAsia="zh-CN" w:bidi="ar-SA"/>
        </w:rPr>
        <w:t>许可证，以及企业主要负责人、拟担任该项目经理和专职安全生产管理人员相应的安全生产考核合格证书。</w:t>
      </w:r>
    </w:p>
    <w:p w14:paraId="666E3CF5">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440" w:firstLineChars="200"/>
        <w:jc w:val="left"/>
        <w:textAlignment w:val="auto"/>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 xml:space="preserve">3.3 </w:t>
      </w:r>
      <w:r>
        <w:rPr>
          <w:rFonts w:hint="eastAsia" w:ascii="宋体" w:hAnsi="宋体" w:eastAsia="宋体" w:cs="宋体"/>
          <w:i w:val="0"/>
          <w:iCs w:val="0"/>
          <w:snapToGrid/>
          <w:color w:val="auto"/>
          <w:kern w:val="2"/>
          <w:sz w:val="22"/>
          <w:szCs w:val="22"/>
          <w:lang w:val="en-US" w:eastAsia="zh-CN" w:bidi="ar-SA"/>
        </w:rPr>
        <w:t>第三标段</w:t>
      </w:r>
      <w:r>
        <w:rPr>
          <w:rFonts w:hint="eastAsia" w:ascii="宋体" w:hAnsi="宋体" w:eastAsia="宋体" w:cs="宋体"/>
          <w:snapToGrid/>
          <w:color w:val="auto"/>
          <w:kern w:val="0"/>
          <w:sz w:val="22"/>
          <w:szCs w:val="22"/>
          <w:highlight w:val="none"/>
          <w:lang w:val="en-US" w:eastAsia="zh-CN" w:bidi="ar-SA"/>
        </w:rPr>
        <w:t>：无。</w:t>
      </w:r>
    </w:p>
    <w:p w14:paraId="2BF676BF">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26" w:name="_Toc2494"/>
      <w:bookmarkStart w:id="27" w:name="_Toc12912"/>
      <w:r>
        <w:rPr>
          <w:rFonts w:hint="eastAsia" w:ascii="黑体" w:hAnsi="黑体" w:eastAsia="黑体" w:cs="黑体"/>
          <w:snapToGrid/>
          <w:color w:val="auto"/>
          <w:kern w:val="0"/>
          <w:sz w:val="28"/>
          <w:szCs w:val="28"/>
          <w:highlight w:val="none"/>
          <w:lang w:val="en-US" w:eastAsia="zh-CN" w:bidi="ar-SA"/>
        </w:rPr>
        <w:t>三、获取</w:t>
      </w:r>
      <w:bookmarkEnd w:id="24"/>
      <w:bookmarkEnd w:id="25"/>
      <w:r>
        <w:rPr>
          <w:rFonts w:hint="eastAsia" w:ascii="黑体" w:hAnsi="黑体" w:eastAsia="黑体" w:cs="黑体"/>
          <w:snapToGrid/>
          <w:color w:val="auto"/>
          <w:kern w:val="0"/>
          <w:sz w:val="28"/>
          <w:szCs w:val="28"/>
          <w:highlight w:val="none"/>
          <w:lang w:val="en-US" w:eastAsia="zh-CN" w:bidi="ar-SA"/>
        </w:rPr>
        <w:t>采购文件</w:t>
      </w:r>
      <w:bookmarkEnd w:id="26"/>
      <w:bookmarkEnd w:id="27"/>
    </w:p>
    <w:p w14:paraId="6BFC7FED">
      <w:pPr>
        <w:keepNext w:val="0"/>
        <w:keepLines w:val="0"/>
        <w:pageBreakBefore w:val="0"/>
        <w:widowControl w:val="0"/>
        <w:kinsoku/>
        <w:wordWrap/>
        <w:overflowPunct/>
        <w:topLinePunct/>
        <w:bidi w:val="0"/>
        <w:adjustRightInd/>
        <w:snapToGrid/>
        <w:spacing w:before="0" w:after="0" w:line="480" w:lineRule="exact"/>
        <w:ind w:left="0" w:leftChars="0" w:right="0" w:rightChars="0" w:firstLine="440" w:firstLineChars="200"/>
        <w:textAlignment w:val="auto"/>
        <w:rPr>
          <w:rFonts w:hint="eastAsia" w:ascii="宋体" w:hAnsi="宋体" w:eastAsia="宋体" w:cs="宋体"/>
          <w:b w:val="0"/>
          <w:bCs w:val="0"/>
          <w:snapToGrid/>
          <w:color w:val="auto"/>
          <w:kern w:val="2"/>
          <w:sz w:val="22"/>
          <w:szCs w:val="22"/>
          <w:highlight w:val="none"/>
          <w:lang w:val="en-US" w:eastAsia="zh-CN" w:bidi="ar-SA"/>
        </w:rPr>
      </w:pPr>
      <w:r>
        <w:rPr>
          <w:rFonts w:hint="eastAsia" w:ascii="宋体" w:hAnsi="宋体" w:eastAsia="宋体" w:cs="宋体"/>
          <w:b w:val="0"/>
          <w:bCs w:val="0"/>
          <w:snapToGrid/>
          <w:color w:val="auto"/>
          <w:kern w:val="2"/>
          <w:sz w:val="22"/>
          <w:szCs w:val="22"/>
          <w:highlight w:val="none"/>
          <w:lang w:val="en-US" w:eastAsia="zh-CN" w:bidi="ar-SA"/>
        </w:rPr>
        <w:t>1.时间：</w:t>
      </w:r>
      <w:r>
        <w:rPr>
          <w:rFonts w:hint="eastAsia" w:ascii="宋体" w:hAnsi="宋体" w:eastAsia="宋体" w:cs="宋体"/>
          <w:b w:val="0"/>
          <w:bCs w:val="0"/>
          <w:i/>
          <w:iCs/>
          <w:snapToGrid/>
          <w:spacing w:val="5"/>
          <w:kern w:val="0"/>
          <w:sz w:val="22"/>
          <w:szCs w:val="22"/>
          <w:highlight w:val="none"/>
          <w:u w:val="single"/>
          <w:lang w:val="zh-CN" w:eastAsia="zh-CN" w:bidi="zh-CN"/>
        </w:rPr>
        <w:t>202</w:t>
      </w:r>
      <w:r>
        <w:rPr>
          <w:rFonts w:hint="eastAsia" w:ascii="宋体" w:hAnsi="宋体" w:eastAsia="宋体" w:cs="宋体"/>
          <w:b w:val="0"/>
          <w:bCs w:val="0"/>
          <w:i/>
          <w:iCs/>
          <w:snapToGrid/>
          <w:spacing w:val="5"/>
          <w:kern w:val="0"/>
          <w:sz w:val="22"/>
          <w:szCs w:val="22"/>
          <w:highlight w:val="none"/>
          <w:u w:val="single"/>
          <w:lang w:val="en-US" w:eastAsia="zh-CN" w:bidi="zh-CN"/>
        </w:rPr>
        <w:t>4</w:t>
      </w:r>
      <w:r>
        <w:rPr>
          <w:rFonts w:hint="eastAsia" w:ascii="宋体" w:hAnsi="宋体" w:eastAsia="宋体" w:cs="宋体"/>
          <w:b w:val="0"/>
          <w:bCs w:val="0"/>
          <w:i/>
          <w:iCs/>
          <w:snapToGrid/>
          <w:spacing w:val="5"/>
          <w:kern w:val="0"/>
          <w:sz w:val="22"/>
          <w:szCs w:val="22"/>
          <w:highlight w:val="none"/>
          <w:u w:val="single"/>
          <w:lang w:val="zh-CN" w:eastAsia="zh-CN" w:bidi="zh-CN"/>
        </w:rPr>
        <w:t>年</w:t>
      </w:r>
      <w:r>
        <w:rPr>
          <w:rFonts w:hint="eastAsia" w:ascii="宋体" w:hAnsi="宋体" w:eastAsia="宋体" w:cs="宋体"/>
          <w:b w:val="0"/>
          <w:bCs w:val="0"/>
          <w:i/>
          <w:iCs/>
          <w:snapToGrid/>
          <w:spacing w:val="5"/>
          <w:kern w:val="0"/>
          <w:sz w:val="22"/>
          <w:szCs w:val="22"/>
          <w:highlight w:val="none"/>
          <w:u w:val="single"/>
          <w:lang w:val="en-US" w:eastAsia="zh-CN" w:bidi="zh-CN"/>
        </w:rPr>
        <w:t>08</w:t>
      </w:r>
      <w:r>
        <w:rPr>
          <w:rFonts w:hint="eastAsia" w:ascii="宋体" w:hAnsi="宋体" w:eastAsia="宋体" w:cs="宋体"/>
          <w:b w:val="0"/>
          <w:bCs w:val="0"/>
          <w:i/>
          <w:iCs/>
          <w:snapToGrid/>
          <w:spacing w:val="5"/>
          <w:kern w:val="0"/>
          <w:sz w:val="22"/>
          <w:szCs w:val="22"/>
          <w:highlight w:val="none"/>
          <w:u w:val="single"/>
          <w:lang w:val="zh-CN" w:eastAsia="zh-CN" w:bidi="zh-CN"/>
        </w:rPr>
        <w:t>月</w:t>
      </w:r>
      <w:r>
        <w:rPr>
          <w:rFonts w:hint="eastAsia" w:ascii="宋体" w:hAnsi="宋体" w:eastAsia="宋体" w:cs="宋体"/>
          <w:b w:val="0"/>
          <w:bCs w:val="0"/>
          <w:i/>
          <w:iCs/>
          <w:snapToGrid/>
          <w:spacing w:val="5"/>
          <w:kern w:val="0"/>
          <w:sz w:val="22"/>
          <w:szCs w:val="22"/>
          <w:highlight w:val="none"/>
          <w:u w:val="single"/>
          <w:lang w:val="en-US" w:eastAsia="zh-CN" w:bidi="zh-CN"/>
        </w:rPr>
        <w:t>12</w:t>
      </w:r>
      <w:r>
        <w:rPr>
          <w:rFonts w:hint="eastAsia" w:ascii="宋体" w:hAnsi="宋体" w:eastAsia="宋体" w:cs="宋体"/>
          <w:b w:val="0"/>
          <w:bCs w:val="0"/>
          <w:i/>
          <w:iCs/>
          <w:snapToGrid/>
          <w:spacing w:val="5"/>
          <w:kern w:val="0"/>
          <w:sz w:val="22"/>
          <w:szCs w:val="22"/>
          <w:highlight w:val="none"/>
          <w:u w:val="single"/>
          <w:lang w:val="zh-CN" w:eastAsia="zh-CN" w:bidi="zh-CN"/>
        </w:rPr>
        <w:t>日至202</w:t>
      </w:r>
      <w:r>
        <w:rPr>
          <w:rFonts w:hint="eastAsia" w:ascii="宋体" w:hAnsi="宋体" w:eastAsia="宋体" w:cs="宋体"/>
          <w:b w:val="0"/>
          <w:bCs w:val="0"/>
          <w:i/>
          <w:iCs/>
          <w:snapToGrid/>
          <w:spacing w:val="5"/>
          <w:kern w:val="0"/>
          <w:sz w:val="22"/>
          <w:szCs w:val="22"/>
          <w:highlight w:val="none"/>
          <w:u w:val="single"/>
          <w:lang w:val="en-US" w:eastAsia="zh-CN" w:bidi="zh-CN"/>
        </w:rPr>
        <w:t>4</w:t>
      </w:r>
      <w:r>
        <w:rPr>
          <w:rFonts w:hint="eastAsia" w:ascii="宋体" w:hAnsi="宋体" w:eastAsia="宋体" w:cs="宋体"/>
          <w:b w:val="0"/>
          <w:bCs w:val="0"/>
          <w:i/>
          <w:iCs/>
          <w:snapToGrid/>
          <w:spacing w:val="5"/>
          <w:kern w:val="0"/>
          <w:sz w:val="22"/>
          <w:szCs w:val="22"/>
          <w:highlight w:val="none"/>
          <w:u w:val="single"/>
          <w:lang w:val="zh-CN" w:eastAsia="zh-CN" w:bidi="zh-CN"/>
        </w:rPr>
        <w:t>年</w:t>
      </w:r>
      <w:r>
        <w:rPr>
          <w:rFonts w:hint="eastAsia" w:ascii="宋体" w:hAnsi="宋体" w:eastAsia="宋体" w:cs="宋体"/>
          <w:b w:val="0"/>
          <w:bCs w:val="0"/>
          <w:i/>
          <w:iCs/>
          <w:snapToGrid/>
          <w:spacing w:val="5"/>
          <w:kern w:val="0"/>
          <w:sz w:val="22"/>
          <w:szCs w:val="22"/>
          <w:highlight w:val="none"/>
          <w:u w:val="single"/>
          <w:lang w:val="en-US" w:eastAsia="zh-CN" w:bidi="zh-CN"/>
        </w:rPr>
        <w:t>08</w:t>
      </w:r>
      <w:r>
        <w:rPr>
          <w:rFonts w:hint="eastAsia" w:ascii="宋体" w:hAnsi="宋体" w:eastAsia="宋体" w:cs="宋体"/>
          <w:b w:val="0"/>
          <w:bCs w:val="0"/>
          <w:i/>
          <w:iCs/>
          <w:snapToGrid/>
          <w:spacing w:val="5"/>
          <w:kern w:val="0"/>
          <w:sz w:val="22"/>
          <w:szCs w:val="22"/>
          <w:highlight w:val="none"/>
          <w:u w:val="single"/>
          <w:lang w:val="zh-CN" w:eastAsia="zh-CN" w:bidi="zh-CN"/>
        </w:rPr>
        <w:t>月</w:t>
      </w:r>
      <w:r>
        <w:rPr>
          <w:rFonts w:hint="eastAsia" w:ascii="宋体" w:hAnsi="宋体" w:eastAsia="宋体" w:cs="宋体"/>
          <w:b w:val="0"/>
          <w:bCs w:val="0"/>
          <w:i/>
          <w:iCs/>
          <w:snapToGrid/>
          <w:spacing w:val="5"/>
          <w:kern w:val="0"/>
          <w:sz w:val="22"/>
          <w:szCs w:val="22"/>
          <w:highlight w:val="none"/>
          <w:u w:val="single"/>
          <w:lang w:val="en-US" w:eastAsia="zh-CN" w:bidi="zh-CN"/>
        </w:rPr>
        <w:t>19</w:t>
      </w:r>
      <w:r>
        <w:rPr>
          <w:rFonts w:hint="eastAsia" w:ascii="宋体" w:hAnsi="宋体" w:eastAsia="宋体" w:cs="宋体"/>
          <w:b w:val="0"/>
          <w:bCs w:val="0"/>
          <w:i/>
          <w:iCs/>
          <w:snapToGrid/>
          <w:spacing w:val="5"/>
          <w:kern w:val="0"/>
          <w:sz w:val="22"/>
          <w:szCs w:val="22"/>
          <w:highlight w:val="none"/>
          <w:u w:val="single"/>
          <w:lang w:val="zh-CN" w:eastAsia="zh-CN" w:bidi="zh-CN"/>
        </w:rPr>
        <w:t>日</w:t>
      </w:r>
      <w:r>
        <w:rPr>
          <w:rFonts w:hint="eastAsia" w:ascii="宋体" w:hAnsi="宋体" w:eastAsia="宋体" w:cs="宋体"/>
          <w:b w:val="0"/>
          <w:bCs w:val="0"/>
          <w:snapToGrid/>
          <w:spacing w:val="5"/>
          <w:kern w:val="0"/>
          <w:sz w:val="22"/>
          <w:szCs w:val="22"/>
          <w:highlight w:val="none"/>
          <w:lang w:val="zh-CN" w:eastAsia="zh-CN" w:bidi="zh-CN"/>
        </w:rPr>
        <w:t>，每</w:t>
      </w:r>
      <w:r>
        <w:rPr>
          <w:rFonts w:hint="eastAsia" w:ascii="宋体" w:hAnsi="宋体" w:eastAsia="宋体" w:cs="宋体"/>
          <w:b w:val="0"/>
          <w:bCs w:val="0"/>
          <w:snapToGrid/>
          <w:spacing w:val="5"/>
          <w:kern w:val="0"/>
          <w:sz w:val="22"/>
          <w:szCs w:val="22"/>
          <w:highlight w:val="none"/>
          <w:lang w:val="en-US" w:eastAsia="zh-CN" w:bidi="zh-CN"/>
        </w:rPr>
        <w:t>日</w:t>
      </w:r>
      <w:r>
        <w:rPr>
          <w:rFonts w:hint="eastAsia" w:ascii="宋体" w:hAnsi="宋体" w:eastAsia="宋体" w:cs="宋体"/>
          <w:b w:val="0"/>
          <w:bCs w:val="0"/>
          <w:snapToGrid/>
          <w:spacing w:val="5"/>
          <w:kern w:val="0"/>
          <w:sz w:val="22"/>
          <w:szCs w:val="22"/>
          <w:highlight w:val="none"/>
          <w:lang w:val="zh-CN" w:eastAsia="zh-CN" w:bidi="zh-CN"/>
        </w:rPr>
        <w:t>上午09时00分至12时00分，下午1</w:t>
      </w:r>
      <w:r>
        <w:rPr>
          <w:rFonts w:hint="eastAsia" w:ascii="宋体" w:hAnsi="宋体" w:eastAsia="宋体" w:cs="宋体"/>
          <w:b w:val="0"/>
          <w:bCs w:val="0"/>
          <w:snapToGrid/>
          <w:spacing w:val="5"/>
          <w:kern w:val="0"/>
          <w:sz w:val="22"/>
          <w:szCs w:val="22"/>
          <w:highlight w:val="none"/>
          <w:lang w:val="en-US" w:eastAsia="zh-CN" w:bidi="zh-CN"/>
        </w:rPr>
        <w:t>4</w:t>
      </w:r>
      <w:r>
        <w:rPr>
          <w:rFonts w:hint="eastAsia" w:ascii="宋体" w:hAnsi="宋体" w:eastAsia="宋体" w:cs="宋体"/>
          <w:b w:val="0"/>
          <w:bCs w:val="0"/>
          <w:snapToGrid/>
          <w:spacing w:val="5"/>
          <w:kern w:val="0"/>
          <w:sz w:val="22"/>
          <w:szCs w:val="22"/>
          <w:highlight w:val="none"/>
          <w:lang w:val="zh-CN" w:eastAsia="zh-CN" w:bidi="zh-CN"/>
        </w:rPr>
        <w:t>时30分至1</w:t>
      </w:r>
      <w:r>
        <w:rPr>
          <w:rFonts w:hint="eastAsia" w:ascii="宋体" w:hAnsi="宋体" w:eastAsia="宋体" w:cs="宋体"/>
          <w:b w:val="0"/>
          <w:bCs w:val="0"/>
          <w:snapToGrid/>
          <w:spacing w:val="5"/>
          <w:kern w:val="0"/>
          <w:sz w:val="22"/>
          <w:szCs w:val="22"/>
          <w:highlight w:val="none"/>
          <w:lang w:val="en-US" w:eastAsia="zh-CN" w:bidi="zh-CN"/>
        </w:rPr>
        <w:t>8</w:t>
      </w:r>
      <w:r>
        <w:rPr>
          <w:rFonts w:hint="eastAsia" w:ascii="宋体" w:hAnsi="宋体" w:eastAsia="宋体" w:cs="宋体"/>
          <w:b w:val="0"/>
          <w:bCs w:val="0"/>
          <w:snapToGrid/>
          <w:spacing w:val="5"/>
          <w:kern w:val="0"/>
          <w:sz w:val="22"/>
          <w:szCs w:val="22"/>
          <w:highlight w:val="none"/>
          <w:lang w:val="zh-CN" w:eastAsia="zh-CN" w:bidi="zh-CN"/>
        </w:rPr>
        <w:t>时00分（北京时间，法定节假日除外）。</w:t>
      </w:r>
    </w:p>
    <w:p w14:paraId="5B7C1F4C">
      <w:pPr>
        <w:keepNext w:val="0"/>
        <w:keepLines w:val="0"/>
        <w:pageBreakBefore w:val="0"/>
        <w:widowControl w:val="0"/>
        <w:kinsoku/>
        <w:wordWrap/>
        <w:overflowPunct/>
        <w:autoSpaceDE/>
        <w:autoSpaceDN/>
        <w:bidi w:val="0"/>
        <w:adjustRightInd/>
        <w:snapToGrid/>
        <w:spacing w:line="480" w:lineRule="exact"/>
        <w:ind w:firstLine="440" w:firstLineChars="200"/>
        <w:jc w:val="both"/>
        <w:textAlignment w:val="auto"/>
        <w:rPr>
          <w:rFonts w:hint="eastAsia" w:ascii="宋体" w:hAnsi="宋体" w:eastAsia="宋体" w:cs="宋体"/>
          <w:b w:val="0"/>
          <w:bCs w:val="0"/>
          <w:snapToGrid/>
          <w:color w:val="auto"/>
          <w:kern w:val="2"/>
          <w:sz w:val="22"/>
          <w:szCs w:val="22"/>
          <w:highlight w:val="none"/>
          <w:lang w:val="en-US" w:eastAsia="zh-CN" w:bidi="ar-SA"/>
        </w:rPr>
      </w:pPr>
      <w:bookmarkStart w:id="28" w:name="_Toc28359082"/>
      <w:bookmarkStart w:id="29" w:name="_Toc28359005"/>
      <w:bookmarkStart w:id="30" w:name="_Toc35393624"/>
      <w:bookmarkStart w:id="31" w:name="_Toc35393793"/>
      <w:r>
        <w:rPr>
          <w:rFonts w:hint="eastAsia" w:ascii="宋体" w:hAnsi="宋体" w:eastAsia="宋体" w:cs="宋体"/>
          <w:b w:val="0"/>
          <w:bCs w:val="0"/>
          <w:snapToGrid/>
          <w:color w:val="auto"/>
          <w:kern w:val="2"/>
          <w:sz w:val="22"/>
          <w:szCs w:val="22"/>
          <w:highlight w:val="none"/>
          <w:lang w:val="en-US" w:eastAsia="zh-CN" w:bidi="ar-SA"/>
        </w:rPr>
        <w:t>2.地点：</w:t>
      </w:r>
      <w:r>
        <w:rPr>
          <w:rFonts w:hint="eastAsia" w:ascii="宋体" w:hAnsi="宋体" w:eastAsia="宋体" w:cs="宋体"/>
          <w:b w:val="0"/>
          <w:bCs w:val="0"/>
          <w:i w:val="0"/>
          <w:caps w:val="0"/>
          <w:snapToGrid/>
          <w:color w:val="auto"/>
          <w:spacing w:val="0"/>
          <w:kern w:val="0"/>
          <w:sz w:val="22"/>
          <w:szCs w:val="22"/>
          <w:highlight w:val="none"/>
          <w:u w:val="single"/>
          <w:shd w:val="clear" w:fill="FFFFFF"/>
          <w:lang w:val="en-US" w:eastAsia="zh-CN" w:bidi="zh-CN"/>
        </w:rPr>
        <w:t>云南省临沧市耿马县滨河家园9栋1706室</w:t>
      </w:r>
      <w:r>
        <w:rPr>
          <w:rFonts w:hint="eastAsia" w:ascii="宋体" w:hAnsi="宋体" w:eastAsia="宋体" w:cs="宋体"/>
          <w:b w:val="0"/>
          <w:bCs w:val="0"/>
          <w:snapToGrid/>
          <w:spacing w:val="5"/>
          <w:kern w:val="0"/>
          <w:sz w:val="22"/>
          <w:szCs w:val="22"/>
          <w:highlight w:val="none"/>
          <w:lang w:val="zh-CN" w:eastAsia="zh-CN" w:bidi="zh-CN"/>
        </w:rPr>
        <w:t>。</w:t>
      </w:r>
    </w:p>
    <w:p w14:paraId="42C269AE">
      <w:pPr>
        <w:keepNext w:val="0"/>
        <w:keepLines w:val="0"/>
        <w:pageBreakBefore w:val="0"/>
        <w:widowControl w:val="0"/>
        <w:kinsoku/>
        <w:wordWrap/>
        <w:overflowPunct/>
        <w:topLinePunct/>
        <w:bidi w:val="0"/>
        <w:adjustRightInd/>
        <w:snapToGrid/>
        <w:spacing w:before="0" w:after="0" w:line="480" w:lineRule="exact"/>
        <w:ind w:left="0" w:leftChars="0" w:right="0" w:rightChars="0" w:firstLine="440" w:firstLineChars="200"/>
        <w:textAlignment w:val="auto"/>
        <w:rPr>
          <w:rFonts w:hint="eastAsia" w:ascii="宋体" w:hAnsi="宋体" w:eastAsia="宋体" w:cs="宋体"/>
          <w:b w:val="0"/>
          <w:bCs w:val="0"/>
          <w:snapToGrid/>
          <w:spacing w:val="5"/>
          <w:kern w:val="0"/>
          <w:sz w:val="22"/>
          <w:szCs w:val="22"/>
          <w:highlight w:val="none"/>
          <w:lang w:val="en-US" w:eastAsia="zh-CN" w:bidi="zh-CN"/>
        </w:rPr>
      </w:pPr>
      <w:r>
        <w:rPr>
          <w:rFonts w:hint="eastAsia" w:ascii="宋体" w:hAnsi="宋体" w:eastAsia="宋体" w:cs="宋体"/>
          <w:b w:val="0"/>
          <w:bCs w:val="0"/>
          <w:snapToGrid/>
          <w:color w:val="auto"/>
          <w:kern w:val="2"/>
          <w:sz w:val="22"/>
          <w:szCs w:val="22"/>
          <w:highlight w:val="none"/>
          <w:lang w:val="en-US" w:eastAsia="zh-CN" w:bidi="ar-SA"/>
        </w:rPr>
        <w:t>3.方式：</w:t>
      </w:r>
      <w:r>
        <w:rPr>
          <w:rFonts w:hint="eastAsia" w:ascii="宋体" w:hAnsi="宋体" w:eastAsia="宋体" w:cs="宋体"/>
          <w:b w:val="0"/>
          <w:bCs w:val="0"/>
          <w:snapToGrid/>
          <w:spacing w:val="5"/>
          <w:kern w:val="0"/>
          <w:sz w:val="22"/>
          <w:szCs w:val="22"/>
          <w:highlight w:val="none"/>
          <w:lang w:val="en-US" w:eastAsia="zh-CN" w:bidi="zh-CN"/>
        </w:rPr>
        <w:t>获取磋商文件时须携带以下资料：</w:t>
      </w:r>
      <w:bookmarkStart w:id="1011" w:name="_GoBack"/>
      <w:bookmarkEnd w:id="1011"/>
    </w:p>
    <w:p w14:paraId="3FDBC531">
      <w:pPr>
        <w:keepNext w:val="0"/>
        <w:keepLines w:val="0"/>
        <w:pageBreakBefore w:val="0"/>
        <w:widowControl w:val="0"/>
        <w:kinsoku/>
        <w:wordWrap/>
        <w:overflowPunct/>
        <w:topLinePunct/>
        <w:autoSpaceDE w:val="0"/>
        <w:autoSpaceDN w:val="0"/>
        <w:bidi w:val="0"/>
        <w:adjustRightInd/>
        <w:snapToGrid/>
        <w:spacing w:before="0" w:after="0" w:line="480" w:lineRule="exact"/>
        <w:ind w:left="0" w:leftChars="0" w:right="0" w:rightChars="0" w:firstLine="690" w:firstLineChars="300"/>
        <w:textAlignment w:val="auto"/>
        <w:rPr>
          <w:rFonts w:hint="eastAsia" w:ascii="宋体" w:hAnsi="宋体" w:eastAsia="宋体" w:cs="宋体"/>
          <w:b w:val="0"/>
          <w:bCs w:val="0"/>
          <w:snapToGrid/>
          <w:spacing w:val="5"/>
          <w:kern w:val="0"/>
          <w:sz w:val="22"/>
          <w:szCs w:val="22"/>
          <w:highlight w:val="none"/>
          <w:lang w:val="zh-CN" w:eastAsia="zh-CN" w:bidi="zh-CN"/>
        </w:rPr>
      </w:pPr>
      <w:r>
        <w:rPr>
          <w:rFonts w:hint="eastAsia" w:ascii="宋体" w:hAnsi="宋体" w:eastAsia="宋体" w:cs="宋体"/>
          <w:b w:val="0"/>
          <w:bCs w:val="0"/>
          <w:snapToGrid/>
          <w:spacing w:val="5"/>
          <w:kern w:val="0"/>
          <w:sz w:val="22"/>
          <w:szCs w:val="22"/>
          <w:highlight w:val="none"/>
          <w:lang w:val="zh-CN" w:eastAsia="zh-CN" w:bidi="zh-CN"/>
        </w:rPr>
        <w:t>（</w:t>
      </w:r>
      <w:r>
        <w:rPr>
          <w:rFonts w:hint="eastAsia" w:ascii="宋体" w:hAnsi="宋体" w:eastAsia="宋体" w:cs="宋体"/>
          <w:b w:val="0"/>
          <w:bCs w:val="0"/>
          <w:snapToGrid/>
          <w:spacing w:val="5"/>
          <w:kern w:val="0"/>
          <w:sz w:val="22"/>
          <w:szCs w:val="22"/>
          <w:highlight w:val="none"/>
          <w:lang w:val="en-US" w:eastAsia="zh-CN" w:bidi="zh-CN"/>
        </w:rPr>
        <w:t>1）</w:t>
      </w:r>
      <w:r>
        <w:rPr>
          <w:rFonts w:hint="eastAsia" w:ascii="宋体" w:hAnsi="宋体" w:eastAsia="宋体" w:cs="宋体"/>
          <w:b w:val="0"/>
          <w:bCs w:val="0"/>
          <w:snapToGrid/>
          <w:spacing w:val="5"/>
          <w:kern w:val="0"/>
          <w:sz w:val="22"/>
          <w:szCs w:val="22"/>
          <w:highlight w:val="none"/>
          <w:lang w:val="zh-CN" w:eastAsia="zh-CN" w:bidi="zh-CN"/>
        </w:rPr>
        <w:t>营业执照；</w:t>
      </w:r>
    </w:p>
    <w:p w14:paraId="14B7D38A">
      <w:pPr>
        <w:keepNext w:val="0"/>
        <w:keepLines w:val="0"/>
        <w:pageBreakBefore w:val="0"/>
        <w:widowControl w:val="0"/>
        <w:kinsoku/>
        <w:wordWrap/>
        <w:overflowPunct/>
        <w:topLinePunct/>
        <w:autoSpaceDE w:val="0"/>
        <w:autoSpaceDN w:val="0"/>
        <w:bidi w:val="0"/>
        <w:adjustRightInd/>
        <w:snapToGrid/>
        <w:spacing w:before="0" w:after="0" w:line="480" w:lineRule="exact"/>
        <w:ind w:left="0" w:leftChars="0" w:right="0" w:rightChars="0" w:firstLine="690" w:firstLineChars="300"/>
        <w:textAlignment w:val="auto"/>
        <w:rPr>
          <w:rFonts w:hint="eastAsia" w:ascii="宋体" w:hAnsi="宋体" w:eastAsia="宋体" w:cs="宋体"/>
          <w:b w:val="0"/>
          <w:bCs w:val="0"/>
          <w:snapToGrid/>
          <w:spacing w:val="5"/>
          <w:kern w:val="0"/>
          <w:sz w:val="22"/>
          <w:szCs w:val="22"/>
          <w:highlight w:val="none"/>
          <w:lang w:val="en-US" w:eastAsia="zh-CN" w:bidi="zh-CN"/>
        </w:rPr>
      </w:pPr>
      <w:r>
        <w:rPr>
          <w:rFonts w:hint="eastAsia" w:ascii="宋体" w:hAnsi="宋体" w:eastAsia="宋体" w:cs="宋体"/>
          <w:b w:val="0"/>
          <w:bCs w:val="0"/>
          <w:snapToGrid/>
          <w:spacing w:val="5"/>
          <w:kern w:val="0"/>
          <w:sz w:val="22"/>
          <w:szCs w:val="22"/>
          <w:highlight w:val="none"/>
          <w:lang w:val="zh-CN" w:eastAsia="zh-CN" w:bidi="zh-CN"/>
        </w:rPr>
        <w:t>（</w:t>
      </w:r>
      <w:r>
        <w:rPr>
          <w:rFonts w:hint="eastAsia" w:ascii="宋体" w:hAnsi="宋体" w:eastAsia="宋体" w:cs="宋体"/>
          <w:b w:val="0"/>
          <w:bCs w:val="0"/>
          <w:snapToGrid/>
          <w:spacing w:val="5"/>
          <w:kern w:val="0"/>
          <w:sz w:val="22"/>
          <w:szCs w:val="22"/>
          <w:highlight w:val="none"/>
          <w:lang w:val="en-US" w:eastAsia="zh-CN" w:bidi="zh-CN"/>
        </w:rPr>
        <w:t>2）资质证书（如有）；</w:t>
      </w:r>
    </w:p>
    <w:p w14:paraId="32910600">
      <w:pPr>
        <w:keepNext w:val="0"/>
        <w:keepLines w:val="0"/>
        <w:pageBreakBefore w:val="0"/>
        <w:widowControl w:val="0"/>
        <w:kinsoku/>
        <w:wordWrap/>
        <w:overflowPunct/>
        <w:topLinePunct/>
        <w:autoSpaceDE w:val="0"/>
        <w:autoSpaceDN w:val="0"/>
        <w:bidi w:val="0"/>
        <w:adjustRightInd/>
        <w:snapToGrid/>
        <w:spacing w:before="0" w:after="0" w:line="480" w:lineRule="exact"/>
        <w:ind w:left="0" w:leftChars="0" w:right="0" w:rightChars="0" w:firstLine="690" w:firstLineChars="300"/>
        <w:textAlignment w:val="auto"/>
        <w:rPr>
          <w:rFonts w:hint="eastAsia" w:ascii="宋体" w:hAnsi="宋体" w:eastAsia="宋体" w:cs="宋体"/>
          <w:b w:val="0"/>
          <w:bCs w:val="0"/>
          <w:snapToGrid/>
          <w:spacing w:val="5"/>
          <w:kern w:val="0"/>
          <w:sz w:val="22"/>
          <w:szCs w:val="22"/>
          <w:highlight w:val="none"/>
          <w:lang w:val="zh-CN" w:eastAsia="zh-CN" w:bidi="zh-CN"/>
        </w:rPr>
      </w:pPr>
      <w:r>
        <w:rPr>
          <w:rFonts w:hint="eastAsia" w:ascii="宋体" w:hAnsi="宋体" w:eastAsia="宋体" w:cs="宋体"/>
          <w:b w:val="0"/>
          <w:bCs w:val="0"/>
          <w:snapToGrid/>
          <w:spacing w:val="5"/>
          <w:kern w:val="0"/>
          <w:sz w:val="22"/>
          <w:szCs w:val="22"/>
          <w:highlight w:val="none"/>
          <w:lang w:val="zh-CN" w:eastAsia="zh-CN" w:bidi="zh-CN"/>
        </w:rPr>
        <w:t>（</w:t>
      </w:r>
      <w:r>
        <w:rPr>
          <w:rFonts w:hint="eastAsia" w:ascii="宋体" w:hAnsi="宋体" w:eastAsia="宋体" w:cs="宋体"/>
          <w:b w:val="0"/>
          <w:bCs w:val="0"/>
          <w:snapToGrid/>
          <w:spacing w:val="5"/>
          <w:kern w:val="0"/>
          <w:sz w:val="22"/>
          <w:szCs w:val="22"/>
          <w:highlight w:val="none"/>
          <w:lang w:val="en-US" w:eastAsia="zh-CN" w:bidi="zh-CN"/>
        </w:rPr>
        <w:t>3</w:t>
      </w:r>
      <w:r>
        <w:rPr>
          <w:rFonts w:hint="eastAsia" w:ascii="宋体" w:hAnsi="宋体" w:eastAsia="宋体" w:cs="宋体"/>
          <w:b w:val="0"/>
          <w:bCs w:val="0"/>
          <w:snapToGrid/>
          <w:spacing w:val="5"/>
          <w:kern w:val="0"/>
          <w:sz w:val="22"/>
          <w:szCs w:val="22"/>
          <w:highlight w:val="none"/>
          <w:lang w:val="zh-CN" w:eastAsia="zh-CN" w:bidi="zh-CN"/>
        </w:rPr>
        <w:t>）法定代表人</w:t>
      </w:r>
      <w:r>
        <w:rPr>
          <w:rFonts w:hint="eastAsia" w:ascii="宋体" w:hAnsi="宋体" w:eastAsia="宋体" w:cs="宋体"/>
          <w:b w:val="0"/>
          <w:bCs w:val="0"/>
          <w:snapToGrid/>
          <w:spacing w:val="5"/>
          <w:kern w:val="0"/>
          <w:sz w:val="22"/>
          <w:szCs w:val="22"/>
          <w:highlight w:val="none"/>
          <w:lang w:val="en-US" w:eastAsia="zh-CN" w:bidi="zh-CN"/>
        </w:rPr>
        <w:t>身份</w:t>
      </w:r>
      <w:r>
        <w:rPr>
          <w:rFonts w:hint="eastAsia" w:ascii="宋体" w:hAnsi="宋体" w:eastAsia="宋体" w:cs="宋体"/>
          <w:b w:val="0"/>
          <w:bCs w:val="0"/>
          <w:snapToGrid/>
          <w:spacing w:val="5"/>
          <w:kern w:val="0"/>
          <w:sz w:val="22"/>
          <w:szCs w:val="22"/>
          <w:highlight w:val="none"/>
          <w:lang w:val="zh-CN" w:eastAsia="zh-CN" w:bidi="zh-CN"/>
        </w:rPr>
        <w:t>证明书；</w:t>
      </w:r>
    </w:p>
    <w:p w14:paraId="727BB35C">
      <w:pPr>
        <w:keepNext w:val="0"/>
        <w:keepLines w:val="0"/>
        <w:pageBreakBefore w:val="0"/>
        <w:widowControl w:val="0"/>
        <w:kinsoku/>
        <w:wordWrap/>
        <w:overflowPunct/>
        <w:topLinePunct/>
        <w:autoSpaceDE w:val="0"/>
        <w:autoSpaceDN w:val="0"/>
        <w:bidi w:val="0"/>
        <w:adjustRightInd/>
        <w:snapToGrid/>
        <w:spacing w:before="0" w:after="0" w:line="480" w:lineRule="exact"/>
        <w:ind w:left="0" w:leftChars="0" w:right="0" w:rightChars="0" w:firstLine="690" w:firstLineChars="300"/>
        <w:textAlignment w:val="auto"/>
        <w:rPr>
          <w:rFonts w:hint="eastAsia" w:ascii="宋体" w:hAnsi="宋体" w:eastAsia="宋体" w:cs="宋体"/>
          <w:b w:val="0"/>
          <w:bCs w:val="0"/>
          <w:snapToGrid/>
          <w:spacing w:val="5"/>
          <w:kern w:val="0"/>
          <w:sz w:val="22"/>
          <w:szCs w:val="22"/>
          <w:highlight w:val="none"/>
          <w:lang w:val="zh-CN" w:eastAsia="zh-CN" w:bidi="zh-CN"/>
        </w:rPr>
      </w:pPr>
      <w:r>
        <w:rPr>
          <w:rFonts w:hint="eastAsia" w:ascii="宋体" w:hAnsi="宋体" w:eastAsia="宋体" w:cs="宋体"/>
          <w:b w:val="0"/>
          <w:bCs w:val="0"/>
          <w:snapToGrid/>
          <w:spacing w:val="5"/>
          <w:kern w:val="0"/>
          <w:sz w:val="22"/>
          <w:szCs w:val="22"/>
          <w:highlight w:val="none"/>
          <w:lang w:val="zh-CN" w:eastAsia="zh-CN" w:bidi="zh-CN"/>
        </w:rPr>
        <w:t>（</w:t>
      </w:r>
      <w:r>
        <w:rPr>
          <w:rFonts w:hint="eastAsia" w:ascii="宋体" w:hAnsi="宋体" w:eastAsia="宋体" w:cs="宋体"/>
          <w:b w:val="0"/>
          <w:bCs w:val="0"/>
          <w:snapToGrid/>
          <w:spacing w:val="5"/>
          <w:kern w:val="0"/>
          <w:sz w:val="22"/>
          <w:szCs w:val="22"/>
          <w:highlight w:val="none"/>
          <w:lang w:val="en-US" w:eastAsia="zh-CN" w:bidi="zh-CN"/>
        </w:rPr>
        <w:t>4</w:t>
      </w:r>
      <w:r>
        <w:rPr>
          <w:rFonts w:hint="eastAsia" w:ascii="宋体" w:hAnsi="宋体" w:eastAsia="宋体" w:cs="宋体"/>
          <w:b w:val="0"/>
          <w:bCs w:val="0"/>
          <w:snapToGrid/>
          <w:spacing w:val="5"/>
          <w:kern w:val="0"/>
          <w:sz w:val="22"/>
          <w:szCs w:val="22"/>
          <w:highlight w:val="none"/>
          <w:lang w:val="zh-CN" w:eastAsia="zh-CN" w:bidi="zh-CN"/>
        </w:rPr>
        <w:t>）法定代表人授权委托书（</w:t>
      </w:r>
      <w:r>
        <w:rPr>
          <w:rFonts w:hint="eastAsia" w:ascii="宋体" w:hAnsi="宋体" w:eastAsia="宋体" w:cs="宋体"/>
          <w:b w:val="0"/>
          <w:bCs w:val="0"/>
          <w:snapToGrid/>
          <w:spacing w:val="5"/>
          <w:kern w:val="0"/>
          <w:sz w:val="22"/>
          <w:szCs w:val="22"/>
          <w:highlight w:val="none"/>
          <w:lang w:val="en-US" w:eastAsia="zh-CN" w:bidi="zh-CN"/>
        </w:rPr>
        <w:t>由法定代表人获取磋商文件时无需提供）</w:t>
      </w:r>
      <w:r>
        <w:rPr>
          <w:rFonts w:hint="eastAsia" w:ascii="宋体" w:hAnsi="宋体" w:eastAsia="宋体" w:cs="宋体"/>
          <w:b w:val="0"/>
          <w:bCs w:val="0"/>
          <w:snapToGrid/>
          <w:spacing w:val="5"/>
          <w:kern w:val="0"/>
          <w:sz w:val="22"/>
          <w:szCs w:val="22"/>
          <w:highlight w:val="none"/>
          <w:lang w:val="zh-CN" w:eastAsia="zh-CN" w:bidi="zh-CN"/>
        </w:rPr>
        <w:t>；</w:t>
      </w:r>
    </w:p>
    <w:p w14:paraId="4EAB8A4D">
      <w:pPr>
        <w:keepNext w:val="0"/>
        <w:keepLines w:val="0"/>
        <w:pageBreakBefore w:val="0"/>
        <w:widowControl w:val="0"/>
        <w:kinsoku/>
        <w:wordWrap/>
        <w:overflowPunct/>
        <w:topLinePunct/>
        <w:autoSpaceDE w:val="0"/>
        <w:autoSpaceDN w:val="0"/>
        <w:bidi w:val="0"/>
        <w:adjustRightInd/>
        <w:snapToGrid/>
        <w:spacing w:before="0" w:after="0" w:line="480" w:lineRule="exact"/>
        <w:ind w:left="0" w:leftChars="0" w:right="0" w:rightChars="0" w:firstLine="690" w:firstLineChars="300"/>
        <w:textAlignment w:val="auto"/>
        <w:rPr>
          <w:rFonts w:hint="eastAsia" w:ascii="宋体" w:hAnsi="宋体" w:eastAsia="宋体" w:cs="宋体"/>
          <w:b w:val="0"/>
          <w:bCs w:val="0"/>
          <w:snapToGrid/>
          <w:color w:val="auto"/>
          <w:kern w:val="2"/>
          <w:sz w:val="22"/>
          <w:szCs w:val="22"/>
          <w:highlight w:val="none"/>
          <w:lang w:val="en-US" w:eastAsia="zh-CN" w:bidi="ar-SA"/>
        </w:rPr>
      </w:pPr>
      <w:r>
        <w:rPr>
          <w:rFonts w:hint="eastAsia" w:ascii="宋体" w:hAnsi="宋体" w:eastAsia="宋体" w:cs="宋体"/>
          <w:b w:val="0"/>
          <w:bCs w:val="0"/>
          <w:snapToGrid/>
          <w:spacing w:val="5"/>
          <w:kern w:val="0"/>
          <w:sz w:val="22"/>
          <w:szCs w:val="22"/>
          <w:highlight w:val="none"/>
          <w:lang w:val="zh-CN" w:eastAsia="zh-CN" w:bidi="zh-CN"/>
        </w:rPr>
        <w:t>（</w:t>
      </w:r>
      <w:r>
        <w:rPr>
          <w:rFonts w:hint="eastAsia" w:ascii="宋体" w:hAnsi="宋体" w:eastAsia="宋体" w:cs="宋体"/>
          <w:b w:val="0"/>
          <w:bCs w:val="0"/>
          <w:snapToGrid/>
          <w:spacing w:val="5"/>
          <w:kern w:val="0"/>
          <w:sz w:val="22"/>
          <w:szCs w:val="22"/>
          <w:highlight w:val="none"/>
          <w:lang w:val="en-US" w:eastAsia="zh-CN" w:bidi="zh-CN"/>
        </w:rPr>
        <w:t>5</w:t>
      </w:r>
      <w:r>
        <w:rPr>
          <w:rFonts w:hint="eastAsia" w:ascii="宋体" w:hAnsi="宋体" w:eastAsia="宋体" w:cs="宋体"/>
          <w:b w:val="0"/>
          <w:bCs w:val="0"/>
          <w:snapToGrid/>
          <w:spacing w:val="5"/>
          <w:kern w:val="0"/>
          <w:sz w:val="22"/>
          <w:szCs w:val="22"/>
          <w:highlight w:val="none"/>
          <w:lang w:val="zh-CN" w:eastAsia="zh-CN" w:bidi="zh-CN"/>
        </w:rPr>
        <w:t>）法定代表人或其委托代理人身份证；</w:t>
      </w:r>
      <w:r>
        <w:rPr>
          <w:rFonts w:hint="eastAsia" w:ascii="宋体" w:hAnsi="宋体" w:eastAsia="宋体" w:cs="宋体"/>
          <w:b w:val="0"/>
          <w:bCs w:val="0"/>
          <w:sz w:val="22"/>
          <w:szCs w:val="22"/>
          <w:highlight w:val="none"/>
          <w:lang w:val="zh-CN" w:eastAsia="zh-CN" w:bidi="zh-CN"/>
        </w:rPr>
        <w:t xml:space="preserve"> </w:t>
      </w:r>
    </w:p>
    <w:p w14:paraId="325E8B75">
      <w:pPr>
        <w:keepNext w:val="0"/>
        <w:keepLines w:val="0"/>
        <w:pageBreakBefore w:val="0"/>
        <w:widowControl w:val="0"/>
        <w:kinsoku/>
        <w:wordWrap/>
        <w:overflowPunct/>
        <w:topLinePunct/>
        <w:bidi w:val="0"/>
        <w:adjustRightInd/>
        <w:snapToGrid/>
        <w:spacing w:before="0" w:after="0" w:line="480" w:lineRule="exact"/>
        <w:ind w:left="0" w:leftChars="0" w:right="0" w:rightChars="0" w:firstLine="440" w:firstLineChars="200"/>
        <w:textAlignment w:val="auto"/>
        <w:rPr>
          <w:rFonts w:hint="eastAsia" w:ascii="宋体" w:hAnsi="宋体" w:eastAsia="宋体" w:cs="宋体"/>
          <w:b w:val="0"/>
          <w:bCs w:val="0"/>
          <w:snapToGrid/>
          <w:color w:val="auto"/>
          <w:kern w:val="2"/>
          <w:sz w:val="22"/>
          <w:szCs w:val="22"/>
          <w:highlight w:val="none"/>
          <w:lang w:val="en-US" w:eastAsia="zh-CN" w:bidi="ar-SA"/>
        </w:rPr>
      </w:pPr>
      <w:r>
        <w:rPr>
          <w:rFonts w:hint="eastAsia" w:ascii="宋体" w:hAnsi="宋体" w:eastAsia="宋体" w:cs="宋体"/>
          <w:b w:val="0"/>
          <w:bCs w:val="0"/>
          <w:snapToGrid/>
          <w:color w:val="auto"/>
          <w:kern w:val="2"/>
          <w:sz w:val="22"/>
          <w:szCs w:val="22"/>
          <w:highlight w:val="none"/>
          <w:lang w:val="en-US" w:eastAsia="zh-CN" w:bidi="ar-SA"/>
        </w:rPr>
        <w:t>4.售价：0元。</w:t>
      </w:r>
    </w:p>
    <w:p w14:paraId="2D9F0152">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32" w:name="_Toc5957"/>
      <w:bookmarkStart w:id="33" w:name="_Toc23582"/>
      <w:r>
        <w:rPr>
          <w:rFonts w:hint="eastAsia" w:ascii="黑体" w:hAnsi="黑体" w:eastAsia="黑体" w:cs="黑体"/>
          <w:snapToGrid/>
          <w:color w:val="auto"/>
          <w:kern w:val="0"/>
          <w:sz w:val="28"/>
          <w:szCs w:val="28"/>
          <w:highlight w:val="none"/>
          <w:lang w:val="en-US" w:eastAsia="zh-CN" w:bidi="ar-SA"/>
        </w:rPr>
        <w:t>四、</w:t>
      </w:r>
      <w:bookmarkEnd w:id="28"/>
      <w:bookmarkEnd w:id="29"/>
      <w:r>
        <w:rPr>
          <w:rFonts w:hint="eastAsia" w:ascii="黑体" w:hAnsi="黑体" w:eastAsia="黑体" w:cs="黑体"/>
          <w:snapToGrid/>
          <w:color w:val="auto"/>
          <w:kern w:val="0"/>
          <w:sz w:val="28"/>
          <w:szCs w:val="28"/>
          <w:highlight w:val="none"/>
          <w:lang w:val="en-US" w:eastAsia="zh-CN" w:bidi="ar-SA"/>
        </w:rPr>
        <w:t>响应文件</w:t>
      </w:r>
      <w:bookmarkEnd w:id="30"/>
      <w:bookmarkEnd w:id="31"/>
      <w:r>
        <w:rPr>
          <w:rFonts w:hint="eastAsia" w:ascii="黑体" w:hAnsi="黑体" w:eastAsia="黑体" w:cs="黑体"/>
          <w:snapToGrid/>
          <w:color w:val="auto"/>
          <w:kern w:val="0"/>
          <w:sz w:val="28"/>
          <w:szCs w:val="28"/>
          <w:highlight w:val="none"/>
          <w:lang w:val="en-US" w:eastAsia="zh-CN" w:bidi="ar-SA"/>
        </w:rPr>
        <w:t>提交</w:t>
      </w:r>
      <w:bookmarkEnd w:id="32"/>
      <w:bookmarkEnd w:id="33"/>
    </w:p>
    <w:p w14:paraId="29DB5E64">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zh-CN" w:eastAsia="zh-CN" w:bidi="zh-CN"/>
        </w:rPr>
      </w:pPr>
      <w:r>
        <w:rPr>
          <w:rFonts w:hint="eastAsia" w:ascii="宋体" w:hAnsi="宋体" w:eastAsia="宋体" w:cs="宋体"/>
          <w:sz w:val="22"/>
          <w:szCs w:val="22"/>
          <w:highlight w:val="none"/>
          <w:lang w:val="zh-CN" w:eastAsia="zh-CN" w:bidi="zh-CN"/>
        </w:rPr>
        <w:t>1</w:t>
      </w:r>
      <w:r>
        <w:rPr>
          <w:rFonts w:hint="eastAsia" w:ascii="宋体" w:hAnsi="宋体" w:eastAsia="宋体" w:cs="宋体"/>
          <w:sz w:val="22"/>
          <w:szCs w:val="22"/>
          <w:highlight w:val="none"/>
          <w:lang w:val="en-US" w:eastAsia="zh-CN" w:bidi="zh-CN"/>
        </w:rPr>
        <w:t>.</w:t>
      </w:r>
      <w:r>
        <w:rPr>
          <w:rFonts w:hint="eastAsia" w:ascii="宋体" w:hAnsi="宋体" w:eastAsia="宋体" w:cs="宋体"/>
          <w:sz w:val="22"/>
          <w:szCs w:val="22"/>
          <w:highlight w:val="none"/>
          <w:lang w:val="zh-CN" w:eastAsia="zh-CN" w:bidi="zh-CN"/>
        </w:rPr>
        <w:t>响应文件递交的时间为</w:t>
      </w:r>
      <w:r>
        <w:rPr>
          <w:rFonts w:hint="eastAsia" w:ascii="宋体" w:hAnsi="宋体" w:eastAsia="宋体" w:cs="宋体"/>
          <w:i/>
          <w:iCs/>
          <w:sz w:val="22"/>
          <w:szCs w:val="22"/>
          <w:highlight w:val="none"/>
          <w:u w:val="single"/>
          <w:lang w:val="zh-CN" w:eastAsia="zh-CN" w:bidi="zh-CN"/>
        </w:rPr>
        <w:t>202</w:t>
      </w:r>
      <w:r>
        <w:rPr>
          <w:rFonts w:hint="eastAsia" w:ascii="宋体" w:hAnsi="宋体" w:eastAsia="宋体" w:cs="宋体"/>
          <w:i/>
          <w:iCs/>
          <w:sz w:val="22"/>
          <w:szCs w:val="22"/>
          <w:highlight w:val="none"/>
          <w:u w:val="single"/>
          <w:lang w:val="en-US" w:eastAsia="zh-CN" w:bidi="zh-CN"/>
        </w:rPr>
        <w:t>4</w:t>
      </w:r>
      <w:r>
        <w:rPr>
          <w:rFonts w:hint="eastAsia" w:ascii="宋体" w:hAnsi="宋体" w:eastAsia="宋体" w:cs="宋体"/>
          <w:i/>
          <w:iCs/>
          <w:sz w:val="22"/>
          <w:szCs w:val="22"/>
          <w:highlight w:val="none"/>
          <w:u w:val="single"/>
          <w:lang w:val="zh-CN" w:eastAsia="zh-CN" w:bidi="zh-CN"/>
        </w:rPr>
        <w:t>年</w:t>
      </w:r>
      <w:r>
        <w:rPr>
          <w:rFonts w:hint="eastAsia" w:ascii="宋体" w:hAnsi="宋体" w:eastAsia="宋体" w:cs="宋体"/>
          <w:i/>
          <w:iCs/>
          <w:sz w:val="22"/>
          <w:szCs w:val="22"/>
          <w:highlight w:val="none"/>
          <w:u w:val="single"/>
          <w:lang w:val="en-US" w:eastAsia="zh-CN" w:bidi="zh-CN"/>
        </w:rPr>
        <w:t>08</w:t>
      </w:r>
      <w:r>
        <w:rPr>
          <w:rFonts w:hint="eastAsia" w:ascii="宋体" w:hAnsi="宋体" w:eastAsia="宋体" w:cs="宋体"/>
          <w:i/>
          <w:iCs/>
          <w:sz w:val="22"/>
          <w:szCs w:val="22"/>
          <w:highlight w:val="none"/>
          <w:u w:val="single"/>
          <w:lang w:val="zh-CN" w:eastAsia="zh-CN" w:bidi="zh-CN"/>
        </w:rPr>
        <w:t>月</w:t>
      </w:r>
      <w:r>
        <w:rPr>
          <w:rFonts w:hint="eastAsia" w:ascii="宋体" w:hAnsi="宋体" w:eastAsia="宋体" w:cs="宋体"/>
          <w:i/>
          <w:iCs/>
          <w:sz w:val="22"/>
          <w:szCs w:val="22"/>
          <w:highlight w:val="none"/>
          <w:u w:val="single"/>
          <w:lang w:val="en-US" w:eastAsia="zh-CN" w:bidi="zh-CN"/>
        </w:rPr>
        <w:t>23</w:t>
      </w:r>
      <w:r>
        <w:rPr>
          <w:rFonts w:hint="eastAsia" w:ascii="宋体" w:hAnsi="宋体" w:eastAsia="宋体" w:cs="宋体"/>
          <w:i/>
          <w:iCs/>
          <w:sz w:val="22"/>
          <w:szCs w:val="22"/>
          <w:highlight w:val="none"/>
          <w:u w:val="single"/>
          <w:lang w:val="zh-CN" w:eastAsia="zh-CN" w:bidi="zh-CN"/>
        </w:rPr>
        <w:t>日</w:t>
      </w:r>
      <w:r>
        <w:rPr>
          <w:rFonts w:hint="eastAsia" w:ascii="宋体" w:hAnsi="宋体" w:eastAsia="宋体" w:cs="宋体"/>
          <w:i/>
          <w:iCs/>
          <w:sz w:val="22"/>
          <w:szCs w:val="22"/>
          <w:highlight w:val="none"/>
          <w:u w:val="single"/>
          <w:lang w:val="en-US" w:eastAsia="zh-CN" w:bidi="zh-CN"/>
        </w:rPr>
        <w:t>上</w:t>
      </w:r>
      <w:r>
        <w:rPr>
          <w:rFonts w:hint="eastAsia" w:ascii="宋体" w:hAnsi="宋体" w:eastAsia="宋体" w:cs="宋体"/>
          <w:i/>
          <w:iCs/>
          <w:sz w:val="22"/>
          <w:szCs w:val="22"/>
          <w:highlight w:val="none"/>
          <w:u w:val="single"/>
          <w:lang w:val="zh-CN" w:eastAsia="zh-CN" w:bidi="zh-CN"/>
        </w:rPr>
        <w:t>午</w:t>
      </w:r>
      <w:r>
        <w:rPr>
          <w:rFonts w:hint="eastAsia" w:ascii="宋体" w:hAnsi="宋体" w:eastAsia="宋体" w:cs="宋体"/>
          <w:i/>
          <w:iCs/>
          <w:sz w:val="22"/>
          <w:szCs w:val="22"/>
          <w:highlight w:val="none"/>
          <w:u w:val="single"/>
          <w:lang w:val="en-US" w:eastAsia="zh-CN" w:bidi="zh-CN"/>
        </w:rPr>
        <w:t>08</w:t>
      </w:r>
      <w:r>
        <w:rPr>
          <w:rFonts w:hint="eastAsia" w:ascii="宋体" w:hAnsi="宋体" w:eastAsia="宋体" w:cs="宋体"/>
          <w:i/>
          <w:iCs/>
          <w:sz w:val="22"/>
          <w:szCs w:val="22"/>
          <w:highlight w:val="none"/>
          <w:u w:val="single"/>
          <w:lang w:val="zh-CN" w:eastAsia="zh-CN" w:bidi="zh-CN"/>
        </w:rPr>
        <w:t>：30分</w:t>
      </w:r>
      <w:r>
        <w:rPr>
          <w:rFonts w:hint="eastAsia" w:ascii="宋体" w:hAnsi="宋体" w:eastAsia="宋体" w:cs="宋体"/>
          <w:i/>
          <w:iCs/>
          <w:sz w:val="22"/>
          <w:szCs w:val="22"/>
          <w:highlight w:val="none"/>
          <w:u w:val="single"/>
          <w:lang w:val="en-US" w:eastAsia="zh-CN" w:bidi="zh-CN"/>
        </w:rPr>
        <w:t>至09：00分</w:t>
      </w:r>
      <w:r>
        <w:rPr>
          <w:rFonts w:hint="eastAsia" w:ascii="宋体" w:hAnsi="宋体" w:eastAsia="宋体" w:cs="宋体"/>
          <w:sz w:val="22"/>
          <w:szCs w:val="22"/>
          <w:highlight w:val="none"/>
          <w:lang w:val="zh-CN" w:eastAsia="zh-CN" w:bidi="zh-CN"/>
        </w:rPr>
        <w:t>（北京时间）。</w:t>
      </w:r>
    </w:p>
    <w:p w14:paraId="0EECBCB8">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b w:val="0"/>
          <w:bCs/>
          <w:sz w:val="22"/>
          <w:szCs w:val="22"/>
          <w:highlight w:val="none"/>
          <w:lang w:val="zh-CN" w:eastAsia="zh-CN" w:bidi="zh-CN"/>
        </w:rPr>
      </w:pPr>
      <w:r>
        <w:rPr>
          <w:rFonts w:hint="eastAsia" w:ascii="宋体" w:hAnsi="宋体" w:eastAsia="宋体" w:cs="宋体"/>
          <w:sz w:val="22"/>
          <w:szCs w:val="22"/>
          <w:highlight w:val="none"/>
          <w:lang w:val="zh-CN" w:eastAsia="zh-CN" w:bidi="zh-CN"/>
        </w:rPr>
        <w:t>2</w:t>
      </w:r>
      <w:r>
        <w:rPr>
          <w:rFonts w:hint="eastAsia" w:ascii="宋体" w:hAnsi="宋体" w:eastAsia="宋体" w:cs="宋体"/>
          <w:sz w:val="22"/>
          <w:szCs w:val="22"/>
          <w:highlight w:val="none"/>
          <w:lang w:val="en-US" w:eastAsia="zh-CN" w:bidi="zh-CN"/>
        </w:rPr>
        <w:t>.</w:t>
      </w:r>
      <w:r>
        <w:rPr>
          <w:rFonts w:hint="eastAsia" w:ascii="宋体" w:hAnsi="宋体" w:eastAsia="宋体" w:cs="宋体"/>
          <w:sz w:val="22"/>
          <w:szCs w:val="22"/>
          <w:highlight w:val="none"/>
          <w:lang w:val="zh-CN" w:eastAsia="zh-CN" w:bidi="zh-CN"/>
        </w:rPr>
        <w:t>响应文件递交的地点为：</w:t>
      </w:r>
      <w:r>
        <w:rPr>
          <w:rFonts w:hint="eastAsia" w:ascii="宋体" w:hAnsi="宋体" w:eastAsia="宋体" w:cs="宋体"/>
          <w:b w:val="0"/>
          <w:bCs/>
          <w:color w:val="auto"/>
          <w:sz w:val="22"/>
          <w:szCs w:val="22"/>
          <w:highlight w:val="none"/>
          <w:u w:val="single"/>
          <w:lang w:val="zh-CN" w:eastAsia="zh-CN" w:bidi="zh-CN"/>
        </w:rPr>
        <w:t>耿马傣族佤族自治县水务局三楼会议室</w:t>
      </w:r>
      <w:r>
        <w:rPr>
          <w:rFonts w:hint="eastAsia" w:ascii="宋体" w:hAnsi="宋体" w:eastAsia="宋体" w:cs="宋体"/>
          <w:b w:val="0"/>
          <w:bCs/>
          <w:sz w:val="22"/>
          <w:szCs w:val="22"/>
          <w:highlight w:val="none"/>
          <w:lang w:val="zh-CN" w:eastAsia="zh-CN" w:bidi="zh-CN"/>
        </w:rPr>
        <w:t>。</w:t>
      </w:r>
    </w:p>
    <w:p w14:paraId="2A8E5F43">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4"/>
          <w:szCs w:val="24"/>
          <w:highlight w:val="none"/>
          <w:lang w:val="zh-CN" w:eastAsia="zh-CN" w:bidi="zh-CN"/>
        </w:rPr>
      </w:pPr>
      <w:r>
        <w:rPr>
          <w:rFonts w:hint="eastAsia" w:ascii="宋体" w:hAnsi="宋体" w:eastAsia="宋体" w:cs="宋体"/>
          <w:sz w:val="22"/>
          <w:szCs w:val="22"/>
          <w:highlight w:val="none"/>
          <w:lang w:val="zh-CN" w:eastAsia="zh-CN" w:bidi="zh-CN"/>
        </w:rPr>
        <w:t>3</w:t>
      </w:r>
      <w:r>
        <w:rPr>
          <w:rFonts w:hint="eastAsia" w:ascii="宋体" w:hAnsi="宋体" w:eastAsia="宋体" w:cs="宋体"/>
          <w:sz w:val="22"/>
          <w:szCs w:val="22"/>
          <w:highlight w:val="none"/>
          <w:lang w:val="en-US" w:eastAsia="zh-CN" w:bidi="zh-CN"/>
        </w:rPr>
        <w:t>.</w:t>
      </w:r>
      <w:r>
        <w:rPr>
          <w:rFonts w:hint="eastAsia" w:ascii="宋体" w:hAnsi="宋体" w:eastAsia="宋体" w:cs="宋体"/>
          <w:sz w:val="22"/>
          <w:szCs w:val="22"/>
          <w:highlight w:val="none"/>
          <w:lang w:val="zh-CN" w:eastAsia="zh-CN" w:bidi="zh-CN"/>
        </w:rPr>
        <w:t>逾期送达的或者未按照</w:t>
      </w:r>
      <w:r>
        <w:rPr>
          <w:rFonts w:hint="eastAsia" w:ascii="宋体" w:hAnsi="宋体" w:eastAsia="宋体" w:cs="Times New Roman"/>
          <w:snapToGrid/>
          <w:kern w:val="2"/>
          <w:sz w:val="22"/>
          <w:szCs w:val="22"/>
          <w:lang w:val="en-US" w:eastAsia="zh-CN" w:bidi="ar-SA"/>
        </w:rPr>
        <w:t>竞争性磋商文件</w:t>
      </w:r>
      <w:r>
        <w:rPr>
          <w:rFonts w:hint="eastAsia" w:ascii="宋体" w:hAnsi="宋体" w:eastAsia="宋体" w:cs="宋体"/>
          <w:sz w:val="22"/>
          <w:szCs w:val="22"/>
          <w:highlight w:val="none"/>
          <w:lang w:val="zh-CN" w:eastAsia="zh-CN" w:bidi="zh-CN"/>
        </w:rPr>
        <w:t>要求密封的响应文件将被拒绝。</w:t>
      </w:r>
    </w:p>
    <w:p w14:paraId="0639853E">
      <w:pPr>
        <w:keepNext w:val="0"/>
        <w:keepLines w:val="0"/>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34" w:name="_Toc19526"/>
      <w:bookmarkStart w:id="35" w:name="_Toc14249"/>
      <w:r>
        <w:rPr>
          <w:rFonts w:hint="eastAsia" w:ascii="黑体" w:hAnsi="黑体" w:eastAsia="黑体" w:cs="黑体"/>
          <w:snapToGrid/>
          <w:color w:val="auto"/>
          <w:kern w:val="0"/>
          <w:sz w:val="28"/>
          <w:szCs w:val="28"/>
          <w:highlight w:val="none"/>
          <w:lang w:val="en-US" w:eastAsia="zh-CN" w:bidi="ar-SA"/>
        </w:rPr>
        <w:t>五、开启</w:t>
      </w:r>
      <w:bookmarkEnd w:id="34"/>
      <w:bookmarkEnd w:id="35"/>
    </w:p>
    <w:p w14:paraId="4D70DB18">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zh-CN" w:eastAsia="zh-CN" w:bidi="zh-CN"/>
        </w:rPr>
      </w:pPr>
      <w:bookmarkStart w:id="36" w:name="_Toc28359084"/>
      <w:bookmarkStart w:id="37" w:name="_Toc35393625"/>
      <w:bookmarkStart w:id="38" w:name="_Toc28359007"/>
      <w:bookmarkStart w:id="39" w:name="_Toc35393794"/>
      <w:r>
        <w:rPr>
          <w:rFonts w:hint="eastAsia" w:ascii="宋体" w:hAnsi="宋体" w:eastAsia="宋体" w:cs="宋体"/>
          <w:sz w:val="22"/>
          <w:szCs w:val="22"/>
          <w:highlight w:val="none"/>
          <w:lang w:val="en-US" w:eastAsia="zh-CN" w:bidi="zh-CN"/>
        </w:rPr>
        <w:t>1.</w:t>
      </w:r>
      <w:r>
        <w:rPr>
          <w:rFonts w:hint="eastAsia" w:ascii="宋体" w:hAnsi="宋体" w:eastAsia="宋体" w:cs="宋体"/>
          <w:sz w:val="22"/>
          <w:szCs w:val="22"/>
          <w:highlight w:val="none"/>
          <w:lang w:val="zh-CN" w:eastAsia="zh-CN" w:bidi="zh-CN"/>
        </w:rPr>
        <w:t>时间：</w:t>
      </w:r>
      <w:r>
        <w:rPr>
          <w:rFonts w:hint="eastAsia" w:ascii="宋体" w:hAnsi="宋体" w:eastAsia="宋体" w:cs="宋体"/>
          <w:i/>
          <w:iCs/>
          <w:sz w:val="22"/>
          <w:szCs w:val="22"/>
          <w:highlight w:val="none"/>
          <w:u w:val="single"/>
          <w:lang w:val="zh-CN" w:eastAsia="zh-CN" w:bidi="zh-CN"/>
        </w:rPr>
        <w:t>202</w:t>
      </w:r>
      <w:r>
        <w:rPr>
          <w:rFonts w:hint="eastAsia" w:ascii="宋体" w:hAnsi="宋体" w:eastAsia="宋体" w:cs="宋体"/>
          <w:i/>
          <w:iCs/>
          <w:sz w:val="22"/>
          <w:szCs w:val="22"/>
          <w:highlight w:val="none"/>
          <w:u w:val="single"/>
          <w:lang w:val="en-US" w:eastAsia="zh-CN" w:bidi="zh-CN"/>
        </w:rPr>
        <w:t>4</w:t>
      </w:r>
      <w:r>
        <w:rPr>
          <w:rFonts w:hint="eastAsia" w:ascii="宋体" w:hAnsi="宋体" w:eastAsia="宋体" w:cs="宋体"/>
          <w:i/>
          <w:iCs/>
          <w:sz w:val="22"/>
          <w:szCs w:val="22"/>
          <w:highlight w:val="none"/>
          <w:u w:val="single"/>
          <w:lang w:val="zh-CN" w:eastAsia="zh-CN" w:bidi="zh-CN"/>
        </w:rPr>
        <w:t>年</w:t>
      </w:r>
      <w:r>
        <w:rPr>
          <w:rFonts w:hint="eastAsia" w:ascii="宋体" w:hAnsi="宋体" w:eastAsia="宋体" w:cs="宋体"/>
          <w:i/>
          <w:iCs/>
          <w:sz w:val="22"/>
          <w:szCs w:val="22"/>
          <w:highlight w:val="none"/>
          <w:u w:val="single"/>
          <w:lang w:val="en-US" w:eastAsia="zh-CN" w:bidi="zh-CN"/>
        </w:rPr>
        <w:t>08</w:t>
      </w:r>
      <w:r>
        <w:rPr>
          <w:rFonts w:hint="eastAsia" w:ascii="宋体" w:hAnsi="宋体" w:eastAsia="宋体" w:cs="宋体"/>
          <w:i/>
          <w:iCs/>
          <w:sz w:val="22"/>
          <w:szCs w:val="22"/>
          <w:highlight w:val="none"/>
          <w:u w:val="single"/>
          <w:lang w:val="zh-CN" w:eastAsia="zh-CN" w:bidi="zh-CN"/>
        </w:rPr>
        <w:t>月</w:t>
      </w:r>
      <w:r>
        <w:rPr>
          <w:rFonts w:hint="eastAsia" w:ascii="宋体" w:hAnsi="宋体" w:eastAsia="宋体" w:cs="宋体"/>
          <w:i/>
          <w:iCs/>
          <w:sz w:val="22"/>
          <w:szCs w:val="22"/>
          <w:highlight w:val="none"/>
          <w:u w:val="single"/>
          <w:lang w:val="en-US" w:eastAsia="zh-CN" w:bidi="zh-CN"/>
        </w:rPr>
        <w:t>23</w:t>
      </w:r>
      <w:r>
        <w:rPr>
          <w:rFonts w:hint="eastAsia" w:ascii="宋体" w:hAnsi="宋体" w:eastAsia="宋体" w:cs="宋体"/>
          <w:i/>
          <w:iCs/>
          <w:sz w:val="22"/>
          <w:szCs w:val="22"/>
          <w:highlight w:val="none"/>
          <w:u w:val="single"/>
          <w:lang w:val="zh-CN" w:eastAsia="zh-CN" w:bidi="zh-CN"/>
        </w:rPr>
        <w:t>日</w:t>
      </w:r>
      <w:r>
        <w:rPr>
          <w:rFonts w:hint="eastAsia" w:ascii="宋体" w:hAnsi="宋体" w:eastAsia="宋体" w:cs="宋体"/>
          <w:i/>
          <w:iCs/>
          <w:sz w:val="22"/>
          <w:szCs w:val="22"/>
          <w:highlight w:val="none"/>
          <w:u w:val="single"/>
          <w:lang w:val="en-US" w:eastAsia="zh-CN" w:bidi="zh-CN"/>
        </w:rPr>
        <w:t>上</w:t>
      </w:r>
      <w:r>
        <w:rPr>
          <w:rFonts w:hint="eastAsia" w:ascii="宋体" w:hAnsi="宋体" w:eastAsia="宋体" w:cs="宋体"/>
          <w:i/>
          <w:iCs/>
          <w:sz w:val="22"/>
          <w:szCs w:val="22"/>
          <w:highlight w:val="none"/>
          <w:u w:val="single"/>
          <w:lang w:val="zh-CN" w:eastAsia="zh-CN" w:bidi="zh-CN"/>
        </w:rPr>
        <w:t>午</w:t>
      </w:r>
      <w:r>
        <w:rPr>
          <w:rFonts w:hint="eastAsia" w:ascii="宋体" w:hAnsi="宋体" w:eastAsia="宋体" w:cs="宋体"/>
          <w:i/>
          <w:iCs/>
          <w:sz w:val="22"/>
          <w:szCs w:val="22"/>
          <w:highlight w:val="none"/>
          <w:u w:val="single"/>
          <w:lang w:val="en-US" w:eastAsia="zh-CN" w:bidi="zh-CN"/>
        </w:rPr>
        <w:t>09：00分</w:t>
      </w:r>
      <w:r>
        <w:rPr>
          <w:rFonts w:hint="eastAsia" w:ascii="宋体" w:hAnsi="宋体" w:eastAsia="宋体" w:cs="宋体"/>
          <w:sz w:val="22"/>
          <w:szCs w:val="22"/>
          <w:highlight w:val="none"/>
          <w:lang w:val="zh-CN" w:eastAsia="zh-CN" w:bidi="zh-CN"/>
        </w:rPr>
        <w:t>（北京时间）。</w:t>
      </w:r>
    </w:p>
    <w:p w14:paraId="19D0FB7A">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zh-CN" w:eastAsia="zh-CN" w:bidi="zh-CN"/>
        </w:rPr>
      </w:pPr>
      <w:r>
        <w:rPr>
          <w:rFonts w:hint="eastAsia" w:ascii="宋体" w:hAnsi="宋体" w:eastAsia="宋体" w:cs="宋体"/>
          <w:sz w:val="22"/>
          <w:szCs w:val="22"/>
          <w:highlight w:val="none"/>
          <w:lang w:val="en-US" w:eastAsia="zh-CN" w:bidi="zh-CN"/>
        </w:rPr>
        <w:t>2.</w:t>
      </w:r>
      <w:r>
        <w:rPr>
          <w:rFonts w:hint="eastAsia" w:ascii="宋体" w:hAnsi="宋体" w:eastAsia="宋体" w:cs="宋体"/>
          <w:sz w:val="22"/>
          <w:szCs w:val="22"/>
          <w:highlight w:val="none"/>
          <w:lang w:val="zh-CN" w:eastAsia="zh-CN" w:bidi="zh-CN"/>
        </w:rPr>
        <w:t>地点：</w:t>
      </w:r>
      <w:r>
        <w:rPr>
          <w:rFonts w:hint="eastAsia" w:ascii="宋体" w:hAnsi="宋体" w:eastAsia="宋体" w:cs="宋体"/>
          <w:sz w:val="22"/>
          <w:szCs w:val="22"/>
          <w:highlight w:val="none"/>
          <w:lang w:val="en-US" w:eastAsia="zh-CN" w:bidi="zh-CN"/>
        </w:rPr>
        <w:t>同响应文件递交的地点</w:t>
      </w:r>
      <w:r>
        <w:rPr>
          <w:rFonts w:hint="eastAsia" w:ascii="宋体" w:hAnsi="宋体" w:eastAsia="宋体" w:cs="宋体"/>
          <w:sz w:val="22"/>
          <w:szCs w:val="22"/>
          <w:highlight w:val="none"/>
          <w:lang w:val="zh-CN" w:eastAsia="zh-CN" w:bidi="zh-CN"/>
        </w:rPr>
        <w:t>。</w:t>
      </w:r>
    </w:p>
    <w:p w14:paraId="22C0B7BB">
      <w:pPr>
        <w:keepNext w:val="0"/>
        <w:keepLines w:val="0"/>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40" w:name="_Toc13108"/>
      <w:bookmarkStart w:id="41" w:name="_Toc12725"/>
      <w:r>
        <w:rPr>
          <w:rFonts w:hint="eastAsia" w:ascii="黑体" w:hAnsi="黑体" w:eastAsia="黑体" w:cs="黑体"/>
          <w:snapToGrid/>
          <w:color w:val="auto"/>
          <w:kern w:val="0"/>
          <w:sz w:val="28"/>
          <w:szCs w:val="28"/>
          <w:highlight w:val="none"/>
          <w:lang w:val="en-US" w:eastAsia="zh-CN" w:bidi="ar-SA"/>
        </w:rPr>
        <w:t>六、公告期限</w:t>
      </w:r>
      <w:bookmarkEnd w:id="36"/>
      <w:bookmarkEnd w:id="37"/>
      <w:bookmarkEnd w:id="38"/>
      <w:bookmarkEnd w:id="39"/>
      <w:bookmarkEnd w:id="40"/>
      <w:bookmarkEnd w:id="41"/>
    </w:p>
    <w:p w14:paraId="24BAF29C">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zh-CN" w:eastAsia="zh-CN" w:bidi="zh-CN"/>
        </w:rPr>
        <w:t>自本公告发</w:t>
      </w:r>
      <w:r>
        <w:rPr>
          <w:rFonts w:hint="eastAsia" w:ascii="宋体" w:hAnsi="宋体" w:eastAsia="宋体" w:cs="宋体"/>
          <w:sz w:val="22"/>
          <w:szCs w:val="22"/>
          <w:highlight w:val="none"/>
          <w:lang w:val="en-US" w:eastAsia="zh-CN" w:bidi="zh-CN"/>
        </w:rPr>
        <w:t>出</w:t>
      </w:r>
      <w:r>
        <w:rPr>
          <w:rFonts w:hint="eastAsia" w:ascii="宋体" w:hAnsi="宋体" w:eastAsia="宋体" w:cs="宋体"/>
          <w:sz w:val="22"/>
          <w:szCs w:val="22"/>
          <w:highlight w:val="none"/>
          <w:lang w:val="zh-CN" w:eastAsia="zh-CN" w:bidi="zh-CN"/>
        </w:rPr>
        <w:t>之日起</w:t>
      </w:r>
      <w:r>
        <w:rPr>
          <w:rFonts w:hint="eastAsia" w:ascii="宋体" w:hAnsi="宋体" w:eastAsia="宋体" w:cs="宋体"/>
          <w:sz w:val="22"/>
          <w:szCs w:val="22"/>
          <w:highlight w:val="none"/>
          <w:lang w:val="en-US" w:eastAsia="zh-CN" w:bidi="zh-CN"/>
        </w:rPr>
        <w:t>5</w:t>
      </w:r>
      <w:r>
        <w:rPr>
          <w:rFonts w:hint="eastAsia" w:ascii="宋体" w:hAnsi="宋体" w:eastAsia="宋体" w:cs="宋体"/>
          <w:sz w:val="22"/>
          <w:szCs w:val="22"/>
          <w:highlight w:val="none"/>
          <w:lang w:val="zh-CN" w:eastAsia="zh-CN" w:bidi="zh-CN"/>
        </w:rPr>
        <w:t>个工作日。</w:t>
      </w:r>
    </w:p>
    <w:p w14:paraId="4E51B75B">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42" w:name="_Toc10048"/>
      <w:bookmarkStart w:id="43" w:name="_Toc35393626"/>
      <w:bookmarkStart w:id="44" w:name="_Toc35393795"/>
      <w:bookmarkStart w:id="45" w:name="_Toc17276"/>
      <w:r>
        <w:rPr>
          <w:rFonts w:hint="eastAsia" w:ascii="黑体" w:hAnsi="黑体" w:eastAsia="黑体" w:cs="黑体"/>
          <w:snapToGrid/>
          <w:color w:val="auto"/>
          <w:kern w:val="0"/>
          <w:sz w:val="28"/>
          <w:szCs w:val="28"/>
          <w:highlight w:val="none"/>
          <w:lang w:val="en-US" w:eastAsia="zh-CN" w:bidi="ar-SA"/>
        </w:rPr>
        <w:t>七、其他补充事宜</w:t>
      </w:r>
      <w:bookmarkEnd w:id="42"/>
      <w:bookmarkEnd w:id="43"/>
      <w:bookmarkEnd w:id="44"/>
      <w:bookmarkEnd w:id="45"/>
    </w:p>
    <w:p w14:paraId="6D38BB18">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1.发布公告的媒介：本次竞争性磋商公告在《云南省政府采购网》http://www.yngp.com/上发布。</w:t>
      </w:r>
    </w:p>
    <w:p w14:paraId="200AA911">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2.本项目需要落实的政府采购政策：（1）扶持中小企业政策：按照“根据《关于印发《政府采购促进中小企业发展管理办法》的通知》（财库〔2020〕46 号）和《关于进一步加大政府采购支持中小企业力度的通知》（财库〔2022〕19 号）的规定”执行，具体详见招标文件。（2）支持监狱企业政策：按照根据财政部《司法部关于政府采购支持监狱企业发展有关问题》的通知（财库〔2014〕68号）执行。（3）支持残疾人福利性单位政策：根据《三部门联合发布关于促进残疾人就业政府采购政策的通知》（财库〔2017〕141号）执行。</w:t>
      </w:r>
    </w:p>
    <w:p w14:paraId="082477EA">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bookmarkStart w:id="46" w:name="_Toc9656"/>
      <w:bookmarkStart w:id="47" w:name="_Toc28359085"/>
      <w:bookmarkStart w:id="48" w:name="_Toc35393627"/>
      <w:bookmarkStart w:id="49" w:name="_Toc28359008"/>
      <w:bookmarkStart w:id="50" w:name="_Toc35393796"/>
      <w:r>
        <w:rPr>
          <w:rFonts w:hint="eastAsia" w:ascii="宋体" w:hAnsi="宋体" w:eastAsia="宋体" w:cs="宋体"/>
          <w:snapToGrid/>
          <w:color w:val="auto"/>
          <w:kern w:val="2"/>
          <w:sz w:val="22"/>
          <w:szCs w:val="22"/>
          <w:highlight w:val="none"/>
          <w:lang w:val="en-US" w:eastAsia="zh-CN" w:bidi="ar-SA"/>
        </w:rPr>
        <w:t>注：</w:t>
      </w:r>
      <w:r>
        <w:rPr>
          <w:rFonts w:hint="eastAsia" w:ascii="宋体" w:hAnsi="宋体" w:eastAsia="宋体" w:cs="宋体"/>
          <w:sz w:val="22"/>
          <w:szCs w:val="22"/>
          <w:highlight w:val="none"/>
          <w:lang w:val="en-US" w:eastAsia="zh-CN" w:bidi="zh-CN"/>
        </w:rPr>
        <w:t>本项目对应的中小企业划分标准所属行业为：建筑业。</w:t>
      </w:r>
    </w:p>
    <w:p w14:paraId="3CCD46A8">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zh-CN" w:eastAsia="zh-CN" w:bidi="zh-CN"/>
        </w:rPr>
      </w:pPr>
      <w:r>
        <w:rPr>
          <w:rFonts w:hint="eastAsia" w:ascii="宋体" w:hAnsi="宋体" w:eastAsia="宋体" w:cs="宋体"/>
          <w:sz w:val="22"/>
          <w:szCs w:val="22"/>
          <w:highlight w:val="none"/>
          <w:lang w:val="en-US" w:eastAsia="zh-CN" w:bidi="zh-CN"/>
        </w:rPr>
        <w:t>3.</w:t>
      </w:r>
      <w:r>
        <w:rPr>
          <w:rFonts w:hint="eastAsia" w:ascii="宋体" w:hAnsi="宋体" w:eastAsia="宋体" w:cs="宋体"/>
          <w:sz w:val="22"/>
          <w:szCs w:val="22"/>
          <w:highlight w:val="none"/>
          <w:lang w:val="zh-CN" w:eastAsia="zh-CN" w:bidi="zh-CN"/>
        </w:rPr>
        <w:t>相关费用及保证金</w:t>
      </w:r>
      <w:bookmarkEnd w:id="46"/>
    </w:p>
    <w:p w14:paraId="4CAC837F">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zh-CN" w:eastAsia="zh-CN" w:bidi="zh-CN"/>
        </w:rPr>
      </w:pPr>
      <w:r>
        <w:rPr>
          <w:rFonts w:hint="eastAsia" w:ascii="宋体" w:hAnsi="宋体" w:eastAsia="宋体" w:cs="宋体"/>
          <w:sz w:val="22"/>
          <w:szCs w:val="22"/>
          <w:highlight w:val="none"/>
          <w:lang w:val="en-US" w:eastAsia="zh-CN" w:bidi="zh-CN"/>
        </w:rPr>
        <w:t xml:space="preserve">3.1 </w:t>
      </w:r>
      <w:r>
        <w:rPr>
          <w:rFonts w:hint="eastAsia" w:ascii="宋体" w:hAnsi="宋体" w:eastAsia="宋体" w:cs="宋体"/>
          <w:sz w:val="22"/>
          <w:szCs w:val="22"/>
          <w:highlight w:val="none"/>
          <w:lang w:val="zh-CN" w:eastAsia="zh-CN" w:bidi="zh-CN"/>
        </w:rPr>
        <w:t>相关费用：</w:t>
      </w:r>
      <w:r>
        <w:rPr>
          <w:rFonts w:hint="eastAsia" w:ascii="宋体" w:hAnsi="宋体" w:eastAsia="宋体" w:cs="宋体"/>
          <w:sz w:val="22"/>
          <w:szCs w:val="22"/>
          <w:highlight w:val="none"/>
          <w:lang w:val="en-US" w:eastAsia="zh-CN" w:bidi="zh-CN"/>
        </w:rPr>
        <w:t>成交服务费</w:t>
      </w:r>
      <w:r>
        <w:rPr>
          <w:rFonts w:hint="eastAsia" w:ascii="宋体" w:hAnsi="宋体" w:eastAsia="宋体" w:cs="宋体"/>
          <w:sz w:val="22"/>
          <w:szCs w:val="22"/>
          <w:highlight w:val="none"/>
          <w:lang w:val="zh-CN" w:eastAsia="zh-CN" w:bidi="zh-CN"/>
        </w:rPr>
        <w:t>参照《云南省建设工程招标代理服务收费指导意见（试行）》（云建招协〔2023〕51号）规定的招标代理服务收费标准执行收取，由中标人在领取中标通知书之前一次性向</w:t>
      </w:r>
      <w:r>
        <w:rPr>
          <w:rFonts w:hint="eastAsia" w:ascii="宋体" w:hAnsi="宋体" w:eastAsia="宋体" w:cs="宋体"/>
          <w:sz w:val="22"/>
          <w:szCs w:val="22"/>
          <w:highlight w:val="none"/>
          <w:lang w:val="en-US" w:eastAsia="zh-CN" w:bidi="zh-CN"/>
        </w:rPr>
        <w:t>招标</w:t>
      </w:r>
      <w:r>
        <w:rPr>
          <w:rFonts w:hint="eastAsia" w:ascii="宋体" w:hAnsi="宋体" w:eastAsia="宋体" w:cs="宋体"/>
          <w:sz w:val="22"/>
          <w:szCs w:val="22"/>
          <w:highlight w:val="none"/>
          <w:lang w:val="zh-CN" w:eastAsia="zh-CN" w:bidi="zh-CN"/>
        </w:rPr>
        <w:t>代理机构支付。</w:t>
      </w:r>
    </w:p>
    <w:p w14:paraId="6D592CD6">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3.2 磋商</w:t>
      </w:r>
      <w:r>
        <w:rPr>
          <w:rFonts w:hint="eastAsia" w:ascii="宋体" w:hAnsi="宋体" w:eastAsia="宋体" w:cs="宋体"/>
          <w:sz w:val="22"/>
          <w:szCs w:val="22"/>
          <w:highlight w:val="none"/>
          <w:lang w:val="zh-CN" w:eastAsia="zh-CN" w:bidi="zh-CN"/>
        </w:rPr>
        <w:t>保证金：</w:t>
      </w:r>
      <w:r>
        <w:rPr>
          <w:rFonts w:hint="eastAsia" w:ascii="宋体" w:hAnsi="宋体" w:eastAsia="宋体" w:cs="宋体"/>
          <w:sz w:val="22"/>
          <w:szCs w:val="22"/>
          <w:highlight w:val="none"/>
          <w:lang w:val="en-US" w:eastAsia="zh-CN" w:bidi="zh-CN"/>
        </w:rPr>
        <w:t>本项目不需要递交保证金。</w:t>
      </w:r>
    </w:p>
    <w:p w14:paraId="71CFB756">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bookmarkStart w:id="51" w:name="_Toc31625"/>
      <w:r>
        <w:rPr>
          <w:rFonts w:hint="eastAsia" w:ascii="宋体" w:hAnsi="宋体" w:eastAsia="宋体" w:cs="宋体"/>
          <w:sz w:val="22"/>
          <w:szCs w:val="22"/>
          <w:highlight w:val="none"/>
          <w:lang w:val="en-US" w:eastAsia="zh-CN" w:bidi="zh-CN"/>
        </w:rPr>
        <w:t>4.资格审查方式：资格后审</w:t>
      </w:r>
    </w:p>
    <w:p w14:paraId="204C00A1">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52" w:name="_Toc16790"/>
      <w:r>
        <w:rPr>
          <w:rFonts w:hint="eastAsia" w:ascii="黑体" w:hAnsi="黑体" w:eastAsia="黑体" w:cs="黑体"/>
          <w:snapToGrid/>
          <w:color w:val="auto"/>
          <w:kern w:val="0"/>
          <w:sz w:val="28"/>
          <w:szCs w:val="28"/>
          <w:highlight w:val="none"/>
          <w:lang w:val="en-US" w:eastAsia="zh-CN" w:bidi="ar-SA"/>
        </w:rPr>
        <w:t>八、凡对本次采购提出询问，请按以下方式联系</w:t>
      </w:r>
      <w:bookmarkEnd w:id="47"/>
      <w:bookmarkEnd w:id="48"/>
      <w:bookmarkEnd w:id="49"/>
      <w:bookmarkEnd w:id="50"/>
      <w:bookmarkEnd w:id="51"/>
      <w:bookmarkEnd w:id="52"/>
      <w:bookmarkStart w:id="53" w:name="_Toc28359010"/>
      <w:bookmarkStart w:id="54" w:name="_Toc28359087"/>
    </w:p>
    <w:bookmarkEnd w:id="53"/>
    <w:bookmarkEnd w:id="54"/>
    <w:p w14:paraId="44E0A724">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1.采购人信息</w:t>
      </w:r>
    </w:p>
    <w:p w14:paraId="52709EF6">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bookmarkStart w:id="55" w:name="_Toc28359009"/>
      <w:bookmarkStart w:id="56" w:name="_Toc28359086"/>
      <w:r>
        <w:rPr>
          <w:rFonts w:hint="eastAsia" w:ascii="宋体" w:hAnsi="宋体" w:eastAsia="宋体" w:cs="宋体"/>
          <w:sz w:val="22"/>
          <w:szCs w:val="22"/>
          <w:highlight w:val="none"/>
          <w:lang w:val="zh-CN" w:eastAsia="zh-CN" w:bidi="zh-CN"/>
        </w:rPr>
        <w:t>名</w:t>
      </w:r>
      <w:r>
        <w:rPr>
          <w:rFonts w:hint="eastAsia" w:ascii="宋体" w:hAnsi="宋体" w:eastAsia="宋体" w:cs="宋体"/>
          <w:sz w:val="22"/>
          <w:szCs w:val="22"/>
          <w:highlight w:val="none"/>
          <w:lang w:val="en-US" w:eastAsia="zh-CN" w:bidi="zh-CN"/>
        </w:rPr>
        <w:t xml:space="preserve">    </w:t>
      </w:r>
      <w:r>
        <w:rPr>
          <w:rFonts w:hint="eastAsia" w:ascii="宋体" w:hAnsi="宋体" w:eastAsia="宋体" w:cs="宋体"/>
          <w:sz w:val="22"/>
          <w:szCs w:val="22"/>
          <w:highlight w:val="none"/>
          <w:lang w:val="zh-CN" w:eastAsia="zh-CN" w:bidi="zh-CN"/>
        </w:rPr>
        <w:t>称：</w:t>
      </w:r>
      <w:r>
        <w:rPr>
          <w:rFonts w:hint="eastAsia" w:ascii="宋体" w:hAnsi="宋体" w:eastAsia="宋体" w:cs="宋体"/>
          <w:sz w:val="22"/>
          <w:szCs w:val="22"/>
          <w:highlight w:val="none"/>
          <w:lang w:val="en-US" w:eastAsia="zh-CN" w:bidi="zh-CN"/>
        </w:rPr>
        <w:t>耿马傣族佤族自治县水务局</w:t>
      </w:r>
    </w:p>
    <w:p w14:paraId="116EE3F6">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zh-CN" w:eastAsia="zh-CN" w:bidi="zh-CN"/>
        </w:rPr>
        <w:t>地    址：耿马傣族佤族自治县公园路延伸段</w:t>
      </w:r>
    </w:p>
    <w:p w14:paraId="73914EF8">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default"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联 系 人：李云柱</w:t>
      </w:r>
    </w:p>
    <w:p w14:paraId="72CA2518">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zh-CN" w:eastAsia="zh-CN" w:bidi="zh-CN"/>
        </w:rPr>
        <w:t>联系方式：</w:t>
      </w:r>
      <w:r>
        <w:rPr>
          <w:rFonts w:hint="eastAsia" w:ascii="宋体" w:hAnsi="宋体" w:eastAsia="宋体" w:cs="宋体"/>
          <w:sz w:val="22"/>
          <w:szCs w:val="22"/>
          <w:highlight w:val="none"/>
          <w:lang w:val="en-US" w:eastAsia="zh-CN" w:bidi="zh-CN"/>
        </w:rPr>
        <w:t>13988349161</w:t>
      </w:r>
    </w:p>
    <w:p w14:paraId="4FF7B2BA">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p>
    <w:p w14:paraId="6D2E827C">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2.采购代理机构信息</w:t>
      </w:r>
      <w:bookmarkEnd w:id="55"/>
      <w:bookmarkEnd w:id="56"/>
    </w:p>
    <w:p w14:paraId="05531FA0">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名 称：云南方圆工程咨询有限公司</w:t>
      </w:r>
    </w:p>
    <w:p w14:paraId="13F2DC42">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地　址：云南省昆明市白龙路149号云南省市场监督管理干部学校6楼</w:t>
      </w:r>
    </w:p>
    <w:p w14:paraId="7D453E24">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联系人：陈睿</w:t>
      </w:r>
    </w:p>
    <w:p w14:paraId="1C589723">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联系方式：13116279802</w:t>
      </w:r>
    </w:p>
    <w:p w14:paraId="00999C67">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p>
    <w:p w14:paraId="6B837DB9">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3.项目联系方式</w:t>
      </w:r>
    </w:p>
    <w:p w14:paraId="3B0AF453">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项目联系人：李云柱</w:t>
      </w:r>
    </w:p>
    <w:p w14:paraId="2FDEBE67">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sectPr>
          <w:footerReference r:id="rId5"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eastAsia="宋体" w:cs="宋体"/>
          <w:sz w:val="22"/>
          <w:szCs w:val="22"/>
          <w:highlight w:val="none"/>
          <w:lang w:val="en-US" w:eastAsia="zh-CN" w:bidi="zh-CN"/>
        </w:rPr>
        <w:t>电　话：13988349161</w:t>
      </w:r>
    </w:p>
    <w:p w14:paraId="18374CEF">
      <w:pPr>
        <w:keepNext/>
        <w:keepLines/>
        <w:widowControl w:val="0"/>
        <w:spacing w:before="340" w:after="330" w:line="360" w:lineRule="auto"/>
        <w:jc w:val="center"/>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第二章  磋商申请人须知</w:t>
      </w:r>
      <w:bookmarkEnd w:id="6"/>
      <w:bookmarkEnd w:id="7"/>
      <w:bookmarkEnd w:id="8"/>
      <w:bookmarkEnd w:id="9"/>
      <w:bookmarkEnd w:id="10"/>
    </w:p>
    <w:p w14:paraId="2B28E42E">
      <w:pPr>
        <w:keepNext/>
        <w:keepLines/>
        <w:widowControl w:val="0"/>
        <w:spacing w:before="260" w:after="0" w:line="360" w:lineRule="auto"/>
        <w:jc w:val="both"/>
        <w:outlineLvl w:val="1"/>
        <w:rPr>
          <w:rFonts w:hint="eastAsia" w:ascii="黑体" w:hAnsi="黑体" w:eastAsia="黑体" w:cs="黑体"/>
          <w:snapToGrid/>
          <w:color w:val="auto"/>
          <w:kern w:val="0"/>
          <w:sz w:val="28"/>
          <w:szCs w:val="28"/>
          <w:highlight w:val="none"/>
          <w:lang w:val="en-US" w:eastAsia="zh-CN" w:bidi="ar-SA"/>
        </w:rPr>
      </w:pPr>
      <w:bookmarkStart w:id="57" w:name="_Toc3611"/>
      <w:bookmarkStart w:id="58" w:name="_Toc19271"/>
      <w:bookmarkStart w:id="59" w:name="_Toc75729692"/>
      <w:bookmarkStart w:id="60" w:name="_Toc134284765"/>
      <w:bookmarkStart w:id="61" w:name="_Toc134284734"/>
      <w:bookmarkStart w:id="62" w:name="_Toc28379"/>
      <w:bookmarkStart w:id="63" w:name="_Hlk116468033"/>
      <w:r>
        <w:rPr>
          <w:rFonts w:hint="eastAsia" w:ascii="黑体" w:hAnsi="黑体" w:eastAsia="黑体" w:cs="黑体"/>
          <w:snapToGrid/>
          <w:color w:val="auto"/>
          <w:kern w:val="0"/>
          <w:sz w:val="28"/>
          <w:szCs w:val="28"/>
          <w:highlight w:val="none"/>
          <w:lang w:val="en-US" w:eastAsia="zh-CN" w:bidi="ar-SA"/>
        </w:rPr>
        <w:t>磋商申请人须知前附表</w:t>
      </w:r>
      <w:bookmarkEnd w:id="57"/>
      <w:bookmarkEnd w:id="58"/>
      <w:bookmarkEnd w:id="59"/>
      <w:bookmarkEnd w:id="60"/>
      <w:bookmarkEnd w:id="61"/>
      <w:bookmarkEnd w:id="62"/>
    </w:p>
    <w:bookmarkEnd w:id="63"/>
    <w:tbl>
      <w:tblPr>
        <w:tblStyle w:val="7"/>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2052"/>
        <w:gridCol w:w="6491"/>
      </w:tblGrid>
      <w:tr w14:paraId="45723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7944F7E5">
            <w:pPr>
              <w:widowControl w:val="0"/>
              <w:kinsoku/>
              <w:autoSpaceDE/>
              <w:autoSpaceDN/>
              <w:adjustRightInd/>
              <w:snapToGrid/>
              <w:spacing w:line="24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条款号</w:t>
            </w:r>
          </w:p>
        </w:tc>
        <w:tc>
          <w:tcPr>
            <w:tcW w:w="2052" w:type="dxa"/>
            <w:vAlign w:val="center"/>
          </w:tcPr>
          <w:p w14:paraId="4DCF1E7D">
            <w:pPr>
              <w:widowControl w:val="0"/>
              <w:kinsoku/>
              <w:autoSpaceDE/>
              <w:autoSpaceDN/>
              <w:adjustRightInd/>
              <w:snapToGrid/>
              <w:spacing w:line="24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条款内容</w:t>
            </w:r>
          </w:p>
        </w:tc>
        <w:tc>
          <w:tcPr>
            <w:tcW w:w="6491" w:type="dxa"/>
            <w:vAlign w:val="center"/>
          </w:tcPr>
          <w:p w14:paraId="1CC2CB44">
            <w:pPr>
              <w:widowControl w:val="0"/>
              <w:kinsoku/>
              <w:autoSpaceDE/>
              <w:autoSpaceDN/>
              <w:adjustRightInd/>
              <w:snapToGrid/>
              <w:spacing w:line="24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编列内容</w:t>
            </w:r>
          </w:p>
        </w:tc>
      </w:tr>
      <w:tr w14:paraId="3C39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2622B24F">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1.1.1</w:t>
            </w:r>
          </w:p>
        </w:tc>
        <w:tc>
          <w:tcPr>
            <w:tcW w:w="2052" w:type="dxa"/>
            <w:vAlign w:val="center"/>
          </w:tcPr>
          <w:p w14:paraId="22C6B00D">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标段名称</w:t>
            </w:r>
          </w:p>
        </w:tc>
        <w:tc>
          <w:tcPr>
            <w:tcW w:w="6491" w:type="dxa"/>
            <w:vAlign w:val="center"/>
          </w:tcPr>
          <w:p w14:paraId="1E179E79">
            <w:pPr>
              <w:widowControl w:val="0"/>
              <w:kinsoku/>
              <w:autoSpaceDE/>
              <w:autoSpaceDN/>
              <w:adjustRightInd/>
              <w:snapToGrid/>
              <w:spacing w:line="24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耿马县2024年小型水库维修养护工程第三标段</w:t>
            </w:r>
          </w:p>
        </w:tc>
      </w:tr>
      <w:tr w14:paraId="6BB61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3CDB65D7">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1.1.2</w:t>
            </w:r>
          </w:p>
        </w:tc>
        <w:tc>
          <w:tcPr>
            <w:tcW w:w="2052" w:type="dxa"/>
            <w:vAlign w:val="center"/>
          </w:tcPr>
          <w:p w14:paraId="6BF24404">
            <w:pPr>
              <w:widowControl w:val="0"/>
              <w:kinsoku/>
              <w:autoSpaceDE/>
              <w:autoSpaceDN/>
              <w:adjustRightInd/>
              <w:snapToGrid/>
              <w:spacing w:line="240" w:lineRule="auto"/>
              <w:jc w:val="center"/>
              <w:textAlignment w:val="auto"/>
              <w:rPr>
                <w:rFonts w:hint="eastAsia" w:ascii="宋体" w:hAnsi="宋体" w:eastAsia="宋体" w:cs="宋体"/>
                <w:b w:val="0"/>
                <w:bCs w:val="0"/>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标段</w:t>
            </w:r>
            <w:r>
              <w:rPr>
                <w:rFonts w:hint="eastAsia" w:ascii="宋体" w:hAnsi="宋体" w:eastAsia="宋体" w:cs="宋体"/>
                <w:b w:val="0"/>
                <w:bCs w:val="0"/>
                <w:snapToGrid/>
                <w:color w:val="auto"/>
                <w:kern w:val="2"/>
                <w:sz w:val="22"/>
                <w:szCs w:val="22"/>
                <w:highlight w:val="none"/>
                <w:lang w:val="en-US" w:eastAsia="zh-CN" w:bidi="ar-SA"/>
              </w:rPr>
              <w:t>编号</w:t>
            </w:r>
          </w:p>
        </w:tc>
        <w:tc>
          <w:tcPr>
            <w:tcW w:w="6491" w:type="dxa"/>
            <w:vAlign w:val="center"/>
          </w:tcPr>
          <w:p w14:paraId="0FAC49EC">
            <w:pPr>
              <w:widowControl w:val="0"/>
              <w:kinsoku/>
              <w:autoSpaceDE/>
              <w:autoSpaceDN/>
              <w:adjustRightInd/>
              <w:snapToGrid/>
              <w:spacing w:after="0" w:line="240" w:lineRule="auto"/>
              <w:jc w:val="left"/>
              <w:textAlignment w:val="auto"/>
              <w:rPr>
                <w:rFonts w:hint="default" w:ascii="宋体" w:hAnsi="宋体" w:eastAsia="宋体" w:cs="宋体"/>
                <w:b w:val="0"/>
                <w:bCs w:val="0"/>
                <w:snapToGrid/>
                <w:color w:val="auto"/>
                <w:kern w:val="2"/>
                <w:sz w:val="22"/>
                <w:szCs w:val="22"/>
                <w:highlight w:val="none"/>
                <w:lang w:val="en-US" w:eastAsia="zh-CN" w:bidi="ar-SA"/>
              </w:rPr>
            </w:pPr>
            <w:r>
              <w:rPr>
                <w:rFonts w:hint="eastAsia" w:ascii="宋体" w:hAnsi="宋体" w:eastAsia="宋体" w:cs="宋体"/>
                <w:b w:val="0"/>
                <w:bCs w:val="0"/>
                <w:snapToGrid/>
                <w:color w:val="auto"/>
                <w:kern w:val="2"/>
                <w:sz w:val="22"/>
                <w:szCs w:val="22"/>
                <w:highlight w:val="none"/>
                <w:lang w:val="en-US" w:eastAsia="zh-CN" w:bidi="ar-SA"/>
              </w:rPr>
              <w:t>YNFY2024-LCSL-003-03</w:t>
            </w:r>
          </w:p>
        </w:tc>
      </w:tr>
      <w:tr w14:paraId="11A49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6EF961E5">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1.1.3</w:t>
            </w:r>
          </w:p>
        </w:tc>
        <w:tc>
          <w:tcPr>
            <w:tcW w:w="2052" w:type="dxa"/>
            <w:vAlign w:val="center"/>
          </w:tcPr>
          <w:p w14:paraId="44A06921">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采购人</w:t>
            </w:r>
          </w:p>
        </w:tc>
        <w:tc>
          <w:tcPr>
            <w:tcW w:w="6491" w:type="dxa"/>
            <w:vAlign w:val="center"/>
          </w:tcPr>
          <w:p w14:paraId="092D701A">
            <w:pPr>
              <w:widowControl w:val="0"/>
              <w:kinsoku/>
              <w:autoSpaceDE/>
              <w:autoSpaceDN/>
              <w:adjustRightInd/>
              <w:snapToGrid/>
              <w:spacing w:line="360" w:lineRule="auto"/>
              <w:jc w:val="left"/>
              <w:textAlignment w:val="auto"/>
              <w:rPr>
                <w:rFonts w:hint="eastAsia" w:ascii="宋体" w:hAnsi="宋体" w:eastAsia="宋体" w:cs="宋体"/>
                <w:bCs w:val="0"/>
                <w:snapToGrid/>
                <w:color w:val="auto"/>
                <w:spacing w:val="0"/>
                <w:kern w:val="2"/>
                <w:sz w:val="22"/>
                <w:szCs w:val="22"/>
                <w:highlight w:val="none"/>
                <w:lang w:val="en-US" w:eastAsia="zh-CN" w:bidi="ar-SA"/>
              </w:rPr>
            </w:pPr>
            <w:r>
              <w:rPr>
                <w:rFonts w:hint="eastAsia" w:ascii="宋体" w:hAnsi="宋体" w:eastAsia="宋体" w:cs="宋体"/>
                <w:bCs w:val="0"/>
                <w:snapToGrid/>
                <w:color w:val="auto"/>
                <w:spacing w:val="0"/>
                <w:kern w:val="2"/>
                <w:sz w:val="22"/>
                <w:szCs w:val="22"/>
                <w:highlight w:val="none"/>
                <w:lang w:val="en-US" w:eastAsia="zh-CN" w:bidi="ar-SA"/>
              </w:rPr>
              <w:t>名    称：耿马傣族佤族自治县水务局</w:t>
            </w:r>
          </w:p>
          <w:p w14:paraId="0BAD97A0">
            <w:pPr>
              <w:widowControl w:val="0"/>
              <w:kinsoku/>
              <w:autoSpaceDE/>
              <w:autoSpaceDN/>
              <w:adjustRightInd/>
              <w:snapToGrid/>
              <w:spacing w:line="360" w:lineRule="auto"/>
              <w:jc w:val="left"/>
              <w:textAlignment w:val="auto"/>
              <w:rPr>
                <w:rFonts w:hint="eastAsia" w:ascii="宋体" w:hAnsi="宋体" w:eastAsia="宋体" w:cs="宋体"/>
                <w:bCs w:val="0"/>
                <w:snapToGrid/>
                <w:color w:val="auto"/>
                <w:spacing w:val="0"/>
                <w:kern w:val="2"/>
                <w:sz w:val="22"/>
                <w:szCs w:val="22"/>
                <w:highlight w:val="none"/>
                <w:lang w:val="en-US" w:eastAsia="zh-CN" w:bidi="ar-SA"/>
              </w:rPr>
            </w:pPr>
            <w:r>
              <w:rPr>
                <w:rFonts w:hint="eastAsia" w:ascii="宋体" w:hAnsi="宋体" w:eastAsia="宋体" w:cs="宋体"/>
                <w:bCs w:val="0"/>
                <w:snapToGrid/>
                <w:color w:val="auto"/>
                <w:spacing w:val="0"/>
                <w:kern w:val="2"/>
                <w:sz w:val="22"/>
                <w:szCs w:val="22"/>
                <w:highlight w:val="none"/>
                <w:lang w:val="en-US" w:eastAsia="zh-CN" w:bidi="ar-SA"/>
              </w:rPr>
              <w:t>地    址：耿马傣族佤族自治县公园路延伸段</w:t>
            </w:r>
          </w:p>
          <w:p w14:paraId="7879A253">
            <w:pPr>
              <w:widowControl w:val="0"/>
              <w:kinsoku/>
              <w:autoSpaceDE/>
              <w:autoSpaceDN/>
              <w:adjustRightInd/>
              <w:snapToGrid/>
              <w:spacing w:line="360" w:lineRule="auto"/>
              <w:jc w:val="left"/>
              <w:textAlignment w:val="auto"/>
              <w:rPr>
                <w:rFonts w:hint="eastAsia" w:ascii="宋体" w:hAnsi="宋体" w:eastAsia="宋体" w:cs="宋体"/>
                <w:bCs w:val="0"/>
                <w:snapToGrid/>
                <w:color w:val="auto"/>
                <w:spacing w:val="0"/>
                <w:kern w:val="2"/>
                <w:sz w:val="22"/>
                <w:szCs w:val="22"/>
                <w:highlight w:val="none"/>
                <w:lang w:val="en-US" w:eastAsia="zh-CN" w:bidi="ar-SA"/>
              </w:rPr>
            </w:pPr>
            <w:r>
              <w:rPr>
                <w:rFonts w:hint="eastAsia" w:ascii="宋体" w:hAnsi="宋体" w:eastAsia="宋体" w:cs="宋体"/>
                <w:bCs w:val="0"/>
                <w:snapToGrid/>
                <w:color w:val="auto"/>
                <w:spacing w:val="0"/>
                <w:kern w:val="2"/>
                <w:sz w:val="22"/>
                <w:szCs w:val="22"/>
                <w:highlight w:val="none"/>
                <w:lang w:val="en-US" w:eastAsia="zh-CN" w:bidi="ar-SA"/>
              </w:rPr>
              <w:t>联 系 人：李云柱</w:t>
            </w:r>
          </w:p>
          <w:p w14:paraId="74D212FD">
            <w:pPr>
              <w:widowControl w:val="0"/>
              <w:kinsoku/>
              <w:autoSpaceDE/>
              <w:autoSpaceDN/>
              <w:adjustRightInd/>
              <w:snapToGrid/>
              <w:spacing w:line="360" w:lineRule="auto"/>
              <w:jc w:val="left"/>
              <w:textAlignment w:val="auto"/>
              <w:rPr>
                <w:rFonts w:hint="eastAsia" w:ascii="宋体" w:hAnsi="宋体" w:eastAsia="宋体" w:cs="宋体"/>
                <w:bCs w:val="0"/>
                <w:snapToGrid/>
                <w:color w:val="auto"/>
                <w:spacing w:val="0"/>
                <w:kern w:val="2"/>
                <w:sz w:val="22"/>
                <w:szCs w:val="22"/>
                <w:highlight w:val="none"/>
                <w:lang w:val="en-US" w:eastAsia="zh-CN" w:bidi="ar-SA"/>
              </w:rPr>
            </w:pPr>
            <w:r>
              <w:rPr>
                <w:rFonts w:hint="eastAsia" w:ascii="宋体" w:hAnsi="宋体" w:eastAsia="宋体" w:cs="宋体"/>
                <w:bCs w:val="0"/>
                <w:snapToGrid/>
                <w:color w:val="auto"/>
                <w:spacing w:val="0"/>
                <w:kern w:val="2"/>
                <w:sz w:val="22"/>
                <w:szCs w:val="22"/>
                <w:highlight w:val="none"/>
                <w:lang w:val="en-US" w:eastAsia="zh-CN" w:bidi="ar-SA"/>
              </w:rPr>
              <w:t>联系方式：13988349161</w:t>
            </w:r>
          </w:p>
        </w:tc>
      </w:tr>
      <w:tr w14:paraId="3CC37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6DEC94ED">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1.1.4</w:t>
            </w:r>
          </w:p>
        </w:tc>
        <w:tc>
          <w:tcPr>
            <w:tcW w:w="2052" w:type="dxa"/>
            <w:vAlign w:val="center"/>
          </w:tcPr>
          <w:p w14:paraId="738CABDB">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采购代理机构</w:t>
            </w:r>
          </w:p>
        </w:tc>
        <w:tc>
          <w:tcPr>
            <w:tcW w:w="6491" w:type="dxa"/>
            <w:vAlign w:val="center"/>
          </w:tcPr>
          <w:p w14:paraId="0C5A6617">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名 称：云南方圆工程咨询有限公司</w:t>
            </w:r>
          </w:p>
          <w:p w14:paraId="2DE84B80">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地　址：云南省昆明市白龙路149号云南省市场监督管理干部学校6楼</w:t>
            </w:r>
          </w:p>
          <w:p w14:paraId="63A27A91">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联系人：陈睿</w:t>
            </w:r>
          </w:p>
          <w:p w14:paraId="7D50E901">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联系方式：13116279802</w:t>
            </w:r>
          </w:p>
        </w:tc>
      </w:tr>
      <w:tr w14:paraId="516B5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2E0CBF3F">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1.1.5</w:t>
            </w:r>
          </w:p>
        </w:tc>
        <w:tc>
          <w:tcPr>
            <w:tcW w:w="2052" w:type="dxa"/>
            <w:vAlign w:val="center"/>
          </w:tcPr>
          <w:p w14:paraId="7C4D1581">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采购需求</w:t>
            </w:r>
          </w:p>
        </w:tc>
        <w:tc>
          <w:tcPr>
            <w:tcW w:w="6491" w:type="dxa"/>
            <w:vAlign w:val="center"/>
          </w:tcPr>
          <w:p w14:paraId="5F567740">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详见竞争性磋商文件第一章《竞争性磋商公告》“一、项目基本情况”</w:t>
            </w:r>
          </w:p>
        </w:tc>
      </w:tr>
      <w:tr w14:paraId="1F28E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44912A45">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1.1.6</w:t>
            </w:r>
          </w:p>
        </w:tc>
        <w:tc>
          <w:tcPr>
            <w:tcW w:w="2052" w:type="dxa"/>
            <w:vAlign w:val="center"/>
          </w:tcPr>
          <w:p w14:paraId="2A6FD2A3">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▲工期</w:t>
            </w:r>
          </w:p>
        </w:tc>
        <w:tc>
          <w:tcPr>
            <w:tcW w:w="6491" w:type="dxa"/>
            <w:vAlign w:val="center"/>
          </w:tcPr>
          <w:p w14:paraId="3E10AFB3">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详见竞争性磋商文件第一章《竞争性磋商公告》“一、项目基本情况”</w:t>
            </w:r>
          </w:p>
        </w:tc>
      </w:tr>
      <w:tr w14:paraId="650AD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66D3BA01">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1.1.7</w:t>
            </w:r>
          </w:p>
        </w:tc>
        <w:tc>
          <w:tcPr>
            <w:tcW w:w="2052" w:type="dxa"/>
            <w:vAlign w:val="center"/>
          </w:tcPr>
          <w:p w14:paraId="36209209">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建设地点</w:t>
            </w:r>
          </w:p>
        </w:tc>
        <w:tc>
          <w:tcPr>
            <w:tcW w:w="6491" w:type="dxa"/>
            <w:vAlign w:val="center"/>
          </w:tcPr>
          <w:p w14:paraId="2FADC566">
            <w:pPr>
              <w:widowControl w:val="0"/>
              <w:kinsoku/>
              <w:autoSpaceDE/>
              <w:autoSpaceDN/>
              <w:adjustRightInd/>
              <w:snapToGrid/>
              <w:spacing w:line="360" w:lineRule="auto"/>
              <w:jc w:val="both"/>
              <w:textAlignment w:val="auto"/>
              <w:rPr>
                <w:rFonts w:hint="eastAsia" w:ascii="宋体" w:hAnsi="宋体" w:eastAsia="宋体" w:cs="宋体"/>
                <w:bCs w:val="0"/>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详见竞争性磋商文件第一章《竞争性磋商公告》“一、项目基本情况”</w:t>
            </w:r>
          </w:p>
        </w:tc>
      </w:tr>
      <w:tr w14:paraId="0B4F2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6261A35E">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1.1.8</w:t>
            </w:r>
          </w:p>
        </w:tc>
        <w:tc>
          <w:tcPr>
            <w:tcW w:w="2052" w:type="dxa"/>
            <w:vAlign w:val="center"/>
          </w:tcPr>
          <w:p w14:paraId="72470BE3">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▲质量要求</w:t>
            </w:r>
          </w:p>
        </w:tc>
        <w:tc>
          <w:tcPr>
            <w:tcW w:w="6491" w:type="dxa"/>
            <w:vAlign w:val="center"/>
          </w:tcPr>
          <w:p w14:paraId="308DBABC">
            <w:pPr>
              <w:widowControl w:val="0"/>
              <w:kinsoku/>
              <w:autoSpaceDE/>
              <w:autoSpaceDN/>
              <w:adjustRightInd/>
              <w:snapToGrid/>
              <w:spacing w:after="0"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kern w:val="2"/>
                <w:sz w:val="22"/>
                <w:szCs w:val="22"/>
                <w:highlight w:val="none"/>
                <w:lang w:val="en-US" w:eastAsia="zh-CN" w:bidi="ar-SA"/>
              </w:rPr>
              <w:t>按现行的国家及水利行业相关法律、法规、规范及相关技术要求，一次性验收合格，且根据水利行业相关要求实行质量终生责任制。</w:t>
            </w:r>
          </w:p>
        </w:tc>
      </w:tr>
      <w:tr w14:paraId="6D10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5895983F">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1.1.9</w:t>
            </w:r>
          </w:p>
        </w:tc>
        <w:tc>
          <w:tcPr>
            <w:tcW w:w="2052" w:type="dxa"/>
            <w:vAlign w:val="center"/>
          </w:tcPr>
          <w:p w14:paraId="72166319">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资格审查方式</w:t>
            </w:r>
          </w:p>
        </w:tc>
        <w:tc>
          <w:tcPr>
            <w:tcW w:w="6491" w:type="dxa"/>
            <w:vAlign w:val="center"/>
          </w:tcPr>
          <w:p w14:paraId="1239C41B">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资格后审</w:t>
            </w:r>
          </w:p>
        </w:tc>
      </w:tr>
      <w:tr w14:paraId="2CDC0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4984D39E">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1.2.1</w:t>
            </w:r>
          </w:p>
        </w:tc>
        <w:tc>
          <w:tcPr>
            <w:tcW w:w="2052" w:type="dxa"/>
            <w:vAlign w:val="center"/>
          </w:tcPr>
          <w:p w14:paraId="574220B8">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资金落实情况</w:t>
            </w:r>
          </w:p>
        </w:tc>
        <w:tc>
          <w:tcPr>
            <w:tcW w:w="6491" w:type="dxa"/>
            <w:vAlign w:val="center"/>
          </w:tcPr>
          <w:p w14:paraId="3C286941">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资金已落实</w:t>
            </w:r>
          </w:p>
        </w:tc>
      </w:tr>
      <w:tr w14:paraId="1440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6A3AC4D6">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1.2.2</w:t>
            </w:r>
          </w:p>
        </w:tc>
        <w:tc>
          <w:tcPr>
            <w:tcW w:w="2052" w:type="dxa"/>
            <w:vAlign w:val="center"/>
          </w:tcPr>
          <w:p w14:paraId="3E49E4E2">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采购预算</w:t>
            </w:r>
          </w:p>
        </w:tc>
        <w:tc>
          <w:tcPr>
            <w:tcW w:w="6491" w:type="dxa"/>
          </w:tcPr>
          <w:p w14:paraId="63D10C11">
            <w:pPr>
              <w:widowControl w:val="0"/>
              <w:kinsoku/>
              <w:autoSpaceDE/>
              <w:autoSpaceDN/>
              <w:adjustRightInd/>
              <w:snapToGrid/>
              <w:spacing w:after="0"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详见竞争性磋商文件第一章《竞争性磋商公告》“一、项目基本情况”</w:t>
            </w:r>
          </w:p>
        </w:tc>
      </w:tr>
      <w:tr w14:paraId="6294D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67E3500F">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1.2.3</w:t>
            </w:r>
          </w:p>
        </w:tc>
        <w:tc>
          <w:tcPr>
            <w:tcW w:w="2052" w:type="dxa"/>
            <w:vAlign w:val="center"/>
          </w:tcPr>
          <w:p w14:paraId="3B93FF4E">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▲最高限价</w:t>
            </w:r>
          </w:p>
        </w:tc>
        <w:tc>
          <w:tcPr>
            <w:tcW w:w="6491" w:type="dxa"/>
          </w:tcPr>
          <w:p w14:paraId="6B580082">
            <w:pPr>
              <w:widowControl w:val="0"/>
              <w:kinsoku/>
              <w:autoSpaceDE/>
              <w:autoSpaceDN/>
              <w:adjustRightInd/>
              <w:snapToGrid/>
              <w:spacing w:after="0"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详见竞争性磋商文件第一章《竞争性磋商公告》“一、项目基本情况”</w:t>
            </w:r>
          </w:p>
        </w:tc>
      </w:tr>
      <w:tr w14:paraId="5F273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3AFCCB10">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1.3.2</w:t>
            </w:r>
          </w:p>
        </w:tc>
        <w:tc>
          <w:tcPr>
            <w:tcW w:w="2052" w:type="dxa"/>
            <w:vAlign w:val="center"/>
          </w:tcPr>
          <w:p w14:paraId="02474A7E">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成交服务费</w:t>
            </w:r>
          </w:p>
        </w:tc>
        <w:tc>
          <w:tcPr>
            <w:tcW w:w="6491" w:type="dxa"/>
            <w:vAlign w:val="center"/>
          </w:tcPr>
          <w:p w14:paraId="0DE66525">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kern w:val="2"/>
                <w:sz w:val="22"/>
                <w:szCs w:val="22"/>
                <w:highlight w:val="none"/>
                <w:lang w:val="en-US" w:eastAsia="zh-CN" w:bidi="ar-SA"/>
              </w:rPr>
              <w:t>经与采购人约定，本项目</w:t>
            </w:r>
            <w:r>
              <w:rPr>
                <w:rFonts w:hint="eastAsia" w:ascii="宋体" w:hAnsi="宋体" w:eastAsia="宋体" w:cs="宋体"/>
                <w:snapToGrid/>
                <w:color w:val="auto"/>
                <w:kern w:val="2"/>
                <w:sz w:val="22"/>
                <w:szCs w:val="22"/>
                <w:highlight w:val="none"/>
                <w:lang w:val="en-US" w:eastAsia="zh-CN" w:bidi="ar-SA"/>
              </w:rPr>
              <w:t>成交服务费</w:t>
            </w:r>
            <w:r>
              <w:rPr>
                <w:rFonts w:hint="eastAsia" w:ascii="宋体" w:hAnsi="宋体" w:eastAsia="宋体" w:cs="宋体"/>
                <w:snapToGrid/>
                <w:kern w:val="2"/>
                <w:sz w:val="22"/>
                <w:szCs w:val="22"/>
                <w:highlight w:val="none"/>
                <w:lang w:val="en-US" w:eastAsia="zh-CN" w:bidi="ar-SA"/>
              </w:rPr>
              <w:t>由中标人支付。标准为：参照《关于印发《云南省建设工程招标代理服务收费指导意见（试行）》的通知》（云建招协〔2023〕51号）</w:t>
            </w:r>
            <w:r>
              <w:rPr>
                <w:rFonts w:hint="eastAsia" w:ascii="宋体" w:hAnsi="宋体" w:eastAsia="宋体" w:cs="宋体"/>
                <w:snapToGrid/>
                <w:kern w:val="2"/>
                <w:sz w:val="22"/>
                <w:szCs w:val="22"/>
                <w:highlight w:val="none"/>
                <w:lang w:val="zh-CN" w:eastAsia="zh-CN" w:bidi="ar-SA"/>
              </w:rPr>
              <w:t>。</w:t>
            </w:r>
          </w:p>
        </w:tc>
      </w:tr>
      <w:tr w14:paraId="3414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068" w:type="dxa"/>
            <w:vAlign w:val="center"/>
          </w:tcPr>
          <w:p w14:paraId="5A44BF89">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1.4.1</w:t>
            </w:r>
          </w:p>
        </w:tc>
        <w:tc>
          <w:tcPr>
            <w:tcW w:w="2052" w:type="dxa"/>
            <w:vAlign w:val="center"/>
          </w:tcPr>
          <w:p w14:paraId="5A59512A">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磋商申请人的资格要求</w:t>
            </w:r>
          </w:p>
        </w:tc>
        <w:tc>
          <w:tcPr>
            <w:tcW w:w="6491" w:type="dxa"/>
            <w:vAlign w:val="center"/>
          </w:tcPr>
          <w:p w14:paraId="4C2B48F4">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详见竞争性磋商文件第一章《竞争性磋商公告》“▲二、供应商的资格要求”</w:t>
            </w:r>
          </w:p>
        </w:tc>
      </w:tr>
      <w:tr w14:paraId="38E2E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0C6AA03C">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1.4.2</w:t>
            </w:r>
          </w:p>
        </w:tc>
        <w:tc>
          <w:tcPr>
            <w:tcW w:w="2052" w:type="dxa"/>
            <w:vAlign w:val="center"/>
          </w:tcPr>
          <w:p w14:paraId="57555292">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是否接受联合体磋商</w:t>
            </w:r>
          </w:p>
        </w:tc>
        <w:tc>
          <w:tcPr>
            <w:tcW w:w="6491" w:type="dxa"/>
            <w:vAlign w:val="center"/>
          </w:tcPr>
          <w:p w14:paraId="7C9A1BDF">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w:t>
            </w:r>
          </w:p>
          <w:p w14:paraId="26383D4B">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■否</w:t>
            </w:r>
          </w:p>
        </w:tc>
      </w:tr>
      <w:tr w14:paraId="6E3F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48C467B6">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1.8.1</w:t>
            </w:r>
          </w:p>
        </w:tc>
        <w:tc>
          <w:tcPr>
            <w:tcW w:w="2052" w:type="dxa"/>
            <w:vAlign w:val="center"/>
          </w:tcPr>
          <w:p w14:paraId="01E6605D">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采购人是否组织现场踏勘</w:t>
            </w:r>
          </w:p>
        </w:tc>
        <w:tc>
          <w:tcPr>
            <w:tcW w:w="6491" w:type="dxa"/>
            <w:vAlign w:val="center"/>
          </w:tcPr>
          <w:p w14:paraId="45BD454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■不组织：磋商申请人自行踏勘。</w:t>
            </w:r>
          </w:p>
          <w:p w14:paraId="46991FA2">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□组织</w:t>
            </w:r>
          </w:p>
          <w:p w14:paraId="36AF1CD5">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踏勘时间：/</w:t>
            </w:r>
          </w:p>
          <w:p w14:paraId="0020032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踏勘地点：/</w:t>
            </w:r>
          </w:p>
        </w:tc>
      </w:tr>
      <w:tr w14:paraId="0CF14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2DAD980B">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1.9.1</w:t>
            </w:r>
          </w:p>
        </w:tc>
        <w:tc>
          <w:tcPr>
            <w:tcW w:w="2052" w:type="dxa"/>
            <w:vAlign w:val="center"/>
          </w:tcPr>
          <w:p w14:paraId="6632733B">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采购人是否召开磋商答疑会</w:t>
            </w:r>
          </w:p>
        </w:tc>
        <w:tc>
          <w:tcPr>
            <w:tcW w:w="6491" w:type="dxa"/>
            <w:vAlign w:val="center"/>
          </w:tcPr>
          <w:p w14:paraId="6E280E8A">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■不召开</w:t>
            </w:r>
          </w:p>
          <w:p w14:paraId="1CE56165">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□召开</w:t>
            </w:r>
          </w:p>
          <w:p w14:paraId="4CA2C44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答疑会时间：</w:t>
            </w:r>
          </w:p>
          <w:p w14:paraId="185A0CAC">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答疑会地点：</w:t>
            </w:r>
          </w:p>
          <w:p w14:paraId="6530F549">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提交问题的时间：</w:t>
            </w:r>
          </w:p>
          <w:p w14:paraId="0E80223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提交问题的形式：</w:t>
            </w:r>
          </w:p>
        </w:tc>
      </w:tr>
      <w:tr w14:paraId="2A3B1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3469EECB">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1.10.1</w:t>
            </w:r>
          </w:p>
        </w:tc>
        <w:tc>
          <w:tcPr>
            <w:tcW w:w="2052" w:type="dxa"/>
            <w:vAlign w:val="center"/>
          </w:tcPr>
          <w:p w14:paraId="7B792E3D">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采购人是否允许分包</w:t>
            </w:r>
          </w:p>
        </w:tc>
        <w:tc>
          <w:tcPr>
            <w:tcW w:w="6491" w:type="dxa"/>
            <w:vAlign w:val="center"/>
          </w:tcPr>
          <w:p w14:paraId="0D764535">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■不允许</w:t>
            </w:r>
          </w:p>
          <w:p w14:paraId="6D992424">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□允许：</w:t>
            </w:r>
          </w:p>
          <w:p w14:paraId="46899A4F">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非主体、非关键性工作内容包括：</w:t>
            </w:r>
          </w:p>
        </w:tc>
      </w:tr>
      <w:tr w14:paraId="418F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54D8F5C1">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2.1</w:t>
            </w:r>
          </w:p>
        </w:tc>
        <w:tc>
          <w:tcPr>
            <w:tcW w:w="2052" w:type="dxa"/>
            <w:vAlign w:val="center"/>
          </w:tcPr>
          <w:p w14:paraId="5723B721">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构成磋商文件的其他资料</w:t>
            </w:r>
          </w:p>
        </w:tc>
        <w:tc>
          <w:tcPr>
            <w:tcW w:w="6491" w:type="dxa"/>
            <w:vAlign w:val="center"/>
          </w:tcPr>
          <w:p w14:paraId="23F242F2">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对磋商文件作出的澄清、修改</w:t>
            </w:r>
          </w:p>
        </w:tc>
      </w:tr>
      <w:tr w14:paraId="4A8BB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25D683E3">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2.2.1</w:t>
            </w:r>
          </w:p>
        </w:tc>
        <w:tc>
          <w:tcPr>
            <w:tcW w:w="2052" w:type="dxa"/>
            <w:vAlign w:val="center"/>
          </w:tcPr>
          <w:p w14:paraId="227F35DD">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磋商申请人要求对磋商文件的澄清</w:t>
            </w:r>
          </w:p>
        </w:tc>
        <w:tc>
          <w:tcPr>
            <w:tcW w:w="6491" w:type="dxa"/>
            <w:vAlign w:val="center"/>
          </w:tcPr>
          <w:p w14:paraId="358E69CB">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时间：提交磋商响应文件截止时间5日前</w:t>
            </w:r>
          </w:p>
          <w:p w14:paraId="4324C4F1">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形式：书面</w:t>
            </w:r>
          </w:p>
        </w:tc>
      </w:tr>
      <w:tr w14:paraId="2812A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1068" w:type="dxa"/>
            <w:vAlign w:val="center"/>
          </w:tcPr>
          <w:p w14:paraId="6F1C7CC4">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2.2.2</w:t>
            </w:r>
          </w:p>
        </w:tc>
        <w:tc>
          <w:tcPr>
            <w:tcW w:w="2052" w:type="dxa"/>
            <w:vAlign w:val="center"/>
          </w:tcPr>
          <w:p w14:paraId="1CC3E273">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磋商文件澄清发出形式</w:t>
            </w:r>
          </w:p>
        </w:tc>
        <w:tc>
          <w:tcPr>
            <w:tcW w:w="6491" w:type="dxa"/>
            <w:vAlign w:val="center"/>
          </w:tcPr>
          <w:p w14:paraId="6303AAF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在竞争性磋商公告发布媒介上发布澄清公告</w:t>
            </w:r>
          </w:p>
        </w:tc>
      </w:tr>
      <w:tr w14:paraId="2920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6D3BDB25">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2.2.3</w:t>
            </w:r>
          </w:p>
        </w:tc>
        <w:tc>
          <w:tcPr>
            <w:tcW w:w="2052" w:type="dxa"/>
            <w:vAlign w:val="center"/>
          </w:tcPr>
          <w:p w14:paraId="0C86EF7A">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磋商申请人确认收到磋商文件澄清</w:t>
            </w:r>
          </w:p>
        </w:tc>
        <w:tc>
          <w:tcPr>
            <w:tcW w:w="6491" w:type="dxa"/>
            <w:vAlign w:val="center"/>
          </w:tcPr>
          <w:p w14:paraId="6642048B">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时间：24小时</w:t>
            </w:r>
          </w:p>
          <w:p w14:paraId="7DF16D7A">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形式：书面形式</w:t>
            </w:r>
          </w:p>
        </w:tc>
      </w:tr>
      <w:tr w14:paraId="2F78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68" w:type="dxa"/>
            <w:vAlign w:val="center"/>
          </w:tcPr>
          <w:p w14:paraId="42674A21">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2.3.1</w:t>
            </w:r>
          </w:p>
        </w:tc>
        <w:tc>
          <w:tcPr>
            <w:tcW w:w="2052" w:type="dxa"/>
            <w:vAlign w:val="center"/>
          </w:tcPr>
          <w:p w14:paraId="347BA912">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磋商文件修改发出的形式</w:t>
            </w:r>
          </w:p>
        </w:tc>
        <w:tc>
          <w:tcPr>
            <w:tcW w:w="6491" w:type="dxa"/>
            <w:vAlign w:val="center"/>
          </w:tcPr>
          <w:p w14:paraId="593A7E20">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在竞争性磋商公告发布媒介上发布澄清公告</w:t>
            </w:r>
          </w:p>
        </w:tc>
      </w:tr>
      <w:tr w14:paraId="2B9ED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182A3319">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2.3.2</w:t>
            </w:r>
          </w:p>
        </w:tc>
        <w:tc>
          <w:tcPr>
            <w:tcW w:w="2052" w:type="dxa"/>
            <w:vAlign w:val="center"/>
          </w:tcPr>
          <w:p w14:paraId="26DB58DD">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磋商申请人确认收到磋商文件修改</w:t>
            </w:r>
          </w:p>
        </w:tc>
        <w:tc>
          <w:tcPr>
            <w:tcW w:w="6491" w:type="dxa"/>
            <w:vAlign w:val="center"/>
          </w:tcPr>
          <w:p w14:paraId="27BE2009">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时间：24小时</w:t>
            </w:r>
          </w:p>
          <w:p w14:paraId="7DDFDB12">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形式：书面形式</w:t>
            </w:r>
          </w:p>
        </w:tc>
      </w:tr>
      <w:tr w14:paraId="367D6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7C32B9C9">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3.1</w:t>
            </w:r>
          </w:p>
        </w:tc>
        <w:tc>
          <w:tcPr>
            <w:tcW w:w="2052" w:type="dxa"/>
            <w:vAlign w:val="center"/>
          </w:tcPr>
          <w:p w14:paraId="241E8CED">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构成磋商响应文件的其他材料</w:t>
            </w:r>
          </w:p>
        </w:tc>
        <w:tc>
          <w:tcPr>
            <w:tcW w:w="6491" w:type="dxa"/>
            <w:vAlign w:val="center"/>
          </w:tcPr>
          <w:p w14:paraId="6B3F8370">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磋商申请人在磋商过程中作出的符合法律法规和磋商文件规定的澄清、说明或者补正</w:t>
            </w:r>
          </w:p>
        </w:tc>
      </w:tr>
      <w:tr w14:paraId="745A8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194054C1">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3.3.1</w:t>
            </w:r>
          </w:p>
        </w:tc>
        <w:tc>
          <w:tcPr>
            <w:tcW w:w="2052" w:type="dxa"/>
            <w:vAlign w:val="center"/>
          </w:tcPr>
          <w:p w14:paraId="5C9042BF">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磋商有效期</w:t>
            </w:r>
          </w:p>
        </w:tc>
        <w:tc>
          <w:tcPr>
            <w:tcW w:w="6491" w:type="dxa"/>
            <w:vAlign w:val="center"/>
          </w:tcPr>
          <w:p w14:paraId="3E12D6A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90日历天（从提交磋商响应文件的截止之日起算）</w:t>
            </w:r>
          </w:p>
        </w:tc>
      </w:tr>
      <w:tr w14:paraId="221A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4F16D724">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3.4.1</w:t>
            </w:r>
          </w:p>
        </w:tc>
        <w:tc>
          <w:tcPr>
            <w:tcW w:w="2052" w:type="dxa"/>
            <w:vAlign w:val="center"/>
          </w:tcPr>
          <w:p w14:paraId="26D47EE5">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磋商保证金</w:t>
            </w:r>
          </w:p>
        </w:tc>
        <w:tc>
          <w:tcPr>
            <w:tcW w:w="6491" w:type="dxa"/>
            <w:vAlign w:val="center"/>
          </w:tcPr>
          <w:p w14:paraId="1C824A44">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本项目无需缴纳磋商保证金</w:t>
            </w:r>
          </w:p>
        </w:tc>
      </w:tr>
      <w:tr w14:paraId="79DC5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7495D9D6">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3.5.3</w:t>
            </w:r>
          </w:p>
        </w:tc>
        <w:tc>
          <w:tcPr>
            <w:tcW w:w="2052" w:type="dxa"/>
            <w:vAlign w:val="center"/>
          </w:tcPr>
          <w:p w14:paraId="5E7F295E">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签字或盖章要求</w:t>
            </w:r>
          </w:p>
        </w:tc>
        <w:tc>
          <w:tcPr>
            <w:tcW w:w="6491" w:type="dxa"/>
            <w:vAlign w:val="center"/>
          </w:tcPr>
          <w:p w14:paraId="08E30B03">
            <w:pPr>
              <w:widowControl w:val="0"/>
              <w:kinsoku/>
              <w:autoSpaceDE w:val="0"/>
              <w:autoSpaceDN w:val="0"/>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在要求签字或盖章处进行签字或盖章，详见磋商文件第五章磋商响应文件格式要求。</w:t>
            </w:r>
          </w:p>
        </w:tc>
      </w:tr>
      <w:tr w14:paraId="31148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5BE873FE">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3.5.4</w:t>
            </w:r>
          </w:p>
        </w:tc>
        <w:tc>
          <w:tcPr>
            <w:tcW w:w="2052" w:type="dxa"/>
            <w:vAlign w:val="center"/>
          </w:tcPr>
          <w:p w14:paraId="1E97294F">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是否要求提交纸质版磋商响应文件</w:t>
            </w:r>
          </w:p>
        </w:tc>
        <w:tc>
          <w:tcPr>
            <w:tcW w:w="6491" w:type="dxa"/>
            <w:vAlign w:val="center"/>
          </w:tcPr>
          <w:p w14:paraId="43E15A4D">
            <w:pPr>
              <w:widowControl w:val="0"/>
              <w:kinsoku/>
              <w:autoSpaceDE w:val="0"/>
              <w:autoSpaceDN w:val="0"/>
              <w:adjustRightInd/>
              <w:snapToGrid/>
              <w:spacing w:line="360" w:lineRule="auto"/>
              <w:jc w:val="left"/>
              <w:textAlignment w:val="auto"/>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□否</w:t>
            </w:r>
          </w:p>
          <w:p w14:paraId="70FAD351">
            <w:pPr>
              <w:widowControl w:val="0"/>
              <w:kinsoku/>
              <w:autoSpaceDE w:val="0"/>
              <w:autoSpaceDN w:val="0"/>
              <w:adjustRightInd/>
              <w:snapToGrid/>
              <w:spacing w:line="360" w:lineRule="auto"/>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■是：磋商响应文件份数：</w:t>
            </w:r>
            <w:r>
              <w:rPr>
                <w:rFonts w:hint="eastAsia" w:ascii="宋体" w:hAnsi="宋体" w:eastAsia="宋体" w:cs="宋体"/>
                <w:b/>
                <w:bCs/>
                <w:snapToGrid/>
                <w:color w:val="auto"/>
                <w:kern w:val="2"/>
                <w:sz w:val="22"/>
                <w:szCs w:val="22"/>
                <w:highlight w:val="none"/>
                <w:lang w:val="en-US" w:eastAsia="zh-CN" w:bidi="ar-SA"/>
              </w:rPr>
              <w:t>壹正贰副</w:t>
            </w:r>
          </w:p>
          <w:p w14:paraId="7ECF755F">
            <w:pPr>
              <w:widowControl w:val="0"/>
              <w:kinsoku/>
              <w:autoSpaceDE w:val="0"/>
              <w:autoSpaceDN w:val="0"/>
              <w:adjustRightInd/>
              <w:snapToGrid/>
              <w:spacing w:line="360" w:lineRule="auto"/>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注：磋商响应文件的正本与副本应密封完好，建议采用双面打印，不得采用活页夹等可随时拆换的方式装订。磋商响应文件应编制目录，并且逐页标注连续页码，否则，采购人对由于磋商响应文件装订松散而造成的丢失或其他后果不承担任何责任。</w:t>
            </w:r>
          </w:p>
        </w:tc>
      </w:tr>
      <w:tr w14:paraId="6043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473B23AB">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3.5.5</w:t>
            </w:r>
          </w:p>
        </w:tc>
        <w:tc>
          <w:tcPr>
            <w:tcW w:w="2052" w:type="dxa"/>
            <w:vAlign w:val="center"/>
          </w:tcPr>
          <w:p w14:paraId="7EE98AF5">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是否要求提交可编辑电子版磋商响应文件</w:t>
            </w:r>
          </w:p>
        </w:tc>
        <w:tc>
          <w:tcPr>
            <w:tcW w:w="6491" w:type="dxa"/>
            <w:vAlign w:val="center"/>
          </w:tcPr>
          <w:p w14:paraId="39879C5B">
            <w:pPr>
              <w:widowControl w:val="0"/>
              <w:kinsoku/>
              <w:autoSpaceDE w:val="0"/>
              <w:autoSpaceDN w:val="0"/>
              <w:adjustRightInd/>
              <w:snapToGrid/>
              <w:spacing w:line="360" w:lineRule="auto"/>
              <w:jc w:val="left"/>
              <w:textAlignment w:val="auto"/>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□否</w:t>
            </w:r>
          </w:p>
          <w:p w14:paraId="04E7FE1E">
            <w:pPr>
              <w:widowControl w:val="0"/>
              <w:kinsoku/>
              <w:autoSpaceDE w:val="0"/>
              <w:autoSpaceDN w:val="0"/>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■是：格式为正本签字盖章扫描件PDF版及可编辑Word版，存储媒介为U盘</w:t>
            </w:r>
          </w:p>
        </w:tc>
      </w:tr>
      <w:tr w14:paraId="01F7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6871605A">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4.1.3</w:t>
            </w:r>
          </w:p>
        </w:tc>
        <w:tc>
          <w:tcPr>
            <w:tcW w:w="2052" w:type="dxa"/>
            <w:vAlign w:val="center"/>
          </w:tcPr>
          <w:p w14:paraId="0B050336">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封套上应写明的内容</w:t>
            </w:r>
          </w:p>
        </w:tc>
        <w:tc>
          <w:tcPr>
            <w:tcW w:w="6491" w:type="dxa"/>
            <w:vAlign w:val="center"/>
          </w:tcPr>
          <w:p w14:paraId="42E4799D">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耿马县2024年小型水库维修养护工程第</w:t>
            </w:r>
            <w:r>
              <w:rPr>
                <w:rFonts w:hint="eastAsia" w:ascii="宋体" w:hAnsi="宋体" w:eastAsia="宋体" w:cs="宋体"/>
                <w:snapToGrid/>
                <w:kern w:val="2"/>
                <w:sz w:val="22"/>
                <w:szCs w:val="22"/>
                <w:u w:val="single"/>
                <w:lang w:val="en-US" w:eastAsia="zh-CN" w:bidi="ar-SA"/>
              </w:rPr>
              <w:t xml:space="preserve">  三  </w:t>
            </w:r>
            <w:r>
              <w:rPr>
                <w:rFonts w:hint="eastAsia" w:ascii="宋体" w:hAnsi="宋体" w:eastAsia="宋体" w:cs="宋体"/>
                <w:snapToGrid/>
                <w:kern w:val="2"/>
                <w:sz w:val="22"/>
                <w:szCs w:val="22"/>
                <w:lang w:val="en-US" w:eastAsia="zh-CN" w:bidi="ar-SA"/>
              </w:rPr>
              <w:t>标段响应文件</w:t>
            </w:r>
          </w:p>
          <w:p w14:paraId="5DCAFE7E">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标段编号：</w:t>
            </w:r>
            <w:r>
              <w:rPr>
                <w:rFonts w:hint="eastAsia" w:ascii="宋体" w:hAnsi="宋体" w:eastAsia="宋体" w:cs="宋体"/>
                <w:b w:val="0"/>
                <w:bCs w:val="0"/>
                <w:snapToGrid/>
                <w:color w:val="auto"/>
                <w:kern w:val="2"/>
                <w:sz w:val="22"/>
                <w:szCs w:val="22"/>
                <w:highlight w:val="none"/>
                <w:lang w:val="en-US" w:eastAsia="zh-CN" w:bidi="ar-SA"/>
              </w:rPr>
              <w:t>YNFY2024-LCSL-003-03</w:t>
            </w:r>
          </w:p>
          <w:p w14:paraId="47368C80">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snapToGrid/>
                <w:kern w:val="2"/>
                <w:sz w:val="22"/>
                <w:szCs w:val="22"/>
                <w:lang w:val="en-US" w:eastAsia="zh-CN" w:bidi="ar-SA"/>
              </w:rPr>
              <w:t>：</w:t>
            </w:r>
          </w:p>
          <w:p w14:paraId="3CCB5BB9">
            <w:pPr>
              <w:widowControl w:val="0"/>
              <w:kinsoku/>
              <w:autoSpaceDE w:val="0"/>
              <w:autoSpaceDN w:val="0"/>
              <w:adjustRightInd/>
              <w:snapToGrid/>
              <w:spacing w:line="360" w:lineRule="auto"/>
              <w:jc w:val="left"/>
              <w:textAlignment w:val="auto"/>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kern w:val="2"/>
                <w:sz w:val="22"/>
                <w:szCs w:val="22"/>
                <w:lang w:val="en-US" w:eastAsia="zh-CN" w:bidi="ar-SA"/>
              </w:rPr>
              <w:t>在</w:t>
            </w:r>
            <w:r>
              <w:rPr>
                <w:rFonts w:hint="eastAsia" w:ascii="宋体" w:hAnsi="宋体" w:eastAsia="宋体" w:cs="宋体"/>
                <w:snapToGrid/>
                <w:kern w:val="2"/>
                <w:sz w:val="22"/>
                <w:szCs w:val="22"/>
                <w:u w:val="single"/>
                <w:lang w:val="en-US" w:eastAsia="zh-CN" w:bidi="ar-SA"/>
              </w:rPr>
              <w:t xml:space="preserve">     年     月     日     时     分</w:t>
            </w:r>
            <w:r>
              <w:rPr>
                <w:rFonts w:hint="eastAsia" w:ascii="宋体" w:hAnsi="宋体" w:eastAsia="宋体" w:cs="宋体"/>
                <w:snapToGrid/>
                <w:kern w:val="2"/>
                <w:sz w:val="22"/>
                <w:szCs w:val="22"/>
                <w:lang w:val="en-US" w:eastAsia="zh-CN" w:bidi="ar-SA"/>
              </w:rPr>
              <w:t>（</w:t>
            </w:r>
            <w:r>
              <w:rPr>
                <w:rFonts w:hint="eastAsia" w:ascii="宋体" w:hAnsi="宋体" w:eastAsia="宋体" w:cs="宋体"/>
                <w:snapToGrid/>
                <w:color w:val="auto"/>
                <w:kern w:val="2"/>
                <w:sz w:val="22"/>
                <w:szCs w:val="22"/>
                <w:highlight w:val="none"/>
                <w:lang w:val="en-US" w:eastAsia="zh-CN" w:bidi="ar-SA"/>
              </w:rPr>
              <w:t>磋商</w:t>
            </w:r>
            <w:r>
              <w:rPr>
                <w:rFonts w:hint="eastAsia" w:ascii="宋体" w:hAnsi="宋体" w:eastAsia="宋体" w:cs="宋体"/>
                <w:snapToGrid/>
                <w:kern w:val="2"/>
                <w:sz w:val="22"/>
                <w:szCs w:val="22"/>
                <w:lang w:val="en-US" w:eastAsia="zh-CN" w:bidi="ar-SA"/>
              </w:rPr>
              <w:t>响应文件递交截止时间）前不得开启</w:t>
            </w:r>
          </w:p>
        </w:tc>
      </w:tr>
      <w:tr w14:paraId="07EB0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37C08AAC">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4.2.1</w:t>
            </w:r>
          </w:p>
        </w:tc>
        <w:tc>
          <w:tcPr>
            <w:tcW w:w="2052" w:type="dxa"/>
            <w:vAlign w:val="center"/>
          </w:tcPr>
          <w:p w14:paraId="5E0E0D2D">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磋商响应文件递交截止时间</w:t>
            </w:r>
          </w:p>
        </w:tc>
        <w:tc>
          <w:tcPr>
            <w:tcW w:w="6491" w:type="dxa"/>
            <w:vAlign w:val="center"/>
          </w:tcPr>
          <w:p w14:paraId="1923A7C0">
            <w:pPr>
              <w:widowControl/>
              <w:spacing w:before="0" w:beforeAutospacing="0" w:after="0" w:afterAutospacing="0" w:line="460" w:lineRule="exact"/>
              <w:jc w:val="both"/>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详见竞争性磋商文件第一章《竞争性磋商公告》“四、响应文件提交”。</w:t>
            </w:r>
          </w:p>
        </w:tc>
      </w:tr>
      <w:tr w14:paraId="29DF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19229484">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4.2.2</w:t>
            </w:r>
          </w:p>
        </w:tc>
        <w:tc>
          <w:tcPr>
            <w:tcW w:w="2052" w:type="dxa"/>
            <w:vAlign w:val="center"/>
          </w:tcPr>
          <w:p w14:paraId="17126501">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是否退还已递交的磋商响应文件</w:t>
            </w:r>
          </w:p>
        </w:tc>
        <w:tc>
          <w:tcPr>
            <w:tcW w:w="6491" w:type="dxa"/>
            <w:vAlign w:val="center"/>
          </w:tcPr>
          <w:p w14:paraId="7FF5B68A">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■否</w:t>
            </w:r>
          </w:p>
          <w:p w14:paraId="599DEBE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w:t>
            </w:r>
          </w:p>
        </w:tc>
      </w:tr>
      <w:tr w14:paraId="78D33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3BCC4BF5">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5.1</w:t>
            </w:r>
          </w:p>
        </w:tc>
        <w:tc>
          <w:tcPr>
            <w:tcW w:w="2052" w:type="dxa"/>
            <w:vAlign w:val="center"/>
          </w:tcPr>
          <w:p w14:paraId="170A88E4">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磋商时间和地点</w:t>
            </w:r>
          </w:p>
        </w:tc>
        <w:tc>
          <w:tcPr>
            <w:tcW w:w="6491" w:type="dxa"/>
            <w:vAlign w:val="center"/>
          </w:tcPr>
          <w:p w14:paraId="7C16B5A6">
            <w:pPr>
              <w:widowControl/>
              <w:spacing w:before="0" w:beforeAutospacing="0" w:after="0" w:afterAutospacing="0" w:line="460" w:lineRule="exact"/>
              <w:jc w:val="both"/>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磋商时间：</w:t>
            </w:r>
            <w:r>
              <w:rPr>
                <w:rFonts w:hint="eastAsia" w:ascii="宋体" w:hAnsi="宋体" w:eastAsia="宋体" w:cs="宋体"/>
                <w:snapToGrid/>
                <w:color w:val="auto"/>
                <w:kern w:val="2"/>
                <w:sz w:val="22"/>
                <w:szCs w:val="22"/>
                <w:highlight w:val="none"/>
                <w:lang w:val="en-US" w:eastAsia="zh-CN" w:bidi="ar-SA"/>
              </w:rPr>
              <w:t>详见竞争性磋商文件第一章《竞争性磋商公告》“五、开启”</w:t>
            </w:r>
            <w:r>
              <w:rPr>
                <w:rFonts w:hint="eastAsia" w:ascii="宋体" w:hAnsi="宋体" w:eastAsia="宋体" w:cs="宋体"/>
                <w:color w:val="auto"/>
                <w:kern w:val="0"/>
                <w:sz w:val="22"/>
                <w:szCs w:val="22"/>
                <w:highlight w:val="none"/>
                <w:lang w:val="en-US" w:eastAsia="zh-CN" w:bidi="ar-SA"/>
              </w:rPr>
              <w:t>。</w:t>
            </w:r>
          </w:p>
          <w:p w14:paraId="206AC39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地点：</w:t>
            </w:r>
            <w:r>
              <w:rPr>
                <w:rFonts w:hint="eastAsia" w:ascii="宋体" w:hAnsi="宋体" w:eastAsia="宋体" w:cs="宋体"/>
                <w:snapToGrid/>
                <w:color w:val="auto"/>
                <w:kern w:val="2"/>
                <w:sz w:val="22"/>
                <w:szCs w:val="22"/>
                <w:highlight w:val="none"/>
                <w:lang w:val="en-US" w:eastAsia="zh-CN" w:bidi="ar-SA"/>
              </w:rPr>
              <w:t>详见竞争性磋商文件第一章《竞争性磋商公告》“五、开启”</w:t>
            </w:r>
            <w:r>
              <w:rPr>
                <w:rFonts w:hint="eastAsia" w:ascii="宋体" w:hAnsi="宋体" w:eastAsia="宋体" w:cs="宋体"/>
                <w:color w:val="auto"/>
                <w:kern w:val="0"/>
                <w:sz w:val="22"/>
                <w:szCs w:val="22"/>
                <w:highlight w:val="none"/>
                <w:lang w:val="en-US" w:eastAsia="zh-CN" w:bidi="ar-SA"/>
              </w:rPr>
              <w:t xml:space="preserve">。 </w:t>
            </w:r>
          </w:p>
        </w:tc>
      </w:tr>
      <w:tr w14:paraId="72520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26CB058E">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7.1.1</w:t>
            </w:r>
          </w:p>
        </w:tc>
        <w:tc>
          <w:tcPr>
            <w:tcW w:w="2052" w:type="dxa"/>
            <w:vAlign w:val="center"/>
          </w:tcPr>
          <w:p w14:paraId="3EAFA09B">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磋商小组的组建</w:t>
            </w:r>
          </w:p>
        </w:tc>
        <w:tc>
          <w:tcPr>
            <w:tcW w:w="6491" w:type="dxa"/>
            <w:vAlign w:val="center"/>
          </w:tcPr>
          <w:p w14:paraId="601A0CC1">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磋商小组构成：磋商小组由评审专家共3人以上单数组成。</w:t>
            </w:r>
          </w:p>
          <w:p w14:paraId="56835F87">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评审专家确定方式：</w:t>
            </w:r>
            <w:r>
              <w:rPr>
                <w:rFonts w:hint="eastAsia" w:ascii="宋体" w:hAnsi="宋体" w:eastAsia="宋体" w:cs="宋体"/>
                <w:snapToGrid/>
                <w:kern w:val="2"/>
                <w:sz w:val="22"/>
                <w:szCs w:val="22"/>
                <w:highlight w:val="none"/>
                <w:lang w:val="en-US" w:eastAsia="zh-CN" w:bidi="ar-SA"/>
              </w:rPr>
              <w:t>由采购人代表及相关专业的专家组成</w:t>
            </w:r>
            <w:r>
              <w:rPr>
                <w:rFonts w:hint="eastAsia" w:ascii="宋体" w:hAnsi="宋体" w:eastAsia="宋体" w:cs="宋体"/>
                <w:snapToGrid/>
                <w:color w:val="auto"/>
                <w:kern w:val="2"/>
                <w:sz w:val="22"/>
                <w:szCs w:val="22"/>
                <w:highlight w:val="none"/>
                <w:lang w:val="en-US" w:eastAsia="zh-CN" w:bidi="ar-SA"/>
              </w:rPr>
              <w:t>。</w:t>
            </w:r>
          </w:p>
        </w:tc>
      </w:tr>
      <w:tr w14:paraId="08EEA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13AA7506">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7.3.2</w:t>
            </w:r>
          </w:p>
        </w:tc>
        <w:tc>
          <w:tcPr>
            <w:tcW w:w="2052" w:type="dxa"/>
            <w:vAlign w:val="center"/>
          </w:tcPr>
          <w:p w14:paraId="59920292">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磋商小组推荐成交候选人的人数</w:t>
            </w:r>
          </w:p>
        </w:tc>
        <w:tc>
          <w:tcPr>
            <w:tcW w:w="6491" w:type="dxa"/>
            <w:vAlign w:val="center"/>
          </w:tcPr>
          <w:p w14:paraId="546621EC">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3名</w:t>
            </w:r>
          </w:p>
        </w:tc>
      </w:tr>
      <w:tr w14:paraId="02224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0C707EB7">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8.1</w:t>
            </w:r>
          </w:p>
        </w:tc>
        <w:tc>
          <w:tcPr>
            <w:tcW w:w="2052" w:type="dxa"/>
            <w:vAlign w:val="center"/>
          </w:tcPr>
          <w:p w14:paraId="0AFD1B42">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是否授权磋商小组确定成交人</w:t>
            </w:r>
          </w:p>
        </w:tc>
        <w:tc>
          <w:tcPr>
            <w:tcW w:w="6491" w:type="dxa"/>
            <w:vAlign w:val="center"/>
          </w:tcPr>
          <w:p w14:paraId="36259D5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■否</w:t>
            </w:r>
          </w:p>
          <w:p w14:paraId="6900D79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w:t>
            </w:r>
          </w:p>
        </w:tc>
      </w:tr>
      <w:tr w14:paraId="668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5F373B16">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8.1</w:t>
            </w:r>
          </w:p>
        </w:tc>
        <w:tc>
          <w:tcPr>
            <w:tcW w:w="2052" w:type="dxa"/>
            <w:vAlign w:val="center"/>
          </w:tcPr>
          <w:p w14:paraId="1A3DC9A6">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定标</w:t>
            </w:r>
          </w:p>
        </w:tc>
        <w:tc>
          <w:tcPr>
            <w:tcW w:w="6491" w:type="dxa"/>
            <w:vAlign w:val="center"/>
          </w:tcPr>
          <w:p w14:paraId="551EA3C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spacing w:val="-2"/>
                <w:kern w:val="2"/>
                <w:sz w:val="22"/>
                <w:szCs w:val="22"/>
                <w:highlight w:val="none"/>
                <w:lang w:val="en-US" w:eastAsia="zh-CN" w:bidi="ar-SA"/>
              </w:rPr>
              <w:t>采购人应当自收到评审报告之日起５个工作日内，在评审报告确定的</w:t>
            </w:r>
            <w:r>
              <w:rPr>
                <w:rFonts w:hint="eastAsia" w:ascii="宋体" w:hAnsi="宋体" w:eastAsia="宋体" w:cs="宋体"/>
                <w:snapToGrid/>
                <w:color w:val="auto"/>
                <w:kern w:val="0"/>
                <w:sz w:val="22"/>
                <w:szCs w:val="22"/>
                <w:highlight w:val="none"/>
                <w:lang w:val="en-US" w:eastAsia="zh-CN" w:bidi="ar-SA"/>
              </w:rPr>
              <w:t>成交</w:t>
            </w:r>
            <w:r>
              <w:rPr>
                <w:rFonts w:hint="eastAsia" w:ascii="宋体" w:hAnsi="宋体" w:eastAsia="宋体" w:cs="宋体"/>
                <w:snapToGrid/>
                <w:color w:val="auto"/>
                <w:spacing w:val="-2"/>
                <w:kern w:val="2"/>
                <w:sz w:val="22"/>
                <w:szCs w:val="22"/>
                <w:highlight w:val="none"/>
                <w:lang w:val="en-US" w:eastAsia="zh-CN" w:bidi="ar-SA"/>
              </w:rPr>
              <w:t>候选人名单中按顺序确定</w:t>
            </w:r>
            <w:r>
              <w:rPr>
                <w:rFonts w:hint="eastAsia" w:ascii="宋体" w:hAnsi="宋体" w:eastAsia="宋体" w:cs="宋体"/>
                <w:snapToGrid/>
                <w:color w:val="auto"/>
                <w:kern w:val="0"/>
                <w:sz w:val="22"/>
                <w:szCs w:val="22"/>
                <w:highlight w:val="none"/>
                <w:lang w:val="en-US" w:eastAsia="zh-CN" w:bidi="ar-SA"/>
              </w:rPr>
              <w:t>成交</w:t>
            </w:r>
            <w:r>
              <w:rPr>
                <w:rFonts w:hint="eastAsia" w:ascii="宋体" w:hAnsi="宋体" w:eastAsia="宋体" w:cs="宋体"/>
                <w:snapToGrid/>
                <w:color w:val="auto"/>
                <w:spacing w:val="-2"/>
                <w:kern w:val="2"/>
                <w:sz w:val="22"/>
                <w:szCs w:val="22"/>
                <w:highlight w:val="none"/>
                <w:lang w:val="en-US" w:eastAsia="zh-CN" w:bidi="ar-SA"/>
              </w:rPr>
              <w:t>人。</w:t>
            </w:r>
            <w:r>
              <w:rPr>
                <w:rFonts w:hint="eastAsia" w:ascii="宋体" w:hAnsi="宋体" w:eastAsia="宋体" w:cs="宋体"/>
                <w:snapToGrid/>
                <w:color w:val="auto"/>
                <w:kern w:val="0"/>
                <w:sz w:val="22"/>
                <w:szCs w:val="22"/>
                <w:highlight w:val="none"/>
                <w:lang w:val="en-US" w:eastAsia="zh-CN" w:bidi="ar-SA"/>
              </w:rPr>
              <w:t>成交</w:t>
            </w:r>
            <w:r>
              <w:rPr>
                <w:rFonts w:hint="eastAsia" w:ascii="宋体" w:hAnsi="宋体" w:eastAsia="宋体" w:cs="宋体"/>
                <w:snapToGrid/>
                <w:color w:val="auto"/>
                <w:spacing w:val="-2"/>
                <w:kern w:val="2"/>
                <w:sz w:val="22"/>
                <w:szCs w:val="22"/>
                <w:highlight w:val="none"/>
                <w:lang w:val="en-US" w:eastAsia="zh-CN" w:bidi="ar-SA"/>
              </w:rPr>
              <w:t>候选人并列的，由采购人或者采购人委托磋商小组按照竞争性磋商文件规定的方式确定</w:t>
            </w:r>
            <w:r>
              <w:rPr>
                <w:rFonts w:hint="eastAsia" w:ascii="宋体" w:hAnsi="宋体" w:eastAsia="宋体" w:cs="宋体"/>
                <w:snapToGrid/>
                <w:color w:val="auto"/>
                <w:kern w:val="0"/>
                <w:sz w:val="22"/>
                <w:szCs w:val="22"/>
                <w:highlight w:val="none"/>
                <w:lang w:val="en-US" w:eastAsia="zh-CN" w:bidi="ar-SA"/>
              </w:rPr>
              <w:t>成交</w:t>
            </w:r>
            <w:r>
              <w:rPr>
                <w:rFonts w:hint="eastAsia" w:ascii="宋体" w:hAnsi="宋体" w:eastAsia="宋体" w:cs="宋体"/>
                <w:snapToGrid/>
                <w:color w:val="auto"/>
                <w:spacing w:val="-2"/>
                <w:kern w:val="2"/>
                <w:sz w:val="22"/>
                <w:szCs w:val="22"/>
                <w:highlight w:val="none"/>
                <w:lang w:val="en-US" w:eastAsia="zh-CN" w:bidi="ar-SA"/>
              </w:rPr>
              <w:t>人；竞争性磋商文件未规定的，采取随机抽取的方式确定。</w:t>
            </w:r>
          </w:p>
        </w:tc>
      </w:tr>
      <w:tr w14:paraId="2B1E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0464ECA5">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8.2</w:t>
            </w:r>
          </w:p>
        </w:tc>
        <w:tc>
          <w:tcPr>
            <w:tcW w:w="2052" w:type="dxa"/>
            <w:vAlign w:val="center"/>
          </w:tcPr>
          <w:p w14:paraId="26B2C05C">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成交公告媒介</w:t>
            </w:r>
          </w:p>
        </w:tc>
        <w:tc>
          <w:tcPr>
            <w:tcW w:w="6491" w:type="dxa"/>
            <w:vAlign w:val="center"/>
          </w:tcPr>
          <w:p w14:paraId="24B4CC14">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公告媒介：与磋商公告发布媒介一致</w:t>
            </w:r>
          </w:p>
          <w:p w14:paraId="1AA56983">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公告期限：1个工作日</w:t>
            </w:r>
          </w:p>
        </w:tc>
      </w:tr>
      <w:tr w14:paraId="0F5AD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45715A50">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8.5.1</w:t>
            </w:r>
          </w:p>
        </w:tc>
        <w:tc>
          <w:tcPr>
            <w:tcW w:w="2052" w:type="dxa"/>
            <w:vAlign w:val="center"/>
          </w:tcPr>
          <w:p w14:paraId="25956AD5">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是否要求提交履约保证金</w:t>
            </w:r>
          </w:p>
        </w:tc>
        <w:tc>
          <w:tcPr>
            <w:tcW w:w="6491" w:type="dxa"/>
            <w:vAlign w:val="center"/>
          </w:tcPr>
          <w:p w14:paraId="312C0CA5">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■不要求</w:t>
            </w:r>
          </w:p>
          <w:p w14:paraId="3CE96BEC">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□要求</w:t>
            </w:r>
          </w:p>
        </w:tc>
      </w:tr>
      <w:tr w14:paraId="56F3B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1" w:type="dxa"/>
            <w:gridSpan w:val="3"/>
            <w:vAlign w:val="center"/>
          </w:tcPr>
          <w:p w14:paraId="233CAF1F">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需要补充的其他内容</w:t>
            </w:r>
          </w:p>
        </w:tc>
      </w:tr>
      <w:tr w14:paraId="29316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705163A8">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11.1</w:t>
            </w:r>
          </w:p>
        </w:tc>
        <w:tc>
          <w:tcPr>
            <w:tcW w:w="2052" w:type="dxa"/>
            <w:vAlign w:val="center"/>
          </w:tcPr>
          <w:p w14:paraId="459D615B">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kern w:val="2"/>
                <w:sz w:val="22"/>
                <w:szCs w:val="22"/>
                <w:lang w:val="en-US" w:eastAsia="zh-CN" w:bidi="ar-SA"/>
              </w:rPr>
              <w:t>补充事项</w:t>
            </w:r>
          </w:p>
        </w:tc>
        <w:tc>
          <w:tcPr>
            <w:tcW w:w="6491" w:type="dxa"/>
            <w:vAlign w:val="center"/>
          </w:tcPr>
          <w:p w14:paraId="5F4CAA8E">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snapToGrid/>
                <w:kern w:val="2"/>
                <w:sz w:val="22"/>
                <w:szCs w:val="22"/>
                <w:lang w:val="en-US" w:eastAsia="zh-CN" w:bidi="ar-SA"/>
              </w:rPr>
              <w:t>应提交核验证照资料原件（与响应文件同时递交）：</w:t>
            </w:r>
          </w:p>
          <w:p w14:paraId="5E9E45B7">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1.营业执照（原件或加盖公章的复印件）；</w:t>
            </w:r>
          </w:p>
          <w:p w14:paraId="092C36B2">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2.法定代表人身份证明书；</w:t>
            </w:r>
          </w:p>
          <w:p w14:paraId="6562447F">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kern w:val="2"/>
                <w:sz w:val="22"/>
                <w:szCs w:val="22"/>
                <w:lang w:val="en-US" w:eastAsia="zh-CN" w:bidi="ar-SA"/>
              </w:rPr>
              <w:t>3.法定代表人或授权代理人（代理人参加竞标的须持法人授权委托书原件），携带身份证原件；</w:t>
            </w:r>
          </w:p>
        </w:tc>
      </w:tr>
      <w:tr w14:paraId="64CC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59BB4403">
            <w:pPr>
              <w:widowControl w:val="0"/>
              <w:kinsoku/>
              <w:autoSpaceDE/>
              <w:autoSpaceDN/>
              <w:adjustRightInd/>
              <w:snapToGrid/>
              <w:spacing w:line="360" w:lineRule="auto"/>
              <w:jc w:val="center"/>
              <w:textAlignment w:val="auto"/>
              <w:rPr>
                <w:rFonts w:hint="default" w:ascii="宋体" w:hAnsi="宋体" w:eastAsia="宋体" w:cs="宋体"/>
                <w:snapToGrid/>
                <w:color w:val="auto"/>
                <w:kern w:val="2"/>
                <w:sz w:val="22"/>
                <w:szCs w:val="22"/>
                <w:highlight w:val="none"/>
                <w:lang w:val="en-US" w:eastAsia="zh-CN" w:bidi="ar-SA"/>
              </w:rPr>
            </w:pPr>
            <w:bookmarkStart w:id="64" w:name="_Toc1657"/>
            <w:r>
              <w:rPr>
                <w:rFonts w:hint="eastAsia" w:ascii="宋体" w:hAnsi="宋体" w:eastAsia="宋体" w:cs="宋体"/>
                <w:snapToGrid/>
                <w:color w:val="auto"/>
                <w:kern w:val="2"/>
                <w:sz w:val="22"/>
                <w:szCs w:val="22"/>
                <w:highlight w:val="none"/>
                <w:lang w:val="en-US" w:eastAsia="zh-CN" w:bidi="ar-SA"/>
              </w:rPr>
              <w:t>11.2</w:t>
            </w:r>
          </w:p>
        </w:tc>
        <w:tc>
          <w:tcPr>
            <w:tcW w:w="2052" w:type="dxa"/>
            <w:vAlign w:val="center"/>
          </w:tcPr>
          <w:p w14:paraId="2EA8FB49">
            <w:pPr>
              <w:widowControl w:val="0"/>
              <w:kinsoku/>
              <w:autoSpaceDE/>
              <w:autoSpaceDN/>
              <w:adjustRightInd/>
              <w:snapToGrid/>
              <w:spacing w:line="360" w:lineRule="auto"/>
              <w:jc w:val="center"/>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落实的政府采购政策</w:t>
            </w:r>
          </w:p>
        </w:tc>
        <w:tc>
          <w:tcPr>
            <w:tcW w:w="6491" w:type="dxa"/>
            <w:vAlign w:val="center"/>
          </w:tcPr>
          <w:p w14:paraId="7AF14F2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1、小型和微型企业价格扣除评分优惠政策</w:t>
            </w:r>
          </w:p>
          <w:p w14:paraId="22F16297">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是否适用于本项目：■适用  □不适用。</w:t>
            </w:r>
          </w:p>
          <w:p w14:paraId="7C4BD3D4">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根据《政府采购促进中小企业发展管理办法》（财库〔2020〕46号）、《关于进一步加大政府采购支持中小企业力度的通知》（财库〔2022〕19号）的规定，应当对符合本办法规定的小微企业报价给予3%的扣除，用扣除后的价格参加评审。</w:t>
            </w:r>
          </w:p>
          <w:p w14:paraId="75BD5C60">
            <w:pPr>
              <w:widowControl w:val="0"/>
              <w:spacing w:after="0" w:line="36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本项目采购标的对应所属行业为：建筑业。参照《关于印发中小企业划型标准规定的通知》（工信部联企业〔2011〕300号）。</w:t>
            </w:r>
          </w:p>
          <w:p w14:paraId="66FEAA29">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2、监狱企业价格扣除评分优惠政策</w:t>
            </w:r>
          </w:p>
          <w:p w14:paraId="52E62EA4">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是否适用于本项目：■适用  □不适用。</w:t>
            </w:r>
          </w:p>
          <w:p w14:paraId="0FEEE088">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根据《关于政府采购支持监狱企业发展有关问题的通知》（财库[2014]68号）的规定，监狱企业参与本项目投标时，视同小型、微型企业享受价格扣除等优惠政策。</w:t>
            </w:r>
          </w:p>
          <w:p w14:paraId="3565321A">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注：监狱企业参加政府采购活动时，应当提供由省级以上监狱管理局、戒毒管理局（含新疆生产建设兵团）出具的属于监狱企业的证明文件。</w:t>
            </w:r>
          </w:p>
          <w:p w14:paraId="6BFEFB1F">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3、残疾人福利性单位价格扣除优惠政策</w:t>
            </w:r>
          </w:p>
          <w:p w14:paraId="3CD86C02">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是否适用于本项目：■适用□不适用。</w:t>
            </w:r>
          </w:p>
          <w:p w14:paraId="43A7084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根据《关于促进残疾人就业政府采购政策的通知》（财库[2017]141号）的规定，残疾人福利性单位参与本项目投标时，视同小型、微型企业享受价格扣除等优惠政策。</w:t>
            </w:r>
          </w:p>
          <w:p w14:paraId="152CA71C">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color w:val="auto"/>
                <w:kern w:val="2"/>
                <w:szCs w:val="21"/>
                <w:highlight w:val="none"/>
                <w:lang w:val="en-US" w:eastAsia="zh-CN" w:bidi="ar-SA"/>
              </w:rPr>
              <w:t>注：残疾人福利性单位在参加政府采购活动时，应当提供《残疾人福利性单位声明函》，并对声明的真实性负责。</w:t>
            </w:r>
          </w:p>
        </w:tc>
      </w:tr>
    </w:tbl>
    <w:p w14:paraId="6F82F579">
      <w:pPr>
        <w:widowControl/>
        <w:kinsoku/>
        <w:autoSpaceDE/>
        <w:autoSpaceDN/>
        <w:adjustRightInd/>
        <w:snapToGrid/>
        <w:spacing w:line="360" w:lineRule="auto"/>
        <w:jc w:val="left"/>
        <w:textAlignment w:val="auto"/>
        <w:rPr>
          <w:rFonts w:hint="eastAsia" w:ascii="宋体" w:hAnsi="宋体" w:eastAsia="宋体" w:cs="宋体"/>
          <w:snapToGrid/>
          <w:color w:val="auto"/>
          <w:kern w:val="2"/>
          <w:szCs w:val="20"/>
          <w:highlight w:val="none"/>
          <w:lang w:val="en-US" w:eastAsia="zh-CN" w:bidi="ar-SA"/>
        </w:rPr>
      </w:pPr>
    </w:p>
    <w:p w14:paraId="49721E3D">
      <w:pPr>
        <w:widowControl w:val="0"/>
        <w:spacing w:after="120" w:line="360" w:lineRule="auto"/>
        <w:jc w:val="both"/>
        <w:rPr>
          <w:rFonts w:hint="eastAsia" w:ascii="宋体" w:hAnsi="宋体" w:eastAsia="宋体" w:cs="宋体"/>
          <w:color w:val="auto"/>
          <w:kern w:val="2"/>
          <w:sz w:val="21"/>
          <w:highlight w:val="none"/>
          <w:lang w:val="en-US" w:eastAsia="zh-CN" w:bidi="ar-SA"/>
        </w:rPr>
      </w:pPr>
    </w:p>
    <w:p w14:paraId="2232B7B2">
      <w:pPr>
        <w:widowControl w:val="0"/>
        <w:spacing w:line="360" w:lineRule="auto"/>
        <w:ind w:left="0"/>
        <w:jc w:val="left"/>
        <w:rPr>
          <w:rFonts w:hint="eastAsia" w:ascii="宋体" w:hAnsi="宋体" w:eastAsia="宋体" w:cs="宋体"/>
          <w:color w:val="auto"/>
          <w:kern w:val="2"/>
          <w:sz w:val="20"/>
          <w:highlight w:val="none"/>
          <w:lang w:val="en-US" w:eastAsia="zh-CN" w:bidi="ar-SA"/>
        </w:rPr>
      </w:pPr>
    </w:p>
    <w:p w14:paraId="5246FD84">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Cs w:val="20"/>
          <w:highlight w:val="none"/>
          <w:lang w:val="en-US" w:eastAsia="zh-CN" w:bidi="ar-SA"/>
        </w:rPr>
      </w:pPr>
    </w:p>
    <w:p w14:paraId="6DF2398D">
      <w:pPr>
        <w:keepNext/>
        <w:keepLines/>
        <w:widowControl w:val="0"/>
        <w:spacing w:before="260" w:after="0" w:line="360" w:lineRule="auto"/>
        <w:jc w:val="center"/>
        <w:outlineLvl w:val="1"/>
        <w:rPr>
          <w:rFonts w:hint="eastAsia" w:ascii="宋体" w:hAnsi="宋体" w:eastAsia="宋体" w:cs="宋体"/>
          <w:b/>
          <w:color w:val="auto"/>
          <w:kern w:val="2"/>
          <w:sz w:val="28"/>
          <w:szCs w:val="28"/>
          <w:highlight w:val="none"/>
          <w:lang w:val="en-US" w:eastAsia="zh-CN" w:bidi="ar-SA"/>
        </w:rPr>
      </w:pPr>
      <w:bookmarkStart w:id="65" w:name="_Toc75729693"/>
      <w:r>
        <w:rPr>
          <w:rFonts w:hint="eastAsia" w:ascii="宋体" w:hAnsi="宋体" w:eastAsia="宋体" w:cs="宋体"/>
          <w:b/>
          <w:color w:val="auto"/>
          <w:kern w:val="2"/>
          <w:sz w:val="28"/>
          <w:szCs w:val="28"/>
          <w:highlight w:val="none"/>
          <w:lang w:val="en-US" w:eastAsia="zh-CN" w:bidi="ar-SA"/>
        </w:rPr>
        <w:br w:type="page"/>
      </w:r>
      <w:bookmarkStart w:id="66" w:name="_Toc134284766"/>
      <w:bookmarkStart w:id="67" w:name="_Toc134284735"/>
      <w:bookmarkStart w:id="68" w:name="_Toc30558"/>
      <w:bookmarkStart w:id="69" w:name="_Toc2635"/>
      <w:r>
        <w:rPr>
          <w:rFonts w:hint="eastAsia" w:ascii="黑体" w:hAnsi="黑体" w:eastAsia="黑体" w:cs="黑体"/>
          <w:snapToGrid/>
          <w:color w:val="auto"/>
          <w:kern w:val="0"/>
          <w:sz w:val="28"/>
          <w:szCs w:val="28"/>
          <w:highlight w:val="none"/>
          <w:lang w:val="en-US" w:eastAsia="zh-CN" w:bidi="ar-SA"/>
        </w:rPr>
        <w:t>磋商申请人须知正文</w:t>
      </w:r>
      <w:bookmarkEnd w:id="64"/>
      <w:bookmarkEnd w:id="65"/>
      <w:bookmarkEnd w:id="66"/>
      <w:bookmarkEnd w:id="67"/>
      <w:bookmarkEnd w:id="68"/>
      <w:bookmarkEnd w:id="69"/>
    </w:p>
    <w:p w14:paraId="1C5357C1">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70" w:name="_Toc134284736"/>
      <w:bookmarkStart w:id="71" w:name="_Toc75729694"/>
      <w:bookmarkStart w:id="72" w:name="_Toc3362"/>
      <w:bookmarkStart w:id="73" w:name="_Toc30655"/>
      <w:bookmarkStart w:id="74" w:name="_Toc134284767"/>
      <w:bookmarkStart w:id="75" w:name="_Toc28452"/>
      <w:r>
        <w:rPr>
          <w:rFonts w:hint="eastAsia" w:ascii="宋体" w:hAnsi="宋体" w:eastAsia="宋体" w:cs="宋体"/>
          <w:b/>
          <w:color w:val="auto"/>
          <w:kern w:val="2"/>
          <w:sz w:val="22"/>
          <w:szCs w:val="22"/>
          <w:highlight w:val="none"/>
          <w:lang w:val="en-US" w:eastAsia="zh-CN" w:bidi="ar-SA"/>
        </w:rPr>
        <w:t>1、总则</w:t>
      </w:r>
      <w:bookmarkEnd w:id="70"/>
      <w:bookmarkEnd w:id="71"/>
      <w:bookmarkEnd w:id="72"/>
      <w:bookmarkEnd w:id="73"/>
      <w:bookmarkEnd w:id="74"/>
      <w:bookmarkEnd w:id="75"/>
    </w:p>
    <w:p w14:paraId="3D888F37">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76" w:name="_Toc75729695"/>
      <w:bookmarkStart w:id="77" w:name="_Toc134284591"/>
      <w:bookmarkStart w:id="78" w:name="_Toc21124"/>
      <w:r>
        <w:rPr>
          <w:rFonts w:hint="eastAsia" w:ascii="宋体" w:hAnsi="宋体" w:eastAsia="宋体" w:cs="宋体"/>
          <w:b/>
          <w:color w:val="auto"/>
          <w:kern w:val="2"/>
          <w:sz w:val="22"/>
          <w:szCs w:val="22"/>
          <w:highlight w:val="none"/>
          <w:lang w:val="en-US" w:eastAsia="zh-CN" w:bidi="ar-SA"/>
        </w:rPr>
        <w:t>1.1项目概况</w:t>
      </w:r>
      <w:bookmarkEnd w:id="76"/>
      <w:bookmarkEnd w:id="77"/>
      <w:bookmarkEnd w:id="78"/>
    </w:p>
    <w:p w14:paraId="43FF780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1.1.1项目名称：详见磋商申请人须知前附表。</w:t>
      </w:r>
    </w:p>
    <w:p w14:paraId="56DF4D6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1.1.2项目编号：详见磋商申请人须知前附表。</w:t>
      </w:r>
    </w:p>
    <w:p w14:paraId="527DDD9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1.1.3采购人：详见磋商申请人须知前附表。</w:t>
      </w:r>
    </w:p>
    <w:p w14:paraId="358931A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1.1.4采购代理机构：详见磋商申请人须知前附表。</w:t>
      </w:r>
    </w:p>
    <w:p w14:paraId="11622DB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1.1.5采购需求：详见磋商申请人须知前附表。</w:t>
      </w:r>
    </w:p>
    <w:p w14:paraId="52644D9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1.1.6工期：详见磋商申请人须知前附表。</w:t>
      </w:r>
    </w:p>
    <w:p w14:paraId="08FE4DD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1.1.7建设地点：详见磋商申请人须知前附表。</w:t>
      </w:r>
    </w:p>
    <w:p w14:paraId="054FE63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1.1.8质量要求：详见磋商申请人须知前附表。</w:t>
      </w:r>
    </w:p>
    <w:p w14:paraId="6C4B2EB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1.1.9资格审查方式：详见磋商申请人须知前附表。</w:t>
      </w:r>
    </w:p>
    <w:p w14:paraId="1E245B11">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79" w:name="_Toc134284592"/>
      <w:bookmarkStart w:id="80" w:name="_Toc22576"/>
      <w:bookmarkStart w:id="81" w:name="_Toc75729696"/>
      <w:r>
        <w:rPr>
          <w:rFonts w:hint="eastAsia" w:ascii="宋体" w:hAnsi="宋体" w:eastAsia="宋体" w:cs="宋体"/>
          <w:b/>
          <w:color w:val="auto"/>
          <w:kern w:val="2"/>
          <w:sz w:val="22"/>
          <w:szCs w:val="22"/>
          <w:highlight w:val="none"/>
          <w:lang w:val="en-US" w:eastAsia="zh-CN" w:bidi="ar-SA"/>
        </w:rPr>
        <w:t>1.2资金落实情况、采购预算及最高限价</w:t>
      </w:r>
      <w:bookmarkEnd w:id="79"/>
      <w:bookmarkEnd w:id="80"/>
      <w:bookmarkEnd w:id="81"/>
    </w:p>
    <w:p w14:paraId="6903C58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1.2.1资金落实情况：详见磋商申请人须知前附表。</w:t>
      </w:r>
    </w:p>
    <w:p w14:paraId="03EF3C9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1.2.2采购预算：详见磋商申请人须知前附表。</w:t>
      </w:r>
    </w:p>
    <w:p w14:paraId="6F6B35B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1.2.3最高限价：详见磋商申请人须知前附表。</w:t>
      </w:r>
    </w:p>
    <w:p w14:paraId="6D212DA6">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82" w:name="_Toc24567"/>
      <w:bookmarkStart w:id="83" w:name="_Toc134284593"/>
      <w:bookmarkStart w:id="84" w:name="_Toc75729697"/>
      <w:r>
        <w:rPr>
          <w:rFonts w:hint="eastAsia" w:ascii="宋体" w:hAnsi="宋体" w:eastAsia="宋体" w:cs="宋体"/>
          <w:b/>
          <w:color w:val="auto"/>
          <w:kern w:val="2"/>
          <w:sz w:val="22"/>
          <w:szCs w:val="22"/>
          <w:highlight w:val="none"/>
          <w:lang w:val="en-US" w:eastAsia="zh-CN" w:bidi="ar-SA"/>
        </w:rPr>
        <w:t>1.3需要承担的费用及风险</w:t>
      </w:r>
      <w:bookmarkEnd w:id="82"/>
      <w:bookmarkEnd w:id="83"/>
      <w:bookmarkEnd w:id="84"/>
    </w:p>
    <w:p w14:paraId="27A0E56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1.3.1磋商申请人应承担所有与编写和提交磋商响应文件有关的费用，不论磋商的结果如何，采购人或采购代理在任何情况下均无义务和责任承担这些费用。</w:t>
      </w:r>
    </w:p>
    <w:p w14:paraId="55558F5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1.3.2成交服务费：详见磋商申请人须知前附表。</w:t>
      </w:r>
    </w:p>
    <w:p w14:paraId="4349231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85" w:name="_Toc134284594"/>
      <w:bookmarkStart w:id="86" w:name="_Toc17841"/>
      <w:bookmarkStart w:id="87" w:name="_Toc75729698"/>
      <w:r>
        <w:rPr>
          <w:rFonts w:hint="eastAsia" w:ascii="宋体" w:hAnsi="宋体" w:eastAsia="宋体" w:cs="宋体"/>
          <w:b/>
          <w:color w:val="auto"/>
          <w:kern w:val="2"/>
          <w:sz w:val="22"/>
          <w:szCs w:val="22"/>
          <w:highlight w:val="none"/>
          <w:lang w:val="en-US" w:eastAsia="zh-CN" w:bidi="ar-SA"/>
        </w:rPr>
        <w:t>1.4对磋商申请人的要求</w:t>
      </w:r>
      <w:bookmarkEnd w:id="85"/>
      <w:bookmarkEnd w:id="86"/>
      <w:bookmarkEnd w:id="87"/>
    </w:p>
    <w:p w14:paraId="558485F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1.4.1磋商申请人的资格要求：详见磋商申请人须知前附表。</w:t>
      </w:r>
    </w:p>
    <w:p w14:paraId="744CAB2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1.4.2是否接受联合体：详见磋商申请人须知前附表。如为接受联合体的，联合体磋商申请人除须符合本章第1.4.1条规定外，还须满足以下条件：</w:t>
      </w:r>
    </w:p>
    <w:p w14:paraId="2EEF05B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（1）联合体各方应按磋商文件提供的格式签订联合体协议书，明确联合体牵头人和各方权利义务，并承诺就成交项目向采购人承担连带责任；</w:t>
      </w:r>
    </w:p>
    <w:p w14:paraId="1064DD0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（2）联合体中有同类资质的磋商申请人按照联合体分工承担相同工作的，应当按照资质等级较低的磋商申请人确定资质等级；</w:t>
      </w:r>
    </w:p>
    <w:p w14:paraId="02B7A22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（3）以联合体形式参加政府采购活动的，联合体各方不得再单独参加或者与其他磋商申请人另外组成联合体参加同一合同段下的政府采购活动。</w:t>
      </w:r>
    </w:p>
    <w:p w14:paraId="33ED8FC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1.4.3磋商申请人存在下列情况之一的，磋商无效：</w:t>
      </w:r>
    </w:p>
    <w:p w14:paraId="1DEFDA2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（1）未按照磋商文件的规定提交磋商保证金的（本项目不要求磋商保证金）；</w:t>
      </w:r>
    </w:p>
    <w:p w14:paraId="4FF4B14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（2）磋商响应文件未按磋商文件要求签署、盖章的；</w:t>
      </w:r>
    </w:p>
    <w:p w14:paraId="34FB535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（3）不具备磋商文件中规定的资格要求的；</w:t>
      </w:r>
    </w:p>
    <w:p w14:paraId="2768A2F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（4）报价超过磋商文件中规定的预算金额或者最高限价的；</w:t>
      </w:r>
    </w:p>
    <w:p w14:paraId="79D3BBA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（5）磋商响应文件含有采购人不能接受的附加条件的；</w:t>
      </w:r>
    </w:p>
    <w:p w14:paraId="32D5465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（6）法律、法规和磋商文件规定的其他无效情形。</w:t>
      </w:r>
    </w:p>
    <w:p w14:paraId="0255880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1.4.4有下列情形之一的，视为磋商申请人串通投标，其磋商无效：</w:t>
      </w:r>
    </w:p>
    <w:p w14:paraId="17B731C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（1）不同磋商申请人的磋商响应文件由同一单位或者个人编制；</w:t>
      </w:r>
    </w:p>
    <w:p w14:paraId="7D93AD3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（2）不同磋商申请人委托同一单位或者个人办理磋商事宜；</w:t>
      </w:r>
    </w:p>
    <w:p w14:paraId="4F11EB1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（3）不同磋商申请人的磋商响应文件载明的项目管理成员或者联系人员为同一人；</w:t>
      </w:r>
    </w:p>
    <w:p w14:paraId="52EDBDA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（4）不同磋商申请人的磋商响应文件异常一致或磋商报价呈规律性差异；</w:t>
      </w:r>
    </w:p>
    <w:p w14:paraId="36FEB01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（5）不同磋商申请人的磋商响应文件相互混装；</w:t>
      </w:r>
    </w:p>
    <w:p w14:paraId="03038F6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（6）不同磋商申请人的磋商保证金从同一单位或者个人的账户转出。</w:t>
      </w:r>
    </w:p>
    <w:p w14:paraId="3036E20D">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88" w:name="_Toc1798"/>
      <w:bookmarkStart w:id="89" w:name="_Toc75729699"/>
      <w:bookmarkStart w:id="90" w:name="_Toc134284595"/>
      <w:r>
        <w:rPr>
          <w:rFonts w:hint="eastAsia" w:ascii="宋体" w:hAnsi="宋体" w:eastAsia="宋体" w:cs="宋体"/>
          <w:b/>
          <w:color w:val="auto"/>
          <w:kern w:val="2"/>
          <w:sz w:val="22"/>
          <w:szCs w:val="22"/>
          <w:highlight w:val="none"/>
          <w:lang w:val="en-US" w:eastAsia="zh-CN" w:bidi="ar-SA"/>
        </w:rPr>
        <w:t>1.5保密</w:t>
      </w:r>
      <w:bookmarkEnd w:id="88"/>
      <w:bookmarkEnd w:id="89"/>
      <w:bookmarkEnd w:id="90"/>
    </w:p>
    <w:p w14:paraId="31F3C36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参与本次政府采购活动的各方应对磋商文件和磋商响应文件中的商业和技术等秘密保密，违者应对由此造成的后果承担法律责任。</w:t>
      </w:r>
    </w:p>
    <w:p w14:paraId="454ACDDA">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91" w:name="_Toc28268"/>
      <w:bookmarkStart w:id="92" w:name="_Toc75729700"/>
      <w:bookmarkStart w:id="93" w:name="_Toc134284596"/>
      <w:r>
        <w:rPr>
          <w:rFonts w:hint="eastAsia" w:ascii="宋体" w:hAnsi="宋体" w:eastAsia="宋体" w:cs="宋体"/>
          <w:b/>
          <w:color w:val="auto"/>
          <w:kern w:val="2"/>
          <w:sz w:val="22"/>
          <w:szCs w:val="22"/>
          <w:highlight w:val="none"/>
          <w:lang w:val="en-US" w:eastAsia="zh-CN" w:bidi="ar-SA"/>
        </w:rPr>
        <w:t>1.6语言文字</w:t>
      </w:r>
      <w:bookmarkEnd w:id="91"/>
      <w:bookmarkEnd w:id="92"/>
      <w:bookmarkEnd w:id="93"/>
    </w:p>
    <w:p w14:paraId="16E5B37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提交的磋商响应文件以及磋商申请人与采购代理机构就有关磋商的所有来往函电均应使用中文。磋商申请人可以提交用其他语言的资料，但有关的段落必须翻译成中文，在有差异和矛盾时以中文为准。字体要便于辨识，以正楷、宋体为好。</w:t>
      </w:r>
    </w:p>
    <w:p w14:paraId="7623B6A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用非中文版印刷的服务说明书、技术资料、资格资质证书等，磋商申请人应提供符合中国有关法律、法规的中文译本，并以采购人最终确认的中文译本为准。</w:t>
      </w:r>
    </w:p>
    <w:p w14:paraId="4BD1A467">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94" w:name="_Toc75729701"/>
      <w:bookmarkStart w:id="95" w:name="_Toc27965"/>
      <w:bookmarkStart w:id="96" w:name="_Toc134284597"/>
      <w:r>
        <w:rPr>
          <w:rFonts w:hint="eastAsia" w:ascii="宋体" w:hAnsi="宋体" w:eastAsia="宋体" w:cs="宋体"/>
          <w:b/>
          <w:color w:val="auto"/>
          <w:kern w:val="2"/>
          <w:sz w:val="22"/>
          <w:szCs w:val="22"/>
          <w:highlight w:val="none"/>
          <w:lang w:val="en-US" w:eastAsia="zh-CN" w:bidi="ar-SA"/>
        </w:rPr>
        <w:t>1.7计量单位</w:t>
      </w:r>
      <w:bookmarkEnd w:id="94"/>
      <w:bookmarkEnd w:id="95"/>
      <w:bookmarkEnd w:id="96"/>
    </w:p>
    <w:p w14:paraId="4203FC8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磋商响应文件中所使用的度量衡单位，除磋商文件中有特殊要求外，一律用公制。</w:t>
      </w:r>
    </w:p>
    <w:p w14:paraId="5207EF33">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97" w:name="_Toc134284598"/>
      <w:bookmarkStart w:id="98" w:name="_Toc75729702"/>
      <w:bookmarkStart w:id="99" w:name="_Toc27695"/>
      <w:r>
        <w:rPr>
          <w:rFonts w:hint="eastAsia" w:ascii="宋体" w:hAnsi="宋体" w:eastAsia="宋体" w:cs="宋体"/>
          <w:b/>
          <w:color w:val="auto"/>
          <w:kern w:val="2"/>
          <w:sz w:val="22"/>
          <w:szCs w:val="22"/>
          <w:highlight w:val="none"/>
          <w:lang w:val="en-US" w:eastAsia="zh-CN" w:bidi="ar-SA"/>
        </w:rPr>
        <w:t>1.8现场踏勘</w:t>
      </w:r>
      <w:bookmarkEnd w:id="97"/>
      <w:bookmarkEnd w:id="98"/>
      <w:bookmarkEnd w:id="99"/>
    </w:p>
    <w:p w14:paraId="2E40369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1.8.1采购人是否组织现场踏勘：详见磋商申请人须知前附表。如采购人组织现场踏勘，磋商申请人应遵守如下规定：</w:t>
      </w:r>
    </w:p>
    <w:p w14:paraId="6A52C62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（1）磋商申请人按磋商申请人须知前附表规定的时间和地点到现场进行踏勘；</w:t>
      </w:r>
    </w:p>
    <w:p w14:paraId="534EB42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（2）磋商申请人现场踏勘所发生的费用由磋商申请人自行承担；</w:t>
      </w:r>
    </w:p>
    <w:p w14:paraId="28E1DAD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（3）除采购人原因外，由于现场踏勘给磋商申请人造成的人身伤害或财产损失的，由磋商申请人自行承担；</w:t>
      </w:r>
    </w:p>
    <w:p w14:paraId="1F5E4AF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（4）采购人不对磋商申请人据此作出的判断和决策负责。</w:t>
      </w:r>
    </w:p>
    <w:p w14:paraId="379C96F4">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00" w:name="_Toc28124"/>
      <w:bookmarkStart w:id="101" w:name="_Toc75729703"/>
      <w:bookmarkStart w:id="102" w:name="_Toc134284599"/>
      <w:r>
        <w:rPr>
          <w:rFonts w:hint="eastAsia" w:ascii="宋体" w:hAnsi="宋体" w:eastAsia="宋体" w:cs="宋体"/>
          <w:b/>
          <w:color w:val="auto"/>
          <w:kern w:val="2"/>
          <w:sz w:val="22"/>
          <w:szCs w:val="22"/>
          <w:highlight w:val="none"/>
          <w:lang w:val="en-US" w:eastAsia="zh-CN" w:bidi="ar-SA"/>
        </w:rPr>
        <w:t>1.9磋商答疑会</w:t>
      </w:r>
      <w:bookmarkEnd w:id="100"/>
      <w:bookmarkEnd w:id="101"/>
      <w:bookmarkEnd w:id="102"/>
    </w:p>
    <w:p w14:paraId="06BEDF1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1.9.1采购人是否召开答疑会：详见磋商申请人须知前附表。如采购人召开答疑会的，磋商申请人应遵守如下规定：</w:t>
      </w:r>
    </w:p>
    <w:p w14:paraId="6CECA6B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（1）磋商申请人应按磋商申请人须知前附表规定的时间和形式将提出的问题送达采购人，以便采购人在会议期间澄清；</w:t>
      </w:r>
    </w:p>
    <w:p w14:paraId="3E454B2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（2）磋商申请人不得以任何形式扰乱答疑会秩序。</w:t>
      </w:r>
    </w:p>
    <w:p w14:paraId="70203E8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1.9.2采购人对磋商申请人提出问题的澄清，以磋商申请人须知前附表规定的形式通知所有报名参与本项目的磋商申请人，该澄清内容为磋商文件的组成部分。</w:t>
      </w:r>
    </w:p>
    <w:p w14:paraId="21FC49D8">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03" w:name="_Toc75729704"/>
      <w:bookmarkStart w:id="104" w:name="_Toc134284600"/>
      <w:bookmarkStart w:id="105" w:name="_Toc23357"/>
      <w:r>
        <w:rPr>
          <w:rFonts w:hint="eastAsia" w:ascii="宋体" w:hAnsi="宋体" w:eastAsia="宋体" w:cs="宋体"/>
          <w:b/>
          <w:color w:val="auto"/>
          <w:kern w:val="2"/>
          <w:sz w:val="22"/>
          <w:szCs w:val="22"/>
          <w:highlight w:val="none"/>
          <w:lang w:val="en-US" w:eastAsia="zh-CN" w:bidi="ar-SA"/>
        </w:rPr>
        <w:t>1.10分包</w:t>
      </w:r>
      <w:bookmarkEnd w:id="103"/>
      <w:bookmarkEnd w:id="104"/>
      <w:bookmarkEnd w:id="105"/>
    </w:p>
    <w:p w14:paraId="434AE44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1.10.1采购人是否允许分包：详见磋商申请人须知前附表。如采购人允许分包的，磋商申请人应遵守如下规定：</w:t>
      </w:r>
    </w:p>
    <w:p w14:paraId="234376B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（1）磋商申请人拟在成交后将成交项目的非主体、非关键性工作分包的，应当在磋商响应文件中载明分包承担主体，分包承担主体应当具备相应资质条件且不得再次分包；</w:t>
      </w:r>
    </w:p>
    <w:p w14:paraId="199B1AA3">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（2）除磋商申请人须知前附表规定的非主体、非关键性工作外的其他工作不得分包。</w:t>
      </w:r>
    </w:p>
    <w:p w14:paraId="5E840F64">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06" w:name="_Toc75729705"/>
      <w:bookmarkStart w:id="107" w:name="_Toc12819"/>
      <w:bookmarkStart w:id="108" w:name="_Toc134284601"/>
      <w:r>
        <w:rPr>
          <w:rFonts w:hint="eastAsia" w:ascii="宋体" w:hAnsi="宋体" w:eastAsia="宋体" w:cs="宋体"/>
          <w:b/>
          <w:color w:val="auto"/>
          <w:kern w:val="2"/>
          <w:sz w:val="22"/>
          <w:szCs w:val="22"/>
          <w:highlight w:val="none"/>
          <w:lang w:val="en-US" w:eastAsia="zh-CN" w:bidi="ar-SA"/>
        </w:rPr>
        <w:t>1.11</w:t>
      </w:r>
      <w:bookmarkEnd w:id="106"/>
      <w:bookmarkEnd w:id="107"/>
      <w:bookmarkStart w:id="109" w:name="_Toc11798"/>
      <w:bookmarkStart w:id="110" w:name="_Toc75729706"/>
      <w:r>
        <w:rPr>
          <w:rFonts w:hint="eastAsia" w:ascii="宋体" w:hAnsi="宋体" w:eastAsia="宋体" w:cs="宋体"/>
          <w:b/>
          <w:color w:val="auto"/>
          <w:kern w:val="2"/>
          <w:sz w:val="22"/>
          <w:szCs w:val="22"/>
          <w:highlight w:val="none"/>
          <w:lang w:val="en-US" w:eastAsia="zh-CN" w:bidi="ar-SA"/>
        </w:rPr>
        <w:t>磋商申请人须知前附表中的符号定义</w:t>
      </w:r>
      <w:bookmarkEnd w:id="108"/>
      <w:bookmarkEnd w:id="109"/>
      <w:bookmarkEnd w:id="110"/>
    </w:p>
    <w:p w14:paraId="5739178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“■”代表选择，“□”代表未选择。</w:t>
      </w:r>
    </w:p>
    <w:p w14:paraId="630FE739">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11" w:name="_Toc75729707"/>
      <w:bookmarkStart w:id="112" w:name="_Toc24617"/>
      <w:bookmarkStart w:id="113" w:name="_Toc26908"/>
      <w:bookmarkStart w:id="114" w:name="_Toc134284737"/>
      <w:bookmarkStart w:id="115" w:name="_Toc26900"/>
      <w:bookmarkStart w:id="116" w:name="_Toc134284768"/>
      <w:bookmarkStart w:id="117" w:name="_Toc8328"/>
      <w:r>
        <w:rPr>
          <w:rFonts w:hint="eastAsia" w:ascii="宋体" w:hAnsi="宋体" w:eastAsia="宋体" w:cs="宋体"/>
          <w:b/>
          <w:color w:val="auto"/>
          <w:kern w:val="2"/>
          <w:sz w:val="22"/>
          <w:szCs w:val="22"/>
          <w:highlight w:val="none"/>
          <w:lang w:val="en-US" w:eastAsia="zh-CN" w:bidi="ar-SA"/>
        </w:rPr>
        <w:t>2、磋商文件</w:t>
      </w:r>
      <w:bookmarkEnd w:id="111"/>
      <w:bookmarkEnd w:id="112"/>
      <w:bookmarkEnd w:id="113"/>
      <w:bookmarkEnd w:id="114"/>
      <w:bookmarkEnd w:id="115"/>
      <w:bookmarkEnd w:id="116"/>
    </w:p>
    <w:p w14:paraId="6FAC77BC">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18" w:name="_Toc75729708"/>
      <w:r>
        <w:rPr>
          <w:rFonts w:hint="eastAsia" w:ascii="宋体" w:hAnsi="宋体" w:eastAsia="宋体" w:cs="宋体"/>
          <w:b/>
          <w:snapToGrid w:val="0"/>
          <w:color w:val="auto"/>
          <w:kern w:val="2"/>
          <w:sz w:val="22"/>
          <w:szCs w:val="22"/>
          <w:highlight w:val="none"/>
          <w:lang w:val="en-US" w:eastAsia="zh-CN" w:bidi="ar-SA"/>
        </w:rPr>
        <w:t>2.1磋商文件的组成</w:t>
      </w:r>
      <w:bookmarkEnd w:id="117"/>
      <w:bookmarkEnd w:id="118"/>
    </w:p>
    <w:p w14:paraId="60637E1F">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第一章  竞争性磋商公告</w:t>
      </w:r>
    </w:p>
    <w:p w14:paraId="35EC8F5F">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第二章  供应商须知</w:t>
      </w:r>
    </w:p>
    <w:p w14:paraId="4BDE3B5B">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第三章  合同书样式及主要条款</w:t>
      </w:r>
    </w:p>
    <w:p w14:paraId="2A9F0ABF">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第四章  响应文件格式</w:t>
      </w:r>
    </w:p>
    <w:p w14:paraId="634C3087">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第五章  采购需求</w:t>
      </w:r>
    </w:p>
    <w:p w14:paraId="6DEF16BB">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第六章  磋商程序和方法</w:t>
      </w:r>
    </w:p>
    <w:p w14:paraId="2778A11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注：对磋商文件作出的澄清、修改属磋商文件的组成部分。</w:t>
      </w:r>
    </w:p>
    <w:p w14:paraId="3205A08B">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19" w:name="_Toc16596"/>
      <w:bookmarkStart w:id="120" w:name="_Toc75729709"/>
      <w:r>
        <w:rPr>
          <w:rFonts w:hint="eastAsia" w:ascii="宋体" w:hAnsi="宋体" w:eastAsia="宋体" w:cs="宋体"/>
          <w:b/>
          <w:snapToGrid w:val="0"/>
          <w:color w:val="auto"/>
          <w:kern w:val="2"/>
          <w:sz w:val="22"/>
          <w:szCs w:val="22"/>
          <w:highlight w:val="none"/>
          <w:lang w:val="en-US" w:eastAsia="zh-CN" w:bidi="ar-SA"/>
        </w:rPr>
        <w:t>2.2磋商文件的澄清</w:t>
      </w:r>
      <w:bookmarkEnd w:id="119"/>
      <w:bookmarkEnd w:id="120"/>
    </w:p>
    <w:p w14:paraId="24AF198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bookmarkStart w:id="121" w:name="_Toc19493"/>
      <w:r>
        <w:rPr>
          <w:rFonts w:hint="eastAsia" w:ascii="宋体" w:hAnsi="宋体" w:eastAsia="宋体" w:cs="宋体"/>
          <w:snapToGrid/>
          <w:color w:val="auto"/>
          <w:kern w:val="2"/>
          <w:sz w:val="22"/>
          <w:szCs w:val="22"/>
          <w:highlight w:val="none"/>
          <w:lang w:val="en-US" w:eastAsia="zh-CN" w:bidi="ar-SA"/>
        </w:rPr>
        <w:t>2.2.1任何要求对磋商文件进行澄清的磋商申请人，均应在“磋商申请人须知前附表”规定截止时间前以书面形式（</w:t>
      </w:r>
      <w:r>
        <w:rPr>
          <w:rFonts w:hint="eastAsia" w:ascii="宋体" w:hAnsi="宋体" w:eastAsia="宋体" w:cs="宋体"/>
          <w:b/>
          <w:snapToGrid/>
          <w:color w:val="auto"/>
          <w:kern w:val="2"/>
          <w:sz w:val="22"/>
          <w:szCs w:val="22"/>
          <w:highlight w:val="none"/>
          <w:lang w:val="en-US" w:eastAsia="zh-CN" w:bidi="ar-SA"/>
        </w:rPr>
        <w:t>加盖公章的原件</w:t>
      </w:r>
      <w:r>
        <w:rPr>
          <w:rFonts w:hint="eastAsia" w:ascii="宋体" w:hAnsi="宋体" w:eastAsia="宋体" w:cs="宋体"/>
          <w:snapToGrid/>
          <w:color w:val="auto"/>
          <w:kern w:val="2"/>
          <w:sz w:val="22"/>
          <w:szCs w:val="22"/>
          <w:highlight w:val="none"/>
          <w:lang w:val="en-US" w:eastAsia="zh-CN" w:bidi="ar-SA"/>
        </w:rPr>
        <w:t>）要求采购代理机构澄清，</w:t>
      </w:r>
      <w:r>
        <w:rPr>
          <w:rFonts w:hint="eastAsia" w:ascii="宋体" w:hAnsi="宋体" w:eastAsia="宋体" w:cs="宋体"/>
          <w:b/>
          <w:bCs/>
          <w:snapToGrid/>
          <w:color w:val="auto"/>
          <w:kern w:val="2"/>
          <w:sz w:val="22"/>
          <w:szCs w:val="22"/>
          <w:highlight w:val="none"/>
          <w:lang w:val="en-US" w:eastAsia="zh-CN" w:bidi="ar-SA"/>
        </w:rPr>
        <w:t>截止时间后送达的澄清要求概不接受，由此产生的后果由磋商申请人负责</w:t>
      </w:r>
      <w:r>
        <w:rPr>
          <w:rFonts w:hint="eastAsia" w:ascii="宋体" w:hAnsi="宋体" w:eastAsia="宋体" w:cs="宋体"/>
          <w:snapToGrid/>
          <w:color w:val="auto"/>
          <w:kern w:val="2"/>
          <w:sz w:val="22"/>
          <w:szCs w:val="22"/>
          <w:highlight w:val="none"/>
          <w:lang w:val="en-US" w:eastAsia="zh-CN" w:bidi="ar-SA"/>
        </w:rPr>
        <w:t>。</w:t>
      </w:r>
    </w:p>
    <w:p w14:paraId="1ACC557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2.2.2 采购代理机构将以书面形式答复磋商文件收受人要求澄清的问题。</w:t>
      </w:r>
    </w:p>
    <w:p w14:paraId="78F6DE19">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22" w:name="_Toc75729710"/>
      <w:r>
        <w:rPr>
          <w:rFonts w:hint="eastAsia" w:ascii="宋体" w:hAnsi="宋体" w:eastAsia="宋体" w:cs="宋体"/>
          <w:b/>
          <w:snapToGrid w:val="0"/>
          <w:color w:val="auto"/>
          <w:kern w:val="2"/>
          <w:sz w:val="22"/>
          <w:szCs w:val="22"/>
          <w:highlight w:val="none"/>
          <w:lang w:val="en-US" w:eastAsia="zh-CN" w:bidi="ar-SA"/>
        </w:rPr>
        <w:t>2.3 磋商文件的修改</w:t>
      </w:r>
      <w:bookmarkEnd w:id="121"/>
      <w:bookmarkEnd w:id="122"/>
    </w:p>
    <w:p w14:paraId="2E0FDF6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2.3.1提交磋商响应文件截止之日前，采购代理机构可以对已发出的磋商文件进行必要的澄清或者修改，澄清或者修改的内容作为磋商文件的组成部分。</w:t>
      </w:r>
    </w:p>
    <w:p w14:paraId="2D184C0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2.3.2澄清或者修改的内容可能影响磋商响应文件编制的，采购代理机构将在提交磋商响应文件截止时间5日前，以书面形式通知所有接收磋商文件的磋商申请人。不足5日的，将顺延提交磋商响应文件的截止时间。</w:t>
      </w:r>
    </w:p>
    <w:p w14:paraId="0ED23B59">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23" w:name="_Toc75729711"/>
      <w:bookmarkStart w:id="124" w:name="_Toc31797"/>
      <w:bookmarkStart w:id="125" w:name="_Toc15369"/>
      <w:bookmarkStart w:id="126" w:name="_Toc134284738"/>
      <w:bookmarkStart w:id="127" w:name="_Toc134284769"/>
      <w:r>
        <w:rPr>
          <w:rFonts w:hint="eastAsia" w:ascii="宋体" w:hAnsi="宋体" w:eastAsia="宋体" w:cs="宋体"/>
          <w:b/>
          <w:color w:val="auto"/>
          <w:kern w:val="2"/>
          <w:sz w:val="22"/>
          <w:szCs w:val="22"/>
          <w:highlight w:val="none"/>
          <w:lang w:val="en-US" w:eastAsia="zh-CN" w:bidi="ar-SA"/>
        </w:rPr>
        <w:t>3、磋商响应文件</w:t>
      </w:r>
      <w:bookmarkEnd w:id="123"/>
      <w:bookmarkEnd w:id="124"/>
      <w:bookmarkEnd w:id="125"/>
      <w:bookmarkEnd w:id="126"/>
      <w:bookmarkEnd w:id="127"/>
    </w:p>
    <w:p w14:paraId="456934C8">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28" w:name="_Toc75729712"/>
      <w:r>
        <w:rPr>
          <w:rFonts w:hint="eastAsia" w:ascii="宋体" w:hAnsi="宋体" w:eastAsia="宋体" w:cs="宋体"/>
          <w:b/>
          <w:snapToGrid w:val="0"/>
          <w:color w:val="auto"/>
          <w:kern w:val="2"/>
          <w:sz w:val="22"/>
          <w:szCs w:val="22"/>
          <w:highlight w:val="none"/>
          <w:lang w:val="en-US" w:eastAsia="zh-CN" w:bidi="ar-SA"/>
        </w:rPr>
        <w:t>3.1磋商文件的构成</w:t>
      </w:r>
      <w:bookmarkEnd w:id="128"/>
    </w:p>
    <w:p w14:paraId="6B80C3A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3.1.1磋商申请人应按磋商文件规定的内容和格式编制并提交磋商响应文件：</w:t>
      </w:r>
    </w:p>
    <w:p w14:paraId="4DC85D8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3.1.2磋商响应文件要求包括如下内容（并请严格按照如下顺序装订成册，磋商响应文件</w:t>
      </w:r>
      <w:r>
        <w:rPr>
          <w:rFonts w:hint="eastAsia" w:ascii="宋体" w:hAnsi="宋体" w:eastAsia="宋体" w:cs="宋体"/>
          <w:b/>
          <w:bCs/>
          <w:snapToGrid/>
          <w:color w:val="auto"/>
          <w:kern w:val="2"/>
          <w:sz w:val="22"/>
          <w:szCs w:val="22"/>
          <w:highlight w:val="none"/>
          <w:lang w:val="en-US" w:eastAsia="zh-CN" w:bidi="ar-SA"/>
        </w:rPr>
        <w:t>壹正贰副</w:t>
      </w:r>
      <w:r>
        <w:rPr>
          <w:rFonts w:hint="eastAsia" w:ascii="宋体" w:hAnsi="宋体" w:eastAsia="宋体" w:cs="宋体"/>
          <w:snapToGrid/>
          <w:color w:val="auto"/>
          <w:kern w:val="2"/>
          <w:sz w:val="22"/>
          <w:szCs w:val="22"/>
          <w:highlight w:val="none"/>
          <w:lang w:val="en-US" w:eastAsia="zh-CN" w:bidi="ar-SA"/>
        </w:rPr>
        <w:t>，副本可以是正本的复印件。如果正本与副本不符，以正本为准）。</w:t>
      </w:r>
    </w:p>
    <w:p w14:paraId="75EC23E4">
      <w:pPr>
        <w:pageBreakBefore w:val="0"/>
        <w:widowControl w:val="0"/>
        <w:kinsoku/>
        <w:wordWrap/>
        <w:overflowPunct/>
        <w:topLinePunct w:val="0"/>
        <w:autoSpaceDE/>
        <w:autoSpaceDN/>
        <w:bidi w:val="0"/>
        <w:adjustRightInd/>
        <w:snapToGrid/>
        <w:spacing w:line="480" w:lineRule="exact"/>
        <w:ind w:left="0" w:firstLine="442" w:firstLineChars="200"/>
        <w:jc w:val="both"/>
        <w:textAlignment w:val="auto"/>
        <w:rPr>
          <w:rFonts w:hint="eastAsia" w:ascii="宋体" w:hAnsi="宋体" w:eastAsia="宋体" w:cs="宋体"/>
          <w:b/>
          <w:bCs/>
          <w:snapToGrid/>
          <w:color w:val="auto"/>
          <w:kern w:val="2"/>
          <w:sz w:val="22"/>
          <w:szCs w:val="22"/>
          <w:highlight w:val="none"/>
          <w:lang w:val="en-US" w:eastAsia="zh-CN" w:bidi="ar-SA"/>
        </w:rPr>
      </w:pPr>
      <w:bookmarkStart w:id="129" w:name="_Toc507681128"/>
      <w:bookmarkStart w:id="130" w:name="_Toc16640"/>
      <w:bookmarkStart w:id="131" w:name="Book24"/>
      <w:bookmarkStart w:id="132" w:name="_Toc507672612"/>
      <w:bookmarkStart w:id="133" w:name="_Toc507681048"/>
      <w:bookmarkStart w:id="134" w:name="_Toc14834"/>
      <w:bookmarkStart w:id="135" w:name="_Toc30147354"/>
      <w:bookmarkStart w:id="136" w:name="_Toc507672584"/>
      <w:r>
        <w:rPr>
          <w:rFonts w:hint="eastAsia" w:ascii="宋体" w:hAnsi="宋体" w:eastAsia="宋体" w:cs="宋体"/>
          <w:b/>
          <w:bCs/>
          <w:snapToGrid/>
          <w:color w:val="auto"/>
          <w:kern w:val="2"/>
          <w:sz w:val="22"/>
          <w:szCs w:val="22"/>
          <w:highlight w:val="none"/>
          <w:lang w:val="en-US" w:eastAsia="zh-CN" w:bidi="ar-SA"/>
        </w:rPr>
        <w:t>一、</w:t>
      </w:r>
      <w:bookmarkEnd w:id="129"/>
      <w:bookmarkEnd w:id="130"/>
      <w:bookmarkEnd w:id="131"/>
      <w:bookmarkEnd w:id="132"/>
      <w:bookmarkEnd w:id="133"/>
      <w:bookmarkEnd w:id="134"/>
      <w:bookmarkEnd w:id="135"/>
      <w:bookmarkEnd w:id="136"/>
      <w:r>
        <w:rPr>
          <w:rFonts w:hint="eastAsia" w:ascii="宋体" w:hAnsi="宋体" w:eastAsia="宋体" w:cs="宋体"/>
          <w:snapToGrid/>
          <w:color w:val="auto"/>
          <w:kern w:val="2"/>
          <w:sz w:val="22"/>
          <w:szCs w:val="22"/>
          <w:highlight w:val="none"/>
          <w:lang w:val="en-US" w:eastAsia="zh-CN" w:bidi="ar-SA"/>
        </w:rPr>
        <w:t>资格证明材料</w:t>
      </w:r>
    </w:p>
    <w:p w14:paraId="2716D79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二、报价部分</w:t>
      </w:r>
    </w:p>
    <w:p w14:paraId="333B94B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bookmarkStart w:id="137" w:name="_Toc2894"/>
      <w:bookmarkStart w:id="138" w:name="_Toc29788"/>
      <w:bookmarkStart w:id="139" w:name="_Toc507672613"/>
      <w:bookmarkStart w:id="140" w:name="Book35"/>
      <w:bookmarkStart w:id="141" w:name="_Toc507681049"/>
      <w:bookmarkStart w:id="142" w:name="_Toc30147372"/>
      <w:bookmarkStart w:id="143" w:name="_Toc507681129"/>
      <w:bookmarkStart w:id="144" w:name="_Toc507672585"/>
      <w:r>
        <w:rPr>
          <w:rFonts w:hint="eastAsia" w:ascii="宋体" w:hAnsi="宋体" w:eastAsia="宋体" w:cs="宋体"/>
          <w:snapToGrid/>
          <w:color w:val="auto"/>
          <w:kern w:val="2"/>
          <w:sz w:val="22"/>
          <w:szCs w:val="22"/>
          <w:highlight w:val="none"/>
          <w:lang w:val="en-US" w:eastAsia="zh-CN" w:bidi="ar-SA"/>
        </w:rPr>
        <w:t>三、</w:t>
      </w:r>
      <w:bookmarkEnd w:id="137"/>
      <w:bookmarkEnd w:id="138"/>
      <w:bookmarkEnd w:id="139"/>
      <w:bookmarkEnd w:id="140"/>
      <w:bookmarkEnd w:id="141"/>
      <w:bookmarkEnd w:id="142"/>
      <w:bookmarkEnd w:id="143"/>
      <w:bookmarkEnd w:id="144"/>
      <w:r>
        <w:rPr>
          <w:rFonts w:hint="eastAsia" w:ascii="宋体" w:hAnsi="宋体" w:eastAsia="宋体" w:cs="宋体"/>
          <w:snapToGrid/>
          <w:color w:val="auto"/>
          <w:kern w:val="2"/>
          <w:sz w:val="22"/>
          <w:szCs w:val="22"/>
          <w:highlight w:val="none"/>
          <w:lang w:val="en-US" w:eastAsia="zh-CN" w:bidi="ar-SA"/>
        </w:rPr>
        <w:t>技术和商务部分</w:t>
      </w:r>
    </w:p>
    <w:p w14:paraId="218156E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注：磋商申请人应将以上文件按顺序装订成册，并编写目录和连续页码，否则由此引起的资料丢失采购人及采购代理机构概不负责。</w:t>
      </w:r>
    </w:p>
    <w:p w14:paraId="4037A36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45" w:name="_Toc23749"/>
      <w:bookmarkStart w:id="146" w:name="_Toc75729713"/>
      <w:r>
        <w:rPr>
          <w:rFonts w:hint="eastAsia" w:ascii="宋体" w:hAnsi="宋体" w:eastAsia="宋体" w:cs="宋体"/>
          <w:b/>
          <w:snapToGrid w:val="0"/>
          <w:color w:val="auto"/>
          <w:kern w:val="2"/>
          <w:sz w:val="22"/>
          <w:szCs w:val="22"/>
          <w:highlight w:val="none"/>
          <w:lang w:val="en-US" w:eastAsia="zh-CN" w:bidi="ar-SA"/>
        </w:rPr>
        <w:t>3.2 磋商报价</w:t>
      </w:r>
      <w:bookmarkEnd w:id="145"/>
      <w:bookmarkEnd w:id="146"/>
    </w:p>
    <w:p w14:paraId="52623F4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3.2.1磋商申请人应按第四章“响应文件格式”的要求在磋商响应文件中进行。</w:t>
      </w:r>
    </w:p>
    <w:p w14:paraId="0B17636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3.2.2磋商申请人应充分了解该项目的总体情况以及影响磋商报价的其他要素。</w:t>
      </w:r>
    </w:p>
    <w:p w14:paraId="58CC159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3.2.3采购人设有最高限价的，磋商申请人的磋商报价不得超过最高限价，最高限价详见磋商申请人须知前附表。</w:t>
      </w:r>
    </w:p>
    <w:p w14:paraId="3933730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3.2.4磋商报价必须为人民币含税价（元），应执行国家或行业现行技术经济标准、定额及规范，自行测算出满足采购要求的工程的报价，该报价应符合市场行情并能保证供应商完成履行合同所需的一切工作，</w:t>
      </w:r>
      <w:r>
        <w:rPr>
          <w:rFonts w:hint="eastAsia" w:ascii="宋体" w:hAnsi="宋体" w:eastAsia="宋体" w:cs="宋体"/>
          <w:snapToGrid/>
          <w:kern w:val="2"/>
          <w:sz w:val="22"/>
          <w:szCs w:val="22"/>
          <w:lang w:val="en-US" w:eastAsia="zh-CN" w:bidi="ar-SA"/>
        </w:rPr>
        <w:t>包括：完成该工程所需人工费、材料费（含二次搬运费）、机械费、材料运输、质检（检测）、管理费、利润</w:t>
      </w:r>
      <w:r>
        <w:rPr>
          <w:rFonts w:hint="eastAsia" w:ascii="宋体" w:hAnsi="宋体" w:eastAsia="宋体" w:cs="宋体"/>
          <w:snapToGrid/>
          <w:color w:val="auto"/>
          <w:kern w:val="2"/>
          <w:sz w:val="22"/>
          <w:szCs w:val="22"/>
          <w:highlight w:val="none"/>
          <w:lang w:val="en-US" w:eastAsia="zh-CN" w:bidi="ar-SA"/>
        </w:rPr>
        <w:t>、保险费用及税金、成交服务费、</w:t>
      </w:r>
      <w:r>
        <w:rPr>
          <w:rFonts w:hint="eastAsia" w:ascii="宋体" w:hAnsi="宋体" w:eastAsia="宋体" w:cs="宋体"/>
          <w:snapToGrid/>
          <w:kern w:val="2"/>
          <w:sz w:val="22"/>
          <w:szCs w:val="22"/>
          <w:lang w:val="en-US" w:eastAsia="zh-CN" w:bidi="ar-SA"/>
        </w:rPr>
        <w:t>政策性文件规定费用及完成该项工程细目明示及暗示的全部费用。</w:t>
      </w:r>
      <w:r>
        <w:rPr>
          <w:rFonts w:hint="eastAsia" w:ascii="宋体" w:hAnsi="宋体" w:eastAsia="宋体" w:cs="宋体"/>
          <w:snapToGrid/>
          <w:color w:val="auto"/>
          <w:kern w:val="2"/>
          <w:sz w:val="22"/>
          <w:szCs w:val="22"/>
          <w:highlight w:val="none"/>
          <w:lang w:val="en-US" w:eastAsia="zh-CN" w:bidi="ar-SA"/>
        </w:rPr>
        <w:t>。</w:t>
      </w:r>
    </w:p>
    <w:p w14:paraId="078AF596">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47" w:name="_Toc25950"/>
      <w:bookmarkStart w:id="148" w:name="_Toc75729714"/>
      <w:r>
        <w:rPr>
          <w:rFonts w:hint="eastAsia" w:ascii="宋体" w:hAnsi="宋体" w:eastAsia="宋体" w:cs="宋体"/>
          <w:b/>
          <w:snapToGrid w:val="0"/>
          <w:color w:val="auto"/>
          <w:kern w:val="2"/>
          <w:sz w:val="22"/>
          <w:szCs w:val="22"/>
          <w:highlight w:val="none"/>
          <w:lang w:val="en-US" w:eastAsia="zh-CN" w:bidi="ar-SA"/>
        </w:rPr>
        <w:t>3.3 磋商有效期</w:t>
      </w:r>
      <w:bookmarkEnd w:id="147"/>
      <w:bookmarkEnd w:id="148"/>
    </w:p>
    <w:p w14:paraId="444F9E8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3.3.1磋商有效期：详见磋商申请人须知前附表。</w:t>
      </w:r>
    </w:p>
    <w:p w14:paraId="26FECD8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3.3.2在磋商有效期内，磋商申请人撤销或修改其磋商响应文件的，应承担磋商文件和法律规定的责任。</w:t>
      </w:r>
    </w:p>
    <w:p w14:paraId="3FC3D73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3.3.3出现特殊情况需要延长磋商有效期的，采购人以书面形式通知所有磋商申请人延长磋商有效期。磋商申请人应予以书面答复，同意延长的，应相应延长其磋商保证金的有效期，但不得要求或被允许修改其磋商响应文件；磋商申请人拒绝延长的，其磋商失效，但磋商申请人有权收回其磋商保证金。</w:t>
      </w:r>
    </w:p>
    <w:p w14:paraId="132ED393">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49" w:name="_Toc21177"/>
      <w:bookmarkStart w:id="150" w:name="_Toc75729715"/>
      <w:r>
        <w:rPr>
          <w:rFonts w:hint="eastAsia" w:ascii="宋体" w:hAnsi="宋体" w:eastAsia="宋体" w:cs="宋体"/>
          <w:b/>
          <w:snapToGrid w:val="0"/>
          <w:color w:val="auto"/>
          <w:kern w:val="2"/>
          <w:sz w:val="22"/>
          <w:szCs w:val="22"/>
          <w:highlight w:val="none"/>
          <w:lang w:val="en-US" w:eastAsia="zh-CN" w:bidi="ar-SA"/>
        </w:rPr>
        <w:t>3.4 磋商保证金</w:t>
      </w:r>
      <w:bookmarkEnd w:id="149"/>
      <w:bookmarkEnd w:id="150"/>
      <w:r>
        <w:rPr>
          <w:rFonts w:hint="eastAsia" w:ascii="宋体" w:hAnsi="宋体" w:eastAsia="宋体" w:cs="宋体"/>
          <w:b/>
          <w:snapToGrid w:val="0"/>
          <w:color w:val="auto"/>
          <w:kern w:val="2"/>
          <w:sz w:val="22"/>
          <w:szCs w:val="22"/>
          <w:highlight w:val="none"/>
          <w:lang w:val="en-US" w:eastAsia="zh-CN" w:bidi="ar-SA"/>
        </w:rPr>
        <w:t>（如有）</w:t>
      </w:r>
    </w:p>
    <w:p w14:paraId="16DDFA2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3.4.1磋商申请人在递交磋商响应文件的同时，应按磋商申请人须知前附表规定的金额、形式递交磋商保证金。联合体磋商的，其磋商保证金可以由牵头人递交。</w:t>
      </w:r>
    </w:p>
    <w:p w14:paraId="211F9C9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3.4.2磋商申请人不按本章第3.4.1项要求提交磋商保证金的，其磋商将被视为无效磋商。</w:t>
      </w:r>
    </w:p>
    <w:p w14:paraId="5B63C12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3.4.3采购人或者采购代理机构应当自成交通知书发出之日起5个工作日内退还未成交人的磋商保证金，自采购合同签订之日起5个工作日内退还成交人的磋商保证金或者转为成交人的履约保证金。</w:t>
      </w:r>
    </w:p>
    <w:p w14:paraId="60EFF60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3.4.4有下列情形之一的，磋商保证金将不予退还：</w:t>
      </w:r>
    </w:p>
    <w:p w14:paraId="2371B84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（1）磋商申请人在磋商有效期内撤销磋商响应文件；</w:t>
      </w:r>
    </w:p>
    <w:p w14:paraId="62F05DD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（2）成交人在收到成交通知书后，无正当理由不与采购人订立合同，在签订合同时向采购人提出附加条件，或者不按照磋商文件要求提交履约保证金；</w:t>
      </w:r>
    </w:p>
    <w:p w14:paraId="25957D9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（3）发生磋商申请人须知前附表规定的其他可以不予退还磋商保证金的情形。</w:t>
      </w:r>
    </w:p>
    <w:p w14:paraId="6D21F761">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51" w:name="_Toc17443"/>
      <w:bookmarkStart w:id="152" w:name="_Toc75729716"/>
      <w:r>
        <w:rPr>
          <w:rFonts w:hint="eastAsia" w:ascii="宋体" w:hAnsi="宋体" w:eastAsia="宋体" w:cs="宋体"/>
          <w:b/>
          <w:snapToGrid w:val="0"/>
          <w:color w:val="auto"/>
          <w:kern w:val="2"/>
          <w:sz w:val="22"/>
          <w:szCs w:val="22"/>
          <w:highlight w:val="none"/>
          <w:lang w:val="en-US" w:eastAsia="zh-CN" w:bidi="ar-SA"/>
        </w:rPr>
        <w:t>3.5磋商响应文件的编</w:t>
      </w:r>
      <w:r>
        <w:rPr>
          <w:rFonts w:hint="eastAsia" w:ascii="宋体" w:hAnsi="宋体" w:eastAsia="宋体" w:cs="宋体"/>
          <w:b/>
          <w:color w:val="auto"/>
          <w:kern w:val="2"/>
          <w:sz w:val="22"/>
          <w:szCs w:val="22"/>
          <w:highlight w:val="none"/>
          <w:lang w:val="en-US" w:eastAsia="zh-CN" w:bidi="ar-SA"/>
        </w:rPr>
        <w:t>制</w:t>
      </w:r>
      <w:bookmarkEnd w:id="151"/>
      <w:bookmarkEnd w:id="152"/>
    </w:p>
    <w:p w14:paraId="1D18CF6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3.5.1磋商响应文件应按照第四章“响应文件格式”进行编写。</w:t>
      </w:r>
    </w:p>
    <w:p w14:paraId="15641C9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3.5.2磋商响应文件应当对磋商文件有关采购需求的实质性内容做出响应。磋商响应文件在满足磋商文件实质性要求的基础上，可以提出比磋商文件要求更有利于采购人的承诺。</w:t>
      </w:r>
    </w:p>
    <w:p w14:paraId="3C8C589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3.5.3签字或盖章的具体要求见磋商申请人须知前附表。</w:t>
      </w:r>
    </w:p>
    <w:p w14:paraId="094F223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3.5.4是否要求提交纸质版磋商响应文件：详见磋商申请人须知前附表。如要求提交纸质版磋商响应文件，磋商响应文件的份数详见磋商申请人须知前附表。</w:t>
      </w:r>
    </w:p>
    <w:p w14:paraId="69D9F4C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3.5.5是否要求提交可编辑电子版磋商响应文件：详见磋商申请人须知前附表。如要求提交可编辑电子版磋商响应文件，磋商响应文件的要求详见磋商申请人须知前附表。</w:t>
      </w:r>
      <w:bookmarkStart w:id="153" w:name="_Toc5797"/>
      <w:bookmarkStart w:id="154" w:name="_Toc75729717"/>
      <w:bookmarkStart w:id="155" w:name="_Toc134284739"/>
      <w:bookmarkStart w:id="156" w:name="_Toc134284770"/>
      <w:bookmarkStart w:id="157" w:name="_Toc4426"/>
      <w:r>
        <w:rPr>
          <w:rFonts w:hint="eastAsia" w:ascii="宋体" w:hAnsi="宋体" w:eastAsia="宋体" w:cs="宋体"/>
          <w:b/>
          <w:color w:val="auto"/>
          <w:kern w:val="2"/>
          <w:sz w:val="22"/>
          <w:szCs w:val="22"/>
          <w:highlight w:val="none"/>
          <w:lang w:val="en-US" w:eastAsia="zh-CN" w:bidi="ar-SA"/>
        </w:rPr>
        <w:t>4、</w:t>
      </w:r>
      <w:bookmarkEnd w:id="153"/>
      <w:r>
        <w:rPr>
          <w:rFonts w:hint="eastAsia" w:ascii="宋体" w:hAnsi="宋体" w:eastAsia="宋体" w:cs="宋体"/>
          <w:b/>
          <w:color w:val="auto"/>
          <w:kern w:val="2"/>
          <w:sz w:val="22"/>
          <w:szCs w:val="22"/>
          <w:highlight w:val="none"/>
          <w:lang w:val="en-US" w:eastAsia="zh-CN" w:bidi="ar-SA"/>
        </w:rPr>
        <w:t>磋商文件</w:t>
      </w:r>
      <w:bookmarkEnd w:id="154"/>
      <w:bookmarkEnd w:id="155"/>
      <w:bookmarkEnd w:id="156"/>
      <w:bookmarkEnd w:id="157"/>
    </w:p>
    <w:p w14:paraId="2BE5BB6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58" w:name="_Toc75729718"/>
      <w:bookmarkStart w:id="159" w:name="_Toc29010"/>
      <w:r>
        <w:rPr>
          <w:rFonts w:hint="eastAsia" w:ascii="宋体" w:hAnsi="宋体" w:eastAsia="宋体" w:cs="宋体"/>
          <w:b/>
          <w:color w:val="auto"/>
          <w:kern w:val="2"/>
          <w:sz w:val="22"/>
          <w:szCs w:val="22"/>
          <w:highlight w:val="none"/>
          <w:lang w:val="en-US" w:eastAsia="zh-CN" w:bidi="ar-SA"/>
        </w:rPr>
        <w:t>4.1磋商响应文件的密封与标识</w:t>
      </w:r>
      <w:bookmarkEnd w:id="158"/>
      <w:bookmarkEnd w:id="159"/>
    </w:p>
    <w:p w14:paraId="77BFE99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4.1.1网上递交的磋商响应文件需要对磋商响应文件进行加密。现场递交的U盘或光盘密封在密封袋中，在封口处加盖磋商申请人单位章（鲜章）和密封章。</w:t>
      </w:r>
    </w:p>
    <w:p w14:paraId="1432D53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4.1.2纸质版磋商响应文件和可编辑电子版磋商响应文件可以密封在一个密封袋中，在封口处加盖磋商申请人单位章（鲜章）或密封章。</w:t>
      </w:r>
    </w:p>
    <w:p w14:paraId="46175F3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4.1.3磋商响应文件的封套上应写明的内容见磋商申请人须知前附表。</w:t>
      </w:r>
    </w:p>
    <w:p w14:paraId="7491C3F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4.1.4未按上述要求密封和加写标记的磋商响应文件，采购人不予受理。</w:t>
      </w:r>
    </w:p>
    <w:p w14:paraId="2D3216B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60" w:name="_Toc75729719"/>
      <w:bookmarkStart w:id="161" w:name="_Toc22369"/>
      <w:r>
        <w:rPr>
          <w:rFonts w:hint="eastAsia" w:ascii="宋体" w:hAnsi="宋体" w:eastAsia="宋体" w:cs="宋体"/>
          <w:b/>
          <w:snapToGrid w:val="0"/>
          <w:color w:val="auto"/>
          <w:kern w:val="2"/>
          <w:sz w:val="22"/>
          <w:szCs w:val="22"/>
          <w:highlight w:val="none"/>
          <w:lang w:val="en-US" w:eastAsia="zh-CN" w:bidi="ar-SA"/>
        </w:rPr>
        <w:t>4.2 磋商响应文件的递</w:t>
      </w:r>
      <w:r>
        <w:rPr>
          <w:rFonts w:hint="eastAsia" w:ascii="宋体" w:hAnsi="宋体" w:eastAsia="宋体" w:cs="宋体"/>
          <w:b/>
          <w:color w:val="auto"/>
          <w:kern w:val="2"/>
          <w:sz w:val="22"/>
          <w:szCs w:val="22"/>
          <w:highlight w:val="none"/>
          <w:lang w:val="en-US" w:eastAsia="zh-CN" w:bidi="ar-SA"/>
        </w:rPr>
        <w:t>交</w:t>
      </w:r>
      <w:bookmarkEnd w:id="160"/>
      <w:bookmarkEnd w:id="161"/>
    </w:p>
    <w:p w14:paraId="44CF0DB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4.2.1磋商申请人应在磋商申请人须知前附表规定的磋商截止时间前递交磋商响应文件。</w:t>
      </w:r>
    </w:p>
    <w:p w14:paraId="0ADE1DE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4.2.2除磋商申请人须知前附表另有规定外，磋商申请人所递交的磋商响应文件不予退还。</w:t>
      </w:r>
    </w:p>
    <w:p w14:paraId="1919534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4.2.3逾期送达的磋商响应文件，视为撤回磋商响应文件，采购人不予受理。</w:t>
      </w:r>
    </w:p>
    <w:p w14:paraId="3E721BEE">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62" w:name="_Toc15585"/>
      <w:bookmarkStart w:id="163" w:name="_Toc75729720"/>
      <w:r>
        <w:rPr>
          <w:rFonts w:hint="eastAsia" w:ascii="宋体" w:hAnsi="宋体" w:eastAsia="宋体" w:cs="宋体"/>
          <w:b/>
          <w:color w:val="auto"/>
          <w:kern w:val="2"/>
          <w:sz w:val="22"/>
          <w:szCs w:val="22"/>
          <w:highlight w:val="none"/>
          <w:lang w:val="en-US" w:eastAsia="zh-CN" w:bidi="ar-SA"/>
        </w:rPr>
        <w:t>4.3磋商响应文件的修改与撤回</w:t>
      </w:r>
      <w:bookmarkEnd w:id="162"/>
      <w:bookmarkEnd w:id="163"/>
    </w:p>
    <w:p w14:paraId="7352E64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4.3.1在本章第4.2.1项规定的磋商截止时间前，磋商申请人可以修改或撤回已递交的磋商响应文件，但应以书面形式通知采购人。</w:t>
      </w:r>
    </w:p>
    <w:p w14:paraId="07887E7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4.3.2磋商申请人修改或撤回已递交磋商响应文件的通知，应按照本章第3.5.3项的要求加盖印章。</w:t>
      </w:r>
    </w:p>
    <w:p w14:paraId="144E8223">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4.3.3磋商申请人在磋商截止时间前撤回已提交的磋商响应文件的，采购人或者采购代理机构应当自收到磋商申请人书面撤回通知之日起5个工作日内，退还已收取的磋商保证金，但因磋商申请人自身原因导致无法及时退还的除外。</w:t>
      </w:r>
    </w:p>
    <w:p w14:paraId="08C590F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4.3.4修改的内容为磋商响应文件的组成部分，修改的磋商响应文件应按照本章第3条、第4条的规定进行编制、密封、标记和递交，并标明“修改”字样。</w:t>
      </w:r>
    </w:p>
    <w:p w14:paraId="6E60E967">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64" w:name="_Toc6021"/>
      <w:bookmarkStart w:id="165" w:name="_Toc75729721"/>
      <w:bookmarkStart w:id="166" w:name="_Toc134284740"/>
      <w:bookmarkStart w:id="167" w:name="_Toc134284771"/>
      <w:bookmarkStart w:id="168" w:name="_Toc4667"/>
      <w:bookmarkStart w:id="169" w:name="_Toc6940"/>
      <w:r>
        <w:rPr>
          <w:rFonts w:hint="eastAsia" w:ascii="宋体" w:hAnsi="宋体" w:eastAsia="宋体" w:cs="宋体"/>
          <w:b/>
          <w:color w:val="auto"/>
          <w:kern w:val="2"/>
          <w:sz w:val="22"/>
          <w:szCs w:val="22"/>
          <w:highlight w:val="none"/>
          <w:lang w:val="en-US" w:eastAsia="zh-CN" w:bidi="ar-SA"/>
        </w:rPr>
        <w:t>5、</w:t>
      </w:r>
      <w:bookmarkEnd w:id="164"/>
      <w:r>
        <w:rPr>
          <w:rFonts w:hint="eastAsia" w:ascii="宋体" w:hAnsi="宋体" w:eastAsia="宋体" w:cs="宋体"/>
          <w:b/>
          <w:color w:val="auto"/>
          <w:kern w:val="2"/>
          <w:sz w:val="22"/>
          <w:szCs w:val="22"/>
          <w:highlight w:val="none"/>
          <w:lang w:val="en-US" w:eastAsia="zh-CN" w:bidi="ar-SA"/>
        </w:rPr>
        <w:t>磋商会</w:t>
      </w:r>
      <w:bookmarkEnd w:id="165"/>
      <w:bookmarkEnd w:id="166"/>
      <w:bookmarkEnd w:id="167"/>
      <w:bookmarkEnd w:id="168"/>
      <w:bookmarkEnd w:id="169"/>
    </w:p>
    <w:p w14:paraId="3B4BFA72">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70" w:name="_Toc75729722"/>
      <w:bookmarkStart w:id="171" w:name="_Toc12190"/>
      <w:r>
        <w:rPr>
          <w:rFonts w:hint="eastAsia" w:ascii="宋体" w:hAnsi="宋体" w:eastAsia="宋体" w:cs="宋体"/>
          <w:b/>
          <w:color w:val="auto"/>
          <w:kern w:val="2"/>
          <w:sz w:val="22"/>
          <w:szCs w:val="22"/>
          <w:highlight w:val="none"/>
          <w:lang w:val="en-US" w:eastAsia="zh-CN" w:bidi="ar-SA"/>
        </w:rPr>
        <w:t>5.1磋商时间和地点</w:t>
      </w:r>
      <w:bookmarkEnd w:id="170"/>
      <w:bookmarkEnd w:id="171"/>
    </w:p>
    <w:p w14:paraId="4BB3150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采购人在本章第4.2.1项规定的磋商截止时间（磋商时间）和磋商申请人须知前附表规定的地点进行磋商。</w:t>
      </w:r>
    </w:p>
    <w:p w14:paraId="714F6016">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72" w:name="_Toc75729723"/>
      <w:bookmarkStart w:id="173" w:name="_Toc21235"/>
      <w:r>
        <w:rPr>
          <w:rFonts w:hint="eastAsia" w:ascii="宋体" w:hAnsi="宋体" w:eastAsia="宋体" w:cs="宋体"/>
          <w:b/>
          <w:color w:val="auto"/>
          <w:kern w:val="2"/>
          <w:sz w:val="22"/>
          <w:szCs w:val="22"/>
          <w:highlight w:val="none"/>
          <w:lang w:val="en-US" w:eastAsia="zh-CN" w:bidi="ar-SA"/>
        </w:rPr>
        <w:t>5.2磋商程序</w:t>
      </w:r>
      <w:bookmarkEnd w:id="172"/>
      <w:bookmarkEnd w:id="173"/>
    </w:p>
    <w:p w14:paraId="7C777E5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bookmarkStart w:id="174" w:name="_Toc15106"/>
      <w:r>
        <w:rPr>
          <w:rFonts w:hint="eastAsia" w:ascii="宋体" w:hAnsi="宋体" w:eastAsia="宋体" w:cs="宋体"/>
          <w:snapToGrid/>
          <w:color w:val="auto"/>
          <w:kern w:val="2"/>
          <w:sz w:val="22"/>
          <w:szCs w:val="22"/>
          <w:highlight w:val="none"/>
          <w:lang w:val="en-US" w:eastAsia="zh-CN" w:bidi="ar-SA"/>
        </w:rPr>
        <w:t>主持人按下列程序进行磋商会：</w:t>
      </w:r>
    </w:p>
    <w:p w14:paraId="4680A34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（1）宣布磋商会纪律；</w:t>
      </w:r>
    </w:p>
    <w:p w14:paraId="2A83C40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（2）公布在磋商截止时间前递交磋商响应文件的磋商申请人情况；</w:t>
      </w:r>
    </w:p>
    <w:p w14:paraId="50765A7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（3）介绍各有关人员；</w:t>
      </w:r>
    </w:p>
    <w:p w14:paraId="128C38C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（4）由磋商申请人推举的代表检查密封情况；</w:t>
      </w:r>
    </w:p>
    <w:p w14:paraId="77534DD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（5）磋商申请人代表随机抽取磋商顺序；</w:t>
      </w:r>
    </w:p>
    <w:p w14:paraId="63D853B3">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（6）磋商会结束。</w:t>
      </w:r>
    </w:p>
    <w:p w14:paraId="3501B38F">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75" w:name="_Toc75729724"/>
      <w:r>
        <w:rPr>
          <w:rFonts w:hint="eastAsia" w:ascii="宋体" w:hAnsi="宋体" w:eastAsia="宋体" w:cs="宋体"/>
          <w:b/>
          <w:color w:val="auto"/>
          <w:kern w:val="2"/>
          <w:sz w:val="22"/>
          <w:szCs w:val="22"/>
          <w:highlight w:val="none"/>
          <w:lang w:val="en-US" w:eastAsia="zh-CN" w:bidi="ar-SA"/>
        </w:rPr>
        <w:t>5.3磋商异议</w:t>
      </w:r>
      <w:bookmarkEnd w:id="174"/>
      <w:bookmarkEnd w:id="175"/>
    </w:p>
    <w:p w14:paraId="3508040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5.3.1磋商申请人代表对磋商过程有异议，以及认为采购人、采购代理机构相关工作人员有需要回避的情形的，应当场提出询问或者回避申请。采购人、采购代理机构对磋商申请人代表提出的询问或者回避申请应及时处理，并制作记录。</w:t>
      </w:r>
    </w:p>
    <w:p w14:paraId="76AC0C05">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76" w:name="_Toc75729725"/>
      <w:bookmarkStart w:id="177" w:name="_Toc17889"/>
      <w:bookmarkStart w:id="178" w:name="_Toc3546"/>
      <w:bookmarkStart w:id="179" w:name="_Toc134284741"/>
      <w:bookmarkStart w:id="180" w:name="_Toc22561"/>
      <w:bookmarkStart w:id="181" w:name="_Toc134284772"/>
      <w:r>
        <w:rPr>
          <w:rFonts w:hint="eastAsia" w:ascii="宋体" w:hAnsi="宋体" w:eastAsia="宋体" w:cs="宋体"/>
          <w:b/>
          <w:color w:val="auto"/>
          <w:kern w:val="2"/>
          <w:sz w:val="22"/>
          <w:szCs w:val="22"/>
          <w:highlight w:val="none"/>
          <w:lang w:val="en-US" w:eastAsia="zh-CN" w:bidi="ar-SA"/>
        </w:rPr>
        <w:t>6、资格审查</w:t>
      </w:r>
      <w:bookmarkEnd w:id="176"/>
      <w:bookmarkEnd w:id="177"/>
      <w:bookmarkEnd w:id="178"/>
      <w:bookmarkEnd w:id="179"/>
      <w:bookmarkEnd w:id="180"/>
      <w:bookmarkEnd w:id="181"/>
    </w:p>
    <w:p w14:paraId="45A5DA3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根据相关法律法规规定，磋商结束后，磋商小组对磋商申请人的资格进行审查。</w:t>
      </w:r>
    </w:p>
    <w:p w14:paraId="6E9AE886">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82" w:name="_Toc12470"/>
      <w:bookmarkStart w:id="183" w:name="_Toc17045"/>
      <w:bookmarkStart w:id="184" w:name="_Toc134284742"/>
      <w:bookmarkStart w:id="185" w:name="_Toc75729726"/>
      <w:bookmarkStart w:id="186" w:name="_Toc134284773"/>
      <w:bookmarkStart w:id="187" w:name="_Toc19437"/>
      <w:r>
        <w:rPr>
          <w:rFonts w:hint="eastAsia" w:ascii="宋体" w:hAnsi="宋体" w:eastAsia="宋体" w:cs="宋体"/>
          <w:b/>
          <w:color w:val="auto"/>
          <w:kern w:val="2"/>
          <w:sz w:val="22"/>
          <w:szCs w:val="22"/>
          <w:highlight w:val="none"/>
          <w:lang w:val="en-US" w:eastAsia="zh-CN" w:bidi="ar-SA"/>
        </w:rPr>
        <w:t>7、</w:t>
      </w:r>
      <w:bookmarkEnd w:id="182"/>
      <w:r>
        <w:rPr>
          <w:rFonts w:hint="eastAsia" w:ascii="宋体" w:hAnsi="宋体" w:eastAsia="宋体" w:cs="宋体"/>
          <w:b/>
          <w:color w:val="auto"/>
          <w:kern w:val="2"/>
          <w:sz w:val="22"/>
          <w:szCs w:val="22"/>
          <w:highlight w:val="none"/>
          <w:lang w:val="en-US" w:eastAsia="zh-CN" w:bidi="ar-SA"/>
        </w:rPr>
        <w:t>磋商</w:t>
      </w:r>
      <w:bookmarkEnd w:id="183"/>
      <w:bookmarkEnd w:id="184"/>
      <w:bookmarkEnd w:id="185"/>
      <w:bookmarkEnd w:id="186"/>
      <w:bookmarkEnd w:id="187"/>
    </w:p>
    <w:p w14:paraId="3E7BFC2B">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88" w:name="_Toc170"/>
      <w:bookmarkStart w:id="189" w:name="_Toc75729727"/>
      <w:r>
        <w:rPr>
          <w:rFonts w:hint="eastAsia" w:ascii="宋体" w:hAnsi="宋体" w:eastAsia="宋体" w:cs="宋体"/>
          <w:b/>
          <w:color w:val="auto"/>
          <w:kern w:val="2"/>
          <w:sz w:val="22"/>
          <w:szCs w:val="22"/>
          <w:highlight w:val="none"/>
          <w:lang w:val="en-US" w:eastAsia="zh-CN" w:bidi="ar-SA"/>
        </w:rPr>
        <w:t>7.1</w:t>
      </w:r>
      <w:bookmarkEnd w:id="188"/>
      <w:r>
        <w:rPr>
          <w:rFonts w:hint="eastAsia" w:ascii="宋体" w:hAnsi="宋体" w:eastAsia="宋体" w:cs="宋体"/>
          <w:b/>
          <w:color w:val="auto"/>
          <w:kern w:val="2"/>
          <w:sz w:val="22"/>
          <w:szCs w:val="22"/>
          <w:highlight w:val="none"/>
          <w:lang w:val="en-US" w:eastAsia="zh-CN" w:bidi="ar-SA"/>
        </w:rPr>
        <w:t>磋商小组负责人</w:t>
      </w:r>
      <w:bookmarkEnd w:id="189"/>
    </w:p>
    <w:p w14:paraId="65EA93E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7.1.1磋商由采购人依法组建的磋商小组负责。磋商小组由采购人代表以及有关技术、经济等方面的专家组成。磋商小组成员人数以及技术、经济等方面专家的确定方式详见磋商申请人须知前附表。</w:t>
      </w:r>
    </w:p>
    <w:p w14:paraId="243FA7B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7.1.2磋商小组成员有下列情形之一的，应当回避：</w:t>
      </w:r>
    </w:p>
    <w:p w14:paraId="6438C34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（1）磋商申请人或磋商申请人主要的近亲属；</w:t>
      </w:r>
    </w:p>
    <w:p w14:paraId="22AE697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（2）项目主管部门或者行政监督部门的人员；</w:t>
      </w:r>
    </w:p>
    <w:p w14:paraId="23570CC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（3）与磋商申请人有经济利益关系；</w:t>
      </w:r>
    </w:p>
    <w:p w14:paraId="4257BC4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（4）曾因在招标、磋商以及其他与招标投标有关活动中从事违法行为而受过行政处罚或刑事处罚的；</w:t>
      </w:r>
    </w:p>
    <w:p w14:paraId="4280CB9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（5）与磋商申请人有其他利害关系。</w:t>
      </w:r>
    </w:p>
    <w:p w14:paraId="2E71713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90" w:name="_Toc1831"/>
      <w:bookmarkStart w:id="191" w:name="_Toc75729728"/>
      <w:r>
        <w:rPr>
          <w:rFonts w:hint="eastAsia" w:ascii="宋体" w:hAnsi="宋体" w:eastAsia="宋体" w:cs="宋体"/>
          <w:b/>
          <w:color w:val="auto"/>
          <w:kern w:val="2"/>
          <w:sz w:val="22"/>
          <w:szCs w:val="22"/>
          <w:highlight w:val="none"/>
          <w:lang w:val="en-US" w:eastAsia="zh-CN" w:bidi="ar-SA"/>
        </w:rPr>
        <w:t>7.2磋商原则</w:t>
      </w:r>
      <w:bookmarkEnd w:id="190"/>
      <w:bookmarkEnd w:id="191"/>
    </w:p>
    <w:p w14:paraId="4AEE660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磋商活动遵循公平、公正、科学和择优的原则。</w:t>
      </w:r>
    </w:p>
    <w:p w14:paraId="54B57436">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92" w:name="_Toc28881"/>
      <w:bookmarkStart w:id="193" w:name="_Toc75729729"/>
      <w:r>
        <w:rPr>
          <w:rFonts w:hint="eastAsia" w:ascii="宋体" w:hAnsi="宋体" w:eastAsia="宋体" w:cs="宋体"/>
          <w:b/>
          <w:color w:val="auto"/>
          <w:kern w:val="2"/>
          <w:sz w:val="22"/>
          <w:szCs w:val="22"/>
          <w:highlight w:val="none"/>
          <w:lang w:val="en-US" w:eastAsia="zh-CN" w:bidi="ar-SA"/>
        </w:rPr>
        <w:t>7.3</w:t>
      </w:r>
      <w:bookmarkEnd w:id="192"/>
      <w:r>
        <w:rPr>
          <w:rFonts w:hint="eastAsia" w:ascii="宋体" w:hAnsi="宋体" w:eastAsia="宋体" w:cs="宋体"/>
          <w:b/>
          <w:color w:val="auto"/>
          <w:kern w:val="2"/>
          <w:sz w:val="22"/>
          <w:szCs w:val="22"/>
          <w:highlight w:val="none"/>
          <w:lang w:val="en-US" w:eastAsia="zh-CN" w:bidi="ar-SA"/>
        </w:rPr>
        <w:t>磋商</w:t>
      </w:r>
      <w:bookmarkEnd w:id="193"/>
    </w:p>
    <w:p w14:paraId="4DFE3E13">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7.3.1磋商小组按照第四章“磋商小组、磋商程序、磋商方法和授予合同”规定的方法、磋商因素、标准和程序对磋商响应文件进行磋商。“磋商方法”中没有规定的方法、磋商因素和标准，不作为磋商依据。</w:t>
      </w:r>
    </w:p>
    <w:p w14:paraId="6E054B9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7.3.2磋商完成后，磋商小组应当向采购人提交书面磋商报告和成交候选人名单。磋商小组推荐成交候选人的人数见磋商申请人须知前附表。</w:t>
      </w:r>
    </w:p>
    <w:p w14:paraId="41617FBD">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94" w:name="_Toc5216"/>
      <w:bookmarkStart w:id="195" w:name="_Toc134284743"/>
      <w:bookmarkStart w:id="196" w:name="_Toc23521"/>
      <w:bookmarkStart w:id="197" w:name="_Toc134284774"/>
      <w:bookmarkStart w:id="198" w:name="_Toc828"/>
      <w:bookmarkStart w:id="199" w:name="_Toc75729730"/>
      <w:r>
        <w:rPr>
          <w:rFonts w:hint="eastAsia" w:ascii="宋体" w:hAnsi="宋体" w:eastAsia="宋体" w:cs="宋体"/>
          <w:b/>
          <w:color w:val="auto"/>
          <w:kern w:val="2"/>
          <w:sz w:val="22"/>
          <w:szCs w:val="22"/>
          <w:highlight w:val="none"/>
          <w:lang w:val="en-US" w:eastAsia="zh-CN" w:bidi="ar-SA"/>
        </w:rPr>
        <w:t>8、成交和合同</w:t>
      </w:r>
      <w:bookmarkEnd w:id="194"/>
      <w:bookmarkEnd w:id="195"/>
      <w:bookmarkEnd w:id="196"/>
      <w:bookmarkEnd w:id="197"/>
      <w:bookmarkEnd w:id="198"/>
      <w:bookmarkEnd w:id="199"/>
    </w:p>
    <w:p w14:paraId="1679D5E0">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00" w:name="_Toc75729731"/>
      <w:bookmarkStart w:id="201" w:name="_Toc1082"/>
      <w:r>
        <w:rPr>
          <w:rFonts w:hint="eastAsia" w:ascii="宋体" w:hAnsi="宋体" w:eastAsia="宋体" w:cs="宋体"/>
          <w:b/>
          <w:color w:val="auto"/>
          <w:kern w:val="2"/>
          <w:sz w:val="22"/>
          <w:szCs w:val="22"/>
          <w:highlight w:val="none"/>
          <w:lang w:val="en-US" w:eastAsia="zh-CN" w:bidi="ar-SA"/>
        </w:rPr>
        <w:t>8.1定标</w:t>
      </w:r>
      <w:bookmarkEnd w:id="200"/>
      <w:bookmarkEnd w:id="201"/>
    </w:p>
    <w:p w14:paraId="4C4481E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按照磋商申请人须知前附表的规定，采购人或采购人授权的磋商小组依法确定成交人。</w:t>
      </w:r>
    </w:p>
    <w:p w14:paraId="0A22C05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02" w:name="_Toc27010"/>
      <w:bookmarkStart w:id="203" w:name="_Toc75729732"/>
      <w:r>
        <w:rPr>
          <w:rFonts w:hint="eastAsia" w:ascii="宋体" w:hAnsi="宋体" w:eastAsia="宋体" w:cs="宋体"/>
          <w:b/>
          <w:color w:val="auto"/>
          <w:kern w:val="2"/>
          <w:sz w:val="22"/>
          <w:szCs w:val="22"/>
          <w:highlight w:val="none"/>
          <w:lang w:val="en-US" w:eastAsia="zh-CN" w:bidi="ar-SA"/>
        </w:rPr>
        <w:t>8.2成交公告</w:t>
      </w:r>
      <w:bookmarkEnd w:id="202"/>
      <w:bookmarkEnd w:id="203"/>
    </w:p>
    <w:p w14:paraId="19842FE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8.2.1采购人或者采购代理机构应当自成交人确定之日起2个工作日内，按照磋商申请人须知前附表规定的省级以上财政部门指定的媒介和期限公告成交结果，磋商文件应当随成交结果同时公告。</w:t>
      </w:r>
    </w:p>
    <w:p w14:paraId="1C2653B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8.2.2成交公告期限详见磋商申请人须知前附表。</w:t>
      </w:r>
    </w:p>
    <w:p w14:paraId="20A2A250">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04" w:name="_Toc3554"/>
      <w:bookmarkStart w:id="205" w:name="_Toc75729733"/>
      <w:r>
        <w:rPr>
          <w:rFonts w:hint="eastAsia" w:ascii="宋体" w:hAnsi="宋体" w:eastAsia="宋体" w:cs="宋体"/>
          <w:b/>
          <w:color w:val="auto"/>
          <w:kern w:val="2"/>
          <w:sz w:val="22"/>
          <w:szCs w:val="22"/>
          <w:highlight w:val="none"/>
          <w:lang w:val="en-US" w:eastAsia="zh-CN" w:bidi="ar-SA"/>
        </w:rPr>
        <w:t>8.3成交结果质疑</w:t>
      </w:r>
      <w:bookmarkEnd w:id="204"/>
      <w:bookmarkEnd w:id="205"/>
    </w:p>
    <w:p w14:paraId="5CFB4AD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对成交结果有质疑的，应当在成交结果公告期限届满之日起七个工作日内提出。采购人应当在收到磋商申请人的书面质疑后七个工作日内作出答复，并以书面形式通知质疑磋商申请人，但答复的内容不得涉及商业秘密。</w:t>
      </w:r>
    </w:p>
    <w:p w14:paraId="0EA9CA9D">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06" w:name="_Toc5765"/>
      <w:bookmarkStart w:id="207" w:name="_Toc134284628"/>
      <w:bookmarkStart w:id="208" w:name="_Toc75729734"/>
      <w:r>
        <w:rPr>
          <w:rFonts w:hint="eastAsia" w:ascii="宋体" w:hAnsi="宋体" w:eastAsia="宋体" w:cs="宋体"/>
          <w:b/>
          <w:color w:val="auto"/>
          <w:kern w:val="2"/>
          <w:sz w:val="22"/>
          <w:szCs w:val="22"/>
          <w:highlight w:val="none"/>
          <w:lang w:val="en-US" w:eastAsia="zh-CN" w:bidi="ar-SA"/>
        </w:rPr>
        <w:t>8.4成交通知</w:t>
      </w:r>
      <w:bookmarkEnd w:id="206"/>
      <w:bookmarkEnd w:id="207"/>
      <w:bookmarkEnd w:id="208"/>
    </w:p>
    <w:p w14:paraId="01ABBA9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在本章第3.3项规定的磋商有效期内，在公告成交结果的同时，采购人或者采购代理机构应当向成交人发出成交通知书；对未通过资格审查的磋商申请人，应当告知其未通过的原因。同时应当告知未成交人本人的磋商得分与排序。</w:t>
      </w:r>
    </w:p>
    <w:p w14:paraId="5D81E3E4">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09" w:name="_Toc134284629"/>
      <w:bookmarkStart w:id="210" w:name="_Toc75729735"/>
      <w:bookmarkStart w:id="211" w:name="_Toc1029"/>
      <w:r>
        <w:rPr>
          <w:rFonts w:hint="eastAsia" w:ascii="宋体" w:hAnsi="宋体" w:eastAsia="宋体" w:cs="宋体"/>
          <w:b/>
          <w:color w:val="auto"/>
          <w:kern w:val="2"/>
          <w:sz w:val="22"/>
          <w:szCs w:val="22"/>
          <w:highlight w:val="none"/>
          <w:lang w:val="en-US" w:eastAsia="zh-CN" w:bidi="ar-SA"/>
        </w:rPr>
        <w:t>8.5履约保证金</w:t>
      </w:r>
      <w:bookmarkEnd w:id="209"/>
      <w:bookmarkEnd w:id="210"/>
      <w:bookmarkEnd w:id="211"/>
    </w:p>
    <w:p w14:paraId="4F65F17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8.5.1在签订合同前，成交人应按磋商申请人须知前附表规定的形式、金额向采购人提交履约保证金。联合体成交的，其履约保证金以联合体各方或者联合体牵头人的名义提交。</w:t>
      </w:r>
    </w:p>
    <w:p w14:paraId="492838B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8.5.2成交人不能按本章第8.5.1项要求提交履约保证金，视为放弃成交，其磋商保证金不予退还，给采购人造成的损失超过磋商保证金数额的，成交人还应当对超过部分予以赔偿。</w:t>
      </w:r>
    </w:p>
    <w:p w14:paraId="2EC29C37">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12" w:name="_Toc75729736"/>
      <w:bookmarkStart w:id="213" w:name="_Toc134284630"/>
      <w:bookmarkStart w:id="214" w:name="_Toc11067"/>
      <w:r>
        <w:rPr>
          <w:rFonts w:hint="eastAsia" w:ascii="宋体" w:hAnsi="宋体" w:eastAsia="宋体" w:cs="宋体"/>
          <w:b/>
          <w:color w:val="auto"/>
          <w:kern w:val="2"/>
          <w:sz w:val="22"/>
          <w:szCs w:val="22"/>
          <w:highlight w:val="none"/>
          <w:lang w:val="en-US" w:eastAsia="zh-CN" w:bidi="ar-SA"/>
        </w:rPr>
        <w:t>8.6签订合同</w:t>
      </w:r>
      <w:bookmarkEnd w:id="212"/>
      <w:bookmarkEnd w:id="213"/>
      <w:bookmarkEnd w:id="214"/>
    </w:p>
    <w:p w14:paraId="6080865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8.6.1</w:t>
      </w:r>
      <w:r>
        <w:rPr>
          <w:rFonts w:hint="eastAsia" w:ascii="宋体" w:hAnsi="宋体" w:eastAsia="宋体" w:cs="宋体"/>
          <w:b/>
          <w:bCs/>
          <w:snapToGrid/>
          <w:color w:val="auto"/>
          <w:kern w:val="2"/>
          <w:sz w:val="22"/>
          <w:szCs w:val="22"/>
          <w:highlight w:val="none"/>
          <w:lang w:val="en-US" w:eastAsia="zh-CN" w:bidi="ar-SA"/>
        </w:rPr>
        <w:t>采购人应当自成交通知书发出之日起30日内，按照磋商文件和成交人磋商响应文件的规定，与成交人签订书面合同</w:t>
      </w:r>
      <w:r>
        <w:rPr>
          <w:rFonts w:hint="eastAsia" w:ascii="宋体" w:hAnsi="宋体" w:eastAsia="宋体" w:cs="宋体"/>
          <w:snapToGrid/>
          <w:color w:val="auto"/>
          <w:kern w:val="2"/>
          <w:sz w:val="22"/>
          <w:szCs w:val="22"/>
          <w:highlight w:val="none"/>
          <w:lang w:val="en-US" w:eastAsia="zh-CN" w:bidi="ar-SA"/>
        </w:rPr>
        <w:t>。所签订的合同不得对磋商文件明确的事项和成交人磋商响应文件作实质性修改。采购人不得向成交人提出任何不合理的要求作为签订合同的条件。</w:t>
      </w:r>
    </w:p>
    <w:p w14:paraId="5D2EFE7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8.6.2成交通知书发出后，采购人不得违法改变成交结果，成交人无正当理由不得放弃成交，成交人如因自身原因不按规定与采购人订立合同，则采购人将有权按成交候选人排序重新选定成交人或者重新采购，给采购人造成损失的，还应当予以赔偿，同时依法承担相应法律责任。</w:t>
      </w:r>
    </w:p>
    <w:p w14:paraId="094A9C3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8.6.3联合体成交的，联合体各方应当共同与采购人签订合同，就成交项目向采购人承担连带责任。</w:t>
      </w:r>
    </w:p>
    <w:p w14:paraId="347C7807">
      <w:pPr>
        <w:keepNext/>
        <w:keepLines/>
        <w:pageBreakBefore w:val="0"/>
        <w:widowControl w:val="0"/>
        <w:kinsoku/>
        <w:wordWrap/>
        <w:overflowPunct/>
        <w:topLinePunct w:val="0"/>
        <w:autoSpaceDE/>
        <w:autoSpaceDN/>
        <w:bidi w:val="0"/>
        <w:adjustRightInd/>
        <w:snapToGrid/>
        <w:spacing w:before="0" w:after="0" w:line="480" w:lineRule="exact"/>
        <w:ind w:left="0" w:firstLine="442" w:firstLineChars="200"/>
        <w:jc w:val="both"/>
        <w:textAlignment w:val="auto"/>
        <w:outlineLvl w:val="1"/>
        <w:rPr>
          <w:rFonts w:hint="eastAsia" w:ascii="宋体" w:hAnsi="宋体" w:eastAsia="宋体" w:cs="宋体"/>
          <w:b/>
          <w:color w:val="auto"/>
          <w:kern w:val="2"/>
          <w:sz w:val="22"/>
          <w:szCs w:val="22"/>
          <w:highlight w:val="none"/>
          <w:lang w:val="en-US" w:eastAsia="zh-CN" w:bidi="ar-SA"/>
        </w:rPr>
      </w:pPr>
      <w:bookmarkStart w:id="215" w:name="_Toc19065"/>
      <w:bookmarkStart w:id="216" w:name="_Toc75729737"/>
      <w:bookmarkStart w:id="217" w:name="_Toc134284744"/>
      <w:bookmarkStart w:id="218" w:name="_Toc134284775"/>
      <w:bookmarkStart w:id="219" w:name="_Toc5288"/>
      <w:bookmarkStart w:id="220" w:name="_Toc15271"/>
      <w:r>
        <w:rPr>
          <w:rFonts w:hint="eastAsia" w:ascii="宋体" w:hAnsi="宋体" w:eastAsia="宋体" w:cs="宋体"/>
          <w:b/>
          <w:color w:val="auto"/>
          <w:kern w:val="2"/>
          <w:sz w:val="22"/>
          <w:szCs w:val="22"/>
          <w:highlight w:val="none"/>
          <w:lang w:val="en-US" w:eastAsia="zh-CN" w:bidi="ar-SA"/>
        </w:rPr>
        <w:t>9、纪律和监督</w:t>
      </w:r>
      <w:bookmarkEnd w:id="215"/>
      <w:bookmarkEnd w:id="216"/>
      <w:bookmarkEnd w:id="217"/>
      <w:bookmarkEnd w:id="218"/>
      <w:bookmarkEnd w:id="219"/>
      <w:bookmarkEnd w:id="220"/>
    </w:p>
    <w:p w14:paraId="4025B177">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21" w:name="_Toc28837"/>
      <w:bookmarkStart w:id="222" w:name="_Toc134284632"/>
      <w:bookmarkStart w:id="223" w:name="_Toc75729738"/>
      <w:r>
        <w:rPr>
          <w:rFonts w:hint="eastAsia" w:ascii="宋体" w:hAnsi="宋体" w:eastAsia="宋体" w:cs="宋体"/>
          <w:b/>
          <w:color w:val="auto"/>
          <w:kern w:val="2"/>
          <w:sz w:val="22"/>
          <w:szCs w:val="22"/>
          <w:highlight w:val="none"/>
          <w:lang w:val="en-US" w:eastAsia="zh-CN" w:bidi="ar-SA"/>
        </w:rPr>
        <w:t>9.1对采购人的纪律要求</w:t>
      </w:r>
      <w:bookmarkEnd w:id="221"/>
      <w:bookmarkEnd w:id="222"/>
      <w:bookmarkEnd w:id="223"/>
    </w:p>
    <w:p w14:paraId="1818DC5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（1）采购人不得向磋商申请人索要或者接受其给予的赠品、回扣或者与采购无关的其他商品、服务；</w:t>
      </w:r>
    </w:p>
    <w:p w14:paraId="39EF213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（2）在规定时间内确定成交人；</w:t>
      </w:r>
    </w:p>
    <w:p w14:paraId="200DF67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（3）不得向成交人提出不合理要求作为签订合同条件。</w:t>
      </w:r>
    </w:p>
    <w:p w14:paraId="70600A0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24" w:name="_Toc75729739"/>
      <w:bookmarkStart w:id="225" w:name="_Toc134284633"/>
      <w:bookmarkStart w:id="226" w:name="_Toc13201"/>
      <w:r>
        <w:rPr>
          <w:rFonts w:hint="eastAsia" w:ascii="宋体" w:hAnsi="宋体" w:eastAsia="宋体" w:cs="宋体"/>
          <w:b/>
          <w:color w:val="auto"/>
          <w:kern w:val="2"/>
          <w:sz w:val="22"/>
          <w:szCs w:val="22"/>
          <w:highlight w:val="none"/>
          <w:lang w:val="en-US" w:eastAsia="zh-CN" w:bidi="ar-SA"/>
        </w:rPr>
        <w:t>9.2对磋商申请人的纪律要求</w:t>
      </w:r>
      <w:bookmarkEnd w:id="224"/>
      <w:bookmarkEnd w:id="225"/>
      <w:bookmarkEnd w:id="226"/>
    </w:p>
    <w:p w14:paraId="34F782B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磋商申请人不得相互串通投标或者与采购人串通投标，不得向采购人或者磋商小组成员行贿谋取成交，不得以他人名义投标或者以其他方式弄虚作假骗取成交；磋商申请人不得以任何方式干扰、影响磋商工作。</w:t>
      </w:r>
    </w:p>
    <w:p w14:paraId="2304ED11">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27" w:name="_Toc18194"/>
      <w:bookmarkStart w:id="228" w:name="_Toc134284634"/>
      <w:bookmarkStart w:id="229" w:name="_Toc75729740"/>
      <w:r>
        <w:rPr>
          <w:rFonts w:hint="eastAsia" w:ascii="宋体" w:hAnsi="宋体" w:eastAsia="宋体" w:cs="宋体"/>
          <w:b/>
          <w:color w:val="auto"/>
          <w:kern w:val="2"/>
          <w:sz w:val="22"/>
          <w:szCs w:val="22"/>
          <w:highlight w:val="none"/>
          <w:lang w:val="en-US" w:eastAsia="zh-CN" w:bidi="ar-SA"/>
        </w:rPr>
        <w:t>9.3对磋商小组成员的纪律要求</w:t>
      </w:r>
      <w:bookmarkEnd w:id="227"/>
      <w:bookmarkEnd w:id="228"/>
      <w:bookmarkEnd w:id="229"/>
    </w:p>
    <w:p w14:paraId="09A30B7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磋商小组及其成员不得有下列行为：</w:t>
      </w:r>
    </w:p>
    <w:p w14:paraId="672F54A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（1）确定参与磋商至磋商结束前私自接触磋商申请人；</w:t>
      </w:r>
    </w:p>
    <w:p w14:paraId="4A14091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（2）接受磋商申请人提出的与磋商响应文件不一致的澄清或者说明；</w:t>
      </w:r>
    </w:p>
    <w:p w14:paraId="400A0BF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（3）违反磋商纪律发表倾向性意见或者征询采购人的倾向性意见；</w:t>
      </w:r>
    </w:p>
    <w:p w14:paraId="4BA3261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（4）对需要专业判断的主观磋商因素协商评分；</w:t>
      </w:r>
    </w:p>
    <w:p w14:paraId="318EAD2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（5）在磋商过程中擅离职守，影响磋商程序正常进行的；</w:t>
      </w:r>
    </w:p>
    <w:p w14:paraId="36C3AE2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（6）记录、复制或者带走任何磋商资料；</w:t>
      </w:r>
    </w:p>
    <w:p w14:paraId="00B7547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（7）其他不遵守磋商纪律的行为。</w:t>
      </w:r>
    </w:p>
    <w:p w14:paraId="12F65CC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磋商小组成员有前款第（1）至（5）项行为之一的，其磋商意见无效，并不得获取磋商劳务报酬和报销异地磋商差旅费。</w:t>
      </w:r>
    </w:p>
    <w:p w14:paraId="1B898D6B">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30" w:name="_Toc5360"/>
      <w:bookmarkStart w:id="231" w:name="_Toc134284635"/>
      <w:bookmarkStart w:id="232" w:name="_Toc75729741"/>
      <w:r>
        <w:rPr>
          <w:rFonts w:hint="eastAsia" w:ascii="宋体" w:hAnsi="宋体" w:eastAsia="宋体" w:cs="宋体"/>
          <w:b/>
          <w:color w:val="auto"/>
          <w:kern w:val="2"/>
          <w:sz w:val="22"/>
          <w:szCs w:val="22"/>
          <w:highlight w:val="none"/>
          <w:lang w:val="en-US" w:eastAsia="zh-CN" w:bidi="ar-SA"/>
        </w:rPr>
        <w:t>9.4对磋商活动有关的工作人员的纪律要求</w:t>
      </w:r>
      <w:bookmarkEnd w:id="230"/>
      <w:bookmarkEnd w:id="231"/>
      <w:bookmarkEnd w:id="232"/>
    </w:p>
    <w:p w14:paraId="3D523AF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Cs/>
          <w:snapToGrid/>
          <w:color w:val="auto"/>
          <w:kern w:val="2"/>
          <w:sz w:val="22"/>
          <w:szCs w:val="22"/>
          <w:highlight w:val="none"/>
          <w:lang w:val="en-US" w:eastAsia="zh-CN" w:bidi="ar-SA"/>
        </w:rPr>
      </w:pPr>
      <w:r>
        <w:rPr>
          <w:rFonts w:hint="eastAsia" w:ascii="宋体" w:hAnsi="宋体" w:eastAsia="宋体" w:cs="宋体"/>
          <w:bCs/>
          <w:snapToGrid/>
          <w:color w:val="auto"/>
          <w:kern w:val="2"/>
          <w:sz w:val="22"/>
          <w:szCs w:val="22"/>
          <w:highlight w:val="none"/>
          <w:lang w:val="en-US" w:eastAsia="zh-CN" w:bidi="ar-SA"/>
        </w:rPr>
        <w:t>与磋商活动有关的工作人员不得收受他人的财物或者其他好处，不得向他人透露对磋商响应文件的磋商和比较、成交候选人的推荐情况以及磋商有关的其他情况。在磋商活动中，与磋商活动有关的工作人员不得擅离职守，影响磋商程序正常进行。</w:t>
      </w:r>
    </w:p>
    <w:p w14:paraId="283DE429">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233" w:name="_Toc134284745"/>
      <w:bookmarkStart w:id="234" w:name="_Toc75729742"/>
      <w:bookmarkStart w:id="235" w:name="_Toc29713"/>
      <w:bookmarkStart w:id="236" w:name="_Toc23599"/>
      <w:bookmarkStart w:id="237" w:name="_Toc134284776"/>
      <w:bookmarkStart w:id="238" w:name="_Toc31400"/>
      <w:r>
        <w:rPr>
          <w:rFonts w:hint="eastAsia" w:ascii="宋体" w:hAnsi="宋体" w:eastAsia="宋体" w:cs="宋体"/>
          <w:b/>
          <w:color w:val="auto"/>
          <w:kern w:val="2"/>
          <w:sz w:val="22"/>
          <w:szCs w:val="22"/>
          <w:highlight w:val="none"/>
          <w:lang w:val="en-US" w:eastAsia="zh-CN" w:bidi="ar-SA"/>
        </w:rPr>
        <w:t>10、质疑与投诉</w:t>
      </w:r>
      <w:bookmarkEnd w:id="233"/>
      <w:bookmarkEnd w:id="234"/>
      <w:bookmarkEnd w:id="235"/>
      <w:bookmarkEnd w:id="236"/>
      <w:bookmarkEnd w:id="237"/>
      <w:bookmarkEnd w:id="238"/>
    </w:p>
    <w:p w14:paraId="3E8E348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10.1磋商申请人认为磋商文件、采购过程、成交结果使自己的权益受到损害的，可以在知道或者应知其权益受到损害之日起7个工作日内，以书面形式向采购代理机构或采购人提出质疑。质疑内容不得含有虚假、恶意成分。当事人对自己提出的主张，有责任提供证据，提出质疑时应同时提交相关证据材料和注明事实的确切来源。</w:t>
      </w:r>
    </w:p>
    <w:p w14:paraId="205C144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10.2磋商申请人应知其权益受到损害之日，是指：</w:t>
      </w:r>
    </w:p>
    <w:p w14:paraId="16040CF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（1）对可以质疑的磋商文件提出质疑的，为磋商申请人获取磋商文件之日；</w:t>
      </w:r>
    </w:p>
    <w:p w14:paraId="3B40ACD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（2）对采购过程提出质疑的，为各采购程序环节结束之日；</w:t>
      </w:r>
    </w:p>
    <w:p w14:paraId="5C98075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（3）对成交结果提出质疑的，为成交结果公告期限届满之日。</w:t>
      </w:r>
    </w:p>
    <w:p w14:paraId="33EFB5A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10.3磋商申请人提供的质疑应符合《政府采购质疑和投诉办法》（财政部令第94号）的规定。磋商申请人提供的质疑函（如材料中有外文资料应同时附上中文译本）应当包括以下主要内容：</w:t>
      </w:r>
    </w:p>
    <w:p w14:paraId="565B55E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（1）磋商申请人的姓名或者名称、地址、邮编、联系人及联系电话；</w:t>
      </w:r>
    </w:p>
    <w:p w14:paraId="730B348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（2）质疑项目的名称、编号；</w:t>
      </w:r>
    </w:p>
    <w:p w14:paraId="546AED53">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（3）具体、明确的质疑事项和与质疑事项相关的请求；</w:t>
      </w:r>
    </w:p>
    <w:p w14:paraId="056E83F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（4）事实依据；</w:t>
      </w:r>
    </w:p>
    <w:p w14:paraId="206F633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（5）必要的法律依据；</w:t>
      </w:r>
    </w:p>
    <w:p w14:paraId="3A34F1B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（6）提出的质疑日期。</w:t>
      </w:r>
    </w:p>
    <w:p w14:paraId="7562386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磋商申请人提供的质疑函应当由其法定代表人或者授权代表签字或盖章，并加盖公章。</w:t>
      </w:r>
    </w:p>
    <w:p w14:paraId="6FCC832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10.4采购人、采购代理机构将在收到磋商申请人的书面质疑后7个工作日内作出答复，但答复的内容不涉及商业秘密。</w:t>
      </w:r>
    </w:p>
    <w:p w14:paraId="665C75A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10.5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将相关情况报财政部门备案。</w:t>
      </w:r>
    </w:p>
    <w:p w14:paraId="180E96C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10.6投诉必须首先经过质疑程序。质疑人对采购人、采购代理机构的答复不满意，或者采购人、采购代理机构未在规定的时间内作出答复的，可以在答复期满后15个工作日内书面向同级财政部门提出投诉。</w:t>
      </w:r>
    </w:p>
    <w:p w14:paraId="04E7046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10.7质疑联系方式及地址：见竞争性磋商公告。</w:t>
      </w:r>
    </w:p>
    <w:p w14:paraId="654D5AD7">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239" w:name="_Toc134284746"/>
      <w:bookmarkStart w:id="240" w:name="_Toc25146"/>
      <w:bookmarkStart w:id="241" w:name="_Toc10173"/>
      <w:bookmarkStart w:id="242" w:name="_Toc28613"/>
      <w:bookmarkStart w:id="243" w:name="_Toc134284777"/>
      <w:bookmarkStart w:id="244" w:name="_Toc75729743"/>
      <w:r>
        <w:rPr>
          <w:rFonts w:hint="eastAsia" w:ascii="宋体" w:hAnsi="宋体" w:eastAsia="宋体" w:cs="宋体"/>
          <w:b/>
          <w:color w:val="auto"/>
          <w:kern w:val="2"/>
          <w:sz w:val="22"/>
          <w:szCs w:val="22"/>
          <w:highlight w:val="none"/>
          <w:lang w:val="en-US" w:eastAsia="zh-CN" w:bidi="ar-SA"/>
        </w:rPr>
        <w:t>11、需要补充的其他内容</w:t>
      </w:r>
      <w:bookmarkEnd w:id="239"/>
      <w:bookmarkEnd w:id="240"/>
      <w:bookmarkEnd w:id="241"/>
      <w:bookmarkEnd w:id="242"/>
      <w:bookmarkEnd w:id="243"/>
      <w:bookmarkEnd w:id="244"/>
    </w:p>
    <w:p w14:paraId="7115354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sectPr>
          <w:footerReference r:id="rId6"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napToGrid/>
          <w:color w:val="auto"/>
          <w:kern w:val="2"/>
          <w:sz w:val="22"/>
          <w:szCs w:val="22"/>
          <w:highlight w:val="none"/>
          <w:lang w:val="en-US" w:eastAsia="zh-CN" w:bidi="ar-SA"/>
        </w:rPr>
        <w:t>需要补充的其他内容：详见磋商申请人须知前附表。</w:t>
      </w:r>
    </w:p>
    <w:p w14:paraId="01A29A4C">
      <w:pPr>
        <w:keepNext/>
        <w:widowControl w:val="0"/>
        <w:autoSpaceDE w:val="0"/>
        <w:autoSpaceDN w:val="0"/>
        <w:adjustRightInd w:val="0"/>
        <w:jc w:val="center"/>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bookmarkStart w:id="245" w:name="_Toc86124078"/>
      <w:bookmarkStart w:id="246" w:name="_Toc7857"/>
      <w:bookmarkStart w:id="247" w:name="_Toc15774"/>
      <w:bookmarkStart w:id="248" w:name="_Toc28672"/>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第三章  合同书样式及主要条款</w:t>
      </w:r>
      <w:bookmarkEnd w:id="245"/>
      <w:bookmarkEnd w:id="246"/>
      <w:bookmarkEnd w:id="247"/>
      <w:bookmarkEnd w:id="248"/>
    </w:p>
    <w:p w14:paraId="44D17089">
      <w:pPr>
        <w:keepNext/>
        <w:keepLines/>
        <w:pageBreakBefore w:val="0"/>
        <w:widowControl w:val="0"/>
        <w:kinsoku/>
        <w:wordWrap/>
        <w:overflowPunct/>
        <w:topLinePunct w:val="0"/>
        <w:autoSpaceDE/>
        <w:autoSpaceDN/>
        <w:bidi w:val="0"/>
        <w:adjustRightInd/>
        <w:snapToGrid/>
        <w:spacing w:before="156" w:beforeLines="50" w:after="157" w:afterLines="50" w:line="460" w:lineRule="atLeast"/>
        <w:ind w:firstLine="560" w:firstLineChars="200"/>
        <w:jc w:val="center"/>
        <w:textAlignment w:val="auto"/>
        <w:outlineLvl w:val="1"/>
        <w:rPr>
          <w:rFonts w:hint="eastAsia" w:ascii="黑体" w:hAnsi="黑体" w:eastAsia="黑体" w:cs="黑体"/>
          <w:snapToGrid/>
          <w:color w:val="auto"/>
          <w:kern w:val="0"/>
          <w:sz w:val="28"/>
          <w:szCs w:val="28"/>
          <w:highlight w:val="none"/>
          <w:lang w:val="en-US" w:eastAsia="zh-CN" w:bidi="ar-SA"/>
        </w:rPr>
      </w:pPr>
      <w:bookmarkStart w:id="249" w:name="_Toc7085"/>
      <w:bookmarkStart w:id="250" w:name="_Toc86124079"/>
      <w:bookmarkStart w:id="251" w:name="_Toc11961"/>
      <w:bookmarkStart w:id="252" w:name="_Toc25107"/>
      <w:bookmarkStart w:id="253" w:name="_Toc492340338"/>
      <w:r>
        <w:rPr>
          <w:rFonts w:hint="eastAsia" w:ascii="黑体" w:hAnsi="黑体" w:eastAsia="黑体" w:cs="黑体"/>
          <w:snapToGrid/>
          <w:color w:val="auto"/>
          <w:kern w:val="0"/>
          <w:sz w:val="28"/>
          <w:szCs w:val="28"/>
          <w:highlight w:val="none"/>
          <w:lang w:val="en-US" w:eastAsia="zh-CN" w:bidi="ar-SA"/>
        </w:rPr>
        <w:t>合同条款前附表</w:t>
      </w:r>
      <w:bookmarkEnd w:id="249"/>
      <w:bookmarkEnd w:id="250"/>
      <w:bookmarkEnd w:id="251"/>
      <w:bookmarkEnd w:id="252"/>
      <w:bookmarkEnd w:id="253"/>
    </w:p>
    <w:tbl>
      <w:tblPr>
        <w:tblStyle w:val="7"/>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409E2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7B347AF8">
            <w:pPr>
              <w:widowControl w:val="0"/>
              <w:autoSpaceDE w:val="0"/>
              <w:autoSpaceDN w:val="0"/>
              <w:adjustRightInd w:val="0"/>
              <w:spacing w:line="440" w:lineRule="exact"/>
              <w:jc w:val="center"/>
              <w:rPr>
                <w:rFonts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序号</w:t>
            </w:r>
          </w:p>
        </w:tc>
        <w:tc>
          <w:tcPr>
            <w:tcW w:w="2271" w:type="dxa"/>
            <w:tcBorders>
              <w:bottom w:val="single" w:color="auto" w:sz="4" w:space="0"/>
            </w:tcBorders>
            <w:vAlign w:val="center"/>
          </w:tcPr>
          <w:p w14:paraId="538FA83D">
            <w:pPr>
              <w:widowControl w:val="0"/>
              <w:autoSpaceDE w:val="0"/>
              <w:autoSpaceDN w:val="0"/>
              <w:adjustRightInd w:val="0"/>
              <w:spacing w:line="440" w:lineRule="exact"/>
              <w:jc w:val="center"/>
              <w:rPr>
                <w:rFonts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内   容</w:t>
            </w:r>
          </w:p>
        </w:tc>
        <w:tc>
          <w:tcPr>
            <w:tcW w:w="5548" w:type="dxa"/>
            <w:tcBorders>
              <w:bottom w:val="single" w:color="auto" w:sz="4" w:space="0"/>
            </w:tcBorders>
            <w:vAlign w:val="center"/>
          </w:tcPr>
          <w:p w14:paraId="03A678E2">
            <w:pPr>
              <w:widowControl w:val="0"/>
              <w:autoSpaceDE w:val="0"/>
              <w:autoSpaceDN w:val="0"/>
              <w:adjustRightInd w:val="0"/>
              <w:spacing w:line="440" w:lineRule="exact"/>
              <w:jc w:val="center"/>
              <w:rPr>
                <w:rFonts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要   求</w:t>
            </w:r>
          </w:p>
        </w:tc>
      </w:tr>
      <w:tr w14:paraId="23CF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796C7A3B">
            <w:pPr>
              <w:widowControl w:val="0"/>
              <w:kinsoku/>
              <w:autoSpaceDE/>
              <w:autoSpaceDN/>
              <w:adjustRightInd/>
              <w:snapToGrid/>
              <w:spacing w:line="240" w:lineRule="auto"/>
              <w:jc w:val="center"/>
              <w:textAlignment w:val="auto"/>
              <w:rPr>
                <w:rFonts w:ascii="Times New Roman" w:hAnsi="宋体" w:eastAsia="宋体" w:cs="宋体"/>
                <w:bCs/>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w:t>
            </w:r>
            <w:r>
              <w:rPr>
                <w:rFonts w:hint="eastAsia" w:ascii="Times New Roman" w:hAnsi="宋体" w:eastAsia="宋体" w:cs="宋体"/>
                <w:bCs/>
                <w:snapToGrid/>
                <w:color w:val="auto"/>
                <w:kern w:val="2"/>
                <w:sz w:val="22"/>
                <w:szCs w:val="22"/>
                <w:highlight w:val="none"/>
                <w:lang w:val="en-US" w:eastAsia="zh-CN" w:bidi="ar-SA"/>
              </w:rPr>
              <w:t>1</w:t>
            </w:r>
          </w:p>
        </w:tc>
        <w:tc>
          <w:tcPr>
            <w:tcW w:w="2271" w:type="dxa"/>
            <w:tcBorders>
              <w:top w:val="single" w:color="auto" w:sz="4" w:space="0"/>
              <w:left w:val="single" w:color="auto" w:sz="4" w:space="0"/>
              <w:bottom w:val="single" w:color="auto" w:sz="4" w:space="0"/>
            </w:tcBorders>
            <w:vAlign w:val="center"/>
          </w:tcPr>
          <w:p w14:paraId="1B3CB8CD">
            <w:pPr>
              <w:widowControl w:val="0"/>
              <w:autoSpaceDE/>
              <w:autoSpaceDN/>
              <w:adjustRightInd/>
              <w:spacing w:line="360" w:lineRule="auto"/>
              <w:jc w:val="center"/>
              <w:rPr>
                <w:rFonts w:ascii="宋体" w:hAnsi="宋体" w:eastAsia="宋体" w:cs="Times New Roman"/>
                <w:color w:val="auto"/>
                <w:kern w:val="2"/>
                <w:sz w:val="22"/>
                <w:szCs w:val="22"/>
                <w:highlight w:val="none"/>
                <w:lang w:val="en-US" w:eastAsia="zh-CN" w:bidi="ar-SA"/>
              </w:rPr>
            </w:pPr>
            <w:r>
              <w:rPr>
                <w:rFonts w:hint="eastAsia" w:ascii="宋体" w:hAnsi="宋体" w:eastAsia="宋体" w:cs="Times New Roman"/>
                <w:color w:val="auto"/>
                <w:kern w:val="2"/>
                <w:sz w:val="22"/>
                <w:szCs w:val="22"/>
                <w:highlight w:val="none"/>
                <w:lang w:val="en-US" w:eastAsia="zh-CN" w:bidi="ar-SA"/>
              </w:rPr>
              <w:t>工期</w:t>
            </w:r>
          </w:p>
        </w:tc>
        <w:tc>
          <w:tcPr>
            <w:tcW w:w="5548" w:type="dxa"/>
            <w:tcBorders>
              <w:top w:val="single" w:color="auto" w:sz="4" w:space="0"/>
              <w:left w:val="single" w:color="auto" w:sz="4" w:space="0"/>
              <w:bottom w:val="single" w:color="auto" w:sz="4" w:space="0"/>
            </w:tcBorders>
            <w:vAlign w:val="center"/>
          </w:tcPr>
          <w:p w14:paraId="22A9A114">
            <w:pPr>
              <w:widowControl w:val="0"/>
              <w:autoSpaceDE/>
              <w:autoSpaceDN/>
              <w:adjustRightInd/>
              <w:spacing w:line="360" w:lineRule="auto"/>
              <w:jc w:val="left"/>
              <w:rPr>
                <w:rFonts w:ascii="宋体" w:hAnsi="宋体" w:eastAsia="宋体" w:cs="Times New Roman"/>
                <w:color w:val="auto"/>
                <w:kern w:val="2"/>
                <w:sz w:val="22"/>
                <w:szCs w:val="22"/>
                <w:highlight w:val="none"/>
                <w:lang w:val="en-US" w:eastAsia="zh-CN" w:bidi="ar-SA"/>
              </w:rPr>
            </w:pPr>
            <w:r>
              <w:rPr>
                <w:rFonts w:hint="eastAsia" w:ascii="宋体" w:hAnsi="宋体" w:eastAsia="宋体" w:cs="Times New Roman"/>
                <w:color w:val="auto"/>
                <w:kern w:val="2"/>
                <w:sz w:val="22"/>
                <w:szCs w:val="22"/>
                <w:highlight w:val="none"/>
                <w:lang w:val="en-US" w:eastAsia="zh-CN" w:bidi="ar-SA"/>
              </w:rPr>
              <w:t>90日历天</w:t>
            </w:r>
          </w:p>
        </w:tc>
      </w:tr>
      <w:tr w14:paraId="6E7C7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2" w:type="dxa"/>
            <w:tcBorders>
              <w:top w:val="single" w:color="auto" w:sz="4" w:space="0"/>
            </w:tcBorders>
            <w:vAlign w:val="center"/>
          </w:tcPr>
          <w:p w14:paraId="6C9F4B21">
            <w:pPr>
              <w:widowControl w:val="0"/>
              <w:kinsoku/>
              <w:autoSpaceDE/>
              <w:autoSpaceDN/>
              <w:adjustRightInd/>
              <w:snapToGrid/>
              <w:spacing w:line="240" w:lineRule="auto"/>
              <w:jc w:val="center"/>
              <w:textAlignment w:val="auto"/>
              <w:rPr>
                <w:rFonts w:ascii="Times New Roman" w:hAnsi="宋体" w:eastAsia="宋体" w:cs="宋体"/>
                <w:bCs/>
                <w:snapToGrid/>
                <w:color w:val="auto"/>
                <w:kern w:val="2"/>
                <w:sz w:val="22"/>
                <w:szCs w:val="22"/>
                <w:highlight w:val="none"/>
                <w:lang w:val="en-US" w:eastAsia="zh-CN" w:bidi="ar-SA"/>
              </w:rPr>
            </w:pPr>
            <w:r>
              <w:rPr>
                <w:rFonts w:hint="eastAsia" w:ascii="Times New Roman" w:hAnsi="宋体" w:eastAsia="宋体" w:cs="宋体"/>
                <w:bCs/>
                <w:snapToGrid/>
                <w:color w:val="auto"/>
                <w:kern w:val="2"/>
                <w:sz w:val="22"/>
                <w:szCs w:val="22"/>
                <w:highlight w:val="none"/>
                <w:lang w:val="en-US" w:eastAsia="zh-CN" w:bidi="ar-SA"/>
              </w:rPr>
              <w:t>2</w:t>
            </w:r>
          </w:p>
        </w:tc>
        <w:tc>
          <w:tcPr>
            <w:tcW w:w="2271" w:type="dxa"/>
            <w:tcBorders>
              <w:top w:val="single" w:color="auto" w:sz="4" w:space="0"/>
            </w:tcBorders>
            <w:vAlign w:val="center"/>
          </w:tcPr>
          <w:p w14:paraId="17A39F87">
            <w:pPr>
              <w:widowControl w:val="0"/>
              <w:kinsoku/>
              <w:autoSpaceDE/>
              <w:autoSpaceDN/>
              <w:adjustRightInd/>
              <w:snapToGrid/>
              <w:spacing w:line="400" w:lineRule="exact"/>
              <w:jc w:val="center"/>
              <w:textAlignment w:val="auto"/>
              <w:rPr>
                <w:rFonts w:hint="default"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建设地点</w:t>
            </w:r>
          </w:p>
        </w:tc>
        <w:tc>
          <w:tcPr>
            <w:tcW w:w="5548" w:type="dxa"/>
            <w:tcBorders>
              <w:top w:val="single" w:color="auto" w:sz="4" w:space="0"/>
            </w:tcBorders>
            <w:vAlign w:val="center"/>
          </w:tcPr>
          <w:p w14:paraId="41400043">
            <w:pPr>
              <w:widowControl w:val="0"/>
              <w:kinsoku/>
              <w:autoSpaceDE/>
              <w:autoSpaceDN/>
              <w:adjustRightInd/>
              <w:snapToGrid/>
              <w:spacing w:line="400" w:lineRule="exact"/>
              <w:jc w:val="both"/>
              <w:textAlignment w:val="auto"/>
              <w:rPr>
                <w:rFonts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项目位于耿马县境内。</w:t>
            </w:r>
          </w:p>
        </w:tc>
      </w:tr>
      <w:tr w14:paraId="43BA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2" w:type="dxa"/>
            <w:vAlign w:val="center"/>
          </w:tcPr>
          <w:p w14:paraId="0D277C7E">
            <w:pPr>
              <w:widowControl w:val="0"/>
              <w:kinsoku/>
              <w:autoSpaceDE/>
              <w:autoSpaceDN/>
              <w:adjustRightInd/>
              <w:snapToGrid/>
              <w:spacing w:line="240" w:lineRule="auto"/>
              <w:jc w:val="center"/>
              <w:textAlignment w:val="auto"/>
              <w:rPr>
                <w:rFonts w:ascii="Times New Roman" w:hAnsi="宋体" w:eastAsia="宋体" w:cs="宋体"/>
                <w:bCs/>
                <w:snapToGrid/>
                <w:color w:val="auto"/>
                <w:kern w:val="2"/>
                <w:sz w:val="22"/>
                <w:szCs w:val="22"/>
                <w:highlight w:val="none"/>
                <w:lang w:val="en-US" w:eastAsia="zh-CN" w:bidi="ar-SA"/>
              </w:rPr>
            </w:pPr>
            <w:r>
              <w:rPr>
                <w:rFonts w:hint="eastAsia" w:ascii="Times New Roman" w:hAnsi="宋体" w:eastAsia="宋体" w:cs="宋体"/>
                <w:bCs/>
                <w:snapToGrid/>
                <w:color w:val="auto"/>
                <w:kern w:val="2"/>
                <w:sz w:val="22"/>
                <w:szCs w:val="22"/>
                <w:highlight w:val="none"/>
                <w:lang w:val="en-US" w:eastAsia="zh-CN" w:bidi="ar-SA"/>
              </w:rPr>
              <w:t>▲3</w:t>
            </w:r>
          </w:p>
        </w:tc>
        <w:tc>
          <w:tcPr>
            <w:tcW w:w="2271" w:type="dxa"/>
            <w:vAlign w:val="center"/>
          </w:tcPr>
          <w:p w14:paraId="1514B31E">
            <w:pPr>
              <w:widowControl w:val="0"/>
              <w:kinsoku/>
              <w:autoSpaceDE/>
              <w:autoSpaceDN/>
              <w:adjustRightInd/>
              <w:snapToGrid/>
              <w:spacing w:line="400" w:lineRule="exact"/>
              <w:jc w:val="center"/>
              <w:textAlignment w:val="auto"/>
              <w:rPr>
                <w:rFonts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付款方式</w:t>
            </w:r>
          </w:p>
        </w:tc>
        <w:tc>
          <w:tcPr>
            <w:tcW w:w="5548" w:type="dxa"/>
            <w:vAlign w:val="center"/>
          </w:tcPr>
          <w:p w14:paraId="0CCE639C">
            <w:pPr>
              <w:widowControl w:val="0"/>
              <w:kinsoku/>
              <w:autoSpaceDE/>
              <w:autoSpaceDN/>
              <w:adjustRightInd/>
              <w:snapToGrid/>
              <w:spacing w:line="400" w:lineRule="exact"/>
              <w:jc w:val="left"/>
              <w:textAlignment w:val="auto"/>
              <w:rPr>
                <w:rFonts w:hint="default" w:ascii="宋体" w:hAnsi="宋体" w:eastAsia="宋体" w:cs="宋体"/>
                <w:snapToGrid w:val="0"/>
                <w:color w:val="auto"/>
                <w:kern w:val="0"/>
                <w:sz w:val="22"/>
                <w:szCs w:val="22"/>
                <w:highlight w:val="none"/>
                <w:lang w:val="en-US" w:eastAsia="zh-CN" w:bidi="ar"/>
              </w:rPr>
            </w:pPr>
            <w:r>
              <w:rPr>
                <w:rFonts w:hint="eastAsia" w:ascii="宋体" w:hAnsi="宋体" w:eastAsia="宋体" w:cs="宋体"/>
                <w:snapToGrid w:val="0"/>
                <w:color w:val="auto"/>
                <w:kern w:val="0"/>
                <w:sz w:val="22"/>
                <w:szCs w:val="22"/>
                <w:highlight w:val="none"/>
                <w:lang w:val="en-US" w:eastAsia="zh-CN" w:bidi="ar"/>
              </w:rPr>
              <w:t>双方签订合同时协商。</w:t>
            </w:r>
          </w:p>
        </w:tc>
      </w:tr>
    </w:tbl>
    <w:p w14:paraId="03DB7AB1">
      <w:pPr>
        <w:widowControl w:val="0"/>
        <w:kinsoku/>
        <w:autoSpaceDE/>
        <w:autoSpaceDN/>
        <w:adjustRightInd/>
        <w:snapToGrid/>
        <w:spacing w:line="360" w:lineRule="auto"/>
        <w:jc w:val="both"/>
        <w:textAlignment w:val="auto"/>
        <w:rPr>
          <w:rFonts w:ascii="宋体" w:hAnsi="宋体" w:eastAsia="宋体" w:cs="宋体"/>
          <w:b/>
          <w:bCs/>
          <w:snapToGrid/>
          <w:color w:val="auto"/>
          <w:kern w:val="2"/>
          <w:szCs w:val="24"/>
          <w:highlight w:val="none"/>
          <w:lang w:val="en-US" w:eastAsia="zh-CN" w:bidi="ar-SA"/>
        </w:rPr>
      </w:pPr>
    </w:p>
    <w:p w14:paraId="1E5387C4">
      <w:pPr>
        <w:widowControl w:val="0"/>
        <w:kinsoku/>
        <w:autoSpaceDE/>
        <w:autoSpaceDN/>
        <w:adjustRightInd/>
        <w:snapToGrid/>
        <w:spacing w:line="240" w:lineRule="auto"/>
        <w:jc w:val="both"/>
        <w:textAlignment w:val="auto"/>
        <w:rPr>
          <w:rFonts w:ascii="Times New Roman" w:hAnsi="Times New Roman" w:eastAsia="宋体" w:cs="Times New Roman"/>
          <w:snapToGrid/>
          <w:color w:val="auto"/>
          <w:kern w:val="2"/>
          <w:sz w:val="84"/>
          <w:szCs w:val="84"/>
          <w:highlight w:val="none"/>
          <w:lang w:val="en-US" w:eastAsia="zh-CN" w:bidi="ar-SA"/>
        </w:rPr>
      </w:pPr>
      <w:r>
        <w:rPr>
          <w:rFonts w:ascii="宋体" w:hAnsi="宋体" w:eastAsia="宋体" w:cs="宋体"/>
          <w:b/>
          <w:snapToGrid/>
          <w:color w:val="auto"/>
          <w:kern w:val="2"/>
          <w:sz w:val="84"/>
          <w:szCs w:val="84"/>
          <w:highlight w:val="none"/>
          <w:lang w:val="en-US" w:eastAsia="zh-CN" w:bidi="ar-SA"/>
        </w:rPr>
        <w:br w:type="page"/>
      </w:r>
    </w:p>
    <w:tbl>
      <w:tblPr>
        <w:tblStyle w:val="7"/>
        <w:tblW w:w="9751" w:type="dxa"/>
        <w:jc w:val="center"/>
        <w:tblCellSpacing w:w="0" w:type="dxa"/>
        <w:tblLayout w:type="fixed"/>
        <w:tblCellMar>
          <w:top w:w="0" w:type="dxa"/>
          <w:left w:w="0" w:type="dxa"/>
          <w:bottom w:w="0" w:type="dxa"/>
          <w:right w:w="0" w:type="dxa"/>
        </w:tblCellMar>
      </w:tblPr>
      <w:tblGrid>
        <w:gridCol w:w="9751"/>
      </w:tblGrid>
      <w:tr w14:paraId="497A66DD">
        <w:tblPrEx>
          <w:tblCellMar>
            <w:top w:w="0" w:type="dxa"/>
            <w:left w:w="0" w:type="dxa"/>
            <w:bottom w:w="0" w:type="dxa"/>
            <w:right w:w="0" w:type="dxa"/>
          </w:tblCellMar>
        </w:tblPrEx>
        <w:trPr>
          <w:tblCellSpacing w:w="0" w:type="dxa"/>
          <w:jc w:val="center"/>
        </w:trPr>
        <w:tc>
          <w:tcPr>
            <w:tcW w:w="9751" w:type="dxa"/>
            <w:vAlign w:val="center"/>
          </w:tcPr>
          <w:tbl>
            <w:tblPr>
              <w:tblStyle w:val="7"/>
              <w:tblW w:w="9750" w:type="dxa"/>
              <w:tblCellSpacing w:w="0" w:type="dxa"/>
              <w:tblInd w:w="0" w:type="dxa"/>
              <w:tblLayout w:type="fixed"/>
              <w:tblCellMar>
                <w:top w:w="0" w:type="dxa"/>
                <w:left w:w="0" w:type="dxa"/>
                <w:bottom w:w="0" w:type="dxa"/>
                <w:right w:w="0" w:type="dxa"/>
              </w:tblCellMar>
            </w:tblPr>
            <w:tblGrid>
              <w:gridCol w:w="1236"/>
              <w:gridCol w:w="2116"/>
              <w:gridCol w:w="1441"/>
              <w:gridCol w:w="879"/>
              <w:gridCol w:w="1006"/>
              <w:gridCol w:w="1191"/>
              <w:gridCol w:w="1881"/>
            </w:tblGrid>
            <w:tr w14:paraId="52A16C0C">
              <w:tblPrEx>
                <w:tblCellMar>
                  <w:top w:w="0" w:type="dxa"/>
                  <w:left w:w="0" w:type="dxa"/>
                  <w:bottom w:w="0" w:type="dxa"/>
                  <w:right w:w="0" w:type="dxa"/>
                </w:tblCellMar>
              </w:tblPrEx>
              <w:trPr>
                <w:tblCellSpacing w:w="0" w:type="dxa"/>
              </w:trPr>
              <w:tc>
                <w:tcPr>
                  <w:tcW w:w="1236" w:type="dxa"/>
                  <w:vAlign w:val="center"/>
                </w:tcPr>
                <w:p w14:paraId="33D77067">
                  <w:pPr>
                    <w:widowControl/>
                    <w:kinsoku/>
                    <w:autoSpaceDE/>
                    <w:autoSpaceDN/>
                    <w:adjustRightInd/>
                    <w:snapToGrid/>
                    <w:spacing w:line="240" w:lineRule="auto"/>
                    <w:jc w:val="left"/>
                    <w:textAlignment w:val="auto"/>
                    <w:rPr>
                      <w:rFonts w:ascii="Times New Roman" w:hAnsi="宋体" w:eastAsia="宋体" w:cs="宋体"/>
                      <w:snapToGrid/>
                      <w:color w:val="auto"/>
                      <w:kern w:val="2"/>
                      <w:szCs w:val="24"/>
                      <w:highlight w:val="none"/>
                      <w:lang w:val="en-US" w:eastAsia="zh-CN" w:bidi="ar-SA"/>
                    </w:rPr>
                  </w:pPr>
                  <w:bookmarkStart w:id="254" w:name="_Toc472430489"/>
                  <w:r>
                    <w:rPr>
                      <w:rFonts w:hint="eastAsia" w:ascii="宋体" w:hAnsi="宋体" w:eastAsia="宋体" w:cs="宋体"/>
                      <w:snapToGrid/>
                      <w:color w:val="auto"/>
                      <w:kern w:val="0"/>
                      <w:sz w:val="32"/>
                      <w:szCs w:val="24"/>
                      <w:highlight w:val="none"/>
                      <w:lang w:val="en-US" w:eastAsia="zh-CN" w:bidi="ar-SA"/>
                    </w:rPr>
                    <w:br w:type="page"/>
                  </w:r>
                  <w:r>
                    <w:rPr>
                      <w:rFonts w:hint="eastAsia" w:ascii="Times New Roman" w:hAnsi="宋体" w:eastAsia="宋体" w:cs="宋体"/>
                      <w:snapToGrid/>
                      <w:color w:val="auto"/>
                      <w:kern w:val="0"/>
                      <w:sz w:val="24"/>
                      <w:szCs w:val="24"/>
                      <w:highlight w:val="none"/>
                      <w:lang w:val="en-US" w:eastAsia="zh-CN" w:bidi="ar-SA"/>
                    </w:rPr>
                    <w:t>合</w:t>
                  </w:r>
                  <w:bookmarkEnd w:id="254"/>
                  <w:r>
                    <w:rPr>
                      <w:rFonts w:hint="eastAsia" w:ascii="Times New Roman" w:hAnsi="宋体" w:eastAsia="宋体" w:cs="宋体"/>
                      <w:snapToGrid/>
                      <w:color w:val="auto"/>
                      <w:kern w:val="0"/>
                      <w:sz w:val="24"/>
                      <w:szCs w:val="24"/>
                      <w:highlight w:val="none"/>
                      <w:lang w:val="en-US" w:eastAsia="zh-CN" w:bidi="ar-SA"/>
                    </w:rPr>
                    <w:t>同编号：</w:t>
                  </w:r>
                </w:p>
              </w:tc>
              <w:tc>
                <w:tcPr>
                  <w:tcW w:w="2116" w:type="dxa"/>
                  <w:vAlign w:val="center"/>
                </w:tcPr>
                <w:p w14:paraId="6CC324A9">
                  <w:pPr>
                    <w:widowControl/>
                    <w:kinsoku/>
                    <w:autoSpaceDE/>
                    <w:autoSpaceDN/>
                    <w:adjustRightInd/>
                    <w:snapToGrid/>
                    <w:spacing w:line="240" w:lineRule="auto"/>
                    <w:jc w:val="left"/>
                    <w:textAlignment w:val="auto"/>
                    <w:rPr>
                      <w:rFonts w:ascii="Times New Roman" w:hAnsi="宋体" w:eastAsia="宋体" w:cs="宋体"/>
                      <w:snapToGrid/>
                      <w:color w:val="auto"/>
                      <w:kern w:val="2"/>
                      <w:szCs w:val="24"/>
                      <w:highlight w:val="none"/>
                      <w:lang w:val="en-US" w:eastAsia="zh-CN" w:bidi="ar-SA"/>
                    </w:rPr>
                  </w:pPr>
                </w:p>
              </w:tc>
              <w:tc>
                <w:tcPr>
                  <w:tcW w:w="1441" w:type="dxa"/>
                  <w:vAlign w:val="center"/>
                </w:tcPr>
                <w:p w14:paraId="42A82DDA">
                  <w:pPr>
                    <w:widowControl/>
                    <w:kinsoku/>
                    <w:autoSpaceDE/>
                    <w:autoSpaceDN/>
                    <w:adjustRightInd/>
                    <w:snapToGrid/>
                    <w:spacing w:line="240" w:lineRule="auto"/>
                    <w:jc w:val="right"/>
                    <w:textAlignment w:val="auto"/>
                    <w:rPr>
                      <w:rFonts w:ascii="Times New Roman" w:hAnsi="宋体" w:eastAsia="宋体" w:cs="宋体"/>
                      <w:snapToGrid/>
                      <w:color w:val="auto"/>
                      <w:kern w:val="2"/>
                      <w:szCs w:val="24"/>
                      <w:highlight w:val="none"/>
                      <w:lang w:val="en-US" w:eastAsia="zh-CN" w:bidi="ar-SA"/>
                    </w:rPr>
                  </w:pPr>
                  <w:r>
                    <w:rPr>
                      <w:rFonts w:hint="eastAsia" w:ascii="Times New Roman" w:hAnsi="宋体" w:eastAsia="宋体" w:cs="宋体"/>
                      <w:snapToGrid/>
                      <w:color w:val="auto"/>
                      <w:kern w:val="0"/>
                      <w:sz w:val="24"/>
                      <w:szCs w:val="24"/>
                      <w:highlight w:val="none"/>
                      <w:lang w:val="en-US" w:eastAsia="zh-CN" w:bidi="ar-SA"/>
                    </w:rPr>
                    <w:t>合同自编号：</w:t>
                  </w:r>
                </w:p>
              </w:tc>
              <w:tc>
                <w:tcPr>
                  <w:tcW w:w="879" w:type="dxa"/>
                  <w:vAlign w:val="center"/>
                </w:tcPr>
                <w:p w14:paraId="0B3E7244">
                  <w:pPr>
                    <w:widowControl w:val="0"/>
                    <w:kinsoku/>
                    <w:autoSpaceDE/>
                    <w:autoSpaceDN/>
                    <w:adjustRightInd/>
                    <w:snapToGrid/>
                    <w:spacing w:line="240" w:lineRule="auto"/>
                    <w:jc w:val="both"/>
                    <w:textAlignment w:val="auto"/>
                    <w:rPr>
                      <w:rFonts w:ascii="Times New Roman" w:hAnsi="宋体" w:eastAsia="宋体" w:cs="宋体"/>
                      <w:snapToGrid/>
                      <w:color w:val="auto"/>
                      <w:kern w:val="2"/>
                      <w:sz w:val="24"/>
                      <w:szCs w:val="24"/>
                      <w:highlight w:val="none"/>
                      <w:lang w:val="en-US" w:eastAsia="zh-CN" w:bidi="ar-SA"/>
                    </w:rPr>
                  </w:pPr>
                </w:p>
              </w:tc>
              <w:tc>
                <w:tcPr>
                  <w:tcW w:w="1006" w:type="dxa"/>
                  <w:vAlign w:val="center"/>
                </w:tcPr>
                <w:p w14:paraId="064BAE77">
                  <w:pPr>
                    <w:widowControl w:val="0"/>
                    <w:kinsoku/>
                    <w:autoSpaceDE/>
                    <w:autoSpaceDN/>
                    <w:adjustRightInd/>
                    <w:snapToGrid/>
                    <w:spacing w:line="240" w:lineRule="auto"/>
                    <w:jc w:val="both"/>
                    <w:textAlignment w:val="auto"/>
                    <w:rPr>
                      <w:rFonts w:ascii="Times New Roman" w:hAnsi="宋体" w:eastAsia="宋体" w:cs="宋体"/>
                      <w:snapToGrid/>
                      <w:color w:val="auto"/>
                      <w:kern w:val="2"/>
                      <w:sz w:val="24"/>
                      <w:szCs w:val="24"/>
                      <w:highlight w:val="none"/>
                      <w:lang w:val="en-US" w:eastAsia="zh-CN" w:bidi="ar-SA"/>
                    </w:rPr>
                  </w:pPr>
                </w:p>
              </w:tc>
              <w:tc>
                <w:tcPr>
                  <w:tcW w:w="1191" w:type="dxa"/>
                  <w:vAlign w:val="center"/>
                </w:tcPr>
                <w:p w14:paraId="79EC8C76">
                  <w:pPr>
                    <w:widowControl/>
                    <w:spacing w:before="100" w:beforeAutospacing="1" w:after="100" w:afterAutospacing="1"/>
                    <w:jc w:val="left"/>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项目编号：</w:t>
                  </w:r>
                </w:p>
              </w:tc>
              <w:tc>
                <w:tcPr>
                  <w:tcW w:w="1881" w:type="dxa"/>
                  <w:vAlign w:val="center"/>
                </w:tcPr>
                <w:p w14:paraId="121D67AF">
                  <w:pPr>
                    <w:widowControl w:val="0"/>
                    <w:kinsoku/>
                    <w:autoSpaceDE/>
                    <w:autoSpaceDN/>
                    <w:adjustRightInd/>
                    <w:snapToGrid/>
                    <w:spacing w:line="240" w:lineRule="auto"/>
                    <w:jc w:val="both"/>
                    <w:textAlignment w:val="auto"/>
                    <w:rPr>
                      <w:rFonts w:ascii="Times New Roman" w:hAnsi="宋体" w:eastAsia="宋体" w:cs="宋体"/>
                      <w:snapToGrid/>
                      <w:color w:val="auto"/>
                      <w:kern w:val="2"/>
                      <w:sz w:val="24"/>
                      <w:szCs w:val="24"/>
                      <w:highlight w:val="none"/>
                      <w:lang w:val="en-US" w:eastAsia="zh-CN" w:bidi="ar-SA"/>
                    </w:rPr>
                  </w:pPr>
                </w:p>
                <w:p w14:paraId="5261DDB9">
                  <w:pPr>
                    <w:widowControl w:val="0"/>
                    <w:kinsoku/>
                    <w:autoSpaceDE/>
                    <w:autoSpaceDN/>
                    <w:adjustRightInd/>
                    <w:snapToGrid/>
                    <w:spacing w:line="240" w:lineRule="auto"/>
                    <w:jc w:val="both"/>
                    <w:textAlignment w:val="auto"/>
                    <w:rPr>
                      <w:rFonts w:ascii="Times New Roman" w:hAnsi="宋体" w:eastAsia="宋体" w:cs="宋体"/>
                      <w:snapToGrid/>
                      <w:color w:val="auto"/>
                      <w:kern w:val="2"/>
                      <w:sz w:val="24"/>
                      <w:szCs w:val="24"/>
                      <w:highlight w:val="none"/>
                      <w:lang w:val="en-US" w:eastAsia="zh-CN" w:bidi="ar-SA"/>
                    </w:rPr>
                  </w:pPr>
                </w:p>
                <w:p w14:paraId="0D0DAFC1">
                  <w:pPr>
                    <w:widowControl w:val="0"/>
                    <w:kinsoku/>
                    <w:autoSpaceDE/>
                    <w:autoSpaceDN/>
                    <w:adjustRightInd/>
                    <w:snapToGrid/>
                    <w:spacing w:line="240" w:lineRule="auto"/>
                    <w:jc w:val="both"/>
                    <w:textAlignment w:val="auto"/>
                    <w:rPr>
                      <w:rFonts w:ascii="Times New Roman" w:hAnsi="宋体" w:eastAsia="宋体" w:cs="宋体"/>
                      <w:snapToGrid/>
                      <w:color w:val="auto"/>
                      <w:kern w:val="2"/>
                      <w:sz w:val="24"/>
                      <w:szCs w:val="24"/>
                      <w:highlight w:val="none"/>
                      <w:lang w:val="en-US" w:eastAsia="zh-CN" w:bidi="ar-SA"/>
                    </w:rPr>
                  </w:pPr>
                </w:p>
              </w:tc>
            </w:tr>
          </w:tbl>
          <w:p w14:paraId="5B8E1638">
            <w:pPr>
              <w:widowControl/>
              <w:kinsoku/>
              <w:autoSpaceDE/>
              <w:autoSpaceDN/>
              <w:adjustRightInd/>
              <w:snapToGrid/>
              <w:spacing w:after="240" w:line="240" w:lineRule="auto"/>
              <w:jc w:val="left"/>
              <w:textAlignment w:val="auto"/>
              <w:rPr>
                <w:rFonts w:ascii="Times New Roman" w:hAnsi="宋体" w:eastAsia="宋体" w:cs="宋体"/>
                <w:snapToGrid/>
                <w:color w:val="auto"/>
                <w:kern w:val="2"/>
                <w:szCs w:val="24"/>
                <w:highlight w:val="none"/>
                <w:lang w:val="en-US" w:eastAsia="zh-CN" w:bidi="ar-SA"/>
              </w:rPr>
            </w:pPr>
          </w:p>
        </w:tc>
      </w:tr>
      <w:tr w14:paraId="53ADEA91">
        <w:tblPrEx>
          <w:tblCellMar>
            <w:top w:w="0" w:type="dxa"/>
            <w:left w:w="0" w:type="dxa"/>
            <w:bottom w:w="0" w:type="dxa"/>
            <w:right w:w="0" w:type="dxa"/>
          </w:tblCellMar>
        </w:tblPrEx>
        <w:trPr>
          <w:tblCellSpacing w:w="0" w:type="dxa"/>
          <w:jc w:val="center"/>
        </w:trPr>
        <w:tc>
          <w:tcPr>
            <w:tcW w:w="9751" w:type="dxa"/>
            <w:vAlign w:val="center"/>
          </w:tcPr>
          <w:p w14:paraId="7BBE9451">
            <w:pPr>
              <w:widowControl/>
              <w:kinsoku/>
              <w:autoSpaceDE/>
              <w:autoSpaceDN/>
              <w:adjustRightInd/>
              <w:snapToGrid/>
              <w:spacing w:after="240" w:line="240" w:lineRule="auto"/>
              <w:jc w:val="left"/>
              <w:textAlignment w:val="auto"/>
              <w:rPr>
                <w:rFonts w:ascii="Times New Roman" w:hAnsi="宋体" w:eastAsia="宋体" w:cs="宋体"/>
                <w:snapToGrid/>
                <w:color w:val="auto"/>
                <w:kern w:val="0"/>
                <w:sz w:val="24"/>
                <w:szCs w:val="24"/>
                <w:highlight w:val="none"/>
                <w:lang w:val="en-US" w:eastAsia="zh-CN" w:bidi="ar-SA"/>
              </w:rPr>
            </w:pPr>
            <w:r>
              <w:rPr>
                <w:rFonts w:hint="eastAsia" w:ascii="Times New Roman" w:hAnsi="宋体" w:eastAsia="宋体" w:cs="宋体"/>
                <w:snapToGrid/>
                <w:color w:val="auto"/>
                <w:kern w:val="0"/>
                <w:sz w:val="24"/>
                <w:szCs w:val="24"/>
                <w:highlight w:val="none"/>
                <w:lang w:val="en-US" w:eastAsia="zh-CN" w:bidi="ar-SA"/>
              </w:rPr>
              <w:t>●本合同须加盖甲乙双方骑缝章有效</w:t>
            </w:r>
          </w:p>
          <w:p w14:paraId="4663D09C">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tc>
      </w:tr>
      <w:tr w14:paraId="3FA4C145">
        <w:tblPrEx>
          <w:tblCellMar>
            <w:top w:w="0" w:type="dxa"/>
            <w:left w:w="0" w:type="dxa"/>
            <w:bottom w:w="0" w:type="dxa"/>
            <w:right w:w="0" w:type="dxa"/>
          </w:tblCellMar>
        </w:tblPrEx>
        <w:trPr>
          <w:tblCellSpacing w:w="0" w:type="dxa"/>
          <w:jc w:val="center"/>
        </w:trPr>
        <w:tc>
          <w:tcPr>
            <w:tcW w:w="9751" w:type="dxa"/>
            <w:vAlign w:val="center"/>
          </w:tcPr>
          <w:p w14:paraId="18CF46B8">
            <w:pPr>
              <w:widowControl/>
              <w:kinsoku/>
              <w:autoSpaceDE/>
              <w:autoSpaceDN/>
              <w:adjustRightInd/>
              <w:snapToGrid/>
              <w:spacing w:after="240" w:line="240" w:lineRule="auto"/>
              <w:jc w:val="center"/>
              <w:textAlignment w:val="auto"/>
              <w:rPr>
                <w:rFonts w:ascii="Times New Roman" w:hAnsi="宋体" w:eastAsia="宋体" w:cs="宋体"/>
                <w:snapToGrid/>
                <w:color w:val="auto"/>
                <w:kern w:val="2"/>
                <w:szCs w:val="24"/>
                <w:highlight w:val="none"/>
                <w:lang w:val="en-US" w:eastAsia="zh-CN" w:bidi="ar-SA"/>
              </w:rPr>
            </w:pPr>
            <w:r>
              <w:rPr>
                <w:rFonts w:hint="eastAsia" w:ascii="宋体" w:hAnsi="宋体" w:eastAsia="宋体" w:cs="宋体"/>
                <w:sz w:val="32"/>
                <w:szCs w:val="32"/>
                <w:highlight w:val="none"/>
                <w:lang w:val="zh-CN" w:eastAsia="zh-CN" w:bidi="zh-CN"/>
              </w:rPr>
              <w:t>耿马县2024年小型水库维修养护工程</w:t>
            </w:r>
            <w:r>
              <w:rPr>
                <w:rFonts w:hint="eastAsia" w:ascii="宋体" w:hAnsi="宋体" w:eastAsia="宋体" w:cs="宋体"/>
                <w:sz w:val="32"/>
                <w:szCs w:val="32"/>
                <w:highlight w:val="none"/>
                <w:lang w:val="en-US" w:eastAsia="zh-CN" w:bidi="zh-CN"/>
              </w:rPr>
              <w:t>第三标段</w:t>
            </w:r>
          </w:p>
        </w:tc>
      </w:tr>
      <w:tr w14:paraId="53480FEA">
        <w:tblPrEx>
          <w:tblCellMar>
            <w:top w:w="0" w:type="dxa"/>
            <w:left w:w="0" w:type="dxa"/>
            <w:bottom w:w="0" w:type="dxa"/>
            <w:right w:w="0" w:type="dxa"/>
          </w:tblCellMar>
        </w:tblPrEx>
        <w:trPr>
          <w:tblCellSpacing w:w="0" w:type="dxa"/>
          <w:jc w:val="center"/>
        </w:trPr>
        <w:tc>
          <w:tcPr>
            <w:tcW w:w="9751" w:type="dxa"/>
            <w:vAlign w:val="center"/>
          </w:tcPr>
          <w:p w14:paraId="0B2CF7A7">
            <w:pPr>
              <w:widowControl/>
              <w:kinsoku/>
              <w:autoSpaceDE/>
              <w:autoSpaceDN/>
              <w:adjustRightInd/>
              <w:snapToGrid/>
              <w:spacing w:after="240" w:line="240" w:lineRule="auto"/>
              <w:jc w:val="center"/>
              <w:textAlignment w:val="auto"/>
              <w:rPr>
                <w:rFonts w:ascii="Times New Roman" w:hAnsi="宋体" w:eastAsia="宋体" w:cs="宋体"/>
                <w:snapToGrid/>
                <w:color w:val="auto"/>
                <w:kern w:val="0"/>
                <w:sz w:val="24"/>
                <w:szCs w:val="24"/>
                <w:highlight w:val="none"/>
                <w:lang w:val="en-US" w:eastAsia="zh-CN" w:bidi="ar-SA"/>
              </w:rPr>
            </w:pPr>
            <w:r>
              <w:rPr>
                <w:rFonts w:hint="eastAsia" w:ascii="Times New Roman" w:hAnsi="宋体" w:eastAsia="宋体" w:cs="宋体"/>
                <w:snapToGrid/>
                <w:color w:val="auto"/>
                <w:kern w:val="0"/>
                <w:sz w:val="24"/>
                <w:szCs w:val="24"/>
                <w:highlight w:val="none"/>
                <w:lang w:val="en-US" w:eastAsia="zh-CN" w:bidi="ar-SA"/>
              </w:rPr>
              <w:t>（委托采购） </w:t>
            </w:r>
          </w:p>
          <w:p w14:paraId="5639A519">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p w14:paraId="1883294C">
            <w:pPr>
              <w:widowControl w:val="0"/>
              <w:tabs>
                <w:tab w:val="left" w:pos="750"/>
              </w:tabs>
              <w:spacing w:before="156" w:beforeLines="50" w:line="300" w:lineRule="auto"/>
              <w:ind w:left="0" w:leftChars="0" w:firstLine="0" w:firstLineChars="0"/>
              <w:jc w:val="both"/>
              <w:rPr>
                <w:rFonts w:ascii="宋体" w:hAnsi="Times New Roman" w:eastAsia="宋体" w:cs="Times New Roman"/>
                <w:color w:val="auto"/>
                <w:kern w:val="2"/>
                <w:sz w:val="21"/>
                <w:szCs w:val="20"/>
                <w:highlight w:val="none"/>
                <w:lang w:val="en-US" w:eastAsia="zh-CN" w:bidi="ar-SA"/>
              </w:rPr>
            </w:pPr>
          </w:p>
          <w:p w14:paraId="5D56E5CB">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p w14:paraId="01683374">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tc>
      </w:tr>
      <w:tr w14:paraId="18CF64A7">
        <w:tblPrEx>
          <w:tblCellMar>
            <w:top w:w="0" w:type="dxa"/>
            <w:left w:w="0" w:type="dxa"/>
            <w:bottom w:w="0" w:type="dxa"/>
            <w:right w:w="0" w:type="dxa"/>
          </w:tblCellMar>
        </w:tblPrEx>
        <w:trPr>
          <w:tblCellSpacing w:w="0" w:type="dxa"/>
          <w:jc w:val="center"/>
        </w:trPr>
        <w:tc>
          <w:tcPr>
            <w:tcW w:w="9751" w:type="dxa"/>
            <w:vAlign w:val="center"/>
          </w:tcPr>
          <w:p w14:paraId="07898A3B">
            <w:pPr>
              <w:widowControl/>
              <w:kinsoku/>
              <w:autoSpaceDE/>
              <w:autoSpaceDN/>
              <w:adjustRightInd/>
              <w:snapToGrid/>
              <w:spacing w:after="240" w:line="240" w:lineRule="auto"/>
              <w:jc w:val="center"/>
              <w:textAlignment w:val="auto"/>
              <w:rPr>
                <w:rFonts w:ascii="Times New Roman" w:hAnsi="宋体" w:eastAsia="宋体" w:cs="宋体"/>
                <w:snapToGrid/>
                <w:color w:val="auto"/>
                <w:kern w:val="2"/>
                <w:szCs w:val="24"/>
                <w:highlight w:val="none"/>
                <w:lang w:val="en-US" w:eastAsia="zh-CN" w:bidi="ar-SA"/>
              </w:rPr>
            </w:pPr>
            <w:r>
              <w:rPr>
                <w:rFonts w:hint="eastAsia" w:ascii="Times New Roman" w:hAnsi="宋体" w:eastAsia="宋体" w:cs="宋体"/>
                <w:snapToGrid/>
                <w:color w:val="auto"/>
                <w:kern w:val="0"/>
                <w:sz w:val="63"/>
                <w:szCs w:val="63"/>
                <w:highlight w:val="none"/>
                <w:lang w:val="en-US" w:eastAsia="zh-CN" w:bidi="ar-SA"/>
              </w:rPr>
              <w:t>合</w:t>
            </w:r>
            <w:r>
              <w:rPr>
                <w:rFonts w:hint="eastAsia" w:ascii="Times New Roman" w:hAnsi="宋体" w:eastAsia="宋体" w:cs="宋体"/>
                <w:snapToGrid/>
                <w:color w:val="auto"/>
                <w:kern w:val="0"/>
                <w:sz w:val="24"/>
                <w:szCs w:val="24"/>
                <w:highlight w:val="none"/>
                <w:lang w:val="en-US" w:eastAsia="zh-CN" w:bidi="ar-SA"/>
              </w:rPr>
              <w:t> </w:t>
            </w:r>
          </w:p>
        </w:tc>
      </w:tr>
      <w:tr w14:paraId="1F070C36">
        <w:tblPrEx>
          <w:tblCellMar>
            <w:top w:w="0" w:type="dxa"/>
            <w:left w:w="0" w:type="dxa"/>
            <w:bottom w:w="0" w:type="dxa"/>
            <w:right w:w="0" w:type="dxa"/>
          </w:tblCellMar>
        </w:tblPrEx>
        <w:trPr>
          <w:trHeight w:val="1161" w:hRule="atLeast"/>
          <w:tblCellSpacing w:w="0" w:type="dxa"/>
          <w:jc w:val="center"/>
        </w:trPr>
        <w:tc>
          <w:tcPr>
            <w:tcW w:w="9751" w:type="dxa"/>
            <w:vAlign w:val="center"/>
          </w:tcPr>
          <w:p w14:paraId="67406E49">
            <w:pPr>
              <w:widowControl/>
              <w:kinsoku/>
              <w:autoSpaceDE/>
              <w:autoSpaceDN/>
              <w:adjustRightInd/>
              <w:snapToGrid/>
              <w:spacing w:after="240" w:line="240" w:lineRule="auto"/>
              <w:jc w:val="center"/>
              <w:textAlignment w:val="auto"/>
              <w:rPr>
                <w:rFonts w:ascii="Times New Roman" w:hAnsi="宋体" w:eastAsia="宋体" w:cs="宋体"/>
                <w:snapToGrid/>
                <w:color w:val="auto"/>
                <w:kern w:val="2"/>
                <w:szCs w:val="24"/>
                <w:highlight w:val="none"/>
                <w:lang w:val="en-US" w:eastAsia="zh-CN" w:bidi="ar-SA"/>
              </w:rPr>
            </w:pPr>
            <w:r>
              <w:rPr>
                <w:rFonts w:hint="eastAsia" w:ascii="Times New Roman" w:hAnsi="宋体" w:eastAsia="宋体" w:cs="宋体"/>
                <w:snapToGrid/>
                <w:color w:val="auto"/>
                <w:kern w:val="0"/>
                <w:sz w:val="63"/>
                <w:szCs w:val="63"/>
                <w:highlight w:val="none"/>
                <w:lang w:val="en-US" w:eastAsia="zh-CN" w:bidi="ar-SA"/>
              </w:rPr>
              <w:t>同</w:t>
            </w:r>
            <w:r>
              <w:rPr>
                <w:rFonts w:hint="eastAsia" w:ascii="Times New Roman" w:hAnsi="宋体" w:eastAsia="宋体" w:cs="宋体"/>
                <w:snapToGrid/>
                <w:color w:val="auto"/>
                <w:kern w:val="0"/>
                <w:sz w:val="24"/>
                <w:szCs w:val="24"/>
                <w:highlight w:val="none"/>
                <w:lang w:val="en-US" w:eastAsia="zh-CN" w:bidi="ar-SA"/>
              </w:rPr>
              <w:t> </w:t>
            </w:r>
          </w:p>
        </w:tc>
      </w:tr>
      <w:tr w14:paraId="39D845BB">
        <w:tblPrEx>
          <w:tblCellMar>
            <w:top w:w="0" w:type="dxa"/>
            <w:left w:w="0" w:type="dxa"/>
            <w:bottom w:w="0" w:type="dxa"/>
            <w:right w:w="0" w:type="dxa"/>
          </w:tblCellMar>
        </w:tblPrEx>
        <w:trPr>
          <w:tblCellSpacing w:w="0" w:type="dxa"/>
          <w:jc w:val="center"/>
        </w:trPr>
        <w:tc>
          <w:tcPr>
            <w:tcW w:w="9751" w:type="dxa"/>
            <w:vAlign w:val="center"/>
          </w:tcPr>
          <w:p w14:paraId="45CD5386">
            <w:pPr>
              <w:widowControl/>
              <w:kinsoku/>
              <w:autoSpaceDE/>
              <w:autoSpaceDN/>
              <w:adjustRightInd/>
              <w:snapToGrid/>
              <w:spacing w:after="240" w:line="240" w:lineRule="auto"/>
              <w:jc w:val="center"/>
              <w:textAlignment w:val="auto"/>
              <w:rPr>
                <w:rFonts w:ascii="Times New Roman" w:hAnsi="宋体" w:eastAsia="宋体" w:cs="宋体"/>
                <w:snapToGrid/>
                <w:color w:val="auto"/>
                <w:kern w:val="0"/>
                <w:sz w:val="24"/>
                <w:szCs w:val="24"/>
                <w:highlight w:val="none"/>
                <w:lang w:val="en-US" w:eastAsia="zh-CN" w:bidi="ar-SA"/>
              </w:rPr>
            </w:pPr>
            <w:r>
              <w:rPr>
                <w:rFonts w:hint="eastAsia" w:ascii="Times New Roman" w:hAnsi="宋体" w:eastAsia="宋体" w:cs="宋体"/>
                <w:snapToGrid/>
                <w:color w:val="auto"/>
                <w:kern w:val="0"/>
                <w:sz w:val="63"/>
                <w:szCs w:val="63"/>
                <w:highlight w:val="none"/>
                <w:lang w:val="en-US" w:eastAsia="zh-CN" w:bidi="ar-SA"/>
              </w:rPr>
              <w:t>书</w:t>
            </w:r>
            <w:r>
              <w:rPr>
                <w:rFonts w:hint="eastAsia" w:ascii="Times New Roman" w:hAnsi="宋体" w:eastAsia="宋体" w:cs="宋体"/>
                <w:snapToGrid/>
                <w:color w:val="auto"/>
                <w:kern w:val="0"/>
                <w:sz w:val="24"/>
                <w:szCs w:val="24"/>
                <w:highlight w:val="none"/>
                <w:lang w:val="en-US" w:eastAsia="zh-CN" w:bidi="ar-SA"/>
              </w:rPr>
              <w:t> </w:t>
            </w:r>
          </w:p>
          <w:p w14:paraId="416E9794">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p w14:paraId="30BAEAA1">
            <w:pPr>
              <w:widowControl w:val="0"/>
              <w:tabs>
                <w:tab w:val="left" w:pos="750"/>
              </w:tabs>
              <w:spacing w:before="156" w:beforeLines="50" w:line="300" w:lineRule="auto"/>
              <w:ind w:firstLine="0" w:firstLineChars="0"/>
              <w:jc w:val="both"/>
              <w:rPr>
                <w:rFonts w:ascii="宋体" w:hAnsi="Times New Roman" w:eastAsia="宋体" w:cs="Times New Roman"/>
                <w:color w:val="auto"/>
                <w:kern w:val="2"/>
                <w:sz w:val="21"/>
                <w:szCs w:val="20"/>
                <w:highlight w:val="none"/>
                <w:lang w:val="en-US" w:eastAsia="zh-CN" w:bidi="ar-SA"/>
              </w:rPr>
            </w:pPr>
          </w:p>
          <w:p w14:paraId="714278E2">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p w14:paraId="193EFCC3">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tc>
      </w:tr>
      <w:tr w14:paraId="3C6B411C">
        <w:tblPrEx>
          <w:tblCellMar>
            <w:top w:w="0" w:type="dxa"/>
            <w:left w:w="0" w:type="dxa"/>
            <w:bottom w:w="0" w:type="dxa"/>
            <w:right w:w="0" w:type="dxa"/>
          </w:tblCellMar>
        </w:tblPrEx>
        <w:trPr>
          <w:tblCellSpacing w:w="0" w:type="dxa"/>
          <w:jc w:val="center"/>
        </w:trPr>
        <w:tc>
          <w:tcPr>
            <w:tcW w:w="9751" w:type="dxa"/>
            <w:vAlign w:val="center"/>
          </w:tcPr>
          <w:p w14:paraId="2669BDCE">
            <w:pPr>
              <w:widowControl/>
              <w:kinsoku/>
              <w:autoSpaceDE/>
              <w:autoSpaceDN/>
              <w:adjustRightInd/>
              <w:snapToGrid/>
              <w:spacing w:after="240" w:line="240" w:lineRule="auto"/>
              <w:jc w:val="left"/>
              <w:textAlignment w:val="auto"/>
              <w:rPr>
                <w:rFonts w:ascii="Times New Roman" w:hAnsi="宋体" w:eastAsia="宋体" w:cs="宋体"/>
                <w:snapToGrid/>
                <w:color w:val="auto"/>
                <w:kern w:val="2"/>
                <w:szCs w:val="24"/>
                <w:highlight w:val="none"/>
                <w:lang w:val="en-US" w:eastAsia="zh-CN" w:bidi="ar-SA"/>
              </w:rPr>
            </w:pPr>
            <w:r>
              <w:rPr>
                <w:rFonts w:hint="eastAsia" w:ascii="Times New Roman" w:hAnsi="宋体" w:eastAsia="宋体" w:cs="宋体"/>
                <w:b/>
                <w:bCs/>
                <w:snapToGrid/>
                <w:color w:val="auto"/>
                <w:kern w:val="0"/>
                <w:sz w:val="27"/>
                <w:szCs w:val="27"/>
                <w:highlight w:val="none"/>
                <w:lang w:val="en-US" w:eastAsia="zh-CN" w:bidi="ar-SA"/>
              </w:rPr>
              <w:t xml:space="preserve">                   签订地点:</w:t>
            </w:r>
          </w:p>
        </w:tc>
      </w:tr>
      <w:tr w14:paraId="19362172">
        <w:tblPrEx>
          <w:tblCellMar>
            <w:top w:w="0" w:type="dxa"/>
            <w:left w:w="0" w:type="dxa"/>
            <w:bottom w:w="0" w:type="dxa"/>
            <w:right w:w="0" w:type="dxa"/>
          </w:tblCellMar>
        </w:tblPrEx>
        <w:trPr>
          <w:tblCellSpacing w:w="0" w:type="dxa"/>
          <w:jc w:val="center"/>
        </w:trPr>
        <w:tc>
          <w:tcPr>
            <w:tcW w:w="9751" w:type="dxa"/>
            <w:vAlign w:val="center"/>
          </w:tcPr>
          <w:p w14:paraId="6767E0B1">
            <w:pPr>
              <w:widowControl/>
              <w:kinsoku/>
              <w:autoSpaceDE/>
              <w:autoSpaceDN/>
              <w:adjustRightInd/>
              <w:snapToGrid/>
              <w:spacing w:after="240" w:line="240" w:lineRule="auto"/>
              <w:jc w:val="both"/>
              <w:textAlignment w:val="auto"/>
              <w:rPr>
                <w:rFonts w:ascii="Times New Roman" w:hAnsi="宋体" w:eastAsia="宋体" w:cs="宋体"/>
                <w:snapToGrid/>
                <w:color w:val="auto"/>
                <w:kern w:val="2"/>
                <w:szCs w:val="24"/>
                <w:highlight w:val="none"/>
                <w:lang w:val="en-US" w:eastAsia="zh-CN" w:bidi="ar-SA"/>
              </w:rPr>
            </w:pPr>
          </w:p>
          <w:p w14:paraId="1648FB0C">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tc>
      </w:tr>
      <w:tr w14:paraId="48B59DA6">
        <w:tblPrEx>
          <w:tblCellMar>
            <w:top w:w="0" w:type="dxa"/>
            <w:left w:w="0" w:type="dxa"/>
            <w:bottom w:w="0" w:type="dxa"/>
            <w:right w:w="0" w:type="dxa"/>
          </w:tblCellMar>
        </w:tblPrEx>
        <w:trPr>
          <w:tblCellSpacing w:w="0" w:type="dxa"/>
          <w:jc w:val="center"/>
        </w:trPr>
        <w:tc>
          <w:tcPr>
            <w:tcW w:w="9751" w:type="dxa"/>
            <w:vAlign w:val="center"/>
          </w:tcPr>
          <w:p w14:paraId="0D43D08E">
            <w:pPr>
              <w:widowControl/>
              <w:spacing w:before="100" w:beforeAutospacing="1" w:after="100" w:afterAutospacing="1"/>
              <w:jc w:val="center"/>
              <w:rPr>
                <w:rFonts w:ascii="宋体" w:hAnsi="宋体" w:eastAsia="宋体" w:cs="宋体"/>
                <w:color w:val="auto"/>
                <w:kern w:val="0"/>
                <w:sz w:val="24"/>
                <w:szCs w:val="24"/>
                <w:highlight w:val="none"/>
                <w:lang w:val="en-US" w:eastAsia="zh-CN" w:bidi="ar-SA"/>
              </w:rPr>
            </w:pPr>
            <w:r>
              <w:rPr>
                <w:rFonts w:hint="eastAsia" w:ascii="Times New Roman" w:hAnsi="Times New Roman" w:eastAsia="宋体" w:cs="宋体"/>
                <w:b/>
                <w:bCs/>
                <w:color w:val="auto"/>
                <w:kern w:val="2"/>
                <w:sz w:val="27"/>
                <w:szCs w:val="27"/>
                <w:highlight w:val="none"/>
                <w:lang w:val="en-US" w:eastAsia="zh-CN" w:bidi="ar-SA"/>
              </w:rPr>
              <w:t>云南省财政厅　制</w:t>
            </w:r>
          </w:p>
          <w:p w14:paraId="6E9CEC1E">
            <w:pPr>
              <w:widowControl/>
              <w:kinsoku/>
              <w:autoSpaceDE/>
              <w:autoSpaceDN/>
              <w:adjustRightInd/>
              <w:snapToGrid/>
              <w:spacing w:line="240" w:lineRule="auto"/>
              <w:jc w:val="center"/>
              <w:textAlignment w:val="auto"/>
              <w:rPr>
                <w:rFonts w:ascii="Times New Roman" w:hAnsi="宋体" w:eastAsia="宋体" w:cs="宋体"/>
                <w:snapToGrid/>
                <w:color w:val="auto"/>
                <w:kern w:val="2"/>
                <w:szCs w:val="24"/>
                <w:highlight w:val="none"/>
                <w:lang w:val="en-US" w:eastAsia="zh-CN" w:bidi="ar-SA"/>
              </w:rPr>
            </w:pPr>
          </w:p>
        </w:tc>
      </w:tr>
    </w:tbl>
    <w:p w14:paraId="384EF5F4">
      <w:pPr>
        <w:widowControl w:val="0"/>
        <w:kinsoku/>
        <w:autoSpaceDE/>
        <w:autoSpaceDN/>
        <w:adjustRightInd/>
        <w:snapToGrid/>
        <w:spacing w:line="240" w:lineRule="auto"/>
        <w:jc w:val="both"/>
        <w:textAlignment w:val="auto"/>
        <w:rPr>
          <w:rFonts w:ascii="宋体" w:hAnsi="宋体" w:eastAsia="宋体" w:cs="宋体"/>
          <w:b/>
          <w:snapToGrid/>
          <w:color w:val="auto"/>
          <w:kern w:val="2"/>
          <w:szCs w:val="21"/>
          <w:highlight w:val="none"/>
          <w:lang w:val="en-US" w:eastAsia="zh-CN" w:bidi="ar-SA"/>
        </w:rPr>
      </w:pPr>
      <w:r>
        <w:rPr>
          <w:rFonts w:hint="eastAsia" w:ascii="宋体" w:hAnsi="宋体" w:eastAsia="宋体" w:cs="宋体"/>
          <w:b/>
          <w:snapToGrid/>
          <w:color w:val="auto"/>
          <w:kern w:val="2"/>
          <w:szCs w:val="21"/>
          <w:highlight w:val="none"/>
          <w:lang w:val="en-US" w:eastAsia="zh-CN" w:bidi="ar-SA"/>
        </w:rPr>
        <w:br w:type="page"/>
      </w:r>
    </w:p>
    <w:tbl>
      <w:tblPr>
        <w:tblStyle w:val="7"/>
        <w:tblW w:w="9480" w:type="dxa"/>
        <w:jc w:val="center"/>
        <w:tblCellSpacing w:w="0" w:type="dxa"/>
        <w:tblLayout w:type="fixed"/>
        <w:tblCellMar>
          <w:top w:w="0" w:type="dxa"/>
          <w:left w:w="0" w:type="dxa"/>
          <w:bottom w:w="0" w:type="dxa"/>
          <w:right w:w="0" w:type="dxa"/>
        </w:tblCellMar>
      </w:tblPr>
      <w:tblGrid>
        <w:gridCol w:w="9480"/>
      </w:tblGrid>
      <w:tr w14:paraId="01B659EB">
        <w:tblPrEx>
          <w:tblCellMar>
            <w:top w:w="0" w:type="dxa"/>
            <w:left w:w="0" w:type="dxa"/>
            <w:bottom w:w="0" w:type="dxa"/>
            <w:right w:w="0" w:type="dxa"/>
          </w:tblCellMar>
        </w:tblPrEx>
        <w:trPr>
          <w:trHeight w:val="90" w:hRule="atLeast"/>
          <w:tblCellSpacing w:w="0" w:type="dxa"/>
          <w:jc w:val="center"/>
        </w:trPr>
        <w:tc>
          <w:tcPr>
            <w:tcW w:w="9480" w:type="dxa"/>
            <w:vAlign w:val="center"/>
          </w:tcPr>
          <w:tbl>
            <w:tblPr>
              <w:tblStyle w:val="7"/>
              <w:tblW w:w="9790" w:type="dxa"/>
              <w:jc w:val="center"/>
              <w:tblCellSpacing w:w="0" w:type="dxa"/>
              <w:tblLayout w:type="fixed"/>
              <w:tblCellMar>
                <w:top w:w="0" w:type="dxa"/>
                <w:left w:w="0" w:type="dxa"/>
                <w:bottom w:w="0" w:type="dxa"/>
                <w:right w:w="0" w:type="dxa"/>
              </w:tblCellMar>
            </w:tblPr>
            <w:tblGrid>
              <w:gridCol w:w="1395"/>
              <w:gridCol w:w="7868"/>
              <w:gridCol w:w="527"/>
            </w:tblGrid>
            <w:tr w14:paraId="51A30488">
              <w:tblPrEx>
                <w:tblCellMar>
                  <w:top w:w="0" w:type="dxa"/>
                  <w:left w:w="0" w:type="dxa"/>
                  <w:bottom w:w="0" w:type="dxa"/>
                  <w:right w:w="0" w:type="dxa"/>
                </w:tblCellMar>
              </w:tblPrEx>
              <w:trPr>
                <w:gridAfter w:val="1"/>
                <w:wAfter w:w="527" w:type="dxa"/>
                <w:tblCellSpacing w:w="0" w:type="dxa"/>
                <w:jc w:val="center"/>
              </w:trPr>
              <w:tc>
                <w:tcPr>
                  <w:tcW w:w="9263" w:type="dxa"/>
                  <w:gridSpan w:val="2"/>
                  <w:noWrap w:val="0"/>
                  <w:vAlign w:val="center"/>
                </w:tcPr>
                <w:p w14:paraId="66DCBFF7">
                  <w:pPr>
                    <w:widowControl/>
                    <w:kinsoku/>
                    <w:autoSpaceDE/>
                    <w:autoSpaceDN/>
                    <w:adjustRightInd/>
                    <w:snapToGrid/>
                    <w:spacing w:after="240" w:line="240" w:lineRule="auto"/>
                    <w:jc w:val="left"/>
                    <w:textAlignment w:val="auto"/>
                    <w:rPr>
                      <w:rFonts w:ascii="Times New Roman" w:hAnsi="宋体" w:eastAsia="宋体" w:cs="宋体"/>
                      <w:snapToGrid/>
                      <w:color w:val="auto"/>
                      <w:kern w:val="2"/>
                      <w:szCs w:val="24"/>
                      <w:highlight w:val="none"/>
                      <w:lang w:val="en-US" w:eastAsia="zh-CN" w:bidi="ar-SA"/>
                    </w:rPr>
                  </w:pPr>
                </w:p>
                <w:p w14:paraId="690A4DE2">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tbl>
                  <w:tblPr>
                    <w:tblStyle w:val="7"/>
                    <w:tblW w:w="9750" w:type="dxa"/>
                    <w:jc w:val="center"/>
                    <w:tblCellSpacing w:w="0" w:type="dxa"/>
                    <w:tblLayout w:type="fixed"/>
                    <w:tblCellMar>
                      <w:top w:w="0" w:type="dxa"/>
                      <w:left w:w="0" w:type="dxa"/>
                      <w:bottom w:w="0" w:type="dxa"/>
                      <w:right w:w="0" w:type="dxa"/>
                    </w:tblCellMar>
                  </w:tblPr>
                  <w:tblGrid>
                    <w:gridCol w:w="1657"/>
                    <w:gridCol w:w="8093"/>
                  </w:tblGrid>
                  <w:tr w14:paraId="6F170745">
                    <w:tblPrEx>
                      <w:tblCellMar>
                        <w:top w:w="0" w:type="dxa"/>
                        <w:left w:w="0" w:type="dxa"/>
                        <w:bottom w:w="0" w:type="dxa"/>
                        <w:right w:w="0" w:type="dxa"/>
                      </w:tblCellMar>
                    </w:tblPrEx>
                    <w:trPr>
                      <w:tblCellSpacing w:w="0" w:type="dxa"/>
                      <w:jc w:val="center"/>
                    </w:trPr>
                    <w:tc>
                      <w:tcPr>
                        <w:tcW w:w="9750" w:type="dxa"/>
                        <w:gridSpan w:val="2"/>
                        <w:noWrap w:val="0"/>
                        <w:vAlign w:val="center"/>
                      </w:tcPr>
                      <w:p w14:paraId="251D6675">
                        <w:pPr>
                          <w:widowControl/>
                          <w:kinsoku/>
                          <w:autoSpaceDE/>
                          <w:autoSpaceDN/>
                          <w:adjustRightInd/>
                          <w:snapToGrid/>
                          <w:spacing w:after="240" w:line="240" w:lineRule="auto"/>
                          <w:ind w:firstLine="420" w:firstLineChars="200"/>
                          <w:jc w:val="both"/>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甲方（采购人公章）名 称：耿马傣族佤族自治县水务局</w:t>
                        </w:r>
                      </w:p>
                    </w:tc>
                  </w:tr>
                  <w:tr w14:paraId="06A700A3">
                    <w:tblPrEx>
                      <w:tblCellMar>
                        <w:top w:w="0" w:type="dxa"/>
                        <w:left w:w="0" w:type="dxa"/>
                        <w:bottom w:w="0" w:type="dxa"/>
                        <w:right w:w="0" w:type="dxa"/>
                      </w:tblCellMar>
                    </w:tblPrEx>
                    <w:trPr>
                      <w:tblCellSpacing w:w="0" w:type="dxa"/>
                      <w:jc w:val="center"/>
                    </w:trPr>
                    <w:tc>
                      <w:tcPr>
                        <w:tcW w:w="1657" w:type="dxa"/>
                        <w:noWrap w:val="0"/>
                        <w:vAlign w:val="center"/>
                      </w:tcPr>
                      <w:p w14:paraId="325B3FAB">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309FC724">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地 址：耿马傣族佤族自治县公园路延伸段</w:t>
                        </w:r>
                      </w:p>
                    </w:tc>
                  </w:tr>
                  <w:tr w14:paraId="6F4F5D4B">
                    <w:tblPrEx>
                      <w:tblCellMar>
                        <w:top w:w="0" w:type="dxa"/>
                        <w:left w:w="0" w:type="dxa"/>
                        <w:bottom w:w="0" w:type="dxa"/>
                        <w:right w:w="0" w:type="dxa"/>
                      </w:tblCellMar>
                    </w:tblPrEx>
                    <w:trPr>
                      <w:tblCellSpacing w:w="0" w:type="dxa"/>
                      <w:jc w:val="center"/>
                    </w:trPr>
                    <w:tc>
                      <w:tcPr>
                        <w:tcW w:w="1657" w:type="dxa"/>
                        <w:noWrap w:val="0"/>
                        <w:vAlign w:val="center"/>
                      </w:tcPr>
                      <w:p w14:paraId="5FCEE77F">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5E89F619">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邮 编：</w:t>
                        </w:r>
                      </w:p>
                    </w:tc>
                  </w:tr>
                  <w:tr w14:paraId="503AD090">
                    <w:tblPrEx>
                      <w:tblCellMar>
                        <w:top w:w="0" w:type="dxa"/>
                        <w:left w:w="0" w:type="dxa"/>
                        <w:bottom w:w="0" w:type="dxa"/>
                        <w:right w:w="0" w:type="dxa"/>
                      </w:tblCellMar>
                    </w:tblPrEx>
                    <w:trPr>
                      <w:tblCellSpacing w:w="0" w:type="dxa"/>
                      <w:jc w:val="center"/>
                    </w:trPr>
                    <w:tc>
                      <w:tcPr>
                        <w:tcW w:w="1657" w:type="dxa"/>
                        <w:noWrap w:val="0"/>
                        <w:vAlign w:val="center"/>
                      </w:tcPr>
                      <w:p w14:paraId="25ADF205">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09418ECF">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法定代表人或委托代理人：</w:t>
                        </w:r>
                      </w:p>
                    </w:tc>
                  </w:tr>
                  <w:tr w14:paraId="7E0447F3">
                    <w:tblPrEx>
                      <w:tblCellMar>
                        <w:top w:w="0" w:type="dxa"/>
                        <w:left w:w="0" w:type="dxa"/>
                        <w:bottom w:w="0" w:type="dxa"/>
                        <w:right w:w="0" w:type="dxa"/>
                      </w:tblCellMar>
                    </w:tblPrEx>
                    <w:trPr>
                      <w:tblCellSpacing w:w="0" w:type="dxa"/>
                      <w:jc w:val="center"/>
                    </w:trPr>
                    <w:tc>
                      <w:tcPr>
                        <w:tcW w:w="1657" w:type="dxa"/>
                        <w:noWrap w:val="0"/>
                        <w:vAlign w:val="center"/>
                      </w:tcPr>
                      <w:p w14:paraId="5A203E9F">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690DDF29">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项目负责人：</w:t>
                        </w:r>
                      </w:p>
                    </w:tc>
                  </w:tr>
                  <w:tr w14:paraId="52622DE7">
                    <w:tblPrEx>
                      <w:tblCellMar>
                        <w:top w:w="0" w:type="dxa"/>
                        <w:left w:w="0" w:type="dxa"/>
                        <w:bottom w:w="0" w:type="dxa"/>
                        <w:right w:w="0" w:type="dxa"/>
                      </w:tblCellMar>
                    </w:tblPrEx>
                    <w:trPr>
                      <w:tblCellSpacing w:w="0" w:type="dxa"/>
                      <w:jc w:val="center"/>
                    </w:trPr>
                    <w:tc>
                      <w:tcPr>
                        <w:tcW w:w="1657" w:type="dxa"/>
                        <w:noWrap w:val="0"/>
                        <w:vAlign w:val="center"/>
                      </w:tcPr>
                      <w:p w14:paraId="2956FEF9">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69253396">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电 话：</w:t>
                        </w:r>
                      </w:p>
                    </w:tc>
                  </w:tr>
                  <w:tr w14:paraId="1568D47A">
                    <w:tblPrEx>
                      <w:tblCellMar>
                        <w:top w:w="0" w:type="dxa"/>
                        <w:left w:w="0" w:type="dxa"/>
                        <w:bottom w:w="0" w:type="dxa"/>
                        <w:right w:w="0" w:type="dxa"/>
                      </w:tblCellMar>
                    </w:tblPrEx>
                    <w:trPr>
                      <w:tblCellSpacing w:w="0" w:type="dxa"/>
                      <w:jc w:val="center"/>
                    </w:trPr>
                    <w:tc>
                      <w:tcPr>
                        <w:tcW w:w="1657" w:type="dxa"/>
                        <w:noWrap w:val="0"/>
                        <w:vAlign w:val="center"/>
                      </w:tcPr>
                      <w:p w14:paraId="1800AE44">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0F32EE7F">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签订日期：</w:t>
                        </w:r>
                      </w:p>
                    </w:tc>
                  </w:tr>
                  <w:tr w14:paraId="153EE1D5">
                    <w:tblPrEx>
                      <w:tblCellMar>
                        <w:top w:w="0" w:type="dxa"/>
                        <w:left w:w="0" w:type="dxa"/>
                        <w:bottom w:w="0" w:type="dxa"/>
                        <w:right w:w="0" w:type="dxa"/>
                      </w:tblCellMar>
                    </w:tblPrEx>
                    <w:trPr>
                      <w:tblCellSpacing w:w="0" w:type="dxa"/>
                      <w:jc w:val="center"/>
                    </w:trPr>
                    <w:tc>
                      <w:tcPr>
                        <w:tcW w:w="9750" w:type="dxa"/>
                        <w:gridSpan w:val="2"/>
                        <w:noWrap w:val="0"/>
                        <w:vAlign w:val="center"/>
                      </w:tcPr>
                      <w:p w14:paraId="347E71D4">
                        <w:pPr>
                          <w:widowControl/>
                          <w:kinsoku/>
                          <w:autoSpaceDE/>
                          <w:autoSpaceDN/>
                          <w:adjustRightInd/>
                          <w:snapToGrid/>
                          <w:spacing w:after="240" w:line="240" w:lineRule="auto"/>
                          <w:ind w:firstLine="420" w:firstLineChars="200"/>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乙方（供应商公章）名 称：</w:t>
                        </w:r>
                      </w:p>
                    </w:tc>
                  </w:tr>
                  <w:tr w14:paraId="6E6A385E">
                    <w:tblPrEx>
                      <w:tblCellMar>
                        <w:top w:w="0" w:type="dxa"/>
                        <w:left w:w="0" w:type="dxa"/>
                        <w:bottom w:w="0" w:type="dxa"/>
                        <w:right w:w="0" w:type="dxa"/>
                      </w:tblCellMar>
                    </w:tblPrEx>
                    <w:trPr>
                      <w:tblCellSpacing w:w="0" w:type="dxa"/>
                      <w:jc w:val="center"/>
                    </w:trPr>
                    <w:tc>
                      <w:tcPr>
                        <w:tcW w:w="1657" w:type="dxa"/>
                        <w:noWrap w:val="0"/>
                        <w:vAlign w:val="center"/>
                      </w:tcPr>
                      <w:p w14:paraId="3E1BB095">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0B69C11D">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地 址：</w:t>
                        </w:r>
                      </w:p>
                    </w:tc>
                  </w:tr>
                  <w:tr w14:paraId="4A72986F">
                    <w:tblPrEx>
                      <w:tblCellMar>
                        <w:top w:w="0" w:type="dxa"/>
                        <w:left w:w="0" w:type="dxa"/>
                        <w:bottom w:w="0" w:type="dxa"/>
                        <w:right w:w="0" w:type="dxa"/>
                      </w:tblCellMar>
                    </w:tblPrEx>
                    <w:trPr>
                      <w:tblCellSpacing w:w="0" w:type="dxa"/>
                      <w:jc w:val="center"/>
                    </w:trPr>
                    <w:tc>
                      <w:tcPr>
                        <w:tcW w:w="1657" w:type="dxa"/>
                        <w:noWrap w:val="0"/>
                        <w:vAlign w:val="center"/>
                      </w:tcPr>
                      <w:p w14:paraId="337F1F88">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3A155AED">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邮 编：</w:t>
                        </w:r>
                      </w:p>
                    </w:tc>
                  </w:tr>
                  <w:tr w14:paraId="38687262">
                    <w:tblPrEx>
                      <w:tblCellMar>
                        <w:top w:w="0" w:type="dxa"/>
                        <w:left w:w="0" w:type="dxa"/>
                        <w:bottom w:w="0" w:type="dxa"/>
                        <w:right w:w="0" w:type="dxa"/>
                      </w:tblCellMar>
                    </w:tblPrEx>
                    <w:trPr>
                      <w:tblCellSpacing w:w="0" w:type="dxa"/>
                      <w:jc w:val="center"/>
                    </w:trPr>
                    <w:tc>
                      <w:tcPr>
                        <w:tcW w:w="1657" w:type="dxa"/>
                        <w:noWrap w:val="0"/>
                        <w:vAlign w:val="center"/>
                      </w:tcPr>
                      <w:p w14:paraId="5074A12A">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68E17C53">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法定代表人或委托代理人：</w:t>
                        </w:r>
                      </w:p>
                    </w:tc>
                  </w:tr>
                  <w:tr w14:paraId="68EBBD0B">
                    <w:tblPrEx>
                      <w:tblCellMar>
                        <w:top w:w="0" w:type="dxa"/>
                        <w:left w:w="0" w:type="dxa"/>
                        <w:bottom w:w="0" w:type="dxa"/>
                        <w:right w:w="0" w:type="dxa"/>
                      </w:tblCellMar>
                    </w:tblPrEx>
                    <w:trPr>
                      <w:tblCellSpacing w:w="0" w:type="dxa"/>
                      <w:jc w:val="center"/>
                    </w:trPr>
                    <w:tc>
                      <w:tcPr>
                        <w:tcW w:w="1657" w:type="dxa"/>
                        <w:noWrap w:val="0"/>
                        <w:vAlign w:val="center"/>
                      </w:tcPr>
                      <w:p w14:paraId="3D4F1EFA">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0AB65267">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经办人：</w:t>
                        </w:r>
                      </w:p>
                    </w:tc>
                  </w:tr>
                  <w:tr w14:paraId="302E76CA">
                    <w:tblPrEx>
                      <w:tblCellMar>
                        <w:top w:w="0" w:type="dxa"/>
                        <w:left w:w="0" w:type="dxa"/>
                        <w:bottom w:w="0" w:type="dxa"/>
                        <w:right w:w="0" w:type="dxa"/>
                      </w:tblCellMar>
                    </w:tblPrEx>
                    <w:trPr>
                      <w:tblCellSpacing w:w="0" w:type="dxa"/>
                      <w:jc w:val="center"/>
                    </w:trPr>
                    <w:tc>
                      <w:tcPr>
                        <w:tcW w:w="1657" w:type="dxa"/>
                        <w:noWrap w:val="0"/>
                        <w:vAlign w:val="center"/>
                      </w:tcPr>
                      <w:p w14:paraId="2426D4AF">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5F2104E8">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电 话：</w:t>
                        </w:r>
                      </w:p>
                    </w:tc>
                  </w:tr>
                  <w:tr w14:paraId="33125ED9">
                    <w:tblPrEx>
                      <w:tblCellMar>
                        <w:top w:w="0" w:type="dxa"/>
                        <w:left w:w="0" w:type="dxa"/>
                        <w:bottom w:w="0" w:type="dxa"/>
                        <w:right w:w="0" w:type="dxa"/>
                      </w:tblCellMar>
                    </w:tblPrEx>
                    <w:trPr>
                      <w:tblCellSpacing w:w="0" w:type="dxa"/>
                      <w:jc w:val="center"/>
                    </w:trPr>
                    <w:tc>
                      <w:tcPr>
                        <w:tcW w:w="1657" w:type="dxa"/>
                        <w:noWrap w:val="0"/>
                        <w:vAlign w:val="center"/>
                      </w:tcPr>
                      <w:p w14:paraId="768B92FE">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75703197">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签订日期：</w:t>
                        </w:r>
                      </w:p>
                    </w:tc>
                  </w:tr>
                </w:tbl>
                <w:p w14:paraId="04E3A3B5">
                  <w:pPr>
                    <w:widowControl w:val="0"/>
                    <w:kinsoku/>
                    <w:autoSpaceDE/>
                    <w:autoSpaceDN/>
                    <w:adjustRightInd/>
                    <w:snapToGrid/>
                    <w:spacing w:line="240" w:lineRule="auto"/>
                    <w:jc w:val="left"/>
                    <w:textAlignment w:val="auto"/>
                    <w:rPr>
                      <w:rFonts w:ascii="Times New Roman" w:hAnsi="宋体" w:eastAsia="宋体" w:cs="宋体"/>
                      <w:snapToGrid/>
                      <w:color w:val="auto"/>
                      <w:kern w:val="2"/>
                      <w:szCs w:val="24"/>
                      <w:highlight w:val="none"/>
                      <w:lang w:val="en-US" w:eastAsia="zh-CN" w:bidi="ar-SA"/>
                    </w:rPr>
                  </w:pPr>
                </w:p>
              </w:tc>
            </w:tr>
            <w:tr w14:paraId="792573E0">
              <w:tblPrEx>
                <w:tblCellMar>
                  <w:top w:w="0" w:type="dxa"/>
                  <w:left w:w="0" w:type="dxa"/>
                  <w:bottom w:w="0" w:type="dxa"/>
                  <w:right w:w="0" w:type="dxa"/>
                </w:tblCellMar>
              </w:tblPrEx>
              <w:trPr>
                <w:gridAfter w:val="1"/>
                <w:wAfter w:w="527" w:type="dxa"/>
                <w:tblCellSpacing w:w="0" w:type="dxa"/>
                <w:jc w:val="center"/>
              </w:trPr>
              <w:tc>
                <w:tcPr>
                  <w:tcW w:w="9263" w:type="dxa"/>
                  <w:gridSpan w:val="2"/>
                  <w:vAlign w:val="center"/>
                </w:tcPr>
                <w:p w14:paraId="07B48846">
                  <w:pPr>
                    <w:widowControl w:val="0"/>
                    <w:kinsoku/>
                    <w:autoSpaceDE/>
                    <w:autoSpaceDN/>
                    <w:adjustRightInd/>
                    <w:snapToGrid/>
                    <w:spacing w:after="240" w:line="240" w:lineRule="auto"/>
                    <w:ind w:firstLine="210" w:firstLineChars="100"/>
                    <w:jc w:val="both"/>
                    <w:textAlignment w:val="auto"/>
                    <w:rPr>
                      <w:rFonts w:hint="eastAsia" w:ascii="Times New Roman" w:hAnsi="Times New Roman" w:eastAsia="宋体" w:cs="Times New Roman"/>
                      <w:snapToGrid/>
                      <w:color w:val="auto"/>
                      <w:kern w:val="2"/>
                      <w:szCs w:val="24"/>
                      <w:highlight w:val="none"/>
                      <w:lang w:val="en-US" w:eastAsia="zh-CN" w:bidi="ar-SA"/>
                    </w:rPr>
                  </w:pPr>
                  <w:r>
                    <w:rPr>
                      <w:rFonts w:ascii="Times New Roman" w:hAnsi="Times New Roman" w:eastAsia="宋体" w:cs="Times New Roman"/>
                      <w:snapToGrid/>
                      <w:color w:val="auto"/>
                      <w:kern w:val="2"/>
                      <w:szCs w:val="24"/>
                      <w:highlight w:val="none"/>
                      <w:lang w:val="en-US" w:eastAsia="zh-CN" w:bidi="ar-SA"/>
                    </w:rPr>
                    <w:t>丙方（鉴证方公章）名 称：</w:t>
                  </w:r>
                  <w:r>
                    <w:rPr>
                      <w:rFonts w:hint="eastAsia" w:ascii="Times New Roman" w:hAnsi="Times New Roman" w:eastAsia="宋体" w:cs="Times New Roman"/>
                      <w:snapToGrid/>
                      <w:color w:val="auto"/>
                      <w:kern w:val="2"/>
                      <w:szCs w:val="24"/>
                      <w:highlight w:val="none"/>
                      <w:lang w:val="en-US" w:eastAsia="zh-CN" w:bidi="ar-SA"/>
                    </w:rPr>
                    <w:t>云南方圆工程咨询有限公司</w:t>
                  </w:r>
                </w:p>
              </w:tc>
            </w:tr>
            <w:tr w14:paraId="56B9714B">
              <w:tblPrEx>
                <w:tblCellMar>
                  <w:top w:w="0" w:type="dxa"/>
                  <w:left w:w="0" w:type="dxa"/>
                  <w:bottom w:w="0" w:type="dxa"/>
                  <w:right w:w="0" w:type="dxa"/>
                </w:tblCellMar>
              </w:tblPrEx>
              <w:trPr>
                <w:tblCellSpacing w:w="0" w:type="dxa"/>
                <w:jc w:val="center"/>
              </w:trPr>
              <w:tc>
                <w:tcPr>
                  <w:tcW w:w="1395" w:type="dxa"/>
                  <w:vAlign w:val="center"/>
                </w:tcPr>
                <w:p w14:paraId="574DC66E">
                  <w:pPr>
                    <w:widowControl w:val="0"/>
                    <w:kinsoku/>
                    <w:autoSpaceDE/>
                    <w:autoSpaceDN/>
                    <w:adjustRightInd/>
                    <w:snapToGrid/>
                    <w:spacing w:after="240" w:line="240" w:lineRule="auto"/>
                    <w:jc w:val="both"/>
                    <w:textAlignment w:val="auto"/>
                    <w:rPr>
                      <w:rFonts w:ascii="Times New Roman" w:hAnsi="Times New Roman" w:eastAsia="宋体" w:cs="Times New Roman"/>
                      <w:snapToGrid/>
                      <w:color w:val="auto"/>
                      <w:kern w:val="2"/>
                      <w:szCs w:val="24"/>
                      <w:highlight w:val="none"/>
                      <w:lang w:val="en-US" w:eastAsia="zh-CN" w:bidi="ar-SA"/>
                    </w:rPr>
                  </w:pPr>
                </w:p>
              </w:tc>
              <w:tc>
                <w:tcPr>
                  <w:tcW w:w="8395" w:type="dxa"/>
                  <w:gridSpan w:val="2"/>
                  <w:vAlign w:val="center"/>
                </w:tcPr>
                <w:p w14:paraId="16E0F369">
                  <w:pPr>
                    <w:widowControl w:val="0"/>
                    <w:kinsoku/>
                    <w:autoSpaceDE/>
                    <w:autoSpaceDN/>
                    <w:adjustRightInd/>
                    <w:snapToGrid/>
                    <w:spacing w:after="240" w:line="240" w:lineRule="auto"/>
                    <w:jc w:val="both"/>
                    <w:textAlignment w:val="auto"/>
                    <w:rPr>
                      <w:rFonts w:ascii="宋体" w:hAnsi="宋体" w:eastAsia="宋体" w:cs="宋体"/>
                      <w:snapToGrid/>
                      <w:color w:val="auto"/>
                      <w:kern w:val="2"/>
                      <w:sz w:val="24"/>
                      <w:szCs w:val="24"/>
                      <w:highlight w:val="none"/>
                      <w:lang w:val="en-US" w:eastAsia="zh-CN" w:bidi="ar-SA"/>
                    </w:rPr>
                  </w:pPr>
                  <w:r>
                    <w:rPr>
                      <w:rFonts w:ascii="Times New Roman" w:hAnsi="Times New Roman" w:eastAsia="宋体" w:cs="Times New Roman"/>
                      <w:snapToGrid/>
                      <w:color w:val="auto"/>
                      <w:kern w:val="2"/>
                      <w:szCs w:val="24"/>
                      <w:highlight w:val="none"/>
                      <w:lang w:val="en-US" w:eastAsia="zh-CN" w:bidi="ar-SA"/>
                    </w:rPr>
                    <w:t>地 址：</w:t>
                  </w:r>
                  <w:r>
                    <w:rPr>
                      <w:rFonts w:hint="eastAsia" w:ascii="Times New Roman" w:hAnsi="Times New Roman" w:eastAsia="宋体" w:cs="Times New Roman"/>
                      <w:snapToGrid/>
                      <w:color w:val="auto"/>
                      <w:kern w:val="2"/>
                      <w:szCs w:val="24"/>
                      <w:highlight w:val="none"/>
                      <w:lang w:val="en-US" w:eastAsia="zh-CN" w:bidi="ar-SA"/>
                    </w:rPr>
                    <w:t>云南省昆明市白龙路149号云南省市场监督管理干部学校6楼</w:t>
                  </w:r>
                </w:p>
              </w:tc>
            </w:tr>
            <w:tr w14:paraId="43BBDAD5">
              <w:tblPrEx>
                <w:tblCellMar>
                  <w:top w:w="0" w:type="dxa"/>
                  <w:left w:w="0" w:type="dxa"/>
                  <w:bottom w:w="0" w:type="dxa"/>
                  <w:right w:w="0" w:type="dxa"/>
                </w:tblCellMar>
              </w:tblPrEx>
              <w:trPr>
                <w:tblCellSpacing w:w="0" w:type="dxa"/>
                <w:jc w:val="center"/>
              </w:trPr>
              <w:tc>
                <w:tcPr>
                  <w:tcW w:w="1395" w:type="dxa"/>
                  <w:vAlign w:val="center"/>
                </w:tcPr>
                <w:p w14:paraId="523F2E5B">
                  <w:pPr>
                    <w:widowControl w:val="0"/>
                    <w:kinsoku/>
                    <w:autoSpaceDE/>
                    <w:autoSpaceDN/>
                    <w:adjustRightInd/>
                    <w:snapToGrid/>
                    <w:spacing w:after="240" w:line="240" w:lineRule="auto"/>
                    <w:jc w:val="both"/>
                    <w:textAlignment w:val="auto"/>
                    <w:rPr>
                      <w:rFonts w:ascii="Times New Roman" w:hAnsi="Times New Roman" w:eastAsia="宋体" w:cs="Times New Roman"/>
                      <w:snapToGrid/>
                      <w:color w:val="auto"/>
                      <w:kern w:val="2"/>
                      <w:szCs w:val="24"/>
                      <w:highlight w:val="none"/>
                      <w:lang w:val="en-US" w:eastAsia="zh-CN" w:bidi="ar-SA"/>
                    </w:rPr>
                  </w:pPr>
                </w:p>
              </w:tc>
              <w:tc>
                <w:tcPr>
                  <w:tcW w:w="8395" w:type="dxa"/>
                  <w:gridSpan w:val="2"/>
                  <w:vAlign w:val="center"/>
                </w:tcPr>
                <w:p w14:paraId="7CB2B387">
                  <w:pPr>
                    <w:widowControl w:val="0"/>
                    <w:kinsoku/>
                    <w:autoSpaceDE/>
                    <w:autoSpaceDN/>
                    <w:adjustRightInd/>
                    <w:snapToGrid/>
                    <w:spacing w:after="240" w:line="240" w:lineRule="auto"/>
                    <w:jc w:val="both"/>
                    <w:textAlignment w:val="auto"/>
                    <w:rPr>
                      <w:rFonts w:hint="eastAsia" w:ascii="宋体" w:hAnsi="宋体" w:eastAsia="宋体" w:cs="宋体"/>
                      <w:snapToGrid/>
                      <w:color w:val="auto"/>
                      <w:kern w:val="2"/>
                      <w:sz w:val="24"/>
                      <w:szCs w:val="24"/>
                      <w:highlight w:val="none"/>
                      <w:lang w:val="en-US" w:eastAsia="zh-CN" w:bidi="ar-SA"/>
                    </w:rPr>
                  </w:pPr>
                  <w:r>
                    <w:rPr>
                      <w:rFonts w:ascii="Times New Roman" w:hAnsi="Times New Roman" w:eastAsia="宋体" w:cs="Times New Roman"/>
                      <w:snapToGrid/>
                      <w:color w:val="auto"/>
                      <w:kern w:val="2"/>
                      <w:szCs w:val="24"/>
                      <w:highlight w:val="none"/>
                      <w:lang w:val="en-US" w:eastAsia="zh-CN" w:bidi="ar-SA"/>
                    </w:rPr>
                    <w:t>邮 编：</w:t>
                  </w:r>
                  <w:r>
                    <w:rPr>
                      <w:rFonts w:hint="eastAsia" w:ascii="Times New Roman" w:hAnsi="Times New Roman" w:eastAsia="宋体" w:cs="Times New Roman"/>
                      <w:snapToGrid/>
                      <w:color w:val="auto"/>
                      <w:kern w:val="2"/>
                      <w:szCs w:val="24"/>
                      <w:highlight w:val="none"/>
                      <w:lang w:val="en-US" w:eastAsia="zh-CN" w:bidi="ar-SA"/>
                    </w:rPr>
                    <w:t xml:space="preserve">650000 </w:t>
                  </w:r>
                </w:p>
              </w:tc>
            </w:tr>
            <w:tr w14:paraId="43FA3795">
              <w:tblPrEx>
                <w:tblCellMar>
                  <w:top w:w="0" w:type="dxa"/>
                  <w:left w:w="0" w:type="dxa"/>
                  <w:bottom w:w="0" w:type="dxa"/>
                  <w:right w:w="0" w:type="dxa"/>
                </w:tblCellMar>
              </w:tblPrEx>
              <w:trPr>
                <w:tblCellSpacing w:w="0" w:type="dxa"/>
                <w:jc w:val="center"/>
              </w:trPr>
              <w:tc>
                <w:tcPr>
                  <w:tcW w:w="1395" w:type="dxa"/>
                  <w:vAlign w:val="center"/>
                </w:tcPr>
                <w:p w14:paraId="08CB2DC1">
                  <w:pPr>
                    <w:widowControl w:val="0"/>
                    <w:kinsoku/>
                    <w:autoSpaceDE/>
                    <w:autoSpaceDN/>
                    <w:adjustRightInd/>
                    <w:snapToGrid/>
                    <w:spacing w:after="240" w:line="240" w:lineRule="auto"/>
                    <w:jc w:val="both"/>
                    <w:textAlignment w:val="auto"/>
                    <w:rPr>
                      <w:rFonts w:ascii="Times New Roman" w:hAnsi="Times New Roman" w:eastAsia="宋体" w:cs="Times New Roman"/>
                      <w:snapToGrid/>
                      <w:color w:val="auto"/>
                      <w:kern w:val="2"/>
                      <w:szCs w:val="24"/>
                      <w:highlight w:val="none"/>
                      <w:lang w:val="en-US" w:eastAsia="zh-CN" w:bidi="ar-SA"/>
                    </w:rPr>
                  </w:pPr>
                </w:p>
              </w:tc>
              <w:tc>
                <w:tcPr>
                  <w:tcW w:w="8395" w:type="dxa"/>
                  <w:gridSpan w:val="2"/>
                  <w:vAlign w:val="center"/>
                </w:tcPr>
                <w:p w14:paraId="133007CD">
                  <w:pPr>
                    <w:widowControl w:val="0"/>
                    <w:kinsoku/>
                    <w:autoSpaceDE/>
                    <w:autoSpaceDN/>
                    <w:adjustRightInd/>
                    <w:snapToGrid/>
                    <w:spacing w:after="240" w:line="240" w:lineRule="auto"/>
                    <w:jc w:val="both"/>
                    <w:textAlignment w:val="auto"/>
                    <w:rPr>
                      <w:rFonts w:ascii="宋体" w:hAnsi="宋体" w:eastAsia="宋体" w:cs="宋体"/>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Cs w:val="24"/>
                      <w:highlight w:val="none"/>
                      <w:lang w:val="en-US" w:eastAsia="zh-CN" w:bidi="ar-SA"/>
                    </w:rPr>
                    <w:t>法定代表人</w:t>
                  </w:r>
                  <w:r>
                    <w:rPr>
                      <w:rFonts w:ascii="Times New Roman" w:hAnsi="Times New Roman" w:eastAsia="宋体" w:cs="Times New Roman"/>
                      <w:snapToGrid/>
                      <w:color w:val="auto"/>
                      <w:kern w:val="2"/>
                      <w:szCs w:val="24"/>
                      <w:highlight w:val="none"/>
                      <w:lang w:val="en-US" w:eastAsia="zh-CN" w:bidi="ar-SA"/>
                    </w:rPr>
                    <w:t>或委托代理人：</w:t>
                  </w:r>
                </w:p>
              </w:tc>
            </w:tr>
            <w:tr w14:paraId="5C6B8C1F">
              <w:tblPrEx>
                <w:tblCellMar>
                  <w:top w:w="0" w:type="dxa"/>
                  <w:left w:w="0" w:type="dxa"/>
                  <w:bottom w:w="0" w:type="dxa"/>
                  <w:right w:w="0" w:type="dxa"/>
                </w:tblCellMar>
              </w:tblPrEx>
              <w:trPr>
                <w:tblCellSpacing w:w="0" w:type="dxa"/>
                <w:jc w:val="center"/>
              </w:trPr>
              <w:tc>
                <w:tcPr>
                  <w:tcW w:w="1395" w:type="dxa"/>
                  <w:vAlign w:val="center"/>
                </w:tcPr>
                <w:p w14:paraId="4AA1108F">
                  <w:pPr>
                    <w:widowControl w:val="0"/>
                    <w:kinsoku/>
                    <w:autoSpaceDE/>
                    <w:autoSpaceDN/>
                    <w:adjustRightInd/>
                    <w:snapToGrid/>
                    <w:spacing w:after="240" w:line="240" w:lineRule="auto"/>
                    <w:jc w:val="both"/>
                    <w:textAlignment w:val="auto"/>
                    <w:rPr>
                      <w:rFonts w:ascii="Times New Roman" w:hAnsi="Times New Roman" w:eastAsia="宋体" w:cs="Times New Roman"/>
                      <w:snapToGrid/>
                      <w:color w:val="auto"/>
                      <w:kern w:val="2"/>
                      <w:szCs w:val="24"/>
                      <w:highlight w:val="none"/>
                      <w:lang w:val="en-US" w:eastAsia="zh-CN" w:bidi="ar-SA"/>
                    </w:rPr>
                  </w:pPr>
                </w:p>
              </w:tc>
              <w:tc>
                <w:tcPr>
                  <w:tcW w:w="8395" w:type="dxa"/>
                  <w:gridSpan w:val="2"/>
                  <w:vAlign w:val="center"/>
                </w:tcPr>
                <w:p w14:paraId="3E369767">
                  <w:pPr>
                    <w:widowControl w:val="0"/>
                    <w:kinsoku/>
                    <w:autoSpaceDE/>
                    <w:autoSpaceDN/>
                    <w:adjustRightInd/>
                    <w:snapToGrid/>
                    <w:spacing w:after="240" w:line="240" w:lineRule="auto"/>
                    <w:jc w:val="both"/>
                    <w:textAlignment w:val="auto"/>
                    <w:rPr>
                      <w:rFonts w:ascii="宋体" w:hAnsi="宋体" w:eastAsia="宋体" w:cs="宋体"/>
                      <w:snapToGrid/>
                      <w:color w:val="auto"/>
                      <w:kern w:val="2"/>
                      <w:sz w:val="24"/>
                      <w:szCs w:val="24"/>
                      <w:highlight w:val="none"/>
                      <w:lang w:val="en-US" w:eastAsia="zh-CN" w:bidi="ar-SA"/>
                    </w:rPr>
                  </w:pPr>
                  <w:r>
                    <w:rPr>
                      <w:rFonts w:ascii="Times New Roman" w:hAnsi="Times New Roman" w:eastAsia="宋体" w:cs="Times New Roman"/>
                      <w:snapToGrid/>
                      <w:color w:val="auto"/>
                      <w:kern w:val="2"/>
                      <w:szCs w:val="24"/>
                      <w:highlight w:val="none"/>
                      <w:lang w:val="en-US" w:eastAsia="zh-CN" w:bidi="ar-SA"/>
                    </w:rPr>
                    <w:t>经办人：</w:t>
                  </w:r>
                </w:p>
              </w:tc>
            </w:tr>
            <w:tr w14:paraId="55275E86">
              <w:tblPrEx>
                <w:tblCellMar>
                  <w:top w:w="0" w:type="dxa"/>
                  <w:left w:w="0" w:type="dxa"/>
                  <w:bottom w:w="0" w:type="dxa"/>
                  <w:right w:w="0" w:type="dxa"/>
                </w:tblCellMar>
              </w:tblPrEx>
              <w:trPr>
                <w:tblCellSpacing w:w="0" w:type="dxa"/>
                <w:jc w:val="center"/>
              </w:trPr>
              <w:tc>
                <w:tcPr>
                  <w:tcW w:w="1395" w:type="dxa"/>
                  <w:vAlign w:val="center"/>
                </w:tcPr>
                <w:p w14:paraId="044D9105">
                  <w:pPr>
                    <w:widowControl w:val="0"/>
                    <w:kinsoku/>
                    <w:autoSpaceDE/>
                    <w:autoSpaceDN/>
                    <w:adjustRightInd/>
                    <w:snapToGrid/>
                    <w:spacing w:after="240" w:line="240" w:lineRule="auto"/>
                    <w:jc w:val="both"/>
                    <w:textAlignment w:val="auto"/>
                    <w:rPr>
                      <w:rFonts w:ascii="Times New Roman" w:hAnsi="Times New Roman" w:eastAsia="宋体" w:cs="Times New Roman"/>
                      <w:snapToGrid/>
                      <w:color w:val="auto"/>
                      <w:kern w:val="2"/>
                      <w:szCs w:val="24"/>
                      <w:highlight w:val="none"/>
                      <w:lang w:val="en-US" w:eastAsia="zh-CN" w:bidi="ar-SA"/>
                    </w:rPr>
                  </w:pPr>
                </w:p>
              </w:tc>
              <w:tc>
                <w:tcPr>
                  <w:tcW w:w="8395" w:type="dxa"/>
                  <w:gridSpan w:val="2"/>
                  <w:vAlign w:val="center"/>
                </w:tcPr>
                <w:p w14:paraId="78578982">
                  <w:pPr>
                    <w:widowControl w:val="0"/>
                    <w:kinsoku/>
                    <w:autoSpaceDE/>
                    <w:autoSpaceDN/>
                    <w:adjustRightInd/>
                    <w:snapToGrid/>
                    <w:spacing w:after="240" w:line="240" w:lineRule="auto"/>
                    <w:jc w:val="both"/>
                    <w:textAlignment w:val="auto"/>
                    <w:rPr>
                      <w:rFonts w:ascii="宋体" w:hAnsi="宋体" w:eastAsia="宋体" w:cs="宋体"/>
                      <w:snapToGrid/>
                      <w:color w:val="auto"/>
                      <w:kern w:val="2"/>
                      <w:sz w:val="24"/>
                      <w:szCs w:val="24"/>
                      <w:highlight w:val="none"/>
                      <w:lang w:val="en-US" w:eastAsia="zh-CN" w:bidi="ar-SA"/>
                    </w:rPr>
                  </w:pPr>
                  <w:r>
                    <w:rPr>
                      <w:rFonts w:ascii="Times New Roman" w:hAnsi="Times New Roman" w:eastAsia="宋体" w:cs="Times New Roman"/>
                      <w:snapToGrid/>
                      <w:color w:val="auto"/>
                      <w:kern w:val="2"/>
                      <w:szCs w:val="24"/>
                      <w:highlight w:val="none"/>
                      <w:lang w:val="en-US" w:eastAsia="zh-CN" w:bidi="ar-SA"/>
                    </w:rPr>
                    <w:t>电 话：</w:t>
                  </w:r>
                  <w:r>
                    <w:rPr>
                      <w:rFonts w:hint="eastAsia" w:ascii="Times New Roman" w:hAnsi="Times New Roman" w:eastAsia="宋体" w:cs="Times New Roman"/>
                      <w:snapToGrid/>
                      <w:color w:val="auto"/>
                      <w:kern w:val="2"/>
                      <w:szCs w:val="24"/>
                      <w:highlight w:val="none"/>
                      <w:lang w:val="en-US" w:eastAsia="zh-CN" w:bidi="ar-SA"/>
                    </w:rPr>
                    <w:t>0871-65838555</w:t>
                  </w:r>
                </w:p>
              </w:tc>
            </w:tr>
          </w:tbl>
          <w:p w14:paraId="5613A99C">
            <w:pPr>
              <w:widowControl/>
              <w:kinsoku/>
              <w:autoSpaceDE/>
              <w:autoSpaceDN/>
              <w:adjustRightInd/>
              <w:snapToGrid/>
              <w:spacing w:after="240" w:line="240" w:lineRule="auto"/>
              <w:jc w:val="left"/>
              <w:textAlignment w:val="auto"/>
              <w:rPr>
                <w:rFonts w:ascii="Times New Roman" w:hAnsi="宋体" w:eastAsia="宋体" w:cs="宋体"/>
                <w:snapToGrid/>
                <w:color w:val="auto"/>
                <w:kern w:val="2"/>
                <w:szCs w:val="24"/>
                <w:highlight w:val="none"/>
                <w:lang w:val="en-US" w:eastAsia="zh-CN" w:bidi="ar-SA"/>
              </w:rPr>
            </w:pPr>
          </w:p>
          <w:p w14:paraId="0602DC59">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p w14:paraId="19BF85B0">
            <w:pPr>
              <w:widowControl w:val="0"/>
              <w:kinsoku/>
              <w:autoSpaceDE/>
              <w:autoSpaceDN/>
              <w:adjustRightInd/>
              <w:snapToGrid/>
              <w:spacing w:line="240" w:lineRule="auto"/>
              <w:jc w:val="both"/>
              <w:textAlignment w:val="auto"/>
              <w:rPr>
                <w:rFonts w:ascii="Times New Roman" w:hAnsi="宋体" w:eastAsia="宋体" w:cs="宋体"/>
                <w:snapToGrid/>
                <w:vanish/>
                <w:color w:val="auto"/>
                <w:kern w:val="2"/>
                <w:sz w:val="24"/>
                <w:szCs w:val="24"/>
                <w:highlight w:val="none"/>
                <w:lang w:val="en-US" w:eastAsia="zh-CN" w:bidi="ar-SA"/>
              </w:rPr>
            </w:pPr>
          </w:p>
          <w:p w14:paraId="062BA7E0">
            <w:pPr>
              <w:widowControl w:val="0"/>
              <w:kinsoku/>
              <w:autoSpaceDE/>
              <w:autoSpaceDN/>
              <w:adjustRightInd/>
              <w:snapToGrid/>
              <w:spacing w:line="240" w:lineRule="auto"/>
              <w:jc w:val="left"/>
              <w:textAlignment w:val="auto"/>
              <w:rPr>
                <w:rFonts w:ascii="Times New Roman" w:hAnsi="宋体" w:eastAsia="宋体" w:cs="宋体"/>
                <w:snapToGrid/>
                <w:color w:val="auto"/>
                <w:kern w:val="2"/>
                <w:szCs w:val="24"/>
                <w:highlight w:val="none"/>
                <w:lang w:val="en-US" w:eastAsia="zh-CN" w:bidi="ar-SA"/>
              </w:rPr>
            </w:pPr>
          </w:p>
        </w:tc>
      </w:tr>
    </w:tbl>
    <w:p w14:paraId="22CC348D">
      <w:pPr>
        <w:widowControl w:val="0"/>
        <w:kinsoku/>
        <w:autoSpaceDE/>
        <w:autoSpaceDN/>
        <w:adjustRightInd/>
        <w:snapToGrid/>
        <w:spacing w:line="240" w:lineRule="auto"/>
        <w:jc w:val="both"/>
        <w:textAlignment w:val="auto"/>
        <w:rPr>
          <w:rFonts w:ascii="黑体" w:hAnsi="黑体" w:eastAsia="黑体" w:cs="Times New Roman"/>
          <w:b/>
          <w:snapToGrid/>
          <w:color w:val="auto"/>
          <w:kern w:val="2"/>
          <w:sz w:val="24"/>
          <w:szCs w:val="24"/>
          <w:highlight w:val="none"/>
          <w:lang w:val="en-US" w:eastAsia="zh-CN" w:bidi="ar-SA"/>
        </w:rPr>
      </w:pPr>
      <w:r>
        <w:rPr>
          <w:rFonts w:hint="eastAsia" w:ascii="宋体" w:hAnsi="宋体" w:eastAsia="宋体" w:cs="宋体"/>
          <w:b/>
          <w:snapToGrid/>
          <w:color w:val="auto"/>
          <w:kern w:val="2"/>
          <w:szCs w:val="21"/>
          <w:highlight w:val="none"/>
          <w:lang w:val="en-US" w:eastAsia="zh-CN" w:bidi="ar-SA"/>
        </w:rPr>
        <w:br w:type="page"/>
      </w:r>
    </w:p>
    <w:p w14:paraId="5E1F5DFA">
      <w:pPr>
        <w:pStyle w:val="10"/>
        <w:jc w:val="center"/>
        <w:outlineLvl w:val="9"/>
        <w:rPr>
          <w:rFonts w:ascii="宋体" w:hAnsi="宋体" w:eastAsia="宋体"/>
          <w:color w:val="000000"/>
          <w:sz w:val="24"/>
          <w:szCs w:val="24"/>
          <w:highlight w:val="none"/>
        </w:rPr>
      </w:pPr>
      <w:bookmarkStart w:id="255" w:name="_Toc477437654"/>
      <w:bookmarkStart w:id="256" w:name="_Toc16749"/>
      <w:bookmarkStart w:id="257" w:name="_Toc19182"/>
      <w:r>
        <w:rPr>
          <w:rFonts w:hint="eastAsia" w:ascii="宋体" w:hAnsi="宋体" w:eastAsia="宋体"/>
          <w:color w:val="000000"/>
          <w:sz w:val="24"/>
          <w:szCs w:val="24"/>
          <w:highlight w:val="none"/>
        </w:rPr>
        <w:t>（</w:t>
      </w:r>
      <w:r>
        <w:rPr>
          <w:rFonts w:hint="eastAsia" w:ascii="宋体" w:hAnsi="宋体" w:eastAsia="宋体"/>
          <w:color w:val="000000"/>
          <w:sz w:val="24"/>
          <w:szCs w:val="24"/>
          <w:highlight w:val="none"/>
          <w:lang w:val="en-US" w:eastAsia="zh-CN"/>
        </w:rPr>
        <w:t>此为合同模板，具体以实际签订为准</w:t>
      </w:r>
      <w:r>
        <w:rPr>
          <w:rFonts w:hint="eastAsia" w:ascii="宋体" w:hAnsi="宋体" w:eastAsia="宋体"/>
          <w:color w:val="000000"/>
          <w:sz w:val="24"/>
          <w:szCs w:val="24"/>
          <w:highlight w:val="none"/>
        </w:rPr>
        <w:t>）</w:t>
      </w:r>
      <w:bookmarkEnd w:id="255"/>
      <w:bookmarkEnd w:id="256"/>
      <w:bookmarkEnd w:id="257"/>
    </w:p>
    <w:p w14:paraId="5116831D">
      <w:pPr>
        <w:pStyle w:val="10"/>
        <w:spacing w:line="360" w:lineRule="auto"/>
        <w:ind w:right="-41"/>
        <w:jc w:val="center"/>
        <w:rPr>
          <w:rFonts w:hint="eastAsia" w:ascii="微软雅黑 Light" w:hAnsi="微软雅黑 Light" w:eastAsia="微软雅黑 Light" w:cs="微软雅黑 Light"/>
          <w:b/>
          <w:bCs w:val="0"/>
          <w:color w:val="000000"/>
          <w:sz w:val="28"/>
          <w:szCs w:val="28"/>
          <w:highlight w:val="none"/>
        </w:rPr>
      </w:pPr>
      <w:bookmarkStart w:id="258" w:name="_Toc21243"/>
      <w:bookmarkStart w:id="259" w:name="_Toc477437655"/>
      <w:bookmarkStart w:id="260" w:name="_Toc20339"/>
      <w:bookmarkStart w:id="261" w:name="_Toc2858"/>
      <w:bookmarkStart w:id="262" w:name="_Toc10241"/>
      <w:bookmarkStart w:id="263" w:name="_Toc222032670"/>
      <w:bookmarkStart w:id="264" w:name="_Toc222031003"/>
      <w:bookmarkStart w:id="265" w:name="_Toc229305361"/>
      <w:bookmarkStart w:id="266" w:name="_Toc221948339"/>
      <w:bookmarkStart w:id="267" w:name="_Toc222033852"/>
      <w:bookmarkStart w:id="268" w:name="_Toc222029501"/>
      <w:bookmarkStart w:id="269" w:name="_Toc221950661"/>
      <w:r>
        <w:rPr>
          <w:rFonts w:hint="eastAsia" w:ascii="微软雅黑 Light" w:hAnsi="微软雅黑 Light" w:eastAsia="微软雅黑 Light" w:cs="微软雅黑 Light"/>
          <w:b/>
          <w:bCs w:val="0"/>
          <w:color w:val="000000"/>
          <w:sz w:val="28"/>
          <w:szCs w:val="28"/>
          <w:highlight w:val="none"/>
        </w:rPr>
        <w:t>第一节</w:t>
      </w:r>
      <w:r>
        <w:rPr>
          <w:rFonts w:hint="eastAsia" w:ascii="微软雅黑 Light" w:hAnsi="微软雅黑 Light" w:eastAsia="微软雅黑 Light" w:cs="微软雅黑 Light"/>
          <w:b/>
          <w:bCs w:val="0"/>
          <w:color w:val="000000"/>
          <w:sz w:val="28"/>
          <w:szCs w:val="28"/>
          <w:highlight w:val="none"/>
          <w:lang w:val="en-US" w:eastAsia="zh-CN"/>
        </w:rPr>
        <w:t xml:space="preserve">  </w:t>
      </w:r>
      <w:r>
        <w:rPr>
          <w:rFonts w:hint="eastAsia" w:ascii="微软雅黑 Light" w:hAnsi="微软雅黑 Light" w:eastAsia="微软雅黑 Light" w:cs="微软雅黑 Light"/>
          <w:b/>
          <w:bCs w:val="0"/>
          <w:color w:val="000000"/>
          <w:sz w:val="28"/>
          <w:szCs w:val="28"/>
          <w:highlight w:val="none"/>
        </w:rPr>
        <w:t>通用合同条款</w:t>
      </w:r>
      <w:bookmarkEnd w:id="258"/>
      <w:bookmarkEnd w:id="259"/>
      <w:bookmarkEnd w:id="260"/>
      <w:bookmarkEnd w:id="261"/>
      <w:bookmarkEnd w:id="262"/>
    </w:p>
    <w:p w14:paraId="2DB0DBC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根据国家发展和改革委员会、财政部、建设部、铁道部、交通部、信息产业部、水利部、民用航空总部、广播电影电视总局第56号令《中华人民共和国标准施工招标文件》（2007年版）全文引用。</w:t>
      </w:r>
    </w:p>
    <w:p w14:paraId="22088E7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并补充以下内容：</w:t>
      </w:r>
    </w:p>
    <w:p w14:paraId="0627AF43">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270" w:name="_Toc221950662"/>
      <w:bookmarkStart w:id="271" w:name="_Toc222032671"/>
      <w:bookmarkStart w:id="272" w:name="_Toc222029502"/>
      <w:bookmarkStart w:id="273" w:name="_Toc222033853"/>
      <w:bookmarkStart w:id="274" w:name="_Toc222031004"/>
      <w:bookmarkStart w:id="275" w:name="_Toc229305362"/>
      <w:r>
        <w:rPr>
          <w:rFonts w:hint="eastAsia" w:ascii="宋体" w:hAnsi="宋体" w:eastAsia="宋体" w:cs="宋体"/>
          <w:color w:val="000000"/>
          <w:sz w:val="21"/>
          <w:szCs w:val="21"/>
          <w:highlight w:val="none"/>
        </w:rPr>
        <w:t>1.一般约定</w:t>
      </w:r>
      <w:bookmarkEnd w:id="270"/>
      <w:bookmarkEnd w:id="271"/>
      <w:bookmarkEnd w:id="272"/>
      <w:bookmarkEnd w:id="273"/>
      <w:bookmarkEnd w:id="274"/>
      <w:bookmarkEnd w:id="275"/>
    </w:p>
    <w:p w14:paraId="414E92B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76" w:name="_Toc221950667"/>
      <w:bookmarkStart w:id="277" w:name="_Toc229305386"/>
      <w:bookmarkStart w:id="278" w:name="_Toc222031028"/>
      <w:bookmarkStart w:id="279" w:name="_Toc222029526"/>
      <w:bookmarkStart w:id="280" w:name="_Toc222032695"/>
      <w:bookmarkStart w:id="281" w:name="_Toc221948340"/>
      <w:bookmarkStart w:id="282" w:name="_Toc274933685"/>
      <w:bookmarkStart w:id="283" w:name="_Toc222033877"/>
      <w:bookmarkStart w:id="284" w:name="_Toc221951110"/>
      <w:r>
        <w:rPr>
          <w:rFonts w:hint="eastAsia" w:ascii="宋体" w:hAnsi="宋体" w:eastAsia="宋体" w:cs="宋体"/>
          <w:color w:val="000000"/>
          <w:sz w:val="21"/>
          <w:szCs w:val="21"/>
          <w:highlight w:val="none"/>
        </w:rPr>
        <w:t>1.1词语定义</w:t>
      </w:r>
    </w:p>
    <w:p w14:paraId="54C4DAA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1.1.1合同</w:t>
      </w:r>
    </w:p>
    <w:p w14:paraId="5A1379C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1.1.1.6</w:t>
      </w:r>
      <w:bookmarkEnd w:id="276"/>
      <w:r>
        <w:rPr>
          <w:rFonts w:hint="eastAsia" w:ascii="宋体" w:hAnsi="宋体" w:eastAsia="宋体" w:cs="宋体"/>
          <w:color w:val="000000"/>
          <w:sz w:val="21"/>
          <w:szCs w:val="21"/>
          <w:highlight w:val="none"/>
        </w:rPr>
        <w:t>技术标准和要求：是指构成合同文件组成部分的名为技术标准和要求（合同技术条款）的文件，包括合同双方当事人约定对其所作的修改或补充。</w:t>
      </w:r>
    </w:p>
    <w:p w14:paraId="08A5AA3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85" w:name="_Toc221950668"/>
      <w:r>
        <w:rPr>
          <w:rFonts w:hint="eastAsia" w:ascii="宋体" w:hAnsi="宋体" w:eastAsia="宋体" w:cs="宋体"/>
          <w:color w:val="000000"/>
          <w:sz w:val="21"/>
          <w:szCs w:val="21"/>
          <w:highlight w:val="none"/>
        </w:rPr>
        <w:t>1.1.1.7图纸：指列入合同的招标图纸、投标图纸和发包人按合同约定向承包人提供的施工图纸和其他图纸</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包括配套说明和有关资料</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w:t>
      </w:r>
      <w:bookmarkEnd w:id="285"/>
      <w:r>
        <w:rPr>
          <w:rFonts w:hint="eastAsia" w:ascii="宋体" w:hAnsi="宋体" w:eastAsia="宋体" w:cs="宋体"/>
          <w:color w:val="000000"/>
          <w:sz w:val="21"/>
          <w:szCs w:val="21"/>
          <w:highlight w:val="none"/>
        </w:rPr>
        <w:t>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p>
    <w:p w14:paraId="06D759F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86" w:name="_Toc221950669"/>
      <w:r>
        <w:rPr>
          <w:rFonts w:hint="eastAsia" w:ascii="宋体" w:hAnsi="宋体" w:eastAsia="宋体" w:cs="宋体"/>
          <w:color w:val="000000"/>
          <w:sz w:val="21"/>
          <w:szCs w:val="21"/>
          <w:highlight w:val="none"/>
        </w:rPr>
        <w:t>1.1.2</w:t>
      </w:r>
      <w:bookmarkEnd w:id="286"/>
      <w:r>
        <w:rPr>
          <w:rFonts w:hint="eastAsia" w:ascii="宋体" w:hAnsi="宋体" w:eastAsia="宋体" w:cs="宋体"/>
          <w:color w:val="000000"/>
          <w:sz w:val="21"/>
          <w:szCs w:val="21"/>
          <w:highlight w:val="none"/>
        </w:rPr>
        <w:t>合同当事人和人员</w:t>
      </w:r>
    </w:p>
    <w:p w14:paraId="64D5042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1.1.2.3承包人：指专业合同条款中指明并发包人在合同协议书中签字的当事人。</w:t>
      </w:r>
    </w:p>
    <w:p w14:paraId="79B020A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1.1.2.5分包人：指专用合同条款中指明的，从承包人处分分包合同中某一部分工程，并与其签订分包合同的分包人。</w:t>
      </w:r>
    </w:p>
    <w:p w14:paraId="51A6B8C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1.1.3工程和设备</w:t>
      </w:r>
    </w:p>
    <w:p w14:paraId="56E2A85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1.1.3.10永久占地：指发包人为建设本合同工程永久征用的场地。</w:t>
      </w:r>
    </w:p>
    <w:p w14:paraId="300AD80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1.1.3.11临时占地：指发包人为建设本合同工程临时征用，承包人在完工后须按合同要求退还的场地。</w:t>
      </w:r>
    </w:p>
    <w:p w14:paraId="35DD84C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87" w:name="_Toc221950676"/>
      <w:r>
        <w:rPr>
          <w:rFonts w:hint="eastAsia" w:ascii="宋体" w:hAnsi="宋体" w:eastAsia="宋体" w:cs="宋体"/>
          <w:color w:val="000000"/>
          <w:sz w:val="21"/>
          <w:szCs w:val="21"/>
          <w:highlight w:val="none"/>
        </w:rPr>
        <w:t>1.1.4</w:t>
      </w:r>
      <w:bookmarkEnd w:id="287"/>
      <w:r>
        <w:rPr>
          <w:rFonts w:hint="eastAsia" w:ascii="宋体" w:hAnsi="宋体" w:eastAsia="宋体" w:cs="宋体"/>
          <w:color w:val="000000"/>
          <w:sz w:val="21"/>
          <w:szCs w:val="21"/>
          <w:highlight w:val="none"/>
        </w:rPr>
        <w:t>日期</w:t>
      </w:r>
    </w:p>
    <w:p w14:paraId="4AF0B35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1.1.4.4竣工日期：即合同工程完工日期，指第1.1.4.3目约定工期届满时的日期。实际完工日期以合同工程完工证书中写明的日期为准。</w:t>
      </w:r>
    </w:p>
    <w:p w14:paraId="300957C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1.1.4.5缺陷责任期：即工程质量保修期，指履行第19.2款约定的缺陷责任的期限，包括根据第19.3款约定所作的延长，具体期限由专用合同条款约定。</w:t>
      </w:r>
    </w:p>
    <w:p w14:paraId="123CABC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88" w:name="_Toc144974581"/>
      <w:bookmarkStart w:id="289" w:name="_Toc152042391"/>
      <w:bookmarkStart w:id="290" w:name="_Toc152045613"/>
      <w:bookmarkStart w:id="291" w:name="_Toc179632631"/>
      <w:r>
        <w:rPr>
          <w:rFonts w:hint="eastAsia" w:ascii="宋体" w:hAnsi="宋体" w:eastAsia="宋体" w:cs="宋体"/>
          <w:color w:val="000000"/>
          <w:sz w:val="21"/>
          <w:szCs w:val="21"/>
          <w:highlight w:val="none"/>
        </w:rPr>
        <w:t>1.2语言文字</w:t>
      </w:r>
      <w:bookmarkEnd w:id="288"/>
      <w:bookmarkEnd w:id="289"/>
      <w:bookmarkEnd w:id="290"/>
      <w:bookmarkEnd w:id="291"/>
    </w:p>
    <w:p w14:paraId="6C60765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除专用术语外，合同使用的语言文字为中文。必要时专用术语应附有中文注释。</w:t>
      </w:r>
    </w:p>
    <w:p w14:paraId="34ABFA6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92" w:name="_Toc152045614"/>
      <w:bookmarkStart w:id="293" w:name="_Toc152042392"/>
      <w:bookmarkStart w:id="294" w:name="_Toc179632632"/>
      <w:bookmarkStart w:id="295" w:name="_Toc144974582"/>
      <w:r>
        <w:rPr>
          <w:rFonts w:hint="eastAsia" w:ascii="宋体" w:hAnsi="宋体" w:eastAsia="宋体" w:cs="宋体"/>
          <w:color w:val="000000"/>
          <w:sz w:val="21"/>
          <w:szCs w:val="21"/>
          <w:highlight w:val="none"/>
        </w:rPr>
        <w:t>1.3法律</w:t>
      </w:r>
      <w:bookmarkEnd w:id="292"/>
      <w:bookmarkEnd w:id="293"/>
      <w:bookmarkEnd w:id="294"/>
      <w:bookmarkEnd w:id="295"/>
    </w:p>
    <w:p w14:paraId="70692B2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适用于合同的法律包括中华人民共和国法律、行政法规、部门规章，以及工程所在地的</w:t>
      </w:r>
      <w:r>
        <w:rPr>
          <w:rFonts w:hint="eastAsia" w:ascii="宋体" w:hAnsi="宋体" w:cs="宋体"/>
          <w:color w:val="000000"/>
          <w:sz w:val="21"/>
          <w:szCs w:val="21"/>
          <w:highlight w:val="none"/>
          <w:lang w:eastAsia="zh-CN"/>
        </w:rPr>
        <w:t>地方性法规</w:t>
      </w:r>
      <w:r>
        <w:rPr>
          <w:rFonts w:hint="eastAsia" w:ascii="宋体" w:hAnsi="宋体" w:eastAsia="宋体" w:cs="宋体"/>
          <w:color w:val="000000"/>
          <w:sz w:val="21"/>
          <w:szCs w:val="21"/>
          <w:highlight w:val="none"/>
        </w:rPr>
        <w:t>、自治条例、单行条例和地方政府规章。</w:t>
      </w:r>
    </w:p>
    <w:p w14:paraId="4824E8D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96" w:name="_Toc179632633"/>
      <w:bookmarkStart w:id="297" w:name="_Toc152042393"/>
      <w:bookmarkStart w:id="298" w:name="_Toc152045615"/>
      <w:bookmarkStart w:id="299" w:name="_Toc144974583"/>
      <w:r>
        <w:rPr>
          <w:rFonts w:hint="eastAsia" w:ascii="宋体" w:hAnsi="宋体" w:eastAsia="宋体" w:cs="宋体"/>
          <w:color w:val="000000"/>
          <w:sz w:val="21"/>
          <w:szCs w:val="21"/>
          <w:highlight w:val="none"/>
        </w:rPr>
        <w:t>1.4合同文件的优先顺序</w:t>
      </w:r>
      <w:bookmarkEnd w:id="296"/>
      <w:bookmarkEnd w:id="297"/>
      <w:bookmarkEnd w:id="298"/>
      <w:bookmarkEnd w:id="299"/>
    </w:p>
    <w:p w14:paraId="51B8A22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组成合同的各项文件应互相解释，互为说明。除专用合同条款另有约定外，解释合同文件的优先顺序如下：</w:t>
      </w:r>
    </w:p>
    <w:p w14:paraId="79A01C9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（1）合同协议书；</w:t>
      </w:r>
    </w:p>
    <w:p w14:paraId="62DF79E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（2）中标通知书；</w:t>
      </w:r>
    </w:p>
    <w:p w14:paraId="7C41B9A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（3）投标函及投标函附录；</w:t>
      </w:r>
    </w:p>
    <w:p w14:paraId="0D18AC7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（4）专用合同条款；</w:t>
      </w:r>
    </w:p>
    <w:p w14:paraId="7464CA7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（5）通用合同条款；</w:t>
      </w:r>
    </w:p>
    <w:p w14:paraId="1674EAA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（6）技术标准和要求；</w:t>
      </w:r>
    </w:p>
    <w:p w14:paraId="52E5615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（7）图纸；</w:t>
      </w:r>
    </w:p>
    <w:p w14:paraId="350EBA3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（8）已标价工程量清单；</w:t>
      </w:r>
    </w:p>
    <w:p w14:paraId="0A80125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（9）其他合同文件。</w:t>
      </w:r>
    </w:p>
    <w:p w14:paraId="30BEC09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00" w:name="_Toc152042394"/>
      <w:bookmarkStart w:id="301" w:name="_Toc152045616"/>
      <w:bookmarkStart w:id="302" w:name="_Toc144974584"/>
      <w:bookmarkStart w:id="303" w:name="_Toc179632634"/>
      <w:r>
        <w:rPr>
          <w:rFonts w:hint="eastAsia" w:ascii="宋体" w:hAnsi="宋体" w:eastAsia="宋体" w:cs="宋体"/>
          <w:color w:val="000000"/>
          <w:sz w:val="21"/>
          <w:szCs w:val="21"/>
          <w:highlight w:val="none"/>
        </w:rPr>
        <w:t>1.5合同协议书</w:t>
      </w:r>
      <w:bookmarkEnd w:id="300"/>
      <w:bookmarkEnd w:id="301"/>
      <w:bookmarkEnd w:id="302"/>
      <w:bookmarkEnd w:id="303"/>
    </w:p>
    <w:p w14:paraId="4DCD08C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承包人按中标通知书规定的时间与发包人签订合同协议书。除法律另有规定或合同另有约定外，发包人和承包人的法定代表人或其委托代理人在合同协议书上签字并盖单位章后，合同生效。</w:t>
      </w:r>
    </w:p>
    <w:p w14:paraId="0A48B31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04" w:name="_Toc221950693"/>
      <w:r>
        <w:rPr>
          <w:rFonts w:hint="eastAsia" w:ascii="宋体" w:hAnsi="宋体" w:eastAsia="宋体" w:cs="宋体"/>
          <w:color w:val="000000"/>
          <w:sz w:val="21"/>
          <w:szCs w:val="21"/>
          <w:highlight w:val="none"/>
        </w:rPr>
        <w:t>1.6图纸和承包人文件</w:t>
      </w:r>
    </w:p>
    <w:p w14:paraId="6060F2A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1.6.1</w:t>
      </w:r>
      <w:bookmarkEnd w:id="304"/>
      <w:bookmarkStart w:id="305" w:name="_Toc221950694"/>
      <w:r>
        <w:rPr>
          <w:rFonts w:hint="eastAsia" w:ascii="宋体" w:hAnsi="宋体" w:eastAsia="宋体" w:cs="宋体"/>
          <w:color w:val="000000"/>
          <w:sz w:val="21"/>
          <w:szCs w:val="21"/>
          <w:highlight w:val="none"/>
        </w:rPr>
        <w:t>图纸的提供</w:t>
      </w:r>
    </w:p>
    <w:p w14:paraId="6A191E6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发包人应按技术标准和要求（合同技术条款）约定的期限和数量将施工图纸以及其他的图纸（包括配套说明和有关资料）提供给承包人。</w:t>
      </w:r>
      <w:bookmarkEnd w:id="305"/>
      <w:r>
        <w:rPr>
          <w:rFonts w:hint="eastAsia" w:ascii="宋体" w:hAnsi="宋体" w:eastAsia="宋体" w:cs="宋体"/>
          <w:color w:val="000000"/>
          <w:sz w:val="21"/>
          <w:szCs w:val="21"/>
          <w:highlight w:val="none"/>
        </w:rPr>
        <w:t>由于发包人未按时提供图纸造成工期延误的，按第11.3款的约定办理。</w:t>
      </w:r>
    </w:p>
    <w:p w14:paraId="26231CE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06" w:name="_Toc221950695"/>
      <w:r>
        <w:rPr>
          <w:rFonts w:hint="eastAsia" w:ascii="宋体" w:hAnsi="宋体" w:eastAsia="宋体" w:cs="宋体"/>
          <w:color w:val="000000"/>
          <w:sz w:val="21"/>
          <w:szCs w:val="21"/>
          <w:highlight w:val="none"/>
        </w:rPr>
        <w:t>1.6.2</w:t>
      </w:r>
      <w:bookmarkEnd w:id="306"/>
      <w:bookmarkStart w:id="307" w:name="_Toc221950696"/>
      <w:r>
        <w:rPr>
          <w:rFonts w:hint="eastAsia" w:ascii="宋体" w:hAnsi="宋体" w:eastAsia="宋体" w:cs="宋体"/>
          <w:color w:val="000000"/>
          <w:sz w:val="21"/>
          <w:szCs w:val="21"/>
          <w:highlight w:val="none"/>
        </w:rPr>
        <w:t>承包人提供的文件</w:t>
      </w:r>
    </w:p>
    <w:p w14:paraId="323AD63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承包人提供的文件应按技术标准和要求（合同技术条款）约定的期限和数量提供给监理人。监理人应按技术标准和要求（合同技术条款）约定的期限批复承包人。</w:t>
      </w:r>
      <w:bookmarkEnd w:id="307"/>
    </w:p>
    <w:p w14:paraId="5C53442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08" w:name="_Toc221950697"/>
      <w:r>
        <w:rPr>
          <w:rFonts w:hint="eastAsia" w:ascii="宋体" w:hAnsi="宋体" w:eastAsia="宋体" w:cs="宋体"/>
          <w:color w:val="000000"/>
          <w:sz w:val="21"/>
          <w:szCs w:val="21"/>
          <w:highlight w:val="none"/>
        </w:rPr>
        <w:t>1.6.3</w:t>
      </w:r>
      <w:bookmarkEnd w:id="308"/>
      <w:bookmarkStart w:id="309" w:name="_Toc221950698"/>
      <w:r>
        <w:rPr>
          <w:rFonts w:hint="eastAsia" w:ascii="宋体" w:hAnsi="宋体" w:eastAsia="宋体" w:cs="宋体"/>
          <w:color w:val="000000"/>
          <w:sz w:val="21"/>
          <w:szCs w:val="21"/>
          <w:highlight w:val="none"/>
        </w:rPr>
        <w:t>图纸的修改</w:t>
      </w:r>
    </w:p>
    <w:p w14:paraId="47E261C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设计人需要对已发给承包人的施工图纸进行修改时，监理人应在技术标准和要求（合同技术条款）约定的期限内签发施工图纸的修改图给承包人。</w:t>
      </w:r>
      <w:bookmarkEnd w:id="309"/>
      <w:r>
        <w:rPr>
          <w:rFonts w:hint="eastAsia" w:ascii="宋体" w:hAnsi="宋体" w:eastAsia="宋体" w:cs="宋体"/>
          <w:color w:val="000000"/>
          <w:sz w:val="21"/>
          <w:szCs w:val="21"/>
          <w:highlight w:val="none"/>
        </w:rPr>
        <w:t>承包人应按技术标准和要求（合同技术条款）的约定编制一份承包人实施计划提交监理人批准后执行。</w:t>
      </w:r>
    </w:p>
    <w:p w14:paraId="32A0A4D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10" w:name="_Toc221950701"/>
      <w:r>
        <w:rPr>
          <w:rFonts w:hint="eastAsia" w:ascii="宋体" w:hAnsi="宋体" w:eastAsia="宋体" w:cs="宋体"/>
          <w:color w:val="000000"/>
          <w:sz w:val="21"/>
          <w:szCs w:val="21"/>
          <w:highlight w:val="none"/>
        </w:rPr>
        <w:t>1.7联络</w:t>
      </w:r>
    </w:p>
    <w:p w14:paraId="6610294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1.7.2第1.7.1项中的通知、批复、证明、证书、指示、要求、请求、同意、意见、确定和决定等来往函件，均应在合同约定的期限内送达指定地点和接收人，并办理签收手续。求往函件的送达期限在技术标准和要求（合同技术条款）中约定，送达地点在专用合同条款中约定。</w:t>
      </w:r>
    </w:p>
    <w:p w14:paraId="75CD0C1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1.7.3来往函件均应按合同约定的期限及时发出和答复，不得无故</w:t>
      </w:r>
      <w:r>
        <w:rPr>
          <w:rFonts w:hint="eastAsia" w:ascii="宋体" w:hAnsi="宋体" w:cs="宋体"/>
          <w:color w:val="000000"/>
          <w:sz w:val="21"/>
          <w:szCs w:val="21"/>
          <w:highlight w:val="none"/>
          <w:lang w:eastAsia="zh-CN"/>
        </w:rPr>
        <w:t>扣押</w:t>
      </w:r>
      <w:r>
        <w:rPr>
          <w:rFonts w:hint="eastAsia" w:ascii="宋体" w:hAnsi="宋体" w:eastAsia="宋体" w:cs="宋体"/>
          <w:color w:val="000000"/>
          <w:sz w:val="21"/>
          <w:szCs w:val="21"/>
          <w:highlight w:val="none"/>
        </w:rPr>
        <w:t>和拖延，亦不得无故拒收。否则，由此造成的后果由责任方负责。</w:t>
      </w:r>
      <w:bookmarkEnd w:id="310"/>
    </w:p>
    <w:p w14:paraId="7EAF2B5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11" w:name="_Toc152045619"/>
      <w:bookmarkStart w:id="312" w:name="_Toc152042397"/>
      <w:bookmarkStart w:id="313" w:name="_Toc144974587"/>
      <w:bookmarkStart w:id="314" w:name="_Toc179632637"/>
      <w:r>
        <w:rPr>
          <w:rFonts w:hint="eastAsia" w:ascii="宋体" w:hAnsi="宋体" w:eastAsia="宋体" w:cs="宋体"/>
          <w:color w:val="000000"/>
          <w:sz w:val="21"/>
          <w:szCs w:val="21"/>
          <w:highlight w:val="none"/>
        </w:rPr>
        <w:t>1.8转让</w:t>
      </w:r>
      <w:bookmarkEnd w:id="311"/>
      <w:bookmarkEnd w:id="312"/>
      <w:bookmarkEnd w:id="313"/>
      <w:bookmarkEnd w:id="314"/>
    </w:p>
    <w:p w14:paraId="2A83362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除合同另有约定外，未经对方当事人同意，一方当事人不得将合同权利全部或部分转让给第三人，也不得全部或部分转移合同义务。</w:t>
      </w:r>
    </w:p>
    <w:p w14:paraId="52D227D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15" w:name="_Toc144974588"/>
      <w:bookmarkStart w:id="316" w:name="_Toc179632638"/>
      <w:bookmarkStart w:id="317" w:name="_Toc152042398"/>
      <w:bookmarkStart w:id="318" w:name="_Toc152045620"/>
      <w:r>
        <w:rPr>
          <w:rFonts w:hint="eastAsia" w:ascii="宋体" w:hAnsi="宋体" w:eastAsia="宋体" w:cs="宋体"/>
          <w:color w:val="000000"/>
          <w:sz w:val="21"/>
          <w:szCs w:val="21"/>
          <w:highlight w:val="none"/>
        </w:rPr>
        <w:t>1.9严禁贿赂</w:t>
      </w:r>
      <w:bookmarkEnd w:id="315"/>
      <w:bookmarkEnd w:id="316"/>
      <w:bookmarkEnd w:id="317"/>
      <w:bookmarkEnd w:id="318"/>
    </w:p>
    <w:p w14:paraId="73495DF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合同双方当事人不得以贿赂或变相贿赂的方式，谋取不当利益或损害对方权益。因贿赂造成对方损失的，行为人应赔偿损失，并承担相应的法律责任。</w:t>
      </w:r>
    </w:p>
    <w:p w14:paraId="7D2ADF3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19" w:name="_Toc152045621"/>
      <w:bookmarkStart w:id="320" w:name="_Toc144974589"/>
      <w:bookmarkStart w:id="321" w:name="_Toc179632639"/>
      <w:bookmarkStart w:id="322" w:name="_Toc152042399"/>
      <w:r>
        <w:rPr>
          <w:rFonts w:hint="eastAsia" w:ascii="宋体" w:hAnsi="宋体" w:eastAsia="宋体" w:cs="宋体"/>
          <w:color w:val="000000"/>
          <w:sz w:val="21"/>
          <w:szCs w:val="21"/>
          <w:highlight w:val="none"/>
        </w:rPr>
        <w:t>1.10化石、文物</w:t>
      </w:r>
      <w:bookmarkEnd w:id="319"/>
      <w:bookmarkEnd w:id="320"/>
      <w:bookmarkEnd w:id="321"/>
      <w:bookmarkEnd w:id="322"/>
    </w:p>
    <w:p w14:paraId="134A943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73234AA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1.10.2承包人发现文物后不及时报告或隐瞒不报，致使文物丢失或损坏的，应赔偿损失，并承担相应的法律责任。</w:t>
      </w:r>
    </w:p>
    <w:p w14:paraId="3B70882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1.11专利技术</w:t>
      </w:r>
    </w:p>
    <w:p w14:paraId="7D194B2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23" w:name="_Toc221950710"/>
      <w:r>
        <w:rPr>
          <w:rFonts w:hint="eastAsia" w:ascii="宋体" w:hAnsi="宋体" w:eastAsia="宋体" w:cs="宋体"/>
          <w:color w:val="000000"/>
          <w:sz w:val="21"/>
          <w:szCs w:val="21"/>
          <w:highlight w:val="none"/>
        </w:rPr>
        <w:t>1.11.4合同实施过程中，发包人要求承包人采用专利技术的，发包人应办理相应的使用手续，承包人应按发包人约定的条件使用，并承担使用专利技术的相关试验工作，所需的费用由发包人承担。</w:t>
      </w:r>
      <w:bookmarkEnd w:id="323"/>
    </w:p>
    <w:p w14:paraId="73BBA02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24" w:name="_Toc179632641"/>
      <w:bookmarkStart w:id="325" w:name="_Toc144974591"/>
      <w:bookmarkStart w:id="326" w:name="_Toc152042401"/>
      <w:bookmarkStart w:id="327" w:name="_Toc152045623"/>
      <w:r>
        <w:rPr>
          <w:rFonts w:hint="eastAsia" w:ascii="宋体" w:hAnsi="宋体" w:eastAsia="宋体" w:cs="宋体"/>
          <w:color w:val="000000"/>
          <w:sz w:val="21"/>
          <w:szCs w:val="21"/>
          <w:highlight w:val="none"/>
        </w:rPr>
        <w:t>1.12图纸和文件的保密</w:t>
      </w:r>
      <w:bookmarkEnd w:id="324"/>
      <w:bookmarkEnd w:id="325"/>
      <w:bookmarkEnd w:id="326"/>
      <w:bookmarkEnd w:id="327"/>
    </w:p>
    <w:p w14:paraId="7E4AE2F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1.12.1发包人提供的图纸和文件，未经发包人同意，承包人不得为合同以外的目的泄露给他人或公开发表与引用。</w:t>
      </w:r>
    </w:p>
    <w:p w14:paraId="1E002F9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1.12.2承包人提供的文件，未经承包人同意，发包人和监理人不得为合同以外的目的泄露给他人或公开发表与引用。</w:t>
      </w:r>
    </w:p>
    <w:p w14:paraId="30F9B1C0">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328" w:name="_Toc222032672"/>
      <w:bookmarkStart w:id="329" w:name="_Toc222031005"/>
      <w:bookmarkStart w:id="330" w:name="_Toc222029503"/>
      <w:bookmarkStart w:id="331" w:name="_Toc229305363"/>
      <w:bookmarkStart w:id="332" w:name="_Toc222033854"/>
      <w:bookmarkStart w:id="333" w:name="_Toc221950713"/>
      <w:r>
        <w:rPr>
          <w:rFonts w:hint="eastAsia" w:ascii="宋体" w:hAnsi="宋体" w:eastAsia="宋体" w:cs="宋体"/>
          <w:color w:val="000000"/>
          <w:sz w:val="21"/>
          <w:szCs w:val="21"/>
          <w:highlight w:val="none"/>
        </w:rPr>
        <w:t>2.发包人义务</w:t>
      </w:r>
      <w:bookmarkEnd w:id="328"/>
      <w:bookmarkEnd w:id="329"/>
      <w:bookmarkEnd w:id="330"/>
      <w:bookmarkEnd w:id="331"/>
      <w:bookmarkEnd w:id="332"/>
      <w:bookmarkEnd w:id="333"/>
    </w:p>
    <w:p w14:paraId="3CDF59C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34" w:name="_Toc179632643"/>
      <w:bookmarkStart w:id="335" w:name="_Toc152045625"/>
      <w:bookmarkStart w:id="336" w:name="_Toc152042403"/>
      <w:bookmarkStart w:id="337" w:name="_Toc144974593"/>
      <w:bookmarkStart w:id="338" w:name="_Toc221950720"/>
      <w:r>
        <w:rPr>
          <w:rFonts w:hint="eastAsia" w:ascii="宋体" w:hAnsi="宋体" w:eastAsia="宋体" w:cs="宋体"/>
          <w:color w:val="000000"/>
          <w:sz w:val="21"/>
          <w:szCs w:val="21"/>
          <w:highlight w:val="none"/>
        </w:rPr>
        <w:t>2.1遵守法律</w:t>
      </w:r>
      <w:bookmarkEnd w:id="334"/>
      <w:bookmarkEnd w:id="335"/>
      <w:bookmarkEnd w:id="336"/>
      <w:bookmarkEnd w:id="337"/>
    </w:p>
    <w:p w14:paraId="53E1C7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发包人在履行合同过程中应遵守法律，并保证承包人免于承担因发包人违反法律而引起的任何责任。</w:t>
      </w:r>
    </w:p>
    <w:p w14:paraId="6088078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39" w:name="_Toc152045626"/>
      <w:bookmarkStart w:id="340" w:name="_Toc179632644"/>
      <w:bookmarkStart w:id="341" w:name="_Toc152042404"/>
      <w:bookmarkStart w:id="342" w:name="_Toc144974594"/>
      <w:r>
        <w:rPr>
          <w:rFonts w:hint="eastAsia" w:ascii="宋体" w:hAnsi="宋体" w:eastAsia="宋体" w:cs="宋体"/>
          <w:color w:val="000000"/>
          <w:sz w:val="21"/>
          <w:szCs w:val="21"/>
          <w:highlight w:val="none"/>
        </w:rPr>
        <w:t>2.2发出开工通知</w:t>
      </w:r>
      <w:bookmarkEnd w:id="339"/>
      <w:bookmarkEnd w:id="340"/>
      <w:bookmarkEnd w:id="341"/>
      <w:bookmarkEnd w:id="342"/>
    </w:p>
    <w:p w14:paraId="62D562D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发包人应委托监理人按第11.1款的约定向承包人发出开工通知。</w:t>
      </w:r>
    </w:p>
    <w:p w14:paraId="3EF6C58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2.3提供施工场地</w:t>
      </w:r>
    </w:p>
    <w:p w14:paraId="115BD28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2.3.1发包人应在合同双方</w:t>
      </w:r>
      <w:r>
        <w:rPr>
          <w:rFonts w:hint="eastAsia" w:ascii="宋体" w:hAnsi="宋体" w:cs="宋体"/>
          <w:color w:val="000000"/>
          <w:sz w:val="21"/>
          <w:szCs w:val="21"/>
          <w:highlight w:val="none"/>
          <w:lang w:eastAsia="zh-CN"/>
        </w:rPr>
        <w:t>签订合同</w:t>
      </w:r>
      <w:r>
        <w:rPr>
          <w:rFonts w:hint="eastAsia" w:ascii="宋体" w:hAnsi="宋体" w:eastAsia="宋体" w:cs="宋体"/>
          <w:color w:val="000000"/>
          <w:sz w:val="21"/>
          <w:szCs w:val="21"/>
          <w:highlight w:val="none"/>
        </w:rPr>
        <w:t>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bookmarkEnd w:id="338"/>
      <w:r>
        <w:rPr>
          <w:rFonts w:hint="eastAsia" w:ascii="宋体" w:hAnsi="宋体" w:eastAsia="宋体" w:cs="宋体"/>
          <w:color w:val="000000"/>
          <w:sz w:val="21"/>
          <w:szCs w:val="21"/>
          <w:highlight w:val="none"/>
        </w:rPr>
        <w:t>。</w:t>
      </w:r>
    </w:p>
    <w:p w14:paraId="7E7E4A0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2.3.2发包人提供的施工用地范围在专用合同条款中约定。</w:t>
      </w:r>
    </w:p>
    <w:p w14:paraId="55191E6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43" w:name="_Toc221950721"/>
      <w:r>
        <w:rPr>
          <w:rFonts w:hint="eastAsia" w:ascii="宋体" w:hAnsi="宋体" w:eastAsia="宋体" w:cs="宋体"/>
          <w:color w:val="000000"/>
          <w:sz w:val="21"/>
          <w:szCs w:val="21"/>
          <w:highlight w:val="none"/>
        </w:rPr>
        <w:t>2.3.3除专用合同条款另有约定外，发包人应按技术标准和要求（合同技术条款）的约定，向承包人提供施工场地内的工程地质图纸和报告，以及地下障碍物图纸等施工场地有关资料。</w:t>
      </w:r>
      <w:bookmarkEnd w:id="343"/>
      <w:r>
        <w:rPr>
          <w:rFonts w:hint="eastAsia" w:ascii="宋体" w:hAnsi="宋体" w:eastAsia="宋体" w:cs="宋体"/>
          <w:color w:val="000000"/>
          <w:sz w:val="21"/>
          <w:szCs w:val="21"/>
          <w:highlight w:val="none"/>
        </w:rPr>
        <w:t>并保证资料的真实、准确、完整。</w:t>
      </w:r>
    </w:p>
    <w:p w14:paraId="0F1C08A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44" w:name="_Toc152042406"/>
      <w:bookmarkStart w:id="345" w:name="_Toc144974596"/>
      <w:bookmarkStart w:id="346" w:name="_Toc152045628"/>
      <w:bookmarkStart w:id="347" w:name="_Toc179632646"/>
      <w:r>
        <w:rPr>
          <w:rFonts w:hint="eastAsia" w:ascii="宋体" w:hAnsi="宋体" w:eastAsia="宋体" w:cs="宋体"/>
          <w:color w:val="000000"/>
          <w:sz w:val="21"/>
          <w:szCs w:val="21"/>
          <w:highlight w:val="none"/>
        </w:rPr>
        <w:t>2.4协助承包人办理证件和批件</w:t>
      </w:r>
      <w:bookmarkEnd w:id="344"/>
      <w:bookmarkEnd w:id="345"/>
      <w:bookmarkEnd w:id="346"/>
      <w:bookmarkEnd w:id="347"/>
    </w:p>
    <w:p w14:paraId="64067BD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发包人应协助承包人办理法律规定的有关施工证件和批件。</w:t>
      </w:r>
    </w:p>
    <w:p w14:paraId="47505E6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48" w:name="_Toc179632647"/>
      <w:bookmarkStart w:id="349" w:name="_Toc144974597"/>
      <w:bookmarkStart w:id="350" w:name="_Toc152045629"/>
      <w:bookmarkStart w:id="351" w:name="_Toc152042407"/>
      <w:r>
        <w:rPr>
          <w:rFonts w:hint="eastAsia" w:ascii="宋体" w:hAnsi="宋体" w:eastAsia="宋体" w:cs="宋体"/>
          <w:color w:val="000000"/>
          <w:sz w:val="21"/>
          <w:szCs w:val="21"/>
          <w:highlight w:val="none"/>
        </w:rPr>
        <w:t>2.5组织设计交底</w:t>
      </w:r>
      <w:bookmarkEnd w:id="348"/>
      <w:bookmarkEnd w:id="349"/>
      <w:bookmarkEnd w:id="350"/>
      <w:bookmarkEnd w:id="351"/>
    </w:p>
    <w:p w14:paraId="5BE285B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发包人应根据合同进度计划，组织设计单位向承包人进行设计交底。</w:t>
      </w:r>
    </w:p>
    <w:p w14:paraId="63A1E9E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52" w:name="_Toc144974598"/>
      <w:bookmarkStart w:id="353" w:name="_Toc152045630"/>
      <w:bookmarkStart w:id="354" w:name="_Toc179632648"/>
      <w:bookmarkStart w:id="355" w:name="_Toc152042408"/>
      <w:r>
        <w:rPr>
          <w:rFonts w:hint="eastAsia" w:ascii="宋体" w:hAnsi="宋体" w:eastAsia="宋体" w:cs="宋体"/>
          <w:color w:val="000000"/>
          <w:sz w:val="21"/>
          <w:szCs w:val="21"/>
          <w:highlight w:val="none"/>
        </w:rPr>
        <w:t>2.6支付合同价款</w:t>
      </w:r>
      <w:bookmarkEnd w:id="352"/>
      <w:bookmarkEnd w:id="353"/>
      <w:bookmarkEnd w:id="354"/>
      <w:bookmarkEnd w:id="355"/>
    </w:p>
    <w:p w14:paraId="6CA372E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发包人应按合同约定向承包人及时支付合同价款。</w:t>
      </w:r>
    </w:p>
    <w:p w14:paraId="715105B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2.7组织竣工验收（组织法人验收）</w:t>
      </w:r>
    </w:p>
    <w:p w14:paraId="19362B6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发包人应按合同约定及时组织法人验收。</w:t>
      </w:r>
    </w:p>
    <w:p w14:paraId="1085771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2.8其它义务</w:t>
      </w:r>
    </w:p>
    <w:p w14:paraId="2BD2A99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其它义务在专用合同条款中补充约定。</w:t>
      </w:r>
    </w:p>
    <w:p w14:paraId="14E11237">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356" w:name="_Toc222033855"/>
      <w:bookmarkStart w:id="357" w:name="_Toc221950732"/>
      <w:bookmarkStart w:id="358" w:name="_Toc222031006"/>
      <w:bookmarkStart w:id="359" w:name="_Toc222029504"/>
      <w:bookmarkStart w:id="360" w:name="_Toc229305364"/>
      <w:bookmarkStart w:id="361" w:name="_Toc222032673"/>
      <w:r>
        <w:rPr>
          <w:rFonts w:hint="eastAsia" w:ascii="宋体" w:hAnsi="宋体" w:eastAsia="宋体" w:cs="宋体"/>
          <w:color w:val="000000"/>
          <w:sz w:val="21"/>
          <w:szCs w:val="21"/>
          <w:highlight w:val="none"/>
        </w:rPr>
        <w:t>3.监理人</w:t>
      </w:r>
      <w:bookmarkEnd w:id="356"/>
      <w:bookmarkEnd w:id="357"/>
      <w:bookmarkEnd w:id="358"/>
      <w:bookmarkEnd w:id="359"/>
      <w:bookmarkEnd w:id="360"/>
      <w:bookmarkEnd w:id="361"/>
    </w:p>
    <w:p w14:paraId="088E942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62" w:name="_Toc221950735"/>
      <w:r>
        <w:rPr>
          <w:rFonts w:hint="eastAsia" w:ascii="宋体" w:hAnsi="宋体" w:eastAsia="宋体" w:cs="宋体"/>
          <w:color w:val="000000"/>
          <w:sz w:val="21"/>
          <w:szCs w:val="21"/>
          <w:highlight w:val="none"/>
        </w:rPr>
        <w:t>3.1监理人的职责和权利</w:t>
      </w:r>
    </w:p>
    <w:p w14:paraId="3325213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bookmarkEnd w:id="362"/>
    </w:p>
    <w:p w14:paraId="008D67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63" w:name="_Toc152045635"/>
      <w:bookmarkStart w:id="364" w:name="_Toc152042413"/>
      <w:bookmarkStart w:id="365" w:name="_Toc144974603"/>
      <w:bookmarkStart w:id="366" w:name="_Toc179632653"/>
      <w:r>
        <w:rPr>
          <w:rFonts w:hint="eastAsia" w:ascii="宋体" w:hAnsi="宋体" w:eastAsia="宋体" w:cs="宋体"/>
          <w:color w:val="000000"/>
          <w:sz w:val="21"/>
          <w:szCs w:val="21"/>
          <w:highlight w:val="none"/>
        </w:rPr>
        <w:t>3.2总监理工程师</w:t>
      </w:r>
      <w:bookmarkEnd w:id="363"/>
      <w:bookmarkEnd w:id="364"/>
      <w:bookmarkEnd w:id="365"/>
      <w:bookmarkEnd w:id="366"/>
    </w:p>
    <w:p w14:paraId="2E552EB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74FA42B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67" w:name="_Toc179632654"/>
      <w:bookmarkStart w:id="368" w:name="_Toc144974604"/>
      <w:bookmarkStart w:id="369" w:name="_Toc152042414"/>
      <w:bookmarkStart w:id="370" w:name="_Toc152045636"/>
      <w:r>
        <w:rPr>
          <w:rFonts w:hint="eastAsia" w:ascii="宋体" w:hAnsi="宋体" w:eastAsia="宋体" w:cs="宋体"/>
          <w:color w:val="000000"/>
          <w:sz w:val="21"/>
          <w:szCs w:val="21"/>
          <w:highlight w:val="none"/>
        </w:rPr>
        <w:t>3.3监理人员</w:t>
      </w:r>
      <w:bookmarkEnd w:id="367"/>
      <w:bookmarkEnd w:id="368"/>
      <w:bookmarkEnd w:id="369"/>
      <w:bookmarkEnd w:id="370"/>
    </w:p>
    <w:p w14:paraId="2EFF3C1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0D34BDA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3.3.2监理人员对承包人的任何工作、工程或其采用的材料和工程设备未在约定的或合理的期限内提出否定意见的，视为已获批准，但不影响监理人在以后拒绝该项工作、工程、材料或工程设备的权利。</w:t>
      </w:r>
    </w:p>
    <w:p w14:paraId="1183FB6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3.3.3承包人对总监理工程师授权的监理人员发出的指示有疑问的，可向总监理工程师提出书面异议，总监理工程师应在48小时内对该指示予以确认、更改或撤销。</w:t>
      </w:r>
    </w:p>
    <w:p w14:paraId="78C9100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3.3.4除专用合同条款另有约定外，总监理工程师不应将第3.5款约定应由总监理工程师作出确定的权力授权或委托给其他监理人员。</w:t>
      </w:r>
    </w:p>
    <w:p w14:paraId="3FF2C0A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71" w:name="_Toc144974605"/>
      <w:bookmarkStart w:id="372" w:name="_Toc152045637"/>
      <w:bookmarkStart w:id="373" w:name="_Toc152042415"/>
      <w:bookmarkStart w:id="374" w:name="_Toc179632655"/>
      <w:r>
        <w:rPr>
          <w:rFonts w:hint="eastAsia" w:ascii="宋体" w:hAnsi="宋体" w:eastAsia="宋体" w:cs="宋体"/>
          <w:color w:val="000000"/>
          <w:sz w:val="21"/>
          <w:szCs w:val="21"/>
          <w:highlight w:val="none"/>
        </w:rPr>
        <w:t>3.4监理人的指示</w:t>
      </w:r>
      <w:bookmarkEnd w:id="371"/>
      <w:bookmarkEnd w:id="372"/>
      <w:bookmarkEnd w:id="373"/>
      <w:bookmarkEnd w:id="374"/>
    </w:p>
    <w:p w14:paraId="179E2CC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3.4.1监理人应按第3.1款的约定向承包人发出指示，监理人的指示应盖有监理人授权的施工场地机构章，并由总监理工程师或总监理工程师按第3.3.1项约定授权的监理人员签字。</w:t>
      </w:r>
    </w:p>
    <w:p w14:paraId="0B74D1A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3.4.2承包人收到监理人按第3.4.1项作出的指示后应遵照执行。指示构成变更的，应按第15条处理。</w:t>
      </w:r>
    </w:p>
    <w:p w14:paraId="01D819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676B6CD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3.4.4除合同另有约定外，承包人只从总监理工程师或按第3.3.1项被授权的监理人员处取得指示。</w:t>
      </w:r>
    </w:p>
    <w:p w14:paraId="7A41A0F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3.4.5由于监理人未能按合同约定发出指示、指示延误或指示错误而导致承包人费用增加和（或）工期延误的，由发包人承担赔偿责任。</w:t>
      </w:r>
    </w:p>
    <w:p w14:paraId="34C7F95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75" w:name="_Toc144974606"/>
      <w:bookmarkStart w:id="376" w:name="_Toc179632656"/>
      <w:bookmarkStart w:id="377" w:name="_Toc152042416"/>
      <w:bookmarkStart w:id="378" w:name="_Toc152045638"/>
      <w:r>
        <w:rPr>
          <w:rFonts w:hint="eastAsia" w:ascii="宋体" w:hAnsi="宋体" w:eastAsia="宋体" w:cs="宋体"/>
          <w:color w:val="000000"/>
          <w:sz w:val="21"/>
          <w:szCs w:val="21"/>
          <w:highlight w:val="none"/>
        </w:rPr>
        <w:t>3.5商定或确定</w:t>
      </w:r>
      <w:bookmarkEnd w:id="375"/>
      <w:bookmarkEnd w:id="376"/>
      <w:bookmarkEnd w:id="377"/>
      <w:bookmarkEnd w:id="378"/>
    </w:p>
    <w:p w14:paraId="3A05F15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3.5.1合同约定总监理工程师应按照本款对任何事项进行商定或确定时，总监理工程师应与合同当事人协商，尽量达成一致。不能达成一致的，总监理工程师应认真研究后审慎确定。</w:t>
      </w:r>
    </w:p>
    <w:p w14:paraId="21B3E33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27763E0E">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379" w:name="_Toc222031007"/>
      <w:bookmarkStart w:id="380" w:name="_Toc222033856"/>
      <w:bookmarkStart w:id="381" w:name="_Toc221950744"/>
      <w:bookmarkStart w:id="382" w:name="_Toc222029505"/>
      <w:bookmarkStart w:id="383" w:name="_Toc229305365"/>
      <w:bookmarkStart w:id="384" w:name="_Toc222032674"/>
      <w:r>
        <w:rPr>
          <w:rFonts w:hint="eastAsia" w:ascii="宋体" w:hAnsi="宋体" w:eastAsia="宋体" w:cs="宋体"/>
          <w:color w:val="000000"/>
          <w:sz w:val="21"/>
          <w:szCs w:val="21"/>
          <w:highlight w:val="none"/>
        </w:rPr>
        <w:t>4.承包人</w:t>
      </w:r>
      <w:bookmarkEnd w:id="379"/>
      <w:bookmarkEnd w:id="380"/>
      <w:bookmarkEnd w:id="381"/>
      <w:bookmarkEnd w:id="382"/>
      <w:bookmarkEnd w:id="383"/>
      <w:bookmarkEnd w:id="384"/>
      <w:bookmarkStart w:id="385" w:name="_Toc221950747"/>
    </w:p>
    <w:p w14:paraId="225B06E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4.1承包人的一般义务</w:t>
      </w:r>
    </w:p>
    <w:p w14:paraId="7AABE9E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4.1.3</w:t>
      </w:r>
      <w:bookmarkEnd w:id="385"/>
      <w:bookmarkStart w:id="386" w:name="_Toc221950748"/>
      <w:r>
        <w:rPr>
          <w:rFonts w:hint="eastAsia" w:ascii="宋体" w:hAnsi="宋体" w:eastAsia="宋体" w:cs="宋体"/>
          <w:color w:val="000000"/>
          <w:sz w:val="21"/>
          <w:szCs w:val="21"/>
          <w:highlight w:val="none"/>
        </w:rPr>
        <w:t>完成各项承包工作</w:t>
      </w:r>
    </w:p>
    <w:p w14:paraId="5B26658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按照合同约定以及监理人根据第3.4款作出的指示，实施、完成全部工程，并修补工程中的任何缺陷。除第5.2款、第6.2款另有约定外，承包人应提供为完成合同工作所需的劳务、材料、施工设备、工程设备和其他物品，</w:t>
      </w:r>
      <w:bookmarkEnd w:id="386"/>
      <w:r>
        <w:rPr>
          <w:rFonts w:hint="eastAsia" w:ascii="宋体" w:hAnsi="宋体" w:eastAsia="宋体" w:cs="宋体"/>
          <w:color w:val="000000"/>
          <w:sz w:val="21"/>
          <w:szCs w:val="21"/>
          <w:highlight w:val="none"/>
        </w:rPr>
        <w:t>并按合同约定负责临时设施的设计、建造、运行、维护、管理和拆除。</w:t>
      </w:r>
    </w:p>
    <w:p w14:paraId="105C3D2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4.1.9工程的维护和照管</w:t>
      </w:r>
    </w:p>
    <w:p w14:paraId="6BD5673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4C547D7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4.1.10其它义务</w:t>
      </w:r>
    </w:p>
    <w:p w14:paraId="6D42DB8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其他义务在专用合同条款中补充约定。</w:t>
      </w:r>
    </w:p>
    <w:p w14:paraId="5FE2878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87" w:name="_Toc221950749"/>
      <w:r>
        <w:rPr>
          <w:rFonts w:hint="eastAsia" w:ascii="宋体" w:hAnsi="宋体" w:eastAsia="宋体" w:cs="宋体"/>
          <w:color w:val="000000"/>
          <w:sz w:val="21"/>
          <w:szCs w:val="21"/>
          <w:highlight w:val="none"/>
        </w:rPr>
        <w:t>4.2</w:t>
      </w:r>
      <w:bookmarkEnd w:id="387"/>
      <w:bookmarkStart w:id="388" w:name="_Toc221950751"/>
      <w:r>
        <w:rPr>
          <w:rFonts w:hint="eastAsia" w:ascii="宋体" w:hAnsi="宋体" w:eastAsia="宋体" w:cs="宋体"/>
          <w:color w:val="000000"/>
          <w:sz w:val="21"/>
          <w:szCs w:val="21"/>
          <w:highlight w:val="none"/>
        </w:rPr>
        <w:t>履约担保</w:t>
      </w:r>
    </w:p>
    <w:p w14:paraId="640BBEC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承包人应保证其履约担保在发包人颁发合同工程完工证书前一直有效。发包人应在合同工程完工证书颁发后28天内把履约担保退还给承包人。</w:t>
      </w:r>
      <w:bookmarkEnd w:id="388"/>
    </w:p>
    <w:p w14:paraId="43077D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89" w:name="_Toc221950754"/>
      <w:r>
        <w:rPr>
          <w:rFonts w:hint="eastAsia" w:ascii="宋体" w:hAnsi="宋体" w:eastAsia="宋体" w:cs="宋体"/>
          <w:color w:val="000000"/>
          <w:sz w:val="21"/>
          <w:szCs w:val="21"/>
          <w:highlight w:val="none"/>
        </w:rPr>
        <w:t>4.3分包</w:t>
      </w:r>
    </w:p>
    <w:p w14:paraId="24EB0DB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546865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4D20E27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由指定分包人造成的与其分包工作有关的一切索赔、诉讼和损失赔偿由指定分包人直接对发包人负责，承包人不对此承担责任。</w:t>
      </w:r>
    </w:p>
    <w:p w14:paraId="2E9A2F3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4.3.8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01C1F6D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4.3.9除4.3.7条规定的指定分包外，承包人对其分包项目的实施以及分包人的行为向发包人负全部责任。承包人应对分包项目的工程进度、质量、安全、计量和验收等实施监督和管理。</w:t>
      </w:r>
      <w:bookmarkEnd w:id="389"/>
    </w:p>
    <w:p w14:paraId="3D0F9E5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4.3.10分包人应按专用合同条款的约定设立项目管理机构组织管理分包工程的施工活动。</w:t>
      </w:r>
    </w:p>
    <w:p w14:paraId="7EDE4A8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90" w:name="_Toc179632662"/>
      <w:bookmarkStart w:id="391" w:name="_Toc144974612"/>
      <w:bookmarkStart w:id="392" w:name="_Toc152045644"/>
      <w:bookmarkStart w:id="393" w:name="_Toc152042422"/>
      <w:r>
        <w:rPr>
          <w:rFonts w:hint="eastAsia" w:ascii="宋体" w:hAnsi="宋体" w:eastAsia="宋体" w:cs="宋体"/>
          <w:color w:val="000000"/>
          <w:sz w:val="21"/>
          <w:szCs w:val="21"/>
          <w:highlight w:val="none"/>
        </w:rPr>
        <w:t>4.5承包人项目经理</w:t>
      </w:r>
      <w:bookmarkEnd w:id="390"/>
      <w:bookmarkEnd w:id="391"/>
      <w:bookmarkEnd w:id="392"/>
      <w:bookmarkEnd w:id="393"/>
    </w:p>
    <w:p w14:paraId="00E981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374B7B6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4.5.2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18BF848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4.5.3承包人为履行合同发出的一切函件均应盖有承包人授权的施工场地管理机构章，并由承包人项目经理或其授权代表签字。</w:t>
      </w:r>
    </w:p>
    <w:p w14:paraId="1DB73F7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4.5.4承包人项目经理可以授权其下属人员履行其某项职责，但事先应将这些人员的姓名和授权范围通知监理人。</w:t>
      </w:r>
    </w:p>
    <w:p w14:paraId="2880B09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94" w:name="_Toc144974613"/>
      <w:bookmarkStart w:id="395" w:name="_Toc152042423"/>
      <w:bookmarkStart w:id="396" w:name="_Toc179632663"/>
      <w:bookmarkStart w:id="397" w:name="_Toc152045645"/>
      <w:r>
        <w:rPr>
          <w:rFonts w:hint="eastAsia" w:ascii="宋体" w:hAnsi="宋体" w:eastAsia="宋体" w:cs="宋体"/>
          <w:color w:val="000000"/>
          <w:sz w:val="21"/>
          <w:szCs w:val="21"/>
          <w:highlight w:val="none"/>
        </w:rPr>
        <w:t>4.6承包人人员的管理</w:t>
      </w:r>
      <w:bookmarkEnd w:id="394"/>
      <w:bookmarkEnd w:id="395"/>
      <w:bookmarkEnd w:id="396"/>
      <w:bookmarkEnd w:id="397"/>
    </w:p>
    <w:p w14:paraId="6074C0E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AC0C9C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4.6.2为完成合同约定的各项工作，承包人应向施工场地派遣或雇佣足够数量的下列人员：</w:t>
      </w:r>
    </w:p>
    <w:p w14:paraId="0F96C5A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（1）具有相应资格的专业技工和合格的普工；</w:t>
      </w:r>
    </w:p>
    <w:p w14:paraId="3287F3D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（2）具有相应施工经验的技术人员；</w:t>
      </w:r>
    </w:p>
    <w:p w14:paraId="214FB48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（3）具有相应岗位资格的各级管理人员。</w:t>
      </w:r>
    </w:p>
    <w:p w14:paraId="6CDDE5D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4.6.3承包人安排在施工场地的主要管理人员和技术骨干应相对稳定。承包人更换主要管理人员和技术骨干时，应取得监理人的同意。</w:t>
      </w:r>
    </w:p>
    <w:p w14:paraId="245486C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4.6.4特殊岗位的工作人员均应持有相应的资格证明，监理人有权随时检查。监理人认为有必要时，可进行现场考核。</w:t>
      </w:r>
    </w:p>
    <w:p w14:paraId="688AE25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98" w:name="_Toc144974614"/>
      <w:bookmarkStart w:id="399" w:name="_Toc179632664"/>
      <w:bookmarkStart w:id="400" w:name="_Toc152045646"/>
      <w:bookmarkStart w:id="401" w:name="_Toc152042424"/>
      <w:r>
        <w:rPr>
          <w:rFonts w:hint="eastAsia" w:ascii="宋体" w:hAnsi="宋体" w:eastAsia="宋体" w:cs="宋体"/>
          <w:color w:val="000000"/>
          <w:sz w:val="21"/>
          <w:szCs w:val="21"/>
          <w:highlight w:val="none"/>
        </w:rPr>
        <w:t>4.7撤换承包人项目经理和其他人员</w:t>
      </w:r>
      <w:bookmarkEnd w:id="398"/>
      <w:bookmarkEnd w:id="399"/>
      <w:bookmarkEnd w:id="400"/>
      <w:bookmarkEnd w:id="401"/>
    </w:p>
    <w:p w14:paraId="2A48B6D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承包人应对其项目经理和其他人员进行有效管理。监理人要求撤换不能胜任本职工作、行为不端或玩忽职守的承包人项目经理和其他人员的，承包人应予以撤换。</w:t>
      </w:r>
    </w:p>
    <w:p w14:paraId="680893C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02" w:name="_Toc179632665"/>
      <w:bookmarkStart w:id="403" w:name="_Toc152045647"/>
      <w:bookmarkStart w:id="404" w:name="_Toc152042425"/>
      <w:bookmarkStart w:id="405" w:name="_Toc144974615"/>
      <w:r>
        <w:rPr>
          <w:rFonts w:hint="eastAsia" w:ascii="宋体" w:hAnsi="宋体" w:eastAsia="宋体" w:cs="宋体"/>
          <w:color w:val="000000"/>
          <w:sz w:val="21"/>
          <w:szCs w:val="21"/>
          <w:highlight w:val="none"/>
        </w:rPr>
        <w:t>4.8保障承包人人员的合法权益</w:t>
      </w:r>
      <w:bookmarkEnd w:id="402"/>
      <w:bookmarkEnd w:id="403"/>
      <w:bookmarkEnd w:id="404"/>
      <w:bookmarkEnd w:id="405"/>
    </w:p>
    <w:p w14:paraId="441686F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4.8.1承包人应与其雇佣的人员签订劳动合同，并按时发放工资。</w:t>
      </w:r>
    </w:p>
    <w:p w14:paraId="7490BBE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4.8.2承包人应按劳动法的规定安排工作时间，保证其雇佣人员享有休息和休假的权利。因工程施工的特殊需要占用休假日或延长工作时间的，应不超过法律规定的限度，并按法律规定给予补休或付酬。</w:t>
      </w:r>
    </w:p>
    <w:p w14:paraId="2FD3F26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4.8.3承包人应为其雇佣人员提供必要的食宿条件，以及符合环境保护和卫生要求的生活环境，在远离城镇的施工场地，还应配备必要的伤病防治和急救的医务人员与医疗设施。</w:t>
      </w:r>
    </w:p>
    <w:p w14:paraId="5FBD7D1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4.8.4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3FCB5C0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4.8.5承包人应按有关法律规定和合同约定，为其雇佣人员办理保险。</w:t>
      </w:r>
    </w:p>
    <w:p w14:paraId="5951A44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4.8.6承包人应负责处理其雇佣人员因工伤亡事故的善后事宜。</w:t>
      </w:r>
    </w:p>
    <w:p w14:paraId="1C0CB17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06" w:name="_Toc152042426"/>
      <w:bookmarkStart w:id="407" w:name="_Toc179632666"/>
      <w:bookmarkStart w:id="408" w:name="_Toc144974616"/>
      <w:bookmarkStart w:id="409" w:name="_Toc152045648"/>
      <w:r>
        <w:rPr>
          <w:rFonts w:hint="eastAsia" w:ascii="宋体" w:hAnsi="宋体" w:eastAsia="宋体" w:cs="宋体"/>
          <w:color w:val="000000"/>
          <w:sz w:val="21"/>
          <w:szCs w:val="21"/>
          <w:highlight w:val="none"/>
        </w:rPr>
        <w:t>4.9工程价款应专款专用</w:t>
      </w:r>
      <w:bookmarkEnd w:id="406"/>
      <w:bookmarkEnd w:id="407"/>
      <w:bookmarkEnd w:id="408"/>
      <w:bookmarkEnd w:id="409"/>
    </w:p>
    <w:p w14:paraId="51570A2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发包人按合同约定支付给承包人的各项价款应专用于合同工程。</w:t>
      </w:r>
    </w:p>
    <w:p w14:paraId="7DF4C3C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10" w:name="_Toc152042427"/>
      <w:bookmarkStart w:id="411" w:name="_Toc152045649"/>
      <w:bookmarkStart w:id="412" w:name="_Toc144974617"/>
      <w:bookmarkStart w:id="413" w:name="_Toc179632667"/>
      <w:r>
        <w:rPr>
          <w:rFonts w:hint="eastAsia" w:ascii="宋体" w:hAnsi="宋体" w:eastAsia="宋体" w:cs="宋体"/>
          <w:color w:val="000000"/>
          <w:sz w:val="21"/>
          <w:szCs w:val="21"/>
          <w:highlight w:val="none"/>
        </w:rPr>
        <w:t>4.10承包人现场查勘</w:t>
      </w:r>
      <w:bookmarkEnd w:id="410"/>
      <w:bookmarkEnd w:id="411"/>
      <w:bookmarkEnd w:id="412"/>
      <w:bookmarkEnd w:id="413"/>
    </w:p>
    <w:p w14:paraId="6C86388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4.10.1发包人应将其持有的现场地质勘探资料、水文气象资料提供给承包人，并对其准确性负责。但承包人应对其阅读上述有关资料后所作出的解释和推断负责。</w:t>
      </w:r>
    </w:p>
    <w:p w14:paraId="4047E88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4.10.2承包人应对施工场地和周围环境进行查勘，并收集有关地质、水文、气象条件、交通条件、风俗习惯以及其他为完成合同工作有关的当地资料。在全部合同工作中，应视为承包人已充分估计了应承担的责任和风险。</w:t>
      </w:r>
    </w:p>
    <w:p w14:paraId="67DF3E7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4.11不利物质条件</w:t>
      </w:r>
    </w:p>
    <w:p w14:paraId="01B83F0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4.11.1除专用合同条款另有约定外，不利物质条件是指在施工中遭遇不可预见的外界障碍或自然条件造成施工受阻。</w:t>
      </w:r>
    </w:p>
    <w:p w14:paraId="7E09EC0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4.11.2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23642F5C">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414" w:name="_Toc222032675"/>
      <w:bookmarkStart w:id="415" w:name="_Toc229305366"/>
      <w:bookmarkStart w:id="416" w:name="_Toc222029506"/>
      <w:bookmarkStart w:id="417" w:name="_Toc222033857"/>
      <w:bookmarkStart w:id="418" w:name="_Toc221950770"/>
      <w:bookmarkStart w:id="419" w:name="_Toc222031008"/>
      <w:r>
        <w:rPr>
          <w:rFonts w:hint="eastAsia" w:ascii="宋体" w:hAnsi="宋体" w:eastAsia="宋体" w:cs="宋体"/>
          <w:color w:val="000000"/>
          <w:sz w:val="21"/>
          <w:szCs w:val="21"/>
          <w:highlight w:val="none"/>
        </w:rPr>
        <w:t>5.材料和工程设备</w:t>
      </w:r>
      <w:bookmarkEnd w:id="414"/>
      <w:bookmarkEnd w:id="415"/>
      <w:bookmarkEnd w:id="416"/>
      <w:bookmarkEnd w:id="417"/>
      <w:bookmarkEnd w:id="418"/>
      <w:bookmarkEnd w:id="419"/>
    </w:p>
    <w:p w14:paraId="756D9AD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20" w:name="_Toc221950773"/>
      <w:r>
        <w:rPr>
          <w:rFonts w:hint="eastAsia" w:ascii="宋体" w:hAnsi="宋体" w:eastAsia="宋体" w:cs="宋体"/>
          <w:color w:val="000000"/>
          <w:sz w:val="21"/>
          <w:szCs w:val="21"/>
          <w:highlight w:val="none"/>
        </w:rPr>
        <w:t>5.1承包人提供的材料和工程设备</w:t>
      </w:r>
    </w:p>
    <w:p w14:paraId="7D8CED8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5.1.1</w:t>
      </w:r>
      <w:bookmarkEnd w:id="420"/>
      <w:r>
        <w:rPr>
          <w:rFonts w:hint="eastAsia" w:ascii="宋体" w:hAnsi="宋体" w:eastAsia="宋体" w:cs="宋体"/>
          <w:color w:val="000000"/>
          <w:sz w:val="21"/>
          <w:szCs w:val="21"/>
          <w:highlight w:val="none"/>
        </w:rPr>
        <w:t>除第5.2款约定由发包人提供的材料和工程设备外，承包人负责采购、运输和保管完成本合同工作所需的材料和工程设备。承包人应对其采购的材料和工程设备负责。</w:t>
      </w:r>
    </w:p>
    <w:p w14:paraId="252D6CE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21" w:name="_Toc221950779"/>
      <w:r>
        <w:rPr>
          <w:rFonts w:hint="eastAsia" w:ascii="宋体" w:hAnsi="宋体" w:eastAsia="宋体" w:cs="宋体"/>
          <w:color w:val="000000"/>
          <w:sz w:val="21"/>
          <w:szCs w:val="21"/>
          <w:highlight w:val="none"/>
        </w:rPr>
        <w:t>5.2发包人提供的材料和工程设备</w:t>
      </w:r>
    </w:p>
    <w:bookmarkEnd w:id="421"/>
    <w:p w14:paraId="5F26A52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22" w:name="_Toc221950780"/>
      <w:r>
        <w:rPr>
          <w:rFonts w:hint="eastAsia" w:ascii="宋体" w:hAnsi="宋体" w:eastAsia="宋体" w:cs="宋体"/>
          <w:color w:val="000000"/>
          <w:sz w:val="21"/>
          <w:szCs w:val="21"/>
          <w:highlight w:val="none"/>
        </w:rPr>
        <w:t>5.2.3发包人应在材料和工程设备到货7天前通知承包人，承包人应会同监理人在约定的时间内，赴交货地点共同进行验收。</w:t>
      </w:r>
      <w:bookmarkEnd w:id="422"/>
      <w:r>
        <w:rPr>
          <w:rFonts w:hint="eastAsia" w:ascii="宋体" w:hAnsi="宋体" w:eastAsia="宋体" w:cs="宋体"/>
          <w:color w:val="000000"/>
          <w:sz w:val="21"/>
          <w:szCs w:val="21"/>
          <w:highlight w:val="none"/>
        </w:rPr>
        <w:t>发包人提供的材料和工程设备运至交货地点验收后，由承包人负责接收、卸货、运输和保管。</w:t>
      </w:r>
    </w:p>
    <w:p w14:paraId="483CA2D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23" w:name="_Toc144974622"/>
      <w:bookmarkStart w:id="424" w:name="_Toc179632672"/>
      <w:bookmarkStart w:id="425" w:name="_Toc152045654"/>
      <w:bookmarkStart w:id="426" w:name="_Toc152042432"/>
      <w:r>
        <w:rPr>
          <w:rFonts w:hint="eastAsia" w:ascii="宋体" w:hAnsi="宋体" w:eastAsia="宋体" w:cs="宋体"/>
          <w:color w:val="000000"/>
          <w:sz w:val="21"/>
          <w:szCs w:val="21"/>
          <w:highlight w:val="none"/>
        </w:rPr>
        <w:t>5.3材料和工程设备专用于合同工程</w:t>
      </w:r>
      <w:bookmarkEnd w:id="423"/>
      <w:bookmarkEnd w:id="424"/>
      <w:bookmarkEnd w:id="425"/>
      <w:bookmarkEnd w:id="426"/>
    </w:p>
    <w:p w14:paraId="367764F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5.3.1运入施工场地的材料、工程设备，包括备品备件、安装专用工器具与随机资料，必须专用于合同工程，未经监理人同意，承包人不得运出施工场地或挪作他用。</w:t>
      </w:r>
    </w:p>
    <w:p w14:paraId="1EC6E40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5.3.2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03DAAC6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27" w:name="_Toc144974623"/>
      <w:bookmarkStart w:id="428" w:name="_Toc152042433"/>
      <w:bookmarkStart w:id="429" w:name="_Toc152045655"/>
      <w:bookmarkStart w:id="430" w:name="_Toc179632673"/>
      <w:r>
        <w:rPr>
          <w:rFonts w:hint="eastAsia" w:ascii="宋体" w:hAnsi="宋体" w:eastAsia="宋体" w:cs="宋体"/>
          <w:color w:val="000000"/>
          <w:sz w:val="21"/>
          <w:szCs w:val="21"/>
          <w:highlight w:val="none"/>
        </w:rPr>
        <w:t>5.4禁止使用不合格的材料和工程设备</w:t>
      </w:r>
      <w:bookmarkEnd w:id="427"/>
      <w:bookmarkEnd w:id="428"/>
      <w:bookmarkEnd w:id="429"/>
      <w:bookmarkEnd w:id="430"/>
    </w:p>
    <w:p w14:paraId="1A8039D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5.4.1监理人有权拒绝承包人提供的不合格材料或工程设备，并要求承包人立即进行更换。监理人应在更换后再次进行检查和检验，由此增加的费用和（或）工期延误由承包人承担。</w:t>
      </w:r>
    </w:p>
    <w:p w14:paraId="7E83C9E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5.4.2监理人发现承包人使用了不合格的材料和工程设备，应</w:t>
      </w:r>
      <w:r>
        <w:rPr>
          <w:rFonts w:hint="eastAsia" w:ascii="宋体" w:hAnsi="宋体" w:cs="宋体"/>
          <w:color w:val="000000"/>
          <w:sz w:val="21"/>
          <w:szCs w:val="21"/>
          <w:highlight w:val="none"/>
          <w:lang w:eastAsia="zh-CN"/>
        </w:rPr>
        <w:t>及时</w:t>
      </w:r>
      <w:r>
        <w:rPr>
          <w:rFonts w:hint="eastAsia" w:ascii="宋体" w:hAnsi="宋体" w:eastAsia="宋体" w:cs="宋体"/>
          <w:color w:val="000000"/>
          <w:sz w:val="21"/>
          <w:szCs w:val="21"/>
          <w:highlight w:val="none"/>
        </w:rPr>
        <w:t>发出指示要求承包人立即改正，并禁止在工程中继续使用不合格的材料和工程设备。</w:t>
      </w:r>
    </w:p>
    <w:p w14:paraId="6DD4D34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5.4.3发包人提供的材料或工程设备不符合合同要求的，承包人有权拒绝，并可要求发包人更换，由此增加的费用和（或）工期延误由发包人承担。</w:t>
      </w:r>
    </w:p>
    <w:p w14:paraId="79E0CD2B">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431" w:name="_Toc222032676"/>
      <w:bookmarkStart w:id="432" w:name="_Toc222031009"/>
      <w:bookmarkStart w:id="433" w:name="_Toc221950785"/>
      <w:bookmarkStart w:id="434" w:name="_Toc222033858"/>
      <w:bookmarkStart w:id="435" w:name="_Toc229305367"/>
      <w:bookmarkStart w:id="436" w:name="_Toc222029507"/>
      <w:r>
        <w:rPr>
          <w:rFonts w:hint="eastAsia" w:ascii="宋体" w:hAnsi="宋体" w:eastAsia="宋体" w:cs="宋体"/>
          <w:color w:val="000000"/>
          <w:sz w:val="21"/>
          <w:szCs w:val="21"/>
          <w:highlight w:val="none"/>
        </w:rPr>
        <w:t>6.施工设备和临时设施</w:t>
      </w:r>
      <w:bookmarkEnd w:id="431"/>
      <w:bookmarkEnd w:id="432"/>
      <w:bookmarkEnd w:id="433"/>
      <w:bookmarkEnd w:id="434"/>
      <w:bookmarkEnd w:id="435"/>
      <w:bookmarkEnd w:id="436"/>
    </w:p>
    <w:p w14:paraId="7EEF12E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37" w:name="_Toc221950788"/>
      <w:r>
        <w:rPr>
          <w:rFonts w:hint="eastAsia" w:ascii="宋体" w:hAnsi="宋体" w:eastAsia="宋体" w:cs="宋体"/>
          <w:color w:val="000000"/>
          <w:sz w:val="21"/>
          <w:szCs w:val="21"/>
          <w:highlight w:val="none"/>
        </w:rPr>
        <w:t>6.1承包人提供的施工设备和临时设施</w:t>
      </w:r>
    </w:p>
    <w:p w14:paraId="10EB889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6.1.2承包人承担修建临时设施费用的范围</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见招标文件技术标准及要求规定。</w:t>
      </w:r>
    </w:p>
    <w:p w14:paraId="2D06205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6.2发包人提供的施工设备和临时设施</w:t>
      </w:r>
    </w:p>
    <w:p w14:paraId="41616C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6.2.1本合同发包人不提供施工设备。</w:t>
      </w:r>
    </w:p>
    <w:p w14:paraId="0C7A310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6.2.2发包人提供的施工临时设施</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见招标文件技术标准及要求有关规定。</w:t>
      </w:r>
    </w:p>
    <w:bookmarkEnd w:id="437"/>
    <w:p w14:paraId="47D5BD21">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438" w:name="_Toc222032677"/>
      <w:bookmarkStart w:id="439" w:name="_Toc222033859"/>
      <w:bookmarkStart w:id="440" w:name="_Toc221950795"/>
      <w:bookmarkStart w:id="441" w:name="_Toc222031010"/>
      <w:bookmarkStart w:id="442" w:name="_Toc229305368"/>
      <w:bookmarkStart w:id="443" w:name="_Toc222029508"/>
      <w:r>
        <w:rPr>
          <w:rFonts w:hint="eastAsia" w:ascii="宋体" w:hAnsi="宋体" w:eastAsia="宋体" w:cs="宋体"/>
          <w:color w:val="000000"/>
          <w:sz w:val="21"/>
          <w:szCs w:val="21"/>
          <w:highlight w:val="none"/>
        </w:rPr>
        <w:t>7.交通运输</w:t>
      </w:r>
      <w:bookmarkEnd w:id="438"/>
      <w:bookmarkEnd w:id="439"/>
      <w:bookmarkEnd w:id="440"/>
      <w:bookmarkEnd w:id="441"/>
      <w:bookmarkEnd w:id="442"/>
      <w:bookmarkEnd w:id="443"/>
    </w:p>
    <w:p w14:paraId="4C1B5FC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7.1道路通行权和场外设施</w:t>
      </w:r>
    </w:p>
    <w:p w14:paraId="171E917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678DC48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44" w:name="_Toc221950800"/>
      <w:r>
        <w:rPr>
          <w:rFonts w:hint="eastAsia" w:ascii="宋体" w:hAnsi="宋体" w:eastAsia="宋体" w:cs="宋体"/>
          <w:color w:val="000000"/>
          <w:sz w:val="21"/>
          <w:szCs w:val="21"/>
          <w:highlight w:val="none"/>
        </w:rPr>
        <w:t>7.2场内施工道路</w:t>
      </w:r>
    </w:p>
    <w:p w14:paraId="0E8E788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7.2.1除本合同约定由发包人提供的部分道路和交通设施外，承包人应负责修建、维修、养护和管理其施工所需的全部临时道路和交通设施</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包括合同约定由发包人提供的部分道路和交通设施维修、养护和管理</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并承担相应费用。</w:t>
      </w:r>
      <w:bookmarkEnd w:id="444"/>
    </w:p>
    <w:p w14:paraId="493E716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45" w:name="_Toc221950801"/>
      <w:r>
        <w:rPr>
          <w:rFonts w:hint="eastAsia" w:ascii="宋体" w:hAnsi="宋体" w:eastAsia="宋体" w:cs="宋体"/>
          <w:color w:val="000000"/>
          <w:sz w:val="21"/>
          <w:szCs w:val="21"/>
          <w:highlight w:val="none"/>
        </w:rPr>
        <w:t>7.2.2承包人修建的临时道路和交通设施</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应免费提供发包人、监理人以及与本合同有关的其他承包人使用。</w:t>
      </w:r>
      <w:bookmarkEnd w:id="445"/>
    </w:p>
    <w:p w14:paraId="25F1284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46" w:name="_Toc144974632"/>
      <w:bookmarkStart w:id="447" w:name="_Toc152042442"/>
      <w:bookmarkStart w:id="448" w:name="_Toc179632682"/>
      <w:bookmarkStart w:id="449" w:name="_Toc152045664"/>
      <w:r>
        <w:rPr>
          <w:rFonts w:hint="eastAsia" w:ascii="宋体" w:hAnsi="宋体" w:eastAsia="宋体" w:cs="宋体"/>
          <w:color w:val="000000"/>
          <w:sz w:val="21"/>
          <w:szCs w:val="21"/>
          <w:highlight w:val="none"/>
        </w:rPr>
        <w:t>7.3场外交通</w:t>
      </w:r>
      <w:bookmarkEnd w:id="446"/>
      <w:bookmarkEnd w:id="447"/>
      <w:bookmarkEnd w:id="448"/>
      <w:bookmarkEnd w:id="449"/>
    </w:p>
    <w:p w14:paraId="4AC9078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7.3.1承包人车辆外出行驶所需的场外公共道路的通行费、养路费和税款等由承包人承担。</w:t>
      </w:r>
    </w:p>
    <w:p w14:paraId="24CA10B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7.3.2承包人应遵守有关交通法规，严格按照道路和桥梁的限制荷重安全行驶，并服从交通管理部门的检查和监督。</w:t>
      </w:r>
    </w:p>
    <w:p w14:paraId="79525C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50" w:name="_Toc179632683"/>
      <w:bookmarkStart w:id="451" w:name="_Toc144974633"/>
      <w:bookmarkStart w:id="452" w:name="_Toc152045665"/>
      <w:bookmarkStart w:id="453" w:name="_Toc152042443"/>
      <w:r>
        <w:rPr>
          <w:rFonts w:hint="eastAsia" w:ascii="宋体" w:hAnsi="宋体" w:eastAsia="宋体" w:cs="宋体"/>
          <w:color w:val="000000"/>
          <w:sz w:val="21"/>
          <w:szCs w:val="21"/>
          <w:highlight w:val="none"/>
        </w:rPr>
        <w:t>7.4超大件和超重件的运输</w:t>
      </w:r>
      <w:bookmarkEnd w:id="450"/>
      <w:bookmarkEnd w:id="451"/>
      <w:bookmarkEnd w:id="452"/>
      <w:bookmarkEnd w:id="453"/>
    </w:p>
    <w:p w14:paraId="0AB1008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7D98571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54" w:name="_Toc152042444"/>
      <w:bookmarkStart w:id="455" w:name="_Toc144974634"/>
      <w:bookmarkStart w:id="456" w:name="_Toc152045666"/>
      <w:bookmarkStart w:id="457" w:name="_Toc179632684"/>
      <w:r>
        <w:rPr>
          <w:rFonts w:hint="eastAsia" w:ascii="宋体" w:hAnsi="宋体" w:eastAsia="宋体" w:cs="宋体"/>
          <w:color w:val="000000"/>
          <w:sz w:val="21"/>
          <w:szCs w:val="21"/>
          <w:highlight w:val="none"/>
        </w:rPr>
        <w:t>7.5道路和桥梁的损坏责任</w:t>
      </w:r>
      <w:bookmarkEnd w:id="454"/>
      <w:bookmarkEnd w:id="455"/>
      <w:bookmarkEnd w:id="456"/>
      <w:bookmarkEnd w:id="457"/>
    </w:p>
    <w:p w14:paraId="7EA44AB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因承包人运输造成施工场地内外公共道路和桥梁损坏的，由承包人承担修复损坏的全部费用和可能引起的赔偿。</w:t>
      </w:r>
    </w:p>
    <w:p w14:paraId="1E4D454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58" w:name="_Toc144974635"/>
      <w:bookmarkStart w:id="459" w:name="_Toc179632685"/>
      <w:bookmarkStart w:id="460" w:name="_Toc152042445"/>
      <w:bookmarkStart w:id="461" w:name="_Toc152045667"/>
      <w:r>
        <w:rPr>
          <w:rFonts w:hint="eastAsia" w:ascii="宋体" w:hAnsi="宋体" w:eastAsia="宋体" w:cs="宋体"/>
          <w:color w:val="000000"/>
          <w:sz w:val="21"/>
          <w:szCs w:val="21"/>
          <w:highlight w:val="none"/>
        </w:rPr>
        <w:t>7.6水路和航空运输</w:t>
      </w:r>
      <w:bookmarkEnd w:id="458"/>
      <w:bookmarkEnd w:id="459"/>
      <w:bookmarkEnd w:id="460"/>
      <w:bookmarkEnd w:id="461"/>
    </w:p>
    <w:p w14:paraId="5D10BAE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本条上述各款的内容适用于水路运输和航空运输，其中“道路”一词的涵义包括河道、航线、船闸、机场、码头、堤防以及水路或航空运输中其他相似结构物；“车辆”一词的涵义包括船舶和飞机等。</w:t>
      </w:r>
    </w:p>
    <w:p w14:paraId="2456ADFD">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462" w:name="_Toc221950810"/>
      <w:bookmarkStart w:id="463" w:name="_Toc222032678"/>
      <w:bookmarkStart w:id="464" w:name="_Toc222029509"/>
      <w:bookmarkStart w:id="465" w:name="_Toc222031011"/>
      <w:bookmarkStart w:id="466" w:name="_Toc222033860"/>
      <w:bookmarkStart w:id="467" w:name="_Toc229305369"/>
      <w:r>
        <w:rPr>
          <w:rFonts w:hint="eastAsia" w:ascii="宋体" w:hAnsi="宋体" w:eastAsia="宋体" w:cs="宋体"/>
          <w:color w:val="000000"/>
          <w:sz w:val="21"/>
          <w:szCs w:val="21"/>
          <w:highlight w:val="none"/>
        </w:rPr>
        <w:t>8.测量放线</w:t>
      </w:r>
      <w:bookmarkEnd w:id="462"/>
      <w:bookmarkEnd w:id="463"/>
      <w:bookmarkEnd w:id="464"/>
      <w:bookmarkEnd w:id="465"/>
      <w:bookmarkEnd w:id="466"/>
      <w:bookmarkEnd w:id="467"/>
      <w:bookmarkStart w:id="468" w:name="_Toc221950814"/>
    </w:p>
    <w:p w14:paraId="68E3385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8.1施工控制网</w:t>
      </w:r>
    </w:p>
    <w:p w14:paraId="119C007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8.1.1除专用合同条款另外约定外，施工控制网由承包人负责测设，发包人应在本合同协议书签订后的14天内，向承包人提供测量基准点、基准线和水准点及其书面资料。承包人应在收到上述资料后的28天内，将施测的施工控制网资料提交监理人审批。监理人应在收到报批件后的14天内批复承包人。</w:t>
      </w:r>
    </w:p>
    <w:p w14:paraId="38BE25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69" w:name="_Toc144974638"/>
      <w:bookmarkStart w:id="470" w:name="_Toc179632688"/>
      <w:bookmarkStart w:id="471" w:name="_Toc152042448"/>
      <w:bookmarkStart w:id="472" w:name="_Toc152045670"/>
      <w:r>
        <w:rPr>
          <w:rFonts w:hint="eastAsia" w:ascii="宋体" w:hAnsi="宋体" w:eastAsia="宋体" w:cs="宋体"/>
          <w:color w:val="000000"/>
          <w:sz w:val="21"/>
          <w:szCs w:val="21"/>
          <w:highlight w:val="none"/>
        </w:rPr>
        <w:t>8.2施工测量</w:t>
      </w:r>
      <w:bookmarkEnd w:id="469"/>
      <w:bookmarkEnd w:id="470"/>
      <w:bookmarkEnd w:id="471"/>
      <w:bookmarkEnd w:id="472"/>
    </w:p>
    <w:p w14:paraId="6774001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8.2.1承包人应负责施工过程中的全部施工测量放线工作，并配置合格的人员、仪器、设备和其他物品。</w:t>
      </w:r>
    </w:p>
    <w:p w14:paraId="3FBFA2D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8.2.2监理人可以指示承包人进行抽样复测，当复测中发现错误或出现超过合同约定的误差时，承包人应按监理人指示进行修正或补测，并承担相应的复测费用。</w:t>
      </w:r>
    </w:p>
    <w:p w14:paraId="3662398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73" w:name="_Toc144974639"/>
      <w:bookmarkStart w:id="474" w:name="_Toc152045671"/>
      <w:bookmarkStart w:id="475" w:name="_Toc152042449"/>
      <w:bookmarkStart w:id="476" w:name="_Toc179632689"/>
      <w:r>
        <w:rPr>
          <w:rFonts w:hint="eastAsia" w:ascii="宋体" w:hAnsi="宋体" w:eastAsia="宋体" w:cs="宋体"/>
          <w:color w:val="000000"/>
          <w:sz w:val="21"/>
          <w:szCs w:val="21"/>
          <w:highlight w:val="none"/>
        </w:rPr>
        <w:t>8.3基准资料错误的责任</w:t>
      </w:r>
      <w:bookmarkEnd w:id="473"/>
      <w:bookmarkEnd w:id="474"/>
      <w:bookmarkEnd w:id="475"/>
      <w:bookmarkEnd w:id="476"/>
    </w:p>
    <w:p w14:paraId="0B47E5A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72B3DBE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77" w:name="_Toc144974640"/>
      <w:bookmarkStart w:id="478" w:name="_Toc152042450"/>
      <w:bookmarkStart w:id="479" w:name="_Toc179632690"/>
      <w:bookmarkStart w:id="480" w:name="_Toc152045672"/>
      <w:r>
        <w:rPr>
          <w:rFonts w:hint="eastAsia" w:ascii="宋体" w:hAnsi="宋体" w:eastAsia="宋体" w:cs="宋体"/>
          <w:color w:val="000000"/>
          <w:sz w:val="21"/>
          <w:szCs w:val="21"/>
          <w:highlight w:val="none"/>
        </w:rPr>
        <w:t>8.4监理人使用施工控制网</w:t>
      </w:r>
      <w:bookmarkEnd w:id="477"/>
      <w:bookmarkEnd w:id="478"/>
      <w:bookmarkEnd w:id="479"/>
      <w:bookmarkEnd w:id="480"/>
    </w:p>
    <w:p w14:paraId="0E6130B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监理人需要使用施工控制网的，承包人应提供必要的协助，发包人不再为此支付费用。</w:t>
      </w:r>
    </w:p>
    <w:bookmarkEnd w:id="468"/>
    <w:p w14:paraId="26B2349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81" w:name="_Toc221950821"/>
      <w:r>
        <w:rPr>
          <w:rFonts w:hint="eastAsia" w:ascii="宋体" w:hAnsi="宋体" w:eastAsia="宋体" w:cs="宋体"/>
          <w:color w:val="000000"/>
          <w:sz w:val="21"/>
          <w:szCs w:val="21"/>
          <w:highlight w:val="none"/>
        </w:rPr>
        <w:t>8.5补充地质勘探</w:t>
      </w:r>
      <w:bookmarkEnd w:id="481"/>
    </w:p>
    <w:p w14:paraId="7D36B7D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82" w:name="_Toc221950822"/>
      <w:r>
        <w:rPr>
          <w:rFonts w:hint="eastAsia" w:ascii="宋体" w:hAnsi="宋体" w:eastAsia="宋体" w:cs="宋体"/>
          <w:color w:val="000000"/>
          <w:sz w:val="21"/>
          <w:szCs w:val="21"/>
          <w:highlight w:val="none"/>
        </w:rPr>
        <w:t>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bookmarkEnd w:id="482"/>
    </w:p>
    <w:p w14:paraId="1821E359">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483" w:name="_Toc222031012"/>
      <w:bookmarkStart w:id="484" w:name="_Toc222029510"/>
      <w:bookmarkStart w:id="485" w:name="_Toc229305370"/>
      <w:bookmarkStart w:id="486" w:name="_Toc221950823"/>
      <w:bookmarkStart w:id="487" w:name="_Toc222032679"/>
      <w:bookmarkStart w:id="488" w:name="_Toc222033861"/>
      <w:r>
        <w:rPr>
          <w:rFonts w:hint="eastAsia" w:ascii="宋体" w:hAnsi="宋体" w:eastAsia="宋体" w:cs="宋体"/>
          <w:color w:val="000000"/>
          <w:sz w:val="21"/>
          <w:szCs w:val="21"/>
          <w:highlight w:val="none"/>
        </w:rPr>
        <w:t>9.施工安全、治安保卫和环境保护</w:t>
      </w:r>
      <w:bookmarkEnd w:id="483"/>
      <w:bookmarkEnd w:id="484"/>
      <w:bookmarkEnd w:id="485"/>
      <w:bookmarkEnd w:id="486"/>
      <w:bookmarkEnd w:id="487"/>
      <w:bookmarkEnd w:id="488"/>
    </w:p>
    <w:p w14:paraId="5B4F53D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89" w:name="_Toc221950826"/>
      <w:r>
        <w:rPr>
          <w:rFonts w:hint="eastAsia" w:ascii="宋体" w:hAnsi="宋体" w:eastAsia="宋体" w:cs="宋体"/>
          <w:color w:val="000000"/>
          <w:sz w:val="21"/>
          <w:szCs w:val="21"/>
          <w:highlight w:val="none"/>
        </w:rPr>
        <w:t>9.1发包人的施工安全责任</w:t>
      </w:r>
    </w:p>
    <w:p w14:paraId="3810E39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9.1.1发包人应按合同约定履行安全职责。发包人委托监理人根据国家有关安全的</w:t>
      </w:r>
      <w:r>
        <w:rPr>
          <w:rFonts w:hint="eastAsia" w:ascii="宋体" w:hAnsi="宋体" w:cs="宋体"/>
          <w:color w:val="000000"/>
          <w:sz w:val="21"/>
          <w:szCs w:val="21"/>
          <w:highlight w:val="none"/>
          <w:lang w:eastAsia="zh-CN"/>
        </w:rPr>
        <w:t>法律法规</w:t>
      </w:r>
      <w:r>
        <w:rPr>
          <w:rFonts w:hint="eastAsia" w:ascii="宋体" w:hAnsi="宋体" w:eastAsia="宋体" w:cs="宋体"/>
          <w:color w:val="000000"/>
          <w:sz w:val="21"/>
          <w:szCs w:val="21"/>
          <w:highlight w:val="none"/>
        </w:rPr>
        <w:t>、强制性标准以及部门规章，对承包人的安全责任履行情况进行监督和检查。监理人的监督检查不减轻承包人应负的安全责任。</w:t>
      </w:r>
      <w:bookmarkEnd w:id="489"/>
    </w:p>
    <w:p w14:paraId="0FDE706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9.1.4除专用合同条款</w:t>
      </w:r>
      <w:r>
        <w:rPr>
          <w:rFonts w:hint="eastAsia" w:ascii="宋体" w:hAnsi="宋体" w:cs="宋体"/>
          <w:color w:val="000000"/>
          <w:sz w:val="21"/>
          <w:szCs w:val="21"/>
          <w:highlight w:val="none"/>
          <w:lang w:eastAsia="zh-CN"/>
        </w:rPr>
        <w:t>另</w:t>
      </w:r>
      <w:r>
        <w:rPr>
          <w:rFonts w:hint="eastAsia" w:ascii="宋体" w:hAnsi="宋体" w:eastAsia="宋体" w:cs="宋体"/>
          <w:color w:val="000000"/>
          <w:sz w:val="21"/>
          <w:szCs w:val="21"/>
          <w:highlight w:val="none"/>
        </w:rPr>
        <w:t>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p>
    <w:p w14:paraId="5BDED35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9.1.5发包人按照已标价工程量清单所列金额和合同约定的计量支付规定，支付安全作业环境及安全施工措施所需费用。</w:t>
      </w:r>
    </w:p>
    <w:p w14:paraId="5EB68B1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9.1.6发包人负责组织工程参建单位编制保证安全生产的措施方案。工程开工前，就落实保证安全生产的措施进行全面系统的布置，进一步明确承包人的安全生产责任。</w:t>
      </w:r>
    </w:p>
    <w:p w14:paraId="7D38378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9.1.7发包人负责在拆除工程和爆破工程施工14天前向有关部门或机构报送相关备案资料。</w:t>
      </w:r>
    </w:p>
    <w:p w14:paraId="37C83C2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90" w:name="_Toc221950836"/>
      <w:r>
        <w:rPr>
          <w:rFonts w:hint="eastAsia" w:ascii="宋体" w:hAnsi="宋体" w:eastAsia="宋体" w:cs="宋体"/>
          <w:color w:val="000000"/>
          <w:sz w:val="21"/>
          <w:szCs w:val="21"/>
          <w:highlight w:val="none"/>
        </w:rPr>
        <w:t>9.2承包人的施工安全责任</w:t>
      </w:r>
    </w:p>
    <w:p w14:paraId="291A416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9.2.1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1CF9B14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9.2.8承包人</w:t>
      </w:r>
      <w:r>
        <w:rPr>
          <w:rFonts w:hint="eastAsia" w:ascii="宋体" w:hAnsi="宋体" w:eastAsia="宋体" w:cs="宋体"/>
          <w:sz w:val="21"/>
          <w:szCs w:val="21"/>
          <w:highlight w:val="none"/>
          <w:lang w:eastAsia="zh-CN"/>
        </w:rPr>
        <w:t>按照工程量清单约定报价，并按规定做到专款专用</w:t>
      </w:r>
      <w:r>
        <w:rPr>
          <w:rFonts w:hint="eastAsia" w:ascii="宋体" w:hAnsi="宋体" w:eastAsia="宋体" w:cs="宋体"/>
          <w:color w:val="000000"/>
          <w:sz w:val="21"/>
          <w:szCs w:val="21"/>
          <w:highlight w:val="none"/>
        </w:rPr>
        <w:t>。</w:t>
      </w:r>
    </w:p>
    <w:p w14:paraId="04A9C06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9.2.9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389833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9.2.10承包人应设立安全生产管理机构，施工现场应有专职安全生产管理人员。</w:t>
      </w:r>
    </w:p>
    <w:p w14:paraId="3C10548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9.2.11承包人应负责对特种作业人员进行专门的安全作业培训，并保证特种作业人员持证上岗。</w:t>
      </w:r>
    </w:p>
    <w:p w14:paraId="2DDF27B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0A06E11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9.2.13承包人在使用施工起重机械和整体提升脚手架、模板等自升式架设设施前，应组织有关单位进行验收。</w:t>
      </w:r>
    </w:p>
    <w:p w14:paraId="6C84409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91" w:name="_Toc179632694"/>
      <w:bookmarkStart w:id="492" w:name="_Toc144974644"/>
      <w:bookmarkStart w:id="493" w:name="_Toc152045676"/>
      <w:bookmarkStart w:id="494" w:name="_Toc152042454"/>
      <w:r>
        <w:rPr>
          <w:rFonts w:hint="eastAsia" w:ascii="宋体" w:hAnsi="宋体" w:eastAsia="宋体" w:cs="宋体"/>
          <w:color w:val="000000"/>
          <w:sz w:val="21"/>
          <w:szCs w:val="21"/>
          <w:highlight w:val="none"/>
        </w:rPr>
        <w:t>9.3治安保卫</w:t>
      </w:r>
      <w:bookmarkEnd w:id="491"/>
      <w:bookmarkEnd w:id="492"/>
      <w:bookmarkEnd w:id="493"/>
      <w:bookmarkEnd w:id="494"/>
    </w:p>
    <w:p w14:paraId="6E7FD33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9.3.1除合同另有约定外，发包人应与当地公安部门协商，在现场建立治安管理机构或联防组织，统一管理施工场地的治安保卫事项，履行合同工程的治安保卫职责。</w:t>
      </w:r>
    </w:p>
    <w:p w14:paraId="3C03FE9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9.3.2发包人和承包人除应协助现场治安管理机构或联防组织维护施工场地的社会治安外，还应做好包括生活区在内的各自管辖区的治安保卫工作。承包人应要求参建人员要尊重当地群众生活习俗，不得滋事生非。</w:t>
      </w:r>
    </w:p>
    <w:p w14:paraId="541BF7B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6DF64F8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95" w:name="_Toc179632695"/>
      <w:bookmarkStart w:id="496" w:name="_Toc152045677"/>
      <w:bookmarkStart w:id="497" w:name="_Toc152042455"/>
      <w:bookmarkStart w:id="498" w:name="_Toc144974645"/>
      <w:r>
        <w:rPr>
          <w:rFonts w:hint="eastAsia" w:ascii="宋体" w:hAnsi="宋体" w:eastAsia="宋体" w:cs="宋体"/>
          <w:color w:val="000000"/>
          <w:sz w:val="21"/>
          <w:szCs w:val="21"/>
          <w:highlight w:val="none"/>
        </w:rPr>
        <w:t>9.4环境保护</w:t>
      </w:r>
      <w:bookmarkEnd w:id="495"/>
      <w:bookmarkEnd w:id="496"/>
      <w:bookmarkEnd w:id="497"/>
      <w:bookmarkEnd w:id="498"/>
    </w:p>
    <w:p w14:paraId="7CD1D47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9.4.1承包人在施工过程中，应遵守有关环境保护的法律，履行合同约定的环境保护义务，并对违反法律和合同约定义务所造成的环境破坏、人身伤害和财产损失负责。</w:t>
      </w:r>
    </w:p>
    <w:p w14:paraId="439AF4A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9.4.2承包人应按合同约定的环保工作内容，编制施工环保措施计划，报送监理人审批。</w:t>
      </w:r>
    </w:p>
    <w:p w14:paraId="3878ABE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3DBA286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9.4.4承包人应按合同约定采取有效措施，对施工开挖的边坡及时进行支护</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维护排水设施，并进行</w:t>
      </w:r>
      <w:r>
        <w:rPr>
          <w:rFonts w:hint="eastAsia" w:ascii="宋体" w:hAnsi="宋体" w:cs="宋体"/>
          <w:color w:val="000000"/>
          <w:sz w:val="21"/>
          <w:szCs w:val="21"/>
          <w:highlight w:val="none"/>
          <w:lang w:eastAsia="zh-CN"/>
        </w:rPr>
        <w:t>水土保持</w:t>
      </w:r>
      <w:r>
        <w:rPr>
          <w:rFonts w:hint="eastAsia" w:ascii="宋体" w:hAnsi="宋体" w:eastAsia="宋体" w:cs="宋体"/>
          <w:color w:val="000000"/>
          <w:sz w:val="21"/>
          <w:szCs w:val="21"/>
          <w:highlight w:val="none"/>
        </w:rPr>
        <w:t>，避免因施工造成的地质灾害。</w:t>
      </w:r>
    </w:p>
    <w:p w14:paraId="286354D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9.4.5承包人应按国家饮用水管理标准定期对饮用水源进行监测，防止施工活动污染饮用水源。</w:t>
      </w:r>
    </w:p>
    <w:p w14:paraId="6052384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9.4.6承包人应按合同约定，加强对噪声、粉尘、废气、废水和废油的控制，努力降低噪声，控制粉尘和废气浓度，做好废水和废油的治理和排放。</w:t>
      </w:r>
    </w:p>
    <w:p w14:paraId="6AE487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9.5事故处理</w:t>
      </w:r>
    </w:p>
    <w:p w14:paraId="23283CB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9.5.1发包人负责组织参建单位制定本工程的质量和安全事故应急预案，建立质量与安全事故应急处置指挥部</w:t>
      </w:r>
      <w:r>
        <w:rPr>
          <w:rFonts w:hint="eastAsia" w:ascii="宋体" w:hAnsi="宋体" w:cs="宋体"/>
          <w:color w:val="000000"/>
          <w:sz w:val="21"/>
          <w:szCs w:val="21"/>
          <w:highlight w:val="none"/>
          <w:lang w:eastAsia="zh-CN"/>
        </w:rPr>
        <w:t>。</w:t>
      </w:r>
    </w:p>
    <w:p w14:paraId="2623CDC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9.5.2承包人应对施工现场易发生重大事故的部位、环节进行监控，配备救援器材、设备，并定期组织演练。</w:t>
      </w:r>
    </w:p>
    <w:p w14:paraId="0316D33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9.5.3工程开工前，承包人应根据本工程的特点制定施工现场施工质量与安全事故应急预案，并报发包人备案。</w:t>
      </w:r>
    </w:p>
    <w:p w14:paraId="14B6974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9.5.4施工过程中发生事故时，发包人、承包人应立即启动应急预案。</w:t>
      </w:r>
    </w:p>
    <w:p w14:paraId="00EA55B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9.5.5事故调查处理由发包人按相关规定履行手续，承包人应配合。</w:t>
      </w:r>
    </w:p>
    <w:p w14:paraId="16EFFE0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9.6水土保持</w:t>
      </w:r>
      <w:bookmarkEnd w:id="490"/>
    </w:p>
    <w:p w14:paraId="70F99D6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99" w:name="_Toc221950837"/>
      <w:r>
        <w:rPr>
          <w:rFonts w:hint="eastAsia" w:ascii="宋体" w:hAnsi="宋体" w:eastAsia="宋体" w:cs="宋体"/>
          <w:color w:val="000000"/>
          <w:sz w:val="21"/>
          <w:szCs w:val="21"/>
          <w:highlight w:val="none"/>
        </w:rPr>
        <w:t>9.6.1发包人应及时向承包人提供水土保持方案。</w:t>
      </w:r>
      <w:bookmarkEnd w:id="499"/>
    </w:p>
    <w:p w14:paraId="447DBA8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00" w:name="_Toc221950838"/>
      <w:r>
        <w:rPr>
          <w:rFonts w:hint="eastAsia" w:ascii="宋体" w:hAnsi="宋体" w:eastAsia="宋体" w:cs="宋体"/>
          <w:color w:val="000000"/>
          <w:sz w:val="21"/>
          <w:szCs w:val="21"/>
          <w:highlight w:val="none"/>
        </w:rPr>
        <w:t>9.6.2</w:t>
      </w:r>
      <w:bookmarkEnd w:id="500"/>
      <w:r>
        <w:rPr>
          <w:rFonts w:hint="eastAsia" w:ascii="宋体" w:hAnsi="宋体" w:eastAsia="宋体" w:cs="宋体"/>
          <w:color w:val="000000"/>
          <w:sz w:val="21"/>
          <w:szCs w:val="21"/>
          <w:highlight w:val="none"/>
        </w:rPr>
        <w:t>承包人在施工过程中，应遵循有关水土保持的法律法规和规章，履行合同约定的水土保持义务，并对其违反法律和合同约定义务所造成的水土流失灾害、人身伤害和财产损失负责。</w:t>
      </w:r>
      <w:bookmarkStart w:id="501" w:name="_Toc221950839"/>
    </w:p>
    <w:p w14:paraId="7A9F456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9.6.3承包人的水土保持措施计划，应满足技术标准和要求（合同技术条款）约定的要求。</w:t>
      </w:r>
      <w:bookmarkEnd w:id="501"/>
    </w:p>
    <w:p w14:paraId="1062183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9.7文明施工</w:t>
      </w:r>
    </w:p>
    <w:p w14:paraId="38CA176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9.7.1发包人应按专用合同条款的约定，负责建立创建文明建设工地的组织机构，制定创建文明建设工地的规划和办法。</w:t>
      </w:r>
    </w:p>
    <w:p w14:paraId="6F96D2A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9.7.2承包人应按创建文明建设工地的规划和办法，履行职责，承担相应责任。所需费用应含在已标价工程量清单中。</w:t>
      </w:r>
    </w:p>
    <w:p w14:paraId="246D7AE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9.8防汛</w:t>
      </w:r>
      <w:r>
        <w:rPr>
          <w:rFonts w:hint="eastAsia" w:ascii="宋体" w:hAnsi="宋体" w:cs="宋体"/>
          <w:color w:val="000000"/>
          <w:sz w:val="21"/>
          <w:szCs w:val="21"/>
          <w:highlight w:val="none"/>
          <w:lang w:eastAsia="zh-CN"/>
        </w:rPr>
        <w:t>度汛</w:t>
      </w:r>
    </w:p>
    <w:p w14:paraId="75D5DE5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9.8.1发包人负责组织工程参建单位编制本工程的度汛方案和措施。</w:t>
      </w:r>
    </w:p>
    <w:p w14:paraId="4CCD50D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9.8.2承包人应根据发包人编制的本工程度汛方案和措施，制定相应的度汛方案，报发包人批准后实施。</w:t>
      </w:r>
    </w:p>
    <w:p w14:paraId="4E6449EE">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502" w:name="_Toc222033862"/>
      <w:bookmarkStart w:id="503" w:name="_Toc221950840"/>
      <w:bookmarkStart w:id="504" w:name="_Toc222032680"/>
      <w:bookmarkStart w:id="505" w:name="_Toc229305371"/>
      <w:bookmarkStart w:id="506" w:name="_Toc222031013"/>
      <w:bookmarkStart w:id="507" w:name="_Toc222029511"/>
      <w:r>
        <w:rPr>
          <w:rFonts w:hint="eastAsia" w:ascii="宋体" w:hAnsi="宋体" w:eastAsia="宋体" w:cs="宋体"/>
          <w:color w:val="000000"/>
          <w:sz w:val="21"/>
          <w:szCs w:val="21"/>
          <w:highlight w:val="none"/>
        </w:rPr>
        <w:t>10.进度计划</w:t>
      </w:r>
      <w:bookmarkEnd w:id="502"/>
      <w:bookmarkEnd w:id="503"/>
      <w:bookmarkEnd w:id="504"/>
      <w:bookmarkEnd w:id="505"/>
      <w:bookmarkEnd w:id="506"/>
      <w:bookmarkEnd w:id="507"/>
      <w:bookmarkStart w:id="508" w:name="_Toc221950843"/>
    </w:p>
    <w:p w14:paraId="7DDC638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10.1合同进度计划</w:t>
      </w:r>
    </w:p>
    <w:p w14:paraId="7885D1C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bookmarkEnd w:id="508"/>
    <w:p w14:paraId="72B7F98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09" w:name="_Toc221950845"/>
      <w:r>
        <w:rPr>
          <w:rFonts w:hint="eastAsia" w:ascii="宋体" w:hAnsi="宋体" w:eastAsia="宋体" w:cs="宋体"/>
          <w:color w:val="000000"/>
          <w:sz w:val="21"/>
          <w:szCs w:val="21"/>
          <w:highlight w:val="none"/>
        </w:rPr>
        <w:t>10.2合同进度计划的修订</w:t>
      </w:r>
    </w:p>
    <w:p w14:paraId="4F831AE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6A0E05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bookmarkEnd w:id="509"/>
    </w:p>
    <w:p w14:paraId="197BE77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10" w:name="_Toc221950846"/>
      <w:r>
        <w:rPr>
          <w:rFonts w:hint="eastAsia" w:ascii="宋体" w:hAnsi="宋体" w:eastAsia="宋体" w:cs="宋体"/>
          <w:color w:val="000000"/>
          <w:sz w:val="21"/>
          <w:szCs w:val="21"/>
          <w:highlight w:val="none"/>
        </w:rPr>
        <w:t>10.3单位工程进度计划</w:t>
      </w:r>
      <w:bookmarkEnd w:id="510"/>
    </w:p>
    <w:p w14:paraId="6F31141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11" w:name="_Toc221950847"/>
      <w:r>
        <w:rPr>
          <w:rFonts w:hint="eastAsia" w:ascii="宋体" w:hAnsi="宋体" w:eastAsia="宋体" w:cs="宋体"/>
          <w:color w:val="000000"/>
          <w:sz w:val="21"/>
          <w:szCs w:val="21"/>
          <w:highlight w:val="none"/>
        </w:rPr>
        <w:t>监理人认为有必要时，承包人应按监理人指示的内容和期限，并根据合同进度计划的进度控制要求，编制单位工程进度计划，提交监理人审批。</w:t>
      </w:r>
      <w:bookmarkEnd w:id="511"/>
    </w:p>
    <w:p w14:paraId="0B47DB3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12" w:name="_Toc221950848"/>
      <w:r>
        <w:rPr>
          <w:rFonts w:hint="eastAsia" w:ascii="宋体" w:hAnsi="宋体" w:eastAsia="宋体" w:cs="宋体"/>
          <w:color w:val="000000"/>
          <w:sz w:val="21"/>
          <w:szCs w:val="21"/>
          <w:highlight w:val="none"/>
        </w:rPr>
        <w:t>10.4提交资金流估算表</w:t>
      </w:r>
      <w:bookmarkEnd w:id="512"/>
    </w:p>
    <w:p w14:paraId="6BA3D7B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13" w:name="_Toc221950849"/>
      <w:r>
        <w:rPr>
          <w:rFonts w:hint="eastAsia" w:ascii="宋体" w:hAnsi="宋体" w:eastAsia="宋体" w:cs="宋体"/>
          <w:color w:val="000000"/>
          <w:sz w:val="21"/>
          <w:szCs w:val="21"/>
          <w:highlight w:val="none"/>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513"/>
    </w:p>
    <w:p w14:paraId="30EDDA5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14" w:name="_Toc221950850"/>
      <w:r>
        <w:rPr>
          <w:rFonts w:hint="eastAsia" w:ascii="宋体" w:hAnsi="宋体" w:eastAsia="宋体" w:cs="宋体"/>
          <w:b/>
          <w:color w:val="000000"/>
          <w:sz w:val="21"/>
          <w:szCs w:val="21"/>
          <w:highlight w:val="none"/>
        </w:rPr>
        <w:t>资金流估算表</w:t>
      </w:r>
      <w:r>
        <w:rPr>
          <w:rFonts w:hint="eastAsia" w:ascii="宋体" w:hAnsi="宋体" w:cs="宋体"/>
          <w:b/>
          <w:color w:val="000000"/>
          <w:sz w:val="21"/>
          <w:szCs w:val="21"/>
          <w:highlight w:val="none"/>
          <w:lang w:eastAsia="zh-CN"/>
        </w:rPr>
        <w:t>（</w:t>
      </w:r>
      <w:r>
        <w:rPr>
          <w:rFonts w:hint="eastAsia" w:ascii="宋体" w:hAnsi="宋体" w:eastAsia="宋体" w:cs="宋体"/>
          <w:color w:val="000000"/>
          <w:sz w:val="21"/>
          <w:szCs w:val="21"/>
          <w:highlight w:val="none"/>
        </w:rPr>
        <w:t>参考格式</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金额单位</w:t>
      </w:r>
      <w:bookmarkEnd w:id="514"/>
    </w:p>
    <w:tbl>
      <w:tblPr>
        <w:tblStyle w:val="7"/>
        <w:tblW w:w="903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14"/>
        <w:gridCol w:w="414"/>
        <w:gridCol w:w="960"/>
        <w:gridCol w:w="1155"/>
        <w:gridCol w:w="945"/>
        <w:gridCol w:w="1050"/>
        <w:gridCol w:w="945"/>
        <w:gridCol w:w="945"/>
        <w:gridCol w:w="1050"/>
        <w:gridCol w:w="1155"/>
      </w:tblGrid>
      <w:tr w14:paraId="549B1E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tcBorders>
              <w:top w:val="single" w:color="auto" w:sz="12" w:space="0"/>
              <w:left w:val="single" w:color="auto" w:sz="12" w:space="0"/>
              <w:bottom w:val="single" w:color="auto" w:sz="4" w:space="0"/>
              <w:right w:val="single" w:color="auto" w:sz="4" w:space="0"/>
            </w:tcBorders>
            <w:noWrap w:val="0"/>
            <w:vAlign w:val="center"/>
          </w:tcPr>
          <w:p w14:paraId="05335A74">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15" w:name="_Toc221950851"/>
            <w:r>
              <w:rPr>
                <w:rFonts w:hint="eastAsia" w:ascii="宋体" w:hAnsi="宋体" w:eastAsia="宋体" w:cs="宋体"/>
                <w:color w:val="000000"/>
                <w:sz w:val="21"/>
                <w:szCs w:val="21"/>
                <w:highlight w:val="none"/>
              </w:rPr>
              <w:t>年</w:t>
            </w:r>
            <w:bookmarkEnd w:id="515"/>
          </w:p>
        </w:tc>
        <w:tc>
          <w:tcPr>
            <w:tcW w:w="414" w:type="dxa"/>
            <w:tcBorders>
              <w:top w:val="single" w:color="auto" w:sz="12" w:space="0"/>
              <w:left w:val="single" w:color="auto" w:sz="4" w:space="0"/>
              <w:bottom w:val="single" w:color="auto" w:sz="4" w:space="0"/>
              <w:right w:val="single" w:color="auto" w:sz="4" w:space="0"/>
            </w:tcBorders>
            <w:noWrap w:val="0"/>
            <w:vAlign w:val="center"/>
          </w:tcPr>
          <w:p w14:paraId="7FC01218">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16" w:name="_Toc221950852"/>
            <w:r>
              <w:rPr>
                <w:rFonts w:hint="eastAsia" w:ascii="宋体" w:hAnsi="宋体" w:eastAsia="宋体" w:cs="宋体"/>
                <w:color w:val="000000"/>
                <w:sz w:val="21"/>
                <w:szCs w:val="21"/>
                <w:highlight w:val="none"/>
              </w:rPr>
              <w:t>月</w:t>
            </w:r>
            <w:bookmarkEnd w:id="516"/>
          </w:p>
        </w:tc>
        <w:tc>
          <w:tcPr>
            <w:tcW w:w="960" w:type="dxa"/>
            <w:tcBorders>
              <w:top w:val="single" w:color="auto" w:sz="12" w:space="0"/>
              <w:left w:val="single" w:color="auto" w:sz="4" w:space="0"/>
              <w:bottom w:val="single" w:color="auto" w:sz="4" w:space="0"/>
              <w:right w:val="single" w:color="auto" w:sz="4" w:space="0"/>
            </w:tcBorders>
            <w:noWrap w:val="0"/>
            <w:vAlign w:val="center"/>
          </w:tcPr>
          <w:p w14:paraId="4A856399">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17" w:name="_Toc221950853"/>
            <w:r>
              <w:rPr>
                <w:rFonts w:hint="eastAsia" w:ascii="宋体" w:hAnsi="宋体" w:eastAsia="宋体" w:cs="宋体"/>
                <w:color w:val="000000"/>
                <w:sz w:val="21"/>
                <w:szCs w:val="21"/>
                <w:highlight w:val="none"/>
              </w:rPr>
              <w:t>工程</w:t>
            </w:r>
            <w:bookmarkEnd w:id="517"/>
            <w:bookmarkStart w:id="518" w:name="_Toc221950854"/>
            <w:r>
              <w:rPr>
                <w:rFonts w:hint="eastAsia" w:ascii="宋体" w:hAnsi="宋体" w:eastAsia="宋体" w:cs="宋体"/>
                <w:color w:val="000000"/>
                <w:sz w:val="21"/>
                <w:szCs w:val="21"/>
                <w:highlight w:val="none"/>
              </w:rPr>
              <w:t>预付款</w:t>
            </w:r>
            <w:bookmarkEnd w:id="518"/>
          </w:p>
        </w:tc>
        <w:tc>
          <w:tcPr>
            <w:tcW w:w="1155" w:type="dxa"/>
            <w:tcBorders>
              <w:top w:val="single" w:color="auto" w:sz="12" w:space="0"/>
              <w:left w:val="single" w:color="auto" w:sz="4" w:space="0"/>
              <w:bottom w:val="single" w:color="auto" w:sz="4" w:space="0"/>
              <w:right w:val="single" w:color="auto" w:sz="4" w:space="0"/>
            </w:tcBorders>
            <w:noWrap w:val="0"/>
            <w:vAlign w:val="center"/>
          </w:tcPr>
          <w:p w14:paraId="5530B894">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19" w:name="_Toc221950855"/>
            <w:r>
              <w:rPr>
                <w:rFonts w:hint="eastAsia" w:ascii="宋体" w:hAnsi="宋体" w:eastAsia="宋体" w:cs="宋体"/>
                <w:color w:val="000000"/>
                <w:sz w:val="21"/>
                <w:szCs w:val="21"/>
                <w:highlight w:val="none"/>
              </w:rPr>
              <w:t>完成工作量付款</w:t>
            </w:r>
            <w:bookmarkEnd w:id="519"/>
          </w:p>
        </w:tc>
        <w:tc>
          <w:tcPr>
            <w:tcW w:w="945" w:type="dxa"/>
            <w:tcBorders>
              <w:top w:val="single" w:color="auto" w:sz="12" w:space="0"/>
              <w:left w:val="single" w:color="auto" w:sz="4" w:space="0"/>
              <w:bottom w:val="single" w:color="auto" w:sz="4" w:space="0"/>
              <w:right w:val="single" w:color="auto" w:sz="4" w:space="0"/>
            </w:tcBorders>
            <w:noWrap w:val="0"/>
            <w:vAlign w:val="center"/>
          </w:tcPr>
          <w:p w14:paraId="75E1D3D8">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0" w:name="_Toc221950856"/>
            <w:r>
              <w:rPr>
                <w:rFonts w:hint="eastAsia" w:ascii="宋体" w:hAnsi="宋体" w:eastAsia="宋体" w:cs="宋体"/>
                <w:color w:val="000000"/>
                <w:sz w:val="21"/>
                <w:szCs w:val="21"/>
                <w:highlight w:val="none"/>
              </w:rPr>
              <w:t>保留金</w:t>
            </w:r>
            <w:bookmarkEnd w:id="520"/>
          </w:p>
          <w:p w14:paraId="116E99AE">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1" w:name="_Toc221950857"/>
            <w:r>
              <w:rPr>
                <w:rFonts w:hint="eastAsia" w:ascii="宋体" w:hAnsi="宋体" w:eastAsia="宋体" w:cs="宋体"/>
                <w:color w:val="000000"/>
                <w:sz w:val="21"/>
                <w:szCs w:val="21"/>
                <w:highlight w:val="none"/>
              </w:rPr>
              <w:t>扣留</w:t>
            </w:r>
            <w:bookmarkEnd w:id="521"/>
          </w:p>
        </w:tc>
        <w:tc>
          <w:tcPr>
            <w:tcW w:w="1050" w:type="dxa"/>
            <w:tcBorders>
              <w:top w:val="single" w:color="auto" w:sz="12" w:space="0"/>
              <w:left w:val="single" w:color="auto" w:sz="4" w:space="0"/>
              <w:bottom w:val="single" w:color="auto" w:sz="4" w:space="0"/>
              <w:right w:val="single" w:color="auto" w:sz="4" w:space="0"/>
            </w:tcBorders>
            <w:noWrap w:val="0"/>
            <w:vAlign w:val="center"/>
          </w:tcPr>
          <w:p w14:paraId="1BEDFE4B">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2" w:name="_Toc221950858"/>
            <w:r>
              <w:rPr>
                <w:rFonts w:hint="eastAsia" w:ascii="宋体" w:hAnsi="宋体" w:eastAsia="宋体" w:cs="宋体"/>
                <w:color w:val="000000"/>
                <w:sz w:val="21"/>
                <w:szCs w:val="21"/>
                <w:highlight w:val="none"/>
              </w:rPr>
              <w:t>材料款</w:t>
            </w:r>
            <w:bookmarkEnd w:id="522"/>
          </w:p>
          <w:p w14:paraId="46B95122">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3" w:name="_Toc221950859"/>
            <w:r>
              <w:rPr>
                <w:rFonts w:hint="eastAsia" w:ascii="宋体" w:hAnsi="宋体" w:eastAsia="宋体" w:cs="宋体"/>
                <w:color w:val="000000"/>
                <w:sz w:val="21"/>
                <w:szCs w:val="21"/>
                <w:highlight w:val="none"/>
              </w:rPr>
              <w:t>扣除</w:t>
            </w:r>
            <w:bookmarkEnd w:id="523"/>
          </w:p>
        </w:tc>
        <w:tc>
          <w:tcPr>
            <w:tcW w:w="945" w:type="dxa"/>
            <w:tcBorders>
              <w:top w:val="single" w:color="auto" w:sz="12" w:space="0"/>
              <w:left w:val="single" w:color="auto" w:sz="4" w:space="0"/>
              <w:bottom w:val="single" w:color="auto" w:sz="4" w:space="0"/>
              <w:right w:val="single" w:color="auto" w:sz="4" w:space="0"/>
            </w:tcBorders>
            <w:noWrap w:val="0"/>
            <w:vAlign w:val="center"/>
          </w:tcPr>
          <w:p w14:paraId="6B89E4B6">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4" w:name="_Toc221950860"/>
            <w:r>
              <w:rPr>
                <w:rFonts w:hint="eastAsia" w:ascii="宋体" w:hAnsi="宋体" w:eastAsia="宋体" w:cs="宋体"/>
                <w:color w:val="000000"/>
                <w:sz w:val="21"/>
                <w:szCs w:val="21"/>
                <w:highlight w:val="none"/>
              </w:rPr>
              <w:t>预付款</w:t>
            </w:r>
            <w:bookmarkEnd w:id="524"/>
          </w:p>
          <w:p w14:paraId="23135BA6">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5" w:name="_Toc221950861"/>
            <w:r>
              <w:rPr>
                <w:rFonts w:hint="eastAsia" w:ascii="宋体" w:hAnsi="宋体" w:eastAsia="宋体" w:cs="宋体"/>
                <w:color w:val="000000"/>
                <w:sz w:val="21"/>
                <w:szCs w:val="21"/>
                <w:highlight w:val="none"/>
              </w:rPr>
              <w:t>扣还</w:t>
            </w:r>
            <w:bookmarkEnd w:id="525"/>
          </w:p>
        </w:tc>
        <w:tc>
          <w:tcPr>
            <w:tcW w:w="945" w:type="dxa"/>
            <w:tcBorders>
              <w:top w:val="single" w:color="auto" w:sz="12" w:space="0"/>
              <w:left w:val="single" w:color="auto" w:sz="4" w:space="0"/>
              <w:bottom w:val="single" w:color="auto" w:sz="4" w:space="0"/>
              <w:right w:val="single" w:color="auto" w:sz="4" w:space="0"/>
            </w:tcBorders>
            <w:noWrap w:val="0"/>
            <w:vAlign w:val="center"/>
          </w:tcPr>
          <w:p w14:paraId="3154D4A4">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6" w:name="_Toc221950862"/>
            <w:r>
              <w:rPr>
                <w:rFonts w:hint="eastAsia" w:ascii="宋体" w:hAnsi="宋体" w:eastAsia="宋体" w:cs="宋体"/>
                <w:color w:val="000000"/>
                <w:sz w:val="21"/>
                <w:szCs w:val="21"/>
                <w:highlight w:val="none"/>
              </w:rPr>
              <w:t>其他</w:t>
            </w:r>
            <w:bookmarkEnd w:id="526"/>
          </w:p>
        </w:tc>
        <w:tc>
          <w:tcPr>
            <w:tcW w:w="1050" w:type="dxa"/>
            <w:tcBorders>
              <w:top w:val="single" w:color="auto" w:sz="12" w:space="0"/>
              <w:left w:val="single" w:color="auto" w:sz="4" w:space="0"/>
              <w:bottom w:val="single" w:color="auto" w:sz="4" w:space="0"/>
              <w:right w:val="single" w:color="auto" w:sz="4" w:space="0"/>
            </w:tcBorders>
            <w:noWrap w:val="0"/>
            <w:vAlign w:val="center"/>
          </w:tcPr>
          <w:p w14:paraId="12565795">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7" w:name="_Toc221950863"/>
            <w:r>
              <w:rPr>
                <w:rFonts w:hint="eastAsia" w:ascii="宋体" w:hAnsi="宋体" w:eastAsia="宋体" w:cs="宋体"/>
                <w:color w:val="000000"/>
                <w:sz w:val="21"/>
                <w:szCs w:val="21"/>
                <w:highlight w:val="none"/>
              </w:rPr>
              <w:t>应收款</w:t>
            </w:r>
            <w:bookmarkEnd w:id="527"/>
          </w:p>
        </w:tc>
        <w:tc>
          <w:tcPr>
            <w:tcW w:w="1155" w:type="dxa"/>
            <w:tcBorders>
              <w:top w:val="single" w:color="auto" w:sz="12" w:space="0"/>
              <w:left w:val="single" w:color="auto" w:sz="4" w:space="0"/>
              <w:bottom w:val="single" w:color="auto" w:sz="4" w:space="0"/>
              <w:right w:val="single" w:color="auto" w:sz="12" w:space="0"/>
            </w:tcBorders>
            <w:noWrap w:val="0"/>
            <w:vAlign w:val="center"/>
          </w:tcPr>
          <w:p w14:paraId="30B81E86">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8" w:name="_Toc221950864"/>
            <w:r>
              <w:rPr>
                <w:rFonts w:hint="eastAsia" w:ascii="宋体" w:hAnsi="宋体" w:eastAsia="宋体" w:cs="宋体"/>
                <w:color w:val="000000"/>
                <w:sz w:val="21"/>
                <w:szCs w:val="21"/>
                <w:highlight w:val="none"/>
              </w:rPr>
              <w:t>累计</w:t>
            </w:r>
            <w:bookmarkEnd w:id="528"/>
          </w:p>
          <w:p w14:paraId="489707AF">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9" w:name="_Toc221950865"/>
            <w:r>
              <w:rPr>
                <w:rFonts w:hint="eastAsia" w:ascii="宋体" w:hAnsi="宋体" w:eastAsia="宋体" w:cs="宋体"/>
                <w:color w:val="000000"/>
                <w:sz w:val="21"/>
                <w:szCs w:val="21"/>
                <w:highlight w:val="none"/>
              </w:rPr>
              <w:t>应收款</w:t>
            </w:r>
            <w:bookmarkEnd w:id="529"/>
          </w:p>
        </w:tc>
      </w:tr>
      <w:tr w14:paraId="4C6149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tcBorders>
              <w:top w:val="single" w:color="auto" w:sz="4" w:space="0"/>
              <w:left w:val="single" w:color="auto" w:sz="12" w:space="0"/>
              <w:bottom w:val="single" w:color="auto" w:sz="4" w:space="0"/>
              <w:right w:val="single" w:color="auto" w:sz="4" w:space="0"/>
            </w:tcBorders>
            <w:noWrap w:val="0"/>
            <w:vAlign w:val="center"/>
          </w:tcPr>
          <w:p w14:paraId="50055A5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4456FDF">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412DDBF9">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320D92FF">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817392C">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1C05EC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469D64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9CAF6F6">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69E9E046">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4" w:space="0"/>
              <w:right w:val="single" w:color="auto" w:sz="12" w:space="0"/>
            </w:tcBorders>
            <w:noWrap w:val="0"/>
            <w:vAlign w:val="center"/>
          </w:tcPr>
          <w:p w14:paraId="00333CA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r>
      <w:tr w14:paraId="23AC84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tcBorders>
              <w:top w:val="single" w:color="auto" w:sz="4" w:space="0"/>
              <w:left w:val="single" w:color="auto" w:sz="12" w:space="0"/>
              <w:bottom w:val="single" w:color="auto" w:sz="4" w:space="0"/>
              <w:right w:val="single" w:color="auto" w:sz="4" w:space="0"/>
            </w:tcBorders>
            <w:noWrap w:val="0"/>
            <w:vAlign w:val="center"/>
          </w:tcPr>
          <w:p w14:paraId="2AA2B912">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EE5EC39">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698105C8">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5D1E09A3">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1D2678D">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33C006D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71F54EB">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77DBEAD">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49197C77">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4" w:space="0"/>
              <w:right w:val="single" w:color="auto" w:sz="12" w:space="0"/>
            </w:tcBorders>
            <w:noWrap w:val="0"/>
            <w:vAlign w:val="center"/>
          </w:tcPr>
          <w:p w14:paraId="0BC4DB56">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r>
      <w:tr w14:paraId="5208B7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tcBorders>
              <w:top w:val="single" w:color="auto" w:sz="4" w:space="0"/>
              <w:left w:val="single" w:color="auto" w:sz="12" w:space="0"/>
              <w:bottom w:val="single" w:color="auto" w:sz="12" w:space="0"/>
              <w:right w:val="single" w:color="auto" w:sz="4" w:space="0"/>
            </w:tcBorders>
            <w:noWrap w:val="0"/>
            <w:vAlign w:val="center"/>
          </w:tcPr>
          <w:p w14:paraId="13E2A8E9">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414" w:type="dxa"/>
            <w:tcBorders>
              <w:top w:val="single" w:color="auto" w:sz="4" w:space="0"/>
              <w:left w:val="single" w:color="auto" w:sz="4" w:space="0"/>
              <w:bottom w:val="single" w:color="auto" w:sz="12" w:space="0"/>
              <w:right w:val="single" w:color="auto" w:sz="4" w:space="0"/>
            </w:tcBorders>
            <w:noWrap w:val="0"/>
            <w:vAlign w:val="center"/>
          </w:tcPr>
          <w:p w14:paraId="42634660">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60" w:type="dxa"/>
            <w:tcBorders>
              <w:top w:val="single" w:color="auto" w:sz="4" w:space="0"/>
              <w:left w:val="single" w:color="auto" w:sz="4" w:space="0"/>
              <w:bottom w:val="single" w:color="auto" w:sz="12" w:space="0"/>
              <w:right w:val="single" w:color="auto" w:sz="4" w:space="0"/>
            </w:tcBorders>
            <w:noWrap w:val="0"/>
            <w:vAlign w:val="center"/>
          </w:tcPr>
          <w:p w14:paraId="21DEC1E4">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12" w:space="0"/>
              <w:right w:val="single" w:color="auto" w:sz="4" w:space="0"/>
            </w:tcBorders>
            <w:noWrap w:val="0"/>
            <w:vAlign w:val="center"/>
          </w:tcPr>
          <w:p w14:paraId="3E4A2732">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12" w:space="0"/>
              <w:right w:val="single" w:color="auto" w:sz="4" w:space="0"/>
            </w:tcBorders>
            <w:noWrap w:val="0"/>
            <w:vAlign w:val="center"/>
          </w:tcPr>
          <w:p w14:paraId="431709F7">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12" w:space="0"/>
              <w:right w:val="single" w:color="auto" w:sz="4" w:space="0"/>
            </w:tcBorders>
            <w:noWrap w:val="0"/>
            <w:vAlign w:val="center"/>
          </w:tcPr>
          <w:p w14:paraId="0C085136">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12" w:space="0"/>
              <w:right w:val="single" w:color="auto" w:sz="4" w:space="0"/>
            </w:tcBorders>
            <w:noWrap w:val="0"/>
            <w:vAlign w:val="center"/>
          </w:tcPr>
          <w:p w14:paraId="4F467DBA">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12" w:space="0"/>
              <w:right w:val="single" w:color="auto" w:sz="4" w:space="0"/>
            </w:tcBorders>
            <w:noWrap w:val="0"/>
            <w:vAlign w:val="top"/>
          </w:tcPr>
          <w:p w14:paraId="3A88BACD">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12" w:space="0"/>
              <w:right w:val="single" w:color="auto" w:sz="4" w:space="0"/>
            </w:tcBorders>
            <w:noWrap w:val="0"/>
            <w:vAlign w:val="top"/>
          </w:tcPr>
          <w:p w14:paraId="4F33C91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12" w:space="0"/>
              <w:right w:val="single" w:color="auto" w:sz="12" w:space="0"/>
            </w:tcBorders>
            <w:noWrap w:val="0"/>
            <w:vAlign w:val="center"/>
          </w:tcPr>
          <w:p w14:paraId="799CA03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r>
    </w:tbl>
    <w:p w14:paraId="269E5114">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530" w:name="_Toc221950866"/>
      <w:bookmarkStart w:id="531" w:name="_Toc222029512"/>
      <w:bookmarkStart w:id="532" w:name="_Toc222031014"/>
      <w:bookmarkStart w:id="533" w:name="_Toc222033863"/>
      <w:bookmarkStart w:id="534" w:name="_Toc222032681"/>
      <w:bookmarkStart w:id="535" w:name="_Toc229305372"/>
      <w:r>
        <w:rPr>
          <w:rFonts w:hint="eastAsia" w:ascii="宋体" w:hAnsi="宋体" w:eastAsia="宋体" w:cs="宋体"/>
          <w:color w:val="000000"/>
          <w:sz w:val="21"/>
          <w:szCs w:val="21"/>
          <w:highlight w:val="none"/>
        </w:rPr>
        <w:t>11.开工和竣工</w:t>
      </w:r>
      <w:bookmarkEnd w:id="530"/>
      <w:bookmarkEnd w:id="531"/>
      <w:bookmarkEnd w:id="532"/>
      <w:bookmarkEnd w:id="533"/>
      <w:bookmarkEnd w:id="534"/>
      <w:bookmarkEnd w:id="535"/>
    </w:p>
    <w:p w14:paraId="593F18C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36" w:name="_Toc221950869"/>
      <w:r>
        <w:rPr>
          <w:rFonts w:hint="eastAsia" w:ascii="宋体" w:hAnsi="宋体" w:eastAsia="宋体" w:cs="宋体"/>
          <w:color w:val="000000"/>
          <w:sz w:val="21"/>
          <w:szCs w:val="21"/>
          <w:highlight w:val="none"/>
        </w:rPr>
        <w:t>11.1开工</w:t>
      </w:r>
    </w:p>
    <w:p w14:paraId="7BBF8CD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11.1.1监理人应在开工日期7天前向承包人发出开工通知。监理人在发出开工通知前应获得发包人同意。工期自监理人发出的开工通知中载明的开工日期起计算。承包人应在开工日期后尽快施工。</w:t>
      </w:r>
    </w:p>
    <w:p w14:paraId="014B092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36347B6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11.1.3若发包人未能按合同约定向承包人提供开工的必要条件，承包人有权要求延长工期。监理人应在收到承包人的书面要求后，按第3.5款的约定，与合同双方商定或确定增加的费用和延长的工期。</w:t>
      </w:r>
      <w:bookmarkEnd w:id="536"/>
    </w:p>
    <w:p w14:paraId="7769DE6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37" w:name="_Toc221950870"/>
      <w:r>
        <w:rPr>
          <w:rFonts w:hint="eastAsia" w:ascii="宋体" w:hAnsi="宋体" w:eastAsia="宋体" w:cs="宋体"/>
          <w:color w:val="000000"/>
          <w:sz w:val="21"/>
          <w:szCs w:val="21"/>
          <w:highlight w:val="none"/>
        </w:rPr>
        <w:t>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537"/>
    </w:p>
    <w:p w14:paraId="5EEB5D8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11.2竣工（完工）</w:t>
      </w:r>
    </w:p>
    <w:p w14:paraId="3AAA7F1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承包人应在第1.1.4.3目约定的期限内完成合同工程。合同工程实际完工日期在合同工程完工证书中明确。</w:t>
      </w:r>
    </w:p>
    <w:p w14:paraId="2B14A8E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38" w:name="_Toc179632703"/>
      <w:bookmarkStart w:id="539" w:name="_Toc152042463"/>
      <w:bookmarkStart w:id="540" w:name="_Toc144974653"/>
      <w:bookmarkStart w:id="541" w:name="_Toc152045685"/>
      <w:r>
        <w:rPr>
          <w:rFonts w:hint="eastAsia" w:ascii="宋体" w:hAnsi="宋体" w:eastAsia="宋体" w:cs="宋体"/>
          <w:color w:val="000000"/>
          <w:sz w:val="21"/>
          <w:szCs w:val="21"/>
          <w:highlight w:val="none"/>
        </w:rPr>
        <w:t>11.3发包人的工期延误</w:t>
      </w:r>
      <w:bookmarkEnd w:id="538"/>
      <w:bookmarkEnd w:id="539"/>
      <w:bookmarkEnd w:id="540"/>
      <w:bookmarkEnd w:id="541"/>
    </w:p>
    <w:p w14:paraId="2539522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在履行合同过程中，由于发包人的下列原因造成工期延误的，承包人有权要求发包人延长工期和（或）增加费用，并支付合理利润。需要修订合同进度计划的，按照第10.2款的约定办理。</w:t>
      </w:r>
    </w:p>
    <w:p w14:paraId="209F809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（1）增加合同工作内容；</w:t>
      </w:r>
    </w:p>
    <w:p w14:paraId="3501DB6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（2）改变合同中任何一项工作的质量要求或其他特性；</w:t>
      </w:r>
    </w:p>
    <w:p w14:paraId="2EF167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（3）发包人迟延提供材料、工程设备或变更交货地点的；</w:t>
      </w:r>
    </w:p>
    <w:p w14:paraId="5A93F10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（4）因发包人原因导致的暂停施工；</w:t>
      </w:r>
    </w:p>
    <w:p w14:paraId="5A5A094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（5）提供图纸延误；</w:t>
      </w:r>
    </w:p>
    <w:p w14:paraId="510B424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（6）未按合同约定及时支付预付款、进度款；</w:t>
      </w:r>
    </w:p>
    <w:p w14:paraId="5FFCBEB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（7）发包人造成工期延误的其他原因。</w:t>
      </w:r>
    </w:p>
    <w:p w14:paraId="037341F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11.4异常恶劣的气候条件</w:t>
      </w:r>
    </w:p>
    <w:p w14:paraId="505C8CC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11.4.1当工程所在地发生危及施工安全的异常恶劣气候时，发包人和承包人应按本合同通用合同条款第12条的约定，及时采取暂停施工或部分暂停施工措施。异常恶劣气候条件解除后，承包人应及时安排复工。</w:t>
      </w:r>
    </w:p>
    <w:p w14:paraId="6CB9961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11.4.2异常恶劣气候条件造成的工期延误和工程损坏，应由发包人与承包人参照本合同通用合同条款第21.3款的约定</w:t>
      </w:r>
      <w:r>
        <w:rPr>
          <w:rFonts w:hint="eastAsia" w:ascii="宋体" w:hAnsi="宋体" w:cs="宋体"/>
          <w:color w:val="000000"/>
          <w:sz w:val="21"/>
          <w:szCs w:val="21"/>
          <w:highlight w:val="none"/>
          <w:lang w:eastAsia="zh-CN"/>
        </w:rPr>
        <w:t>协商</w:t>
      </w:r>
      <w:r>
        <w:rPr>
          <w:rFonts w:hint="eastAsia" w:ascii="宋体" w:hAnsi="宋体" w:eastAsia="宋体" w:cs="宋体"/>
          <w:color w:val="000000"/>
          <w:sz w:val="21"/>
          <w:szCs w:val="21"/>
          <w:highlight w:val="none"/>
        </w:rPr>
        <w:t>处理。</w:t>
      </w:r>
    </w:p>
    <w:p w14:paraId="48F33CF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11.4.3本合同工程界定异常恶劣气候条件的范围在专用合同条款中约定。</w:t>
      </w:r>
    </w:p>
    <w:p w14:paraId="3E19B37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42" w:name="_Toc179632705"/>
      <w:bookmarkStart w:id="543" w:name="_Toc152042465"/>
      <w:bookmarkStart w:id="544" w:name="_Toc144974655"/>
      <w:bookmarkStart w:id="545" w:name="_Toc152045687"/>
      <w:r>
        <w:rPr>
          <w:rFonts w:hint="eastAsia" w:ascii="宋体" w:hAnsi="宋体" w:eastAsia="宋体" w:cs="宋体"/>
          <w:color w:val="000000"/>
          <w:sz w:val="21"/>
          <w:szCs w:val="21"/>
          <w:highlight w:val="none"/>
        </w:rPr>
        <w:t>11.5承包人的工期延误</w:t>
      </w:r>
      <w:bookmarkEnd w:id="542"/>
      <w:bookmarkEnd w:id="543"/>
      <w:bookmarkEnd w:id="544"/>
      <w:bookmarkEnd w:id="545"/>
    </w:p>
    <w:p w14:paraId="253E7AE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74DF84F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46" w:name="_Toc221950882"/>
      <w:r>
        <w:rPr>
          <w:rFonts w:hint="eastAsia" w:ascii="宋体" w:hAnsi="宋体" w:eastAsia="宋体" w:cs="宋体"/>
          <w:color w:val="000000"/>
          <w:sz w:val="21"/>
          <w:szCs w:val="21"/>
          <w:highlight w:val="none"/>
        </w:rPr>
        <w:t>11.6工期提前</w:t>
      </w:r>
    </w:p>
    <w:p w14:paraId="33BF5BA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发包人要求承包人提前完工，或承包人提出提前完工的建议能够给发包人带来效益的，应由监理人与承包人</w:t>
      </w:r>
      <w:r>
        <w:rPr>
          <w:rFonts w:hint="eastAsia" w:ascii="宋体" w:hAnsi="宋体" w:cs="宋体"/>
          <w:color w:val="000000"/>
          <w:sz w:val="21"/>
          <w:szCs w:val="21"/>
          <w:highlight w:val="none"/>
          <w:lang w:eastAsia="zh-CN"/>
        </w:rPr>
        <w:t>协商</w:t>
      </w:r>
      <w:r>
        <w:rPr>
          <w:rFonts w:hint="eastAsia" w:ascii="宋体" w:hAnsi="宋体" w:eastAsia="宋体" w:cs="宋体"/>
          <w:color w:val="000000"/>
          <w:sz w:val="21"/>
          <w:szCs w:val="21"/>
          <w:highlight w:val="none"/>
        </w:rPr>
        <w:t>采取加快工程进度的措施和修订合同进度计划。发包人应承担承包人由此增加的费用，并向承包人支付专用合同条款约定的相应奖金。</w:t>
      </w:r>
    </w:p>
    <w:p w14:paraId="3DABB26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发包人要求提前</w:t>
      </w:r>
      <w:bookmarkEnd w:id="546"/>
      <w:r>
        <w:rPr>
          <w:rFonts w:hint="eastAsia" w:ascii="宋体" w:hAnsi="宋体" w:eastAsia="宋体" w:cs="宋体"/>
          <w:color w:val="000000"/>
          <w:sz w:val="21"/>
          <w:szCs w:val="21"/>
          <w:highlight w:val="none"/>
        </w:rPr>
        <w:t>完工的，双方协商一致后应签订提前完工协议，协议内容包括：</w:t>
      </w:r>
    </w:p>
    <w:p w14:paraId="748230F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47" w:name="_Toc221950883"/>
      <w:r>
        <w:rPr>
          <w:rFonts w:hint="eastAsia" w:ascii="宋体" w:hAnsi="宋体" w:eastAsia="宋体" w:cs="宋体"/>
          <w:color w:val="000000"/>
          <w:sz w:val="21"/>
          <w:szCs w:val="21"/>
          <w:highlight w:val="none"/>
        </w:rPr>
        <w:t>（1）提前的时间和修订后的进度计划</w:t>
      </w:r>
      <w:bookmarkEnd w:id="547"/>
      <w:r>
        <w:rPr>
          <w:rFonts w:hint="eastAsia" w:ascii="宋体" w:hAnsi="宋体" w:eastAsia="宋体" w:cs="宋体"/>
          <w:color w:val="000000"/>
          <w:sz w:val="21"/>
          <w:szCs w:val="21"/>
          <w:highlight w:val="none"/>
        </w:rPr>
        <w:t>；</w:t>
      </w:r>
    </w:p>
    <w:p w14:paraId="0E558A6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48" w:name="_Toc221950884"/>
      <w:r>
        <w:rPr>
          <w:rFonts w:hint="eastAsia" w:ascii="宋体" w:hAnsi="宋体" w:eastAsia="宋体" w:cs="宋体"/>
          <w:color w:val="000000"/>
          <w:sz w:val="21"/>
          <w:szCs w:val="21"/>
          <w:highlight w:val="none"/>
        </w:rPr>
        <w:t>（2）承包人的赶工措施</w:t>
      </w:r>
      <w:bookmarkEnd w:id="548"/>
      <w:r>
        <w:rPr>
          <w:rFonts w:hint="eastAsia" w:ascii="宋体" w:hAnsi="宋体" w:eastAsia="宋体" w:cs="宋体"/>
          <w:color w:val="000000"/>
          <w:sz w:val="21"/>
          <w:szCs w:val="21"/>
          <w:highlight w:val="none"/>
        </w:rPr>
        <w:t>；</w:t>
      </w:r>
    </w:p>
    <w:p w14:paraId="2D69F8C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49" w:name="_Toc221950885"/>
      <w:r>
        <w:rPr>
          <w:rFonts w:hint="eastAsia" w:ascii="宋体" w:hAnsi="宋体" w:eastAsia="宋体" w:cs="宋体"/>
          <w:color w:val="000000"/>
          <w:sz w:val="21"/>
          <w:szCs w:val="21"/>
          <w:highlight w:val="none"/>
        </w:rPr>
        <w:t>（3）发包人为赶工提供的条件</w:t>
      </w:r>
      <w:bookmarkEnd w:id="549"/>
      <w:r>
        <w:rPr>
          <w:rFonts w:hint="eastAsia" w:ascii="宋体" w:hAnsi="宋体" w:eastAsia="宋体" w:cs="宋体"/>
          <w:color w:val="000000"/>
          <w:sz w:val="21"/>
          <w:szCs w:val="21"/>
          <w:highlight w:val="none"/>
        </w:rPr>
        <w:t>；</w:t>
      </w:r>
    </w:p>
    <w:p w14:paraId="41021AB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50" w:name="_Toc221950886"/>
      <w:r>
        <w:rPr>
          <w:rFonts w:hint="eastAsia" w:ascii="宋体" w:hAnsi="宋体" w:eastAsia="宋体" w:cs="宋体"/>
          <w:color w:val="000000"/>
          <w:sz w:val="21"/>
          <w:szCs w:val="21"/>
          <w:highlight w:val="none"/>
        </w:rPr>
        <w:t>（4）</w:t>
      </w:r>
      <w:bookmarkEnd w:id="550"/>
      <w:r>
        <w:rPr>
          <w:rFonts w:hint="eastAsia" w:ascii="宋体" w:hAnsi="宋体" w:eastAsia="宋体" w:cs="宋体"/>
          <w:color w:val="000000"/>
          <w:sz w:val="21"/>
          <w:szCs w:val="21"/>
          <w:highlight w:val="none"/>
        </w:rPr>
        <w:t>赶工费用（包括利润和奖金）。</w:t>
      </w:r>
    </w:p>
    <w:p w14:paraId="6FB90B3D">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551" w:name="_Toc221950888"/>
      <w:bookmarkStart w:id="552" w:name="_Toc222029513"/>
      <w:bookmarkStart w:id="553" w:name="_Toc229305373"/>
      <w:bookmarkStart w:id="554" w:name="_Toc222033864"/>
      <w:bookmarkStart w:id="555" w:name="_Toc222031015"/>
      <w:bookmarkStart w:id="556" w:name="_Toc222032682"/>
      <w:r>
        <w:rPr>
          <w:rFonts w:hint="eastAsia" w:ascii="宋体" w:hAnsi="宋体" w:eastAsia="宋体" w:cs="宋体"/>
          <w:color w:val="000000"/>
          <w:sz w:val="21"/>
          <w:szCs w:val="21"/>
          <w:highlight w:val="none"/>
        </w:rPr>
        <w:t>12.暂停施工</w:t>
      </w:r>
      <w:bookmarkEnd w:id="551"/>
      <w:bookmarkEnd w:id="552"/>
      <w:bookmarkEnd w:id="553"/>
      <w:bookmarkEnd w:id="554"/>
      <w:bookmarkEnd w:id="555"/>
      <w:bookmarkEnd w:id="556"/>
    </w:p>
    <w:p w14:paraId="6521A17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57" w:name="_Toc179632708"/>
      <w:bookmarkStart w:id="558" w:name="_Toc152042468"/>
      <w:bookmarkStart w:id="559" w:name="_Toc152045690"/>
      <w:bookmarkStart w:id="560" w:name="_Toc144974659"/>
      <w:r>
        <w:rPr>
          <w:rFonts w:hint="eastAsia" w:ascii="宋体" w:hAnsi="宋体" w:eastAsia="宋体" w:cs="宋体"/>
          <w:color w:val="000000"/>
          <w:sz w:val="21"/>
          <w:szCs w:val="21"/>
          <w:highlight w:val="none"/>
        </w:rPr>
        <w:t>12.1承包人暂停施工的责任</w:t>
      </w:r>
      <w:bookmarkEnd w:id="557"/>
      <w:bookmarkEnd w:id="558"/>
      <w:bookmarkEnd w:id="559"/>
      <w:bookmarkEnd w:id="560"/>
    </w:p>
    <w:p w14:paraId="21F3049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因下列暂停施工增加的费用和（或）工期延误由承包人承担：</w:t>
      </w:r>
    </w:p>
    <w:p w14:paraId="2026303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（1）承包人违约引起的暂停施工；</w:t>
      </w:r>
    </w:p>
    <w:p w14:paraId="40623D2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（2）由于承包人原因为工程合理施工和安全保障所必需的暂停施工；</w:t>
      </w:r>
    </w:p>
    <w:p w14:paraId="0F937B7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（3）承包人擅自暂停施工；</w:t>
      </w:r>
    </w:p>
    <w:p w14:paraId="72DF30C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（4）承包人其他原因引起的暂停施工；</w:t>
      </w:r>
    </w:p>
    <w:p w14:paraId="1CAD062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（5）专用合同条款约定由承包人承担的其他暂停施工。</w:t>
      </w:r>
    </w:p>
    <w:p w14:paraId="6352CBD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1" w:name="_Toc221950893"/>
      <w:r>
        <w:rPr>
          <w:rFonts w:hint="eastAsia" w:ascii="宋体" w:hAnsi="宋体" w:eastAsia="宋体" w:cs="宋体"/>
          <w:color w:val="000000"/>
          <w:sz w:val="21"/>
          <w:szCs w:val="21"/>
          <w:highlight w:val="none"/>
        </w:rPr>
        <w:t>12.2发包人暂停施工的责任</w:t>
      </w:r>
    </w:p>
    <w:p w14:paraId="7083BF2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由于发包人原因引起的暂停施工造成工期延误的，承包人有权要求发包人延长工期和（或）增加费用，并支付合理利润。</w:t>
      </w:r>
    </w:p>
    <w:p w14:paraId="0FD4067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属于下列任何一种情况引起的暂停施工，均为发包人的责任：</w:t>
      </w:r>
      <w:bookmarkEnd w:id="561"/>
    </w:p>
    <w:p w14:paraId="6F0A4A5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2" w:name="_Toc221950894"/>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1</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由于发包人违约引起的暂停施工。</w:t>
      </w:r>
      <w:bookmarkEnd w:id="562"/>
    </w:p>
    <w:p w14:paraId="481E2AF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3" w:name="_Toc221950895"/>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2</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由于不可抗力的自然或社会因素引起的暂停施工。</w:t>
      </w:r>
      <w:bookmarkEnd w:id="563"/>
    </w:p>
    <w:p w14:paraId="304C2AB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4" w:name="_Toc221950896"/>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3</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专用合同条款中约定</w:t>
      </w:r>
      <w:r>
        <w:rPr>
          <w:rFonts w:hint="eastAsia" w:ascii="宋体" w:hAnsi="宋体" w:cs="宋体"/>
          <w:color w:val="000000"/>
          <w:sz w:val="21"/>
          <w:szCs w:val="21"/>
          <w:highlight w:val="none"/>
          <w:lang w:eastAsia="zh-CN"/>
        </w:rPr>
        <w:t>的其他</w:t>
      </w:r>
      <w:r>
        <w:rPr>
          <w:rFonts w:hint="eastAsia" w:ascii="宋体" w:hAnsi="宋体" w:eastAsia="宋体" w:cs="宋体"/>
          <w:color w:val="000000"/>
          <w:sz w:val="21"/>
          <w:szCs w:val="21"/>
          <w:highlight w:val="none"/>
        </w:rPr>
        <w:t>由于发包人原因引起的暂停施工。</w:t>
      </w:r>
      <w:bookmarkEnd w:id="564"/>
    </w:p>
    <w:p w14:paraId="201D5CA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5" w:name="_Toc144974661"/>
      <w:bookmarkStart w:id="566" w:name="_Toc152045692"/>
      <w:bookmarkStart w:id="567" w:name="_Toc152042470"/>
      <w:bookmarkStart w:id="568" w:name="_Toc179632710"/>
      <w:r>
        <w:rPr>
          <w:rFonts w:hint="eastAsia" w:ascii="宋体" w:hAnsi="宋体" w:eastAsia="宋体" w:cs="宋体"/>
          <w:color w:val="000000"/>
          <w:sz w:val="21"/>
          <w:szCs w:val="21"/>
          <w:highlight w:val="none"/>
        </w:rPr>
        <w:t>12.3监理人暂停施工指示</w:t>
      </w:r>
      <w:bookmarkEnd w:id="565"/>
      <w:bookmarkEnd w:id="566"/>
      <w:bookmarkEnd w:id="567"/>
      <w:bookmarkEnd w:id="568"/>
    </w:p>
    <w:p w14:paraId="5F208B0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12.3.1监理人认为有必要时，可向承包人作出暂停施工的指示，承包人应按监理人指示暂停施工。不论由于何种原因引起的暂停施工，暂停施工期间承包人应负责妥善保护工程并提供安全保障。</w:t>
      </w:r>
    </w:p>
    <w:p w14:paraId="6F7CDD9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12.3.2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52AA951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9" w:name="_Toc179632711"/>
      <w:bookmarkStart w:id="570" w:name="_Toc152042471"/>
      <w:bookmarkStart w:id="571" w:name="_Toc152045693"/>
      <w:bookmarkStart w:id="572" w:name="_Toc144974662"/>
      <w:r>
        <w:rPr>
          <w:rFonts w:hint="eastAsia" w:ascii="宋体" w:hAnsi="宋体" w:eastAsia="宋体" w:cs="宋体"/>
          <w:color w:val="000000"/>
          <w:sz w:val="21"/>
          <w:szCs w:val="21"/>
          <w:highlight w:val="none"/>
        </w:rPr>
        <w:t>12.4暂停施工后的复工</w:t>
      </w:r>
      <w:bookmarkEnd w:id="569"/>
      <w:bookmarkEnd w:id="570"/>
      <w:bookmarkEnd w:id="571"/>
      <w:bookmarkEnd w:id="572"/>
    </w:p>
    <w:p w14:paraId="24C1C2C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12.4.1暂停施工后，监理人应与发包人和承包人协商，采取有效措施积极消除暂停施工的影响。当工程具备复工条件时，监理人应立即向承包人发出复工通知。承包人收到复工通知后，应在监理人指定的期限内复工。</w:t>
      </w:r>
    </w:p>
    <w:p w14:paraId="415FF54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12.4.2承包人无故拖延和拒绝复工的，由此增加的费用和工期延误由承包人承担；因发包人原因无法按时复工的，承包人有权要求发包人延长工期和（或）增加费用，并支付合理利润。</w:t>
      </w:r>
    </w:p>
    <w:p w14:paraId="65993F6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73" w:name="_Toc152042472"/>
      <w:bookmarkStart w:id="574" w:name="_Toc152045694"/>
      <w:bookmarkStart w:id="575" w:name="_Toc144974663"/>
      <w:bookmarkStart w:id="576" w:name="_Toc179632712"/>
      <w:r>
        <w:rPr>
          <w:rFonts w:hint="eastAsia" w:ascii="宋体" w:hAnsi="宋体" w:eastAsia="宋体" w:cs="宋体"/>
          <w:color w:val="000000"/>
          <w:sz w:val="21"/>
          <w:szCs w:val="21"/>
          <w:highlight w:val="none"/>
        </w:rPr>
        <w:t>12.5暂停施工持续56天以上</w:t>
      </w:r>
      <w:bookmarkEnd w:id="573"/>
      <w:bookmarkEnd w:id="574"/>
      <w:bookmarkEnd w:id="575"/>
      <w:bookmarkEnd w:id="576"/>
    </w:p>
    <w:p w14:paraId="0AA7EF8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6C8E0FC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12.5.2由于承包人责任引起的暂停施工，如承包人在收到监理人暂停施工指示后56天内不认真采取有效的复工措施，造成工期延误，可视为承包人违约，应按第22.1款的规定办理。</w:t>
      </w:r>
    </w:p>
    <w:p w14:paraId="68E26660">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577" w:name="_Toc222032683"/>
      <w:bookmarkStart w:id="578" w:name="_Toc222029514"/>
      <w:bookmarkStart w:id="579" w:name="_Toc222031016"/>
      <w:bookmarkStart w:id="580" w:name="_Toc222033865"/>
      <w:bookmarkStart w:id="581" w:name="_Toc221950903"/>
      <w:bookmarkStart w:id="582" w:name="_Toc229305374"/>
      <w:r>
        <w:rPr>
          <w:rFonts w:hint="eastAsia" w:ascii="宋体" w:hAnsi="宋体" w:eastAsia="宋体" w:cs="宋体"/>
          <w:color w:val="000000"/>
          <w:sz w:val="21"/>
          <w:szCs w:val="21"/>
          <w:highlight w:val="none"/>
        </w:rPr>
        <w:t>13.工程质量</w:t>
      </w:r>
      <w:bookmarkEnd w:id="577"/>
      <w:bookmarkEnd w:id="578"/>
      <w:bookmarkEnd w:id="579"/>
      <w:bookmarkEnd w:id="580"/>
      <w:bookmarkEnd w:id="581"/>
      <w:bookmarkEnd w:id="582"/>
    </w:p>
    <w:p w14:paraId="3283BD9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83" w:name="_Toc144974665"/>
      <w:bookmarkStart w:id="584" w:name="_Toc179632714"/>
      <w:bookmarkStart w:id="585" w:name="_Toc152045696"/>
      <w:bookmarkStart w:id="586" w:name="_Toc152042474"/>
      <w:r>
        <w:rPr>
          <w:rFonts w:hint="eastAsia" w:ascii="宋体" w:hAnsi="宋体" w:eastAsia="宋体" w:cs="宋体"/>
          <w:color w:val="000000"/>
          <w:sz w:val="21"/>
          <w:szCs w:val="21"/>
          <w:highlight w:val="none"/>
        </w:rPr>
        <w:t>13.1工程质量要求</w:t>
      </w:r>
      <w:bookmarkEnd w:id="583"/>
      <w:bookmarkEnd w:id="584"/>
      <w:bookmarkEnd w:id="585"/>
      <w:bookmarkEnd w:id="586"/>
    </w:p>
    <w:p w14:paraId="4067C77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13.1.1工程质量验收按合同约定验收标准执行。</w:t>
      </w:r>
    </w:p>
    <w:p w14:paraId="65EFD88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13.1.2因承包人原因造成工程质量达不到合同约定验收标准的，监理人有权要求承包人返工直至符合合同要求为止，由此造成的费用增加和（或）工期延误由承包人承担。</w:t>
      </w:r>
    </w:p>
    <w:p w14:paraId="76BB2CE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13.1.3因发包人原因造成工程质量达不到合同约定验收标准的，发包人应承担由于承包人返工造成的费用增加和（或）工期延误，并支付承包人合理利润。</w:t>
      </w:r>
    </w:p>
    <w:p w14:paraId="1C3D2E0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87" w:name="_Toc221950906"/>
      <w:r>
        <w:rPr>
          <w:rFonts w:hint="eastAsia" w:ascii="宋体" w:hAnsi="宋体" w:eastAsia="宋体" w:cs="宋体"/>
          <w:color w:val="000000"/>
          <w:sz w:val="21"/>
          <w:szCs w:val="21"/>
          <w:highlight w:val="none"/>
        </w:rPr>
        <w:t>13.2承包人的质量管理</w:t>
      </w:r>
      <w:bookmarkEnd w:id="587"/>
    </w:p>
    <w:p w14:paraId="4B15B85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13.2.1承包人应在施工场地设置专门的质量检查机构，配备专职质量检查人员，建立完善的质量检查制度。</w:t>
      </w:r>
      <w:bookmarkStart w:id="588" w:name="_Toc221950914"/>
      <w:r>
        <w:rPr>
          <w:rFonts w:hint="eastAsia" w:ascii="宋体" w:hAnsi="宋体" w:eastAsia="宋体" w:cs="宋体"/>
          <w:color w:val="000000"/>
          <w:sz w:val="21"/>
          <w:szCs w:val="21"/>
          <w:highlight w:val="none"/>
        </w:rPr>
        <w:t>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2793D9E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89" w:name="_Toc179632716"/>
      <w:bookmarkStart w:id="590" w:name="_Toc152045698"/>
      <w:bookmarkStart w:id="591" w:name="_Toc144974667"/>
      <w:bookmarkStart w:id="592" w:name="_Toc152042476"/>
      <w:r>
        <w:rPr>
          <w:rFonts w:hint="eastAsia" w:ascii="宋体" w:hAnsi="宋体" w:eastAsia="宋体" w:cs="宋体"/>
          <w:color w:val="000000"/>
          <w:sz w:val="21"/>
          <w:szCs w:val="21"/>
          <w:highlight w:val="none"/>
        </w:rPr>
        <w:t>13.3承包人的质量检查</w:t>
      </w:r>
      <w:bookmarkEnd w:id="589"/>
      <w:bookmarkEnd w:id="590"/>
      <w:bookmarkEnd w:id="591"/>
      <w:bookmarkEnd w:id="592"/>
    </w:p>
    <w:p w14:paraId="3C734F7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承包人应按合同约定对材料、工程设备以及工程的所有部位及其施工工艺进行全过程的质量检查和检验，并</w:t>
      </w:r>
      <w:r>
        <w:rPr>
          <w:rFonts w:hint="eastAsia" w:ascii="宋体" w:hAnsi="宋体" w:cs="宋体"/>
          <w:color w:val="000000"/>
          <w:sz w:val="21"/>
          <w:szCs w:val="21"/>
          <w:highlight w:val="none"/>
          <w:lang w:eastAsia="zh-CN"/>
        </w:rPr>
        <w:t>做</w:t>
      </w:r>
      <w:r>
        <w:rPr>
          <w:rFonts w:hint="eastAsia" w:ascii="宋体" w:hAnsi="宋体" w:eastAsia="宋体" w:cs="宋体"/>
          <w:color w:val="000000"/>
          <w:sz w:val="21"/>
          <w:szCs w:val="21"/>
          <w:highlight w:val="none"/>
        </w:rPr>
        <w:t>详细记录，编制工程质量报表，报送监理人审查。</w:t>
      </w:r>
    </w:p>
    <w:p w14:paraId="7A5076D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93" w:name="_Toc152042477"/>
      <w:bookmarkStart w:id="594" w:name="_Toc144974668"/>
      <w:bookmarkStart w:id="595" w:name="_Toc179632717"/>
      <w:bookmarkStart w:id="596" w:name="_Toc152045699"/>
      <w:r>
        <w:rPr>
          <w:rFonts w:hint="eastAsia" w:ascii="宋体" w:hAnsi="宋体" w:eastAsia="宋体" w:cs="宋体"/>
          <w:color w:val="000000"/>
          <w:sz w:val="21"/>
          <w:szCs w:val="21"/>
          <w:highlight w:val="none"/>
        </w:rPr>
        <w:t>13.4监理人的质量检查</w:t>
      </w:r>
      <w:bookmarkEnd w:id="593"/>
      <w:bookmarkEnd w:id="594"/>
      <w:bookmarkEnd w:id="595"/>
      <w:bookmarkEnd w:id="596"/>
    </w:p>
    <w:p w14:paraId="4F9D1A9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监理人有权对工程的所有部位及其施工工艺、材料和工程设备进行检查和检验。承包人应为监理人的检查和检验提供方便，包括监理人到施工场地，或制造、加工地点，或合同约定的其他地方进行</w:t>
      </w:r>
      <w:r>
        <w:rPr>
          <w:rFonts w:hint="eastAsia" w:ascii="宋体" w:hAnsi="宋体" w:cs="宋体"/>
          <w:color w:val="000000"/>
          <w:sz w:val="21"/>
          <w:szCs w:val="21"/>
          <w:highlight w:val="none"/>
          <w:lang w:eastAsia="zh-CN"/>
        </w:rPr>
        <w:t>查看</w:t>
      </w:r>
      <w:r>
        <w:rPr>
          <w:rFonts w:hint="eastAsia" w:ascii="宋体" w:hAnsi="宋体" w:eastAsia="宋体" w:cs="宋体"/>
          <w:color w:val="000000"/>
          <w:sz w:val="21"/>
          <w:szCs w:val="21"/>
          <w:highlight w:val="none"/>
        </w:rPr>
        <w:t>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755631D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97" w:name="_Toc179632718"/>
      <w:bookmarkStart w:id="598" w:name="_Toc152045700"/>
      <w:bookmarkStart w:id="599" w:name="_Toc152042478"/>
      <w:bookmarkStart w:id="600" w:name="_Toc144974669"/>
      <w:r>
        <w:rPr>
          <w:rFonts w:hint="eastAsia" w:ascii="宋体" w:hAnsi="宋体" w:eastAsia="宋体" w:cs="宋体"/>
          <w:color w:val="000000"/>
          <w:sz w:val="21"/>
          <w:szCs w:val="21"/>
          <w:highlight w:val="none"/>
        </w:rPr>
        <w:t>13.5工程隐蔽部位覆盖前的检查</w:t>
      </w:r>
      <w:bookmarkEnd w:id="597"/>
      <w:bookmarkEnd w:id="598"/>
      <w:bookmarkEnd w:id="599"/>
      <w:bookmarkEnd w:id="600"/>
    </w:p>
    <w:p w14:paraId="33C4B0E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13.5.1通知监理人检查</w:t>
      </w:r>
    </w:p>
    <w:p w14:paraId="776CFE1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346A473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13.5.2监理人未到场检查</w:t>
      </w:r>
    </w:p>
    <w:p w14:paraId="3995C99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12F5410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13.5.3监理人重新检查</w:t>
      </w:r>
    </w:p>
    <w:p w14:paraId="3217C7C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459DBE7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13.5.4承包人私自覆盖</w:t>
      </w:r>
    </w:p>
    <w:p w14:paraId="7073303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承包人未通知监理人到场检查，私自将工程隐蔽部位覆盖的，监理人有权指示承包人钻孔探测或揭开检查，由此增加的费用和（或）工期延误由承包人承担。</w:t>
      </w:r>
    </w:p>
    <w:p w14:paraId="7BA3392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01" w:name="_Toc179632719"/>
      <w:bookmarkStart w:id="602" w:name="_Toc152045701"/>
      <w:bookmarkStart w:id="603" w:name="_Toc144974670"/>
      <w:bookmarkStart w:id="604" w:name="_Toc152042479"/>
      <w:r>
        <w:rPr>
          <w:rFonts w:hint="eastAsia" w:ascii="宋体" w:hAnsi="宋体" w:eastAsia="宋体" w:cs="宋体"/>
          <w:color w:val="000000"/>
          <w:sz w:val="21"/>
          <w:szCs w:val="21"/>
          <w:highlight w:val="none"/>
        </w:rPr>
        <w:t>13.6清除不合格工程</w:t>
      </w:r>
      <w:bookmarkEnd w:id="601"/>
      <w:bookmarkEnd w:id="602"/>
      <w:bookmarkEnd w:id="603"/>
      <w:bookmarkEnd w:id="604"/>
    </w:p>
    <w:p w14:paraId="51F8BE4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72E6166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13.6.2由于发包人提供的材料或工程设备不合格造成的工程不合格，需要承包人采取措施补救的，发包人应承担由此增加的费用和（或）工期延误，并支付承包人合理利润。</w:t>
      </w:r>
    </w:p>
    <w:bookmarkEnd w:id="588"/>
    <w:p w14:paraId="6CE89D1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05" w:name="_Toc222033866"/>
      <w:bookmarkStart w:id="606" w:name="_Toc222032684"/>
      <w:bookmarkStart w:id="607" w:name="_Toc222031017"/>
      <w:bookmarkStart w:id="608" w:name="_Toc222029515"/>
      <w:bookmarkStart w:id="609" w:name="_Toc221950917"/>
      <w:bookmarkStart w:id="610" w:name="_Toc229305375"/>
      <w:r>
        <w:rPr>
          <w:rFonts w:hint="eastAsia" w:ascii="宋体" w:hAnsi="宋体" w:eastAsia="宋体" w:cs="宋体"/>
          <w:color w:val="000000"/>
          <w:sz w:val="21"/>
          <w:szCs w:val="21"/>
          <w:highlight w:val="none"/>
        </w:rPr>
        <w:t>13.7质量评定</w:t>
      </w:r>
    </w:p>
    <w:p w14:paraId="1E02172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13.7.1发包人应组织承包人进行工程项目划分，并确定单位工程、主要分部工程、重要隐蔽单元工程和关键部位单元工程。</w:t>
      </w:r>
    </w:p>
    <w:p w14:paraId="7FFB069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13.7.2工程实施过程中，单位工程、主要分部工程、重要隐蔽单元工程和关键部位单元工程的项目划分需要调整时，承包人应报发包人确认。</w:t>
      </w:r>
    </w:p>
    <w:p w14:paraId="21E8B62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13.7.3承包人应在单元（工序）工程质量自评合格后，报监理人核定质量等级并签证认可。</w:t>
      </w:r>
    </w:p>
    <w:p w14:paraId="5CA0D98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239575D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13.7.5承包人应在分部工程质量自评合格后，报监理人复核和发包人认定。发包人负责按有关规定完成分部工程质量结论报工程质量监督机构核备（核定）手续。</w:t>
      </w:r>
    </w:p>
    <w:p w14:paraId="3EB0E42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13.7.6承包人应在单位工程质量自评合格后，报监理人复核和发包人认定。发包人负责按有关规定完成单位工程质量结论报工程质量监督机构核定手续。</w:t>
      </w:r>
    </w:p>
    <w:p w14:paraId="66A7DEB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13.7.7除专用合同条款另有约定外，工程质量等级分为合格和优良，应分别达到约定的标准。</w:t>
      </w:r>
    </w:p>
    <w:p w14:paraId="556560F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13.8质量事故处理</w:t>
      </w:r>
    </w:p>
    <w:p w14:paraId="3AAB75D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13.8.1发生质量事故时，承包人应及时向发包人和监理人报告。</w:t>
      </w:r>
    </w:p>
    <w:p w14:paraId="247102C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13.8.2质量事故调查处理由发包人按相关规定履行手续，承包人应配合。</w:t>
      </w:r>
    </w:p>
    <w:p w14:paraId="776F633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13.8.3承包人应对质量缺陷进行备案。发包人委托监理人对质量缺陷备案情况进行监督检查并履行相关手续。</w:t>
      </w:r>
    </w:p>
    <w:p w14:paraId="0DA340F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13.8.4除专用合同条款另有约定外，工程竣工验收时，发包人负责向竣工验收委员会汇报并提交历次质量缺陷处理的备案资料。</w:t>
      </w:r>
    </w:p>
    <w:p w14:paraId="60635A15">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14.试验和检验</w:t>
      </w:r>
      <w:bookmarkEnd w:id="605"/>
      <w:bookmarkEnd w:id="606"/>
      <w:bookmarkEnd w:id="607"/>
      <w:bookmarkEnd w:id="608"/>
      <w:bookmarkEnd w:id="609"/>
      <w:bookmarkEnd w:id="610"/>
    </w:p>
    <w:p w14:paraId="6BC29B2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14.1材料、工程设备和工程的试验和检验</w:t>
      </w:r>
    </w:p>
    <w:p w14:paraId="5051F43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7382A1C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14.1.2监理人未按合同约定派员参加试验和检验的，除监理人另有指示外，承包人可自行试验和检验，并应立即将试验和检验结果报送监理人，监理人应签字确认。</w:t>
      </w:r>
    </w:p>
    <w:p w14:paraId="04B7AA2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6AD148C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14.1.4承包人应按相关规定和标准对水泥、钢材等原材料与中间产品质量进行检验，并报监理人复核。</w:t>
      </w:r>
    </w:p>
    <w:p w14:paraId="46977F4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w:t>
      </w:r>
      <w:r>
        <w:rPr>
          <w:rFonts w:hint="eastAsia" w:ascii="宋体" w:hAnsi="宋体" w:cs="宋体"/>
          <w:color w:val="000000"/>
          <w:sz w:val="21"/>
          <w:szCs w:val="21"/>
          <w:highlight w:val="none"/>
          <w:lang w:eastAsia="zh-CN"/>
        </w:rPr>
        <w:t>做好</w:t>
      </w:r>
      <w:r>
        <w:rPr>
          <w:rFonts w:hint="eastAsia" w:ascii="宋体" w:hAnsi="宋体" w:eastAsia="宋体" w:cs="宋体"/>
          <w:color w:val="000000"/>
          <w:sz w:val="21"/>
          <w:szCs w:val="21"/>
          <w:highlight w:val="none"/>
        </w:rPr>
        <w:t>记录，并进行妥善处理。</w:t>
      </w:r>
    </w:p>
    <w:p w14:paraId="3620151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14.1.6对专用合同条款约定的试块、试件及有关材料，监理人实行见证取样。见证取样资料由承包人制备，记录应真实齐全，监理人、承包人等参与见证取样人员均应在相关文件上签字。</w:t>
      </w:r>
    </w:p>
    <w:p w14:paraId="04CA5D5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11" w:name="_Toc179632722"/>
      <w:bookmarkStart w:id="612" w:name="_Toc152045704"/>
      <w:bookmarkStart w:id="613" w:name="_Toc144974673"/>
      <w:bookmarkStart w:id="614" w:name="_Toc152042482"/>
      <w:r>
        <w:rPr>
          <w:rFonts w:hint="eastAsia" w:ascii="宋体" w:hAnsi="宋体" w:eastAsia="宋体" w:cs="宋体"/>
          <w:color w:val="000000"/>
          <w:sz w:val="21"/>
          <w:szCs w:val="21"/>
          <w:highlight w:val="none"/>
        </w:rPr>
        <w:t>14.2现场材料试验</w:t>
      </w:r>
      <w:bookmarkEnd w:id="611"/>
      <w:bookmarkEnd w:id="612"/>
      <w:bookmarkEnd w:id="613"/>
      <w:bookmarkEnd w:id="614"/>
    </w:p>
    <w:p w14:paraId="34F8B9D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14.2.1承包人根据合同约定或监理人指示进行的现场材料试验，应由承包人提供试验场所、试验人员、试验设备器材以及其他必要的试验条件。</w:t>
      </w:r>
    </w:p>
    <w:p w14:paraId="6030863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14.2.2监理人在必要时可以使用承包人的试验场所、试验设备器材以及其他试验条件，进行以工程质量检查为目的的复</w:t>
      </w:r>
      <w:r>
        <w:rPr>
          <w:rFonts w:hint="eastAsia" w:ascii="宋体" w:hAnsi="宋体" w:cs="宋体"/>
          <w:color w:val="000000"/>
          <w:sz w:val="21"/>
          <w:szCs w:val="21"/>
          <w:highlight w:val="none"/>
          <w:lang w:eastAsia="zh-CN"/>
        </w:rPr>
        <w:t>合</w:t>
      </w:r>
      <w:r>
        <w:rPr>
          <w:rFonts w:hint="eastAsia" w:ascii="宋体" w:hAnsi="宋体" w:eastAsia="宋体" w:cs="宋体"/>
          <w:color w:val="000000"/>
          <w:sz w:val="21"/>
          <w:szCs w:val="21"/>
          <w:highlight w:val="none"/>
        </w:rPr>
        <w:t>性材料试验，承包人应予以协助。</w:t>
      </w:r>
    </w:p>
    <w:p w14:paraId="6057150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15" w:name="_Toc144974674"/>
      <w:bookmarkStart w:id="616" w:name="_Toc152045705"/>
      <w:bookmarkStart w:id="617" w:name="_Toc152042483"/>
      <w:bookmarkStart w:id="618" w:name="_Toc179632723"/>
      <w:r>
        <w:rPr>
          <w:rFonts w:hint="eastAsia" w:ascii="宋体" w:hAnsi="宋体" w:eastAsia="宋体" w:cs="宋体"/>
          <w:color w:val="000000"/>
          <w:sz w:val="21"/>
          <w:szCs w:val="21"/>
          <w:highlight w:val="none"/>
        </w:rPr>
        <w:t>14.3现场工艺试验</w:t>
      </w:r>
      <w:bookmarkEnd w:id="615"/>
      <w:bookmarkEnd w:id="616"/>
      <w:bookmarkEnd w:id="617"/>
      <w:bookmarkEnd w:id="618"/>
    </w:p>
    <w:p w14:paraId="47204B8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181C6F3F">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619" w:name="_Toc221950924"/>
      <w:bookmarkStart w:id="620" w:name="_Toc222032685"/>
      <w:bookmarkStart w:id="621" w:name="_Toc222033867"/>
      <w:bookmarkStart w:id="622" w:name="_Toc229305376"/>
      <w:bookmarkStart w:id="623" w:name="_Toc222031018"/>
      <w:bookmarkStart w:id="624" w:name="_Toc222029516"/>
      <w:r>
        <w:rPr>
          <w:rFonts w:hint="eastAsia" w:ascii="宋体" w:hAnsi="宋体" w:eastAsia="宋体" w:cs="宋体"/>
          <w:color w:val="000000"/>
          <w:sz w:val="21"/>
          <w:szCs w:val="21"/>
          <w:highlight w:val="none"/>
        </w:rPr>
        <w:t>15.变更</w:t>
      </w:r>
      <w:bookmarkEnd w:id="619"/>
      <w:bookmarkEnd w:id="620"/>
      <w:bookmarkEnd w:id="621"/>
      <w:bookmarkEnd w:id="622"/>
      <w:bookmarkEnd w:id="623"/>
      <w:bookmarkEnd w:id="624"/>
    </w:p>
    <w:p w14:paraId="02CD8DA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25" w:name="_Toc221950925"/>
      <w:r>
        <w:rPr>
          <w:rFonts w:hint="eastAsia" w:ascii="宋体" w:hAnsi="宋体" w:eastAsia="宋体" w:cs="宋体"/>
          <w:color w:val="000000"/>
          <w:sz w:val="21"/>
          <w:szCs w:val="21"/>
          <w:highlight w:val="none"/>
        </w:rPr>
        <w:t>15.1变更的范围和内容</w:t>
      </w:r>
      <w:bookmarkEnd w:id="625"/>
    </w:p>
    <w:p w14:paraId="2C9304D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在履行合同中发生以下情形之一，应按照本条款规定进行变更。</w:t>
      </w:r>
    </w:p>
    <w:p w14:paraId="15D8F6A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（1）取消合同中任何一项工作，但被取消的工作不能转由发包人</w:t>
      </w:r>
      <w:r>
        <w:rPr>
          <w:rFonts w:hint="eastAsia" w:ascii="宋体" w:hAnsi="宋体" w:cs="宋体"/>
          <w:color w:val="000000"/>
          <w:sz w:val="21"/>
          <w:szCs w:val="21"/>
          <w:highlight w:val="none"/>
          <w:lang w:eastAsia="zh-CN"/>
        </w:rPr>
        <w:t>或其他</w:t>
      </w:r>
      <w:r>
        <w:rPr>
          <w:rFonts w:hint="eastAsia" w:ascii="宋体" w:hAnsi="宋体" w:eastAsia="宋体" w:cs="宋体"/>
          <w:color w:val="000000"/>
          <w:sz w:val="21"/>
          <w:szCs w:val="21"/>
          <w:highlight w:val="none"/>
        </w:rPr>
        <w:t>人施工；</w:t>
      </w:r>
    </w:p>
    <w:p w14:paraId="6858924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（2）改变合同中任何一项工作的质量</w:t>
      </w:r>
      <w:r>
        <w:rPr>
          <w:rFonts w:hint="eastAsia" w:ascii="宋体" w:hAnsi="宋体" w:cs="宋体"/>
          <w:color w:val="000000"/>
          <w:sz w:val="21"/>
          <w:szCs w:val="21"/>
          <w:highlight w:val="none"/>
          <w:lang w:eastAsia="zh-CN"/>
        </w:rPr>
        <w:t>或其他</w:t>
      </w:r>
      <w:r>
        <w:rPr>
          <w:rFonts w:hint="eastAsia" w:ascii="宋体" w:hAnsi="宋体" w:eastAsia="宋体" w:cs="宋体"/>
          <w:color w:val="000000"/>
          <w:sz w:val="21"/>
          <w:szCs w:val="21"/>
          <w:highlight w:val="none"/>
        </w:rPr>
        <w:t>特性；</w:t>
      </w:r>
    </w:p>
    <w:p w14:paraId="011D556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（3）改变合同工程的基线、标高、位置或尺寸；</w:t>
      </w:r>
    </w:p>
    <w:p w14:paraId="29BF754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（4）改变合同中任何一项工作的施工试件或改变已批准的施工工艺或顺序；</w:t>
      </w:r>
    </w:p>
    <w:p w14:paraId="3F21375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（5）为完成工程需要追加的额外工作；</w:t>
      </w:r>
    </w:p>
    <w:p w14:paraId="7F6BE29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（6）增加或减少专用合同条款中约定的关键项目工程量超过其工程总量的一定数量百分比。</w:t>
      </w:r>
    </w:p>
    <w:p w14:paraId="5AED0BE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上述第（1）～（6</w:t>
      </w:r>
      <w:r>
        <w:rPr>
          <w:rFonts w:hint="eastAsia" w:ascii="宋体" w:hAnsi="宋体" w:cs="宋体"/>
          <w:color w:val="000000"/>
          <w:sz w:val="21"/>
          <w:szCs w:val="21"/>
          <w:highlight w:val="none"/>
          <w:lang w:eastAsia="zh-CN"/>
        </w:rPr>
        <w:t>）项</w:t>
      </w:r>
      <w:r>
        <w:rPr>
          <w:rFonts w:hint="eastAsia" w:ascii="宋体" w:hAnsi="宋体" w:eastAsia="宋体" w:cs="宋体"/>
          <w:color w:val="000000"/>
          <w:sz w:val="21"/>
          <w:szCs w:val="21"/>
          <w:highlight w:val="none"/>
        </w:rPr>
        <w:t>目的变更内容引起工程施工组织和进度计划发生实质性变动和影响其原定的价格时，才予调整该项目的单价。第（6）目情形下调整方式在专用合同条款中约定。</w:t>
      </w:r>
    </w:p>
    <w:p w14:paraId="5F3FFE4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26" w:name="_Toc152042486"/>
      <w:bookmarkStart w:id="627" w:name="_Toc152045708"/>
      <w:bookmarkStart w:id="628" w:name="_Toc144974677"/>
      <w:bookmarkStart w:id="629" w:name="_Toc179632726"/>
      <w:r>
        <w:rPr>
          <w:rFonts w:hint="eastAsia" w:ascii="宋体" w:hAnsi="宋体" w:eastAsia="宋体" w:cs="宋体"/>
          <w:color w:val="000000"/>
          <w:sz w:val="21"/>
          <w:szCs w:val="21"/>
          <w:highlight w:val="none"/>
        </w:rPr>
        <w:t>15.2变更权</w:t>
      </w:r>
      <w:bookmarkEnd w:id="626"/>
      <w:bookmarkEnd w:id="627"/>
      <w:bookmarkEnd w:id="628"/>
      <w:bookmarkEnd w:id="629"/>
    </w:p>
    <w:p w14:paraId="2289DA9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在履行合同过程中，经发包人同意，监理人可按第15.3款约定的变更程序向承包人作出变更指示，承包人应遵照执行。没有监理人的变更指示，承包人不得擅自变更。</w:t>
      </w:r>
    </w:p>
    <w:p w14:paraId="7DE9648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30" w:name="_Toc152042487"/>
      <w:bookmarkStart w:id="631" w:name="_Toc144974678"/>
      <w:bookmarkStart w:id="632" w:name="_Toc179632727"/>
      <w:bookmarkStart w:id="633" w:name="_Toc152045709"/>
      <w:r>
        <w:rPr>
          <w:rFonts w:hint="eastAsia" w:ascii="宋体" w:hAnsi="宋体" w:eastAsia="宋体" w:cs="宋体"/>
          <w:color w:val="000000"/>
          <w:sz w:val="21"/>
          <w:szCs w:val="21"/>
          <w:highlight w:val="none"/>
        </w:rPr>
        <w:t>15.3变更程序</w:t>
      </w:r>
      <w:bookmarkEnd w:id="630"/>
      <w:bookmarkEnd w:id="631"/>
      <w:bookmarkEnd w:id="632"/>
      <w:bookmarkEnd w:id="633"/>
    </w:p>
    <w:p w14:paraId="0F65007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15.3.1变更的提出</w:t>
      </w:r>
    </w:p>
    <w:p w14:paraId="347AC45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0BE8838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（2）在合同履行过程中，发生第15.1款约定情形的，监理人应按照第15.3.3项约定向承包人发出变更指示。</w:t>
      </w:r>
    </w:p>
    <w:p w14:paraId="45A4418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75C881D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（4）若承包人收到监理人的变更意向书后认为难以实施此项变更，应立即通知监理人，说明原因并附详细依据。监理人与承包人和发包人协商后确定撤销、改变或不改变原变更意向书。</w:t>
      </w:r>
    </w:p>
    <w:p w14:paraId="087F5FE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15.3.2变更估价</w:t>
      </w:r>
    </w:p>
    <w:p w14:paraId="6F33E78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67BE455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（2）变更工作影响工期的，承包人应提出调整工期的具体细节。监理人认为有必要时，可要求承包人提交要求提前或延长工期的施工进度计划及相应施工措施等详细资料。</w:t>
      </w:r>
    </w:p>
    <w:p w14:paraId="20FC3C8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（3）除专用合同条款对期限另有约定外，监理人收到承包人变更报价书后的14天内，根据第15.4款约定的估价原则，按照第3.5款商定或确定变更价格。</w:t>
      </w:r>
    </w:p>
    <w:p w14:paraId="52224FA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15.3.3变更指示</w:t>
      </w:r>
    </w:p>
    <w:p w14:paraId="32DEBFD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（1）变更指示只能由监理人发出。</w:t>
      </w:r>
    </w:p>
    <w:p w14:paraId="0AEB224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（2）变更指示应说明变更的目的、范围、变更内容以及变更的工程量及其进度和技术要求，并附有关图纸和文件。承包人收到变更指示后，应按变更指示进行变更工作。</w:t>
      </w:r>
    </w:p>
    <w:p w14:paraId="022ADB2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34" w:name="_Toc152042488"/>
      <w:bookmarkStart w:id="635" w:name="_Toc179632728"/>
      <w:bookmarkStart w:id="636" w:name="_Toc144974679"/>
      <w:bookmarkStart w:id="637" w:name="_Toc152045710"/>
      <w:r>
        <w:rPr>
          <w:rFonts w:hint="eastAsia" w:ascii="宋体" w:hAnsi="宋体" w:eastAsia="宋体" w:cs="宋体"/>
          <w:color w:val="000000"/>
          <w:sz w:val="21"/>
          <w:szCs w:val="21"/>
          <w:highlight w:val="none"/>
        </w:rPr>
        <w:t>15.4变更的估价原则</w:t>
      </w:r>
      <w:bookmarkEnd w:id="634"/>
      <w:bookmarkEnd w:id="635"/>
      <w:bookmarkEnd w:id="636"/>
      <w:bookmarkEnd w:id="637"/>
    </w:p>
    <w:p w14:paraId="44E280D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除专用合同条款另有约定外，因变更引起的价格调整按照本款约定处理。</w:t>
      </w:r>
    </w:p>
    <w:p w14:paraId="73192C6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15.4.1已标价工程量清单中有适用于变更工作的子目的，采用该子目的单价。</w:t>
      </w:r>
    </w:p>
    <w:p w14:paraId="61A8D21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15.4.2已标价工程量清单中无适用于变更工作的子目，但有类似子目的，可在合理范围内参照类似子目的单价，由监理人按第3.5款商定或确定变更工作的单价。</w:t>
      </w:r>
    </w:p>
    <w:p w14:paraId="577AEC8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15.4.3已标价工程量清单中无适用或类似子目的单价，可按照成本加利润的原则，由监理人按第3.5款商定或确定变更工作的单价。</w:t>
      </w:r>
    </w:p>
    <w:p w14:paraId="32B69A5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38" w:name="_Toc144974680"/>
      <w:bookmarkStart w:id="639" w:name="_Toc152042489"/>
      <w:bookmarkStart w:id="640" w:name="_Toc152045711"/>
      <w:bookmarkStart w:id="641" w:name="_Toc179632729"/>
      <w:r>
        <w:rPr>
          <w:rFonts w:hint="eastAsia" w:ascii="宋体" w:hAnsi="宋体" w:eastAsia="宋体" w:cs="宋体"/>
          <w:color w:val="000000"/>
          <w:sz w:val="21"/>
          <w:szCs w:val="21"/>
          <w:highlight w:val="none"/>
        </w:rPr>
        <w:t>15.5承包人的合理化建议</w:t>
      </w:r>
      <w:bookmarkEnd w:id="638"/>
      <w:bookmarkEnd w:id="639"/>
      <w:bookmarkEnd w:id="640"/>
      <w:bookmarkEnd w:id="641"/>
    </w:p>
    <w:p w14:paraId="7D5290B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0F8A39D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15.5.2承包人提出的合理化建议降低了合同价格、缩短了工期或者提高了工程经济效益的，发包人可按国家有关规定在专用合同条款中约定给予奖励。</w:t>
      </w:r>
    </w:p>
    <w:p w14:paraId="77089DC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42" w:name="_Toc152042490"/>
      <w:bookmarkStart w:id="643" w:name="_Toc144974681"/>
      <w:bookmarkStart w:id="644" w:name="_Toc179632730"/>
      <w:bookmarkStart w:id="645" w:name="_Toc152045712"/>
      <w:r>
        <w:rPr>
          <w:rFonts w:hint="eastAsia" w:ascii="宋体" w:hAnsi="宋体" w:eastAsia="宋体" w:cs="宋体"/>
          <w:color w:val="000000"/>
          <w:sz w:val="21"/>
          <w:szCs w:val="21"/>
          <w:highlight w:val="none"/>
        </w:rPr>
        <w:t>15.6暂列金额</w:t>
      </w:r>
      <w:bookmarkEnd w:id="642"/>
      <w:bookmarkEnd w:id="643"/>
      <w:bookmarkEnd w:id="644"/>
      <w:bookmarkEnd w:id="645"/>
    </w:p>
    <w:p w14:paraId="21577F7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暂列金额只能按照监理人的指示使用，并对合同价格进行相应调整。</w:t>
      </w:r>
    </w:p>
    <w:p w14:paraId="719FECC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46" w:name="_Toc152045713"/>
      <w:bookmarkStart w:id="647" w:name="_Toc144974682"/>
      <w:bookmarkStart w:id="648" w:name="_Toc152042491"/>
      <w:bookmarkStart w:id="649" w:name="_Toc179632731"/>
      <w:r>
        <w:rPr>
          <w:rFonts w:hint="eastAsia" w:ascii="宋体" w:hAnsi="宋体" w:eastAsia="宋体" w:cs="宋体"/>
          <w:color w:val="000000"/>
          <w:sz w:val="21"/>
          <w:szCs w:val="21"/>
          <w:highlight w:val="none"/>
        </w:rPr>
        <w:t>15.7计日工</w:t>
      </w:r>
      <w:bookmarkEnd w:id="646"/>
      <w:bookmarkEnd w:id="647"/>
      <w:bookmarkEnd w:id="648"/>
      <w:bookmarkEnd w:id="649"/>
    </w:p>
    <w:p w14:paraId="322BFD7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shd w:val="pct10" w:color="auto" w:fill="FFFFFF"/>
        </w:rPr>
      </w:pPr>
      <w:r>
        <w:rPr>
          <w:rFonts w:hint="eastAsia" w:ascii="宋体" w:hAnsi="宋体" w:eastAsia="宋体" w:cs="宋体"/>
          <w:color w:val="000000"/>
          <w:sz w:val="21"/>
          <w:szCs w:val="21"/>
          <w:highlight w:val="none"/>
        </w:rPr>
        <w:t>15.7.1发包人认为有必要时，由监理人通知承包人以计日工方式实施变更的零星工作。其价款按列入已标价工程量清单中的计日工计价子目及其单价进行计算。</w:t>
      </w:r>
    </w:p>
    <w:p w14:paraId="39336AC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15.7.2采用计日工计价的任何一项变更工作，应从暂列金额中支付，承包人应在该项变更的实施过程中，每天提交以下报表和有关凭证报送监理人审批：</w:t>
      </w:r>
    </w:p>
    <w:p w14:paraId="3E81845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（1）工作名称、内容和数量；</w:t>
      </w:r>
    </w:p>
    <w:p w14:paraId="3F8FA76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（2）投入该工作所有人员的姓名、工种、级别和耗用工时；</w:t>
      </w:r>
    </w:p>
    <w:p w14:paraId="49E10A0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（3）投入该工作的材料类别和数量；</w:t>
      </w:r>
    </w:p>
    <w:p w14:paraId="5E1AA98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（4）投入该工作的施工设备型号、台数和耗用台时；</w:t>
      </w:r>
    </w:p>
    <w:p w14:paraId="160C83A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（5）监理人要求提交的其他资料和凭证。</w:t>
      </w:r>
    </w:p>
    <w:p w14:paraId="18DC947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15.7.3计日工由承包人汇总后，按第17.3.2项的约定列入进度付款申请单，由监理人复核并经发包人同意后列入进度付款。</w:t>
      </w:r>
    </w:p>
    <w:p w14:paraId="3C224BD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50" w:name="_Toc221950942"/>
      <w:r>
        <w:rPr>
          <w:rFonts w:hint="eastAsia" w:ascii="宋体" w:hAnsi="宋体" w:eastAsia="宋体" w:cs="宋体"/>
          <w:color w:val="000000"/>
          <w:sz w:val="21"/>
          <w:szCs w:val="21"/>
          <w:highlight w:val="none"/>
        </w:rPr>
        <w:t>15.8暂估价</w:t>
      </w:r>
      <w:bookmarkEnd w:id="650"/>
    </w:p>
    <w:p w14:paraId="719C85E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p>
    <w:p w14:paraId="4DAD35D0">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651" w:name="_Toc222031019"/>
      <w:bookmarkStart w:id="652" w:name="_Toc222032686"/>
      <w:bookmarkStart w:id="653" w:name="_Toc221950944"/>
      <w:bookmarkStart w:id="654" w:name="_Toc229305377"/>
      <w:bookmarkStart w:id="655" w:name="_Toc222029517"/>
      <w:bookmarkStart w:id="656" w:name="_Toc222033868"/>
      <w:r>
        <w:rPr>
          <w:rFonts w:hint="eastAsia" w:ascii="宋体" w:hAnsi="宋体" w:eastAsia="宋体" w:cs="宋体"/>
          <w:color w:val="000000"/>
          <w:sz w:val="21"/>
          <w:szCs w:val="21"/>
          <w:highlight w:val="none"/>
        </w:rPr>
        <w:t>16.价格调整</w:t>
      </w:r>
      <w:bookmarkEnd w:id="651"/>
      <w:bookmarkEnd w:id="652"/>
      <w:bookmarkEnd w:id="653"/>
      <w:bookmarkEnd w:id="654"/>
      <w:bookmarkEnd w:id="655"/>
      <w:bookmarkEnd w:id="656"/>
    </w:p>
    <w:p w14:paraId="2B8124D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57" w:name="_Toc221950945"/>
      <w:r>
        <w:rPr>
          <w:rFonts w:hint="eastAsia" w:ascii="宋体" w:hAnsi="宋体" w:eastAsia="宋体" w:cs="宋体"/>
          <w:color w:val="000000"/>
          <w:sz w:val="21"/>
          <w:szCs w:val="21"/>
          <w:highlight w:val="none"/>
        </w:rPr>
        <w:t>16.1物价波动引起的价格调整</w:t>
      </w:r>
      <w:bookmarkEnd w:id="657"/>
    </w:p>
    <w:p w14:paraId="7478F47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由于物价波动原因引起合同价格需要调整的，其价格调整方式在专用合同条款中约定。</w:t>
      </w:r>
    </w:p>
    <w:p w14:paraId="5CD4E65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16.1.2采用造价信息调整价格差额</w:t>
      </w:r>
    </w:p>
    <w:p w14:paraId="64DFAB2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施工期内，因人工、材料、设备和机械台班价格波动影响合同价格时，人工、机械使用费按国家或省（自治区、直辖市）建设行政管理部门、行业建设管理部门或其授权的工程造价管理机构发布的人工成本信息、机械台班单价或机械使用费系数进行调整；需要进行价格调整的材料，其单价和材料</w:t>
      </w:r>
      <w:r>
        <w:rPr>
          <w:rFonts w:hint="eastAsia" w:ascii="宋体" w:hAnsi="宋体" w:cs="宋体"/>
          <w:color w:val="000000"/>
          <w:sz w:val="21"/>
          <w:szCs w:val="21"/>
          <w:highlight w:val="none"/>
          <w:lang w:eastAsia="zh-CN"/>
        </w:rPr>
        <w:t>数量</w:t>
      </w:r>
      <w:r>
        <w:rPr>
          <w:rFonts w:hint="eastAsia" w:ascii="宋体" w:hAnsi="宋体" w:eastAsia="宋体" w:cs="宋体"/>
          <w:color w:val="000000"/>
          <w:sz w:val="21"/>
          <w:szCs w:val="21"/>
          <w:highlight w:val="none"/>
        </w:rPr>
        <w:t>应由监理人复核，监理人确认需调整的材料单价及数量，作为调整工程合同价格差额的依据。</w:t>
      </w:r>
    </w:p>
    <w:p w14:paraId="619BA7B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工程造价信息的来源以及价格调整的项目和系数在专用合同条款中约定。</w:t>
      </w:r>
    </w:p>
    <w:p w14:paraId="4804CA4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58" w:name="_Toc152042496"/>
      <w:bookmarkStart w:id="659" w:name="_Toc144974688"/>
      <w:bookmarkStart w:id="660" w:name="_Toc179632735"/>
      <w:bookmarkStart w:id="661" w:name="_Toc152045717"/>
      <w:r>
        <w:rPr>
          <w:rFonts w:hint="eastAsia" w:ascii="宋体" w:hAnsi="宋体" w:eastAsia="宋体" w:cs="宋体"/>
          <w:color w:val="000000"/>
          <w:sz w:val="21"/>
          <w:szCs w:val="21"/>
          <w:highlight w:val="none"/>
        </w:rPr>
        <w:t>16.2法律变化引起的价格调整</w:t>
      </w:r>
      <w:bookmarkEnd w:id="658"/>
      <w:bookmarkEnd w:id="659"/>
      <w:bookmarkEnd w:id="660"/>
      <w:bookmarkEnd w:id="661"/>
    </w:p>
    <w:p w14:paraId="25EC11F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34A335DB">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662" w:name="_Toc229305378"/>
      <w:bookmarkStart w:id="663" w:name="_Toc222031020"/>
      <w:bookmarkStart w:id="664" w:name="_Toc221950995"/>
      <w:bookmarkStart w:id="665" w:name="_Toc222033869"/>
      <w:bookmarkStart w:id="666" w:name="_Toc222032687"/>
      <w:bookmarkStart w:id="667" w:name="_Toc222029518"/>
      <w:r>
        <w:rPr>
          <w:rFonts w:hint="eastAsia" w:ascii="宋体" w:hAnsi="宋体" w:eastAsia="宋体" w:cs="宋体"/>
          <w:color w:val="000000"/>
          <w:sz w:val="21"/>
          <w:szCs w:val="21"/>
          <w:highlight w:val="none"/>
        </w:rPr>
        <w:t>17.计量与支付</w:t>
      </w:r>
      <w:bookmarkEnd w:id="662"/>
      <w:bookmarkEnd w:id="663"/>
      <w:bookmarkEnd w:id="664"/>
      <w:bookmarkEnd w:id="665"/>
      <w:bookmarkEnd w:id="666"/>
      <w:bookmarkEnd w:id="667"/>
    </w:p>
    <w:p w14:paraId="14524C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68" w:name="_Toc221950996"/>
      <w:r>
        <w:rPr>
          <w:rFonts w:hint="eastAsia" w:ascii="宋体" w:hAnsi="宋体" w:eastAsia="宋体" w:cs="宋体"/>
          <w:color w:val="000000"/>
          <w:sz w:val="21"/>
          <w:szCs w:val="21"/>
          <w:highlight w:val="none"/>
        </w:rPr>
        <w:t>17.1计量</w:t>
      </w:r>
      <w:bookmarkEnd w:id="668"/>
    </w:p>
    <w:p w14:paraId="316313D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17.1.1计量单位</w:t>
      </w:r>
    </w:p>
    <w:p w14:paraId="4ADC51C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计量采用国家法定的计量单位。</w:t>
      </w:r>
    </w:p>
    <w:p w14:paraId="4CE7969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69" w:name="_Toc221951004"/>
      <w:r>
        <w:rPr>
          <w:rFonts w:hint="eastAsia" w:ascii="宋体" w:hAnsi="宋体" w:eastAsia="宋体" w:cs="宋体"/>
          <w:color w:val="000000"/>
          <w:sz w:val="21"/>
          <w:szCs w:val="21"/>
          <w:highlight w:val="none"/>
        </w:rPr>
        <w:t>17.1.2计量方法</w:t>
      </w:r>
    </w:p>
    <w:p w14:paraId="5A70E61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结算工程量应按工程量清单中约定的方法计量。</w:t>
      </w:r>
    </w:p>
    <w:p w14:paraId="03BAC89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17.1.3计量周期</w:t>
      </w:r>
    </w:p>
    <w:p w14:paraId="4F1DF5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除专用合同条款另有约定外，单价子目已完成工程量按月计量，总价子目的计量周期按批准的支付分解报告确定。</w:t>
      </w:r>
    </w:p>
    <w:p w14:paraId="78DB10D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17.1.4单价子目的计量</w:t>
      </w:r>
    </w:p>
    <w:p w14:paraId="0244C62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（1）已标价工程量清单中的单价</w:t>
      </w:r>
      <w:r>
        <w:rPr>
          <w:rFonts w:hint="eastAsia" w:ascii="宋体" w:hAnsi="宋体" w:cs="宋体"/>
          <w:color w:val="000000"/>
          <w:sz w:val="21"/>
          <w:szCs w:val="21"/>
          <w:highlight w:val="none"/>
          <w:lang w:eastAsia="zh-CN"/>
        </w:rPr>
        <w:t>子项</w:t>
      </w:r>
      <w:r>
        <w:rPr>
          <w:rFonts w:hint="eastAsia" w:ascii="宋体" w:hAnsi="宋体" w:eastAsia="宋体" w:cs="宋体"/>
          <w:color w:val="000000"/>
          <w:sz w:val="21"/>
          <w:szCs w:val="21"/>
          <w:highlight w:val="none"/>
        </w:rPr>
        <w:t>目工程量为估算工程量。结算工程量是承包人实际完成的，即现场工程量签证计量方法进行计量的工程量。</w:t>
      </w:r>
    </w:p>
    <w:p w14:paraId="2FE134B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（2）承包人对已完成的工程进行计量，向监理人提交进度付款申请单、已完成工程量报表和有关计量资料。</w:t>
      </w:r>
    </w:p>
    <w:p w14:paraId="443866E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0C3450B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（4）监理人认为有必要时，可通知承包人共同进行联合测量、计量，承包人应遵照执行。</w:t>
      </w:r>
    </w:p>
    <w:p w14:paraId="0A31AB2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67B90F1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（6）监理人应在收到承包人提交的工程量报表后的7天内进行复核，监理人未在约定时间内复核的，承包人提交的工程量报表中的工程量视为承包人实际完成的工程量，据此计算工程价款。</w:t>
      </w:r>
    </w:p>
    <w:p w14:paraId="394F9D6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17.1.5总价子目的计量</w:t>
      </w:r>
    </w:p>
    <w:p w14:paraId="6F63FFE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总价子目的分解和计量按照下述约定进行。</w:t>
      </w:r>
    </w:p>
    <w:p w14:paraId="02F07BD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（1）总价子目的计量和支付应以总价为基础，不因第16.1款中的因素而进行调整。承包人实际完成的工程量，是进行工程目标管理和控制进度支付的依据。</w:t>
      </w:r>
    </w:p>
    <w:p w14:paraId="656A95C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包人应按工程量清单中的要求对总价子目进行分解，并在签订协议书后的28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p>
    <w:p w14:paraId="649674A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（3）监理人对承包人提交的上述资料进行复核，以确定分阶段实际完成的工程量和工程形象目标。对其有异议的，可要求承包人按第8.2款约定进行共同复核和抽样复测。</w:t>
      </w:r>
    </w:p>
    <w:p w14:paraId="490FB80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（4）按照第15条约定的变更外，总价子目的工程量是承包人用于结算的最终工程量。</w:t>
      </w:r>
    </w:p>
    <w:p w14:paraId="4CCA7FF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17.2预付款</w:t>
      </w:r>
      <w:bookmarkEnd w:id="669"/>
    </w:p>
    <w:p w14:paraId="71C979B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无</w:t>
      </w:r>
    </w:p>
    <w:p w14:paraId="179CDE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70" w:name="_Toc152042500"/>
      <w:bookmarkStart w:id="671" w:name="_Toc152045721"/>
      <w:bookmarkStart w:id="672" w:name="_Toc144974692"/>
      <w:bookmarkStart w:id="673" w:name="_Toc179632739"/>
      <w:r>
        <w:rPr>
          <w:rFonts w:hint="eastAsia" w:ascii="宋体" w:hAnsi="宋体" w:eastAsia="宋体" w:cs="宋体"/>
          <w:color w:val="000000"/>
          <w:sz w:val="21"/>
          <w:szCs w:val="21"/>
          <w:highlight w:val="none"/>
        </w:rPr>
        <w:t>17.3工程进度付款</w:t>
      </w:r>
      <w:bookmarkEnd w:id="670"/>
      <w:bookmarkEnd w:id="671"/>
      <w:bookmarkEnd w:id="672"/>
      <w:bookmarkEnd w:id="673"/>
    </w:p>
    <w:p w14:paraId="4300E36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17.3.1付款周期</w:t>
      </w:r>
    </w:p>
    <w:p w14:paraId="6F0B128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付款周期同计量周期。</w:t>
      </w:r>
    </w:p>
    <w:p w14:paraId="4A2A3B3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17.3.2进度付款申请单</w:t>
      </w:r>
    </w:p>
    <w:p w14:paraId="31B831F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499AF33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（1）截至本次付款周期末已实施工程的价款；</w:t>
      </w:r>
    </w:p>
    <w:p w14:paraId="6CFB666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（2）根据第15条应增加和扣减的变更金额；</w:t>
      </w:r>
    </w:p>
    <w:p w14:paraId="34977A6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（3）根据第23条应增加和扣减的索赔金额；</w:t>
      </w:r>
    </w:p>
    <w:p w14:paraId="4F217FB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（4）根据第17.2款约定应支付的预付款和扣减的返还预付款；</w:t>
      </w:r>
    </w:p>
    <w:p w14:paraId="0F9186B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（5）根据第17.4.1项约定应扣减的质量保证金；</w:t>
      </w:r>
    </w:p>
    <w:p w14:paraId="3FB6AB1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（6）根据合同应增加和扣减的其他金额。</w:t>
      </w:r>
    </w:p>
    <w:p w14:paraId="01B0A0C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17.3.3进度付款证书和支付时间</w:t>
      </w:r>
    </w:p>
    <w:p w14:paraId="1D45D89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w:t>
      </w:r>
      <w:r>
        <w:rPr>
          <w:rFonts w:hint="eastAsia" w:ascii="宋体" w:hAnsi="宋体" w:cs="宋体"/>
          <w:color w:val="000000"/>
          <w:sz w:val="21"/>
          <w:szCs w:val="21"/>
          <w:highlight w:val="none"/>
          <w:lang w:eastAsia="zh-CN"/>
        </w:rPr>
        <w:t>扣除</w:t>
      </w:r>
      <w:r>
        <w:rPr>
          <w:rFonts w:hint="eastAsia" w:ascii="宋体" w:hAnsi="宋体" w:eastAsia="宋体" w:cs="宋体"/>
          <w:color w:val="000000"/>
          <w:sz w:val="21"/>
          <w:szCs w:val="21"/>
          <w:highlight w:val="none"/>
        </w:rPr>
        <w:t>承包人未能按照合同要求履行任何工作或义务的相应金额。</w:t>
      </w:r>
    </w:p>
    <w:p w14:paraId="7E4EAD3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（2）发包人应在监理人收到进度付款申请单后的28天内，将进度应付款支付给承包人。发包人不按期支付的，按专用合同条款的约定支付逾期付款违约金。</w:t>
      </w:r>
    </w:p>
    <w:p w14:paraId="07AEFA5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（3）监理人出具进度付款证书，不应视为监理人已同意、批准或接受了承包人完成的该部分工作。</w:t>
      </w:r>
    </w:p>
    <w:p w14:paraId="78FB2EC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（4）进度付款涉及政府投资资金的，按照国库集中支付等国家相关规定和专用合同条款的约定办理。</w:t>
      </w:r>
    </w:p>
    <w:p w14:paraId="365AACB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17.3.4工程进度付款的修正</w:t>
      </w:r>
    </w:p>
    <w:p w14:paraId="55E4BF9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761CC40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74" w:name="_Toc221951013"/>
      <w:r>
        <w:rPr>
          <w:rFonts w:hint="eastAsia" w:ascii="宋体" w:hAnsi="宋体" w:eastAsia="宋体" w:cs="宋体"/>
          <w:color w:val="000000"/>
          <w:sz w:val="21"/>
          <w:szCs w:val="21"/>
          <w:highlight w:val="none"/>
        </w:rPr>
        <w:t>17.4质量保证金</w:t>
      </w:r>
      <w:bookmarkEnd w:id="674"/>
    </w:p>
    <w:p w14:paraId="16CAF31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75" w:name="_Toc221951015"/>
      <w:r>
        <w:rPr>
          <w:rFonts w:hint="eastAsia" w:ascii="宋体" w:hAnsi="宋体" w:eastAsia="宋体" w:cs="宋体"/>
          <w:color w:val="000000"/>
          <w:sz w:val="21"/>
          <w:szCs w:val="21"/>
          <w:highlight w:val="none"/>
        </w:rPr>
        <w:t>17.4.1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p>
    <w:p w14:paraId="4129F8F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17.4.2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268AAF0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17.5竣工结算</w:t>
      </w:r>
      <w:bookmarkEnd w:id="675"/>
    </w:p>
    <w:p w14:paraId="7482C44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17.5.1竣工（完工）付款申请单</w:t>
      </w:r>
    </w:p>
    <w:p w14:paraId="5D4CC0E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4FECB90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（2）监理人对完工付款申请单有异议的，有权要求承包人进行修正和提供补充资料。经监理人和承包人协商后，由承包人向监理人提交修正后的完工付款申请单。</w:t>
      </w:r>
    </w:p>
    <w:p w14:paraId="088A21D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17.5.2竣工（完工）付款证书及支付时间</w:t>
      </w:r>
    </w:p>
    <w:p w14:paraId="3A704DC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6A4C663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（2）发包人应在监理人出具完工付款证书后的14天内，将应支付款支付给承包人。发包人不安全支付的，按第17.3.3（2）</w:t>
      </w:r>
      <w:r>
        <w:rPr>
          <w:rFonts w:hint="eastAsia" w:ascii="宋体" w:hAnsi="宋体" w:cs="宋体"/>
          <w:color w:val="000000"/>
          <w:sz w:val="21"/>
          <w:szCs w:val="21"/>
          <w:highlight w:val="none"/>
          <w:lang w:val="en-US" w:eastAsia="zh-CN"/>
        </w:rPr>
        <w:t>项</w:t>
      </w:r>
      <w:r>
        <w:rPr>
          <w:rFonts w:hint="eastAsia" w:ascii="宋体" w:hAnsi="宋体" w:eastAsia="宋体" w:cs="宋体"/>
          <w:color w:val="000000"/>
          <w:sz w:val="21"/>
          <w:szCs w:val="21"/>
          <w:highlight w:val="none"/>
        </w:rPr>
        <w:t>的约定，将逾期付款违约金支付给承包人。</w:t>
      </w:r>
    </w:p>
    <w:p w14:paraId="339FBD4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（3）承包人对发包人签认的完工付款证书有异议的，发包人可出具完工付款申请单中承包人已同意部分的临时付款证书。存在争议的部分，按第24条的约定办理。</w:t>
      </w:r>
    </w:p>
    <w:p w14:paraId="246E2E0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（4）完工付款涉及政府投资资金的，按第17.3.3（4）</w:t>
      </w:r>
      <w:r>
        <w:rPr>
          <w:rFonts w:hint="eastAsia" w:ascii="宋体" w:hAnsi="宋体" w:cs="宋体"/>
          <w:color w:val="000000"/>
          <w:sz w:val="21"/>
          <w:szCs w:val="21"/>
          <w:highlight w:val="none"/>
          <w:lang w:val="en-US" w:eastAsia="zh-CN"/>
        </w:rPr>
        <w:t>项</w:t>
      </w:r>
      <w:r>
        <w:rPr>
          <w:rFonts w:hint="eastAsia" w:ascii="宋体" w:hAnsi="宋体" w:eastAsia="宋体" w:cs="宋体"/>
          <w:color w:val="000000"/>
          <w:sz w:val="21"/>
          <w:szCs w:val="21"/>
          <w:highlight w:val="none"/>
        </w:rPr>
        <w:t>的约定办理。</w:t>
      </w:r>
    </w:p>
    <w:p w14:paraId="74D670C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76" w:name="_Toc221951017"/>
      <w:r>
        <w:rPr>
          <w:rFonts w:hint="eastAsia" w:ascii="宋体" w:hAnsi="宋体" w:eastAsia="宋体" w:cs="宋体"/>
          <w:color w:val="000000"/>
          <w:sz w:val="21"/>
          <w:szCs w:val="21"/>
          <w:highlight w:val="none"/>
        </w:rPr>
        <w:t>17.6最终结清</w:t>
      </w:r>
      <w:bookmarkEnd w:id="676"/>
    </w:p>
    <w:p w14:paraId="2665897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17.6.1最终结清申请单</w:t>
      </w:r>
      <w:bookmarkStart w:id="677" w:name="_Toc229305379"/>
      <w:bookmarkStart w:id="678" w:name="_Toc222029519"/>
      <w:bookmarkStart w:id="679" w:name="_Toc222032688"/>
      <w:bookmarkStart w:id="680" w:name="_Toc222033870"/>
      <w:bookmarkStart w:id="681" w:name="_Toc221951019"/>
      <w:bookmarkStart w:id="682" w:name="_Toc222031021"/>
    </w:p>
    <w:p w14:paraId="5021D5B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（1）工程质量保修责任终止证书签发后，承包人应按监理人批准的格式</w:t>
      </w:r>
      <w:r>
        <w:rPr>
          <w:rFonts w:hint="eastAsia" w:ascii="宋体" w:hAnsi="宋体" w:cs="宋体"/>
          <w:color w:val="000000"/>
          <w:sz w:val="21"/>
          <w:szCs w:val="21"/>
          <w:highlight w:val="none"/>
          <w:lang w:eastAsia="zh-CN"/>
        </w:rPr>
        <w:t>提交最终结清申请单</w:t>
      </w:r>
      <w:r>
        <w:rPr>
          <w:rFonts w:hint="eastAsia" w:ascii="宋体" w:hAnsi="宋体" w:eastAsia="宋体" w:cs="宋体"/>
          <w:color w:val="000000"/>
          <w:sz w:val="21"/>
          <w:szCs w:val="21"/>
          <w:highlight w:val="none"/>
        </w:rPr>
        <w:t>的份数在专用合同条款中约定</w:t>
      </w:r>
    </w:p>
    <w:p w14:paraId="52F030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（2）发包人对最终结清申请单内容有异议的，有权要求承包人进行修正和提供补充资料，由承包人向监理人提交修正后的最终结清申请单。</w:t>
      </w:r>
    </w:p>
    <w:p w14:paraId="404DF50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17.7竣工财务决算</w:t>
      </w:r>
    </w:p>
    <w:p w14:paraId="1C4AC62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发包人负责编制本工程项目竣工财务决算，承包人应按专用合同条款的约定提供竣工财务决算编制所需的相关材料。</w:t>
      </w:r>
    </w:p>
    <w:p w14:paraId="337C30C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17.8竣工审计</w:t>
      </w:r>
    </w:p>
    <w:p w14:paraId="1FFC49E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发包人负责完成本工程竣工审计手续，承包人应完成相关配合工作，并提交审计单位认为需提交的各种资料。</w:t>
      </w:r>
    </w:p>
    <w:p w14:paraId="6F2EB84A">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18.竣工验收</w:t>
      </w:r>
      <w:bookmarkEnd w:id="677"/>
      <w:bookmarkEnd w:id="678"/>
      <w:bookmarkEnd w:id="679"/>
      <w:bookmarkEnd w:id="680"/>
      <w:bookmarkEnd w:id="681"/>
      <w:bookmarkEnd w:id="682"/>
    </w:p>
    <w:p w14:paraId="07509A7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83" w:name="_Toc222033871"/>
      <w:bookmarkStart w:id="684" w:name="_Toc222031022"/>
      <w:bookmarkStart w:id="685" w:name="_Toc229305380"/>
      <w:bookmarkStart w:id="686" w:name="_Toc222032689"/>
      <w:bookmarkStart w:id="687" w:name="_Toc221951044"/>
      <w:bookmarkStart w:id="688" w:name="_Toc222029520"/>
      <w:r>
        <w:rPr>
          <w:rFonts w:hint="eastAsia" w:ascii="宋体" w:hAnsi="宋体" w:eastAsia="宋体" w:cs="宋体"/>
          <w:color w:val="000000"/>
          <w:sz w:val="21"/>
          <w:szCs w:val="21"/>
          <w:highlight w:val="none"/>
        </w:rPr>
        <w:t>18.1验收及类别</w:t>
      </w:r>
    </w:p>
    <w:p w14:paraId="19B0C6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3735353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18.2分部工程验收</w:t>
      </w:r>
    </w:p>
    <w:p w14:paraId="39A11EA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18.2.1分部工程具备验收条件时，承包人应向发包人提交验收申请报告，发包人应在收到验收申请报告之日起10个工作日内决定是否同意进行验收。</w:t>
      </w:r>
    </w:p>
    <w:p w14:paraId="4BFDE54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18.2.2除专用合同条款另有约定外，监理人主持分部工程验收，承包人应派符合条件的代表参加验收工作组。</w:t>
      </w:r>
    </w:p>
    <w:p w14:paraId="22105E2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18.2.3分部工程验收通过后，发包人向承包人发送分部工程验收鉴定书。承包人应及时完成分部工程验收鉴定书载明应由承包人处理的遗留问题。</w:t>
      </w:r>
    </w:p>
    <w:p w14:paraId="06B09BE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18.3单位工程验收</w:t>
      </w:r>
    </w:p>
    <w:p w14:paraId="4A4E470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18.3.1单位工程具备验收条件时，承包人应向发包人提交验收申请报告，发包人应在收到验收申请报告之日起10个工作日内决定是否同意进行验收。</w:t>
      </w:r>
    </w:p>
    <w:p w14:paraId="1C1BE25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18.3.2发包人主持单位工程验收，承包人应派符合条件的代表参加验收工作组。</w:t>
      </w:r>
    </w:p>
    <w:p w14:paraId="37F071A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18.3.3单位工程验收通过后，发包人向承包人发送单位工程验收鉴定书。承包人应及时完成单位工程验收鉴定书载明应由承包人处理的遗留问题。</w:t>
      </w:r>
    </w:p>
    <w:p w14:paraId="3B44302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18.3.4需提前</w:t>
      </w:r>
      <w:r>
        <w:rPr>
          <w:rFonts w:hint="eastAsia" w:ascii="宋体" w:hAnsi="宋体" w:cs="宋体"/>
          <w:color w:val="000000"/>
          <w:sz w:val="21"/>
          <w:szCs w:val="21"/>
          <w:highlight w:val="none"/>
          <w:lang w:val="en-US" w:eastAsia="zh-CN"/>
        </w:rPr>
        <w:t>投入</w:t>
      </w:r>
      <w:r>
        <w:rPr>
          <w:rFonts w:hint="eastAsia" w:ascii="宋体" w:hAnsi="宋体" w:eastAsia="宋体" w:cs="宋体"/>
          <w:color w:val="000000"/>
          <w:sz w:val="21"/>
          <w:szCs w:val="21"/>
          <w:highlight w:val="none"/>
        </w:rPr>
        <w:t>使用的单位工程在专用合同条款中明确。</w:t>
      </w:r>
    </w:p>
    <w:p w14:paraId="7AA5469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18.4合同工程完工验收</w:t>
      </w:r>
    </w:p>
    <w:p w14:paraId="7B57052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18.4.1合同工程具备验收条件时，承包人应向发包人提交验收申请报告，发包人应在收到验收申请报告之日起20个工作日内决定是否同意进行验收。</w:t>
      </w:r>
    </w:p>
    <w:p w14:paraId="68E4CB3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18.4.2发包人主持合同工程完工验收，承包人应派代表参加验收工作组。</w:t>
      </w:r>
    </w:p>
    <w:p w14:paraId="019E16C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18.4.3合同工程完工验收通过后，发包人向承包人发送合同工程完工验收鉴定书。承包人应及时完成合同工程完工验收鉴定书载明应由承包人处理的遗留问题。</w:t>
      </w:r>
    </w:p>
    <w:p w14:paraId="2243FD1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18.4.4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2ED3691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18.5阶段验收</w:t>
      </w:r>
    </w:p>
    <w:p w14:paraId="23A2015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18.5.1工程建设具备阶段验收条件时，发包人负责提出阶段验收申请报告。承包人应派代表参加阶段验收，并作为被验收单位在验收鉴定书上签字。阶段验收的具体类别在专用合同条款中约定。18.5.2承包人应及时完成阶段验收鉴定书载明应由承包人处理的遗留问题。</w:t>
      </w:r>
    </w:p>
    <w:p w14:paraId="20B12E3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18.6专项验收</w:t>
      </w:r>
    </w:p>
    <w:p w14:paraId="1F7FB1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18.6.1发包人负责提出专项验收申请报告。承包人应按专项验收的相关规定参加</w:t>
      </w:r>
      <w:r>
        <w:rPr>
          <w:rFonts w:hint="eastAsia" w:ascii="宋体" w:hAnsi="宋体" w:cs="宋体"/>
          <w:color w:val="000000"/>
          <w:sz w:val="21"/>
          <w:szCs w:val="21"/>
          <w:highlight w:val="none"/>
          <w:lang w:eastAsia="zh-CN"/>
        </w:rPr>
        <w:t>专项</w:t>
      </w:r>
      <w:r>
        <w:rPr>
          <w:rFonts w:hint="eastAsia" w:ascii="宋体" w:hAnsi="宋体" w:eastAsia="宋体" w:cs="宋体"/>
          <w:color w:val="000000"/>
          <w:sz w:val="21"/>
          <w:szCs w:val="21"/>
          <w:highlight w:val="none"/>
        </w:rPr>
        <w:t>验收的具体类别在专用合同条款中约定。</w:t>
      </w:r>
    </w:p>
    <w:p w14:paraId="0A49D87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18.6.2承包人应及时完成专项验收成果性文件载明应由承包人处理的遗留问题。</w:t>
      </w:r>
    </w:p>
    <w:p w14:paraId="3AE6F50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18.7竣工验收</w:t>
      </w:r>
    </w:p>
    <w:p w14:paraId="7899CF6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18.7.1申请竣工验收前，发包人组织竣工验收自查，承包人应派代表参加。</w:t>
      </w:r>
    </w:p>
    <w:p w14:paraId="61DA504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18.7.2竣工验收分为竣工技术预验收和竣工验收两个阶段。发包人应通知承包人派代表参加技术预验收和竣工验收。</w:t>
      </w:r>
    </w:p>
    <w:p w14:paraId="1EA3BC5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18.7.3专用合同条款约定工程需要进行技术鉴定的，承包人应提交有关资料并完成配合工作。</w:t>
      </w:r>
    </w:p>
    <w:p w14:paraId="08400B7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18.7.4竣工验收需要进行质量检测的，所需费用由发包人承担，但因承包人原因造成质量不合格的除外。</w:t>
      </w:r>
    </w:p>
    <w:p w14:paraId="14E6359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18.7.5工程质量保修期满以及竣工验收遗留问题和尾工处理完成并通过验收后，发包人负责将处理情况和验收成果报送竣工验收主持单位，申请领取工程竣工证书，并发送承包人。</w:t>
      </w:r>
    </w:p>
    <w:p w14:paraId="6D6E5BE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18.8施工期运行</w:t>
      </w:r>
    </w:p>
    <w:p w14:paraId="056059C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18.8.1施工期运行是指合同工程尚未全部完工，其中某单位工程或部分工程已完工，需要</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施工期运行的，经发包人按第18.2款或第18.3款的约定验收合格，证明能确保安全后，才能在施工期</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运行。需要在施工期运行的单位工程或部分工程在专用合同条款中约定。</w:t>
      </w:r>
    </w:p>
    <w:p w14:paraId="7716DF6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18.8.2在施工期运行中发现工程或工程设备损坏或存在缺陷的，由承包人按第19.2款约定进行修复。</w:t>
      </w:r>
    </w:p>
    <w:p w14:paraId="10F537E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18.9试运行</w:t>
      </w:r>
    </w:p>
    <w:p w14:paraId="43A667A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18.9.1除专用合同条款另有约定外，承包人应按规定进行工程及工程设备试运行，负责提供试运行所需的人员、器材和必要的条件，并承担全部试运行费用。</w:t>
      </w:r>
    </w:p>
    <w:p w14:paraId="6CA3700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18.9.2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12F6224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18.10竣工清场</w:t>
      </w:r>
    </w:p>
    <w:p w14:paraId="6B269C0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18.10.1工程项目竣工（完工）清场的工作范围和内容在技术标准和要求（合同技术条款）中约定。</w:t>
      </w:r>
    </w:p>
    <w:p w14:paraId="23A1529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18.10.2承包人未按监理人的要求恢复临时占地，或者场地清理未达到合同约定的，发包人有权委托</w:t>
      </w:r>
      <w:r>
        <w:rPr>
          <w:rFonts w:hint="eastAsia" w:ascii="宋体" w:hAnsi="宋体" w:cs="宋体"/>
          <w:color w:val="000000"/>
          <w:sz w:val="21"/>
          <w:szCs w:val="21"/>
          <w:highlight w:val="none"/>
          <w:lang w:eastAsia="zh-CN"/>
        </w:rPr>
        <w:t>其他人</w:t>
      </w:r>
      <w:r>
        <w:rPr>
          <w:rFonts w:hint="eastAsia" w:ascii="宋体" w:hAnsi="宋体" w:eastAsia="宋体" w:cs="宋体"/>
          <w:color w:val="000000"/>
          <w:sz w:val="21"/>
          <w:szCs w:val="21"/>
          <w:highlight w:val="none"/>
        </w:rPr>
        <w:t>恢复或清理，所发生的金额从拟支付给承包人的款项中扣除。</w:t>
      </w:r>
    </w:p>
    <w:p w14:paraId="217D721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18.11施工队伍的撤离</w:t>
      </w:r>
    </w:p>
    <w:p w14:paraId="59B7B697">
      <w:pPr>
        <w:pStyle w:val="11"/>
        <w:pageBreakBefore w:val="0"/>
        <w:widowControl w:val="0"/>
        <w:kinsoku/>
        <w:wordWrap/>
        <w:overflowPunct/>
        <w:topLinePunct w:val="0"/>
        <w:bidi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5B3A2D8A">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19.缺陷责任与保修责任</w:t>
      </w:r>
      <w:bookmarkEnd w:id="683"/>
      <w:bookmarkEnd w:id="684"/>
      <w:bookmarkEnd w:id="685"/>
      <w:bookmarkEnd w:id="686"/>
      <w:bookmarkEnd w:id="687"/>
      <w:bookmarkEnd w:id="688"/>
    </w:p>
    <w:p w14:paraId="0924257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89" w:name="_Toc221951045"/>
      <w:r>
        <w:rPr>
          <w:rFonts w:hint="eastAsia" w:ascii="宋体" w:hAnsi="宋体" w:eastAsia="宋体" w:cs="宋体"/>
          <w:color w:val="000000"/>
          <w:sz w:val="21"/>
          <w:szCs w:val="21"/>
          <w:highlight w:val="none"/>
        </w:rPr>
        <w:t>19.1缺陷责任期（质量保修期）的起算时间</w:t>
      </w:r>
      <w:bookmarkEnd w:id="689"/>
    </w:p>
    <w:p w14:paraId="5E4DFA6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90" w:name="_Toc221951047"/>
      <w:r>
        <w:rPr>
          <w:rFonts w:hint="eastAsia" w:ascii="宋体" w:hAnsi="宋体" w:eastAsia="宋体" w:cs="宋体"/>
          <w:color w:val="000000"/>
          <w:sz w:val="21"/>
          <w:szCs w:val="21"/>
          <w:highlight w:val="none"/>
        </w:rPr>
        <w:t>除专用合同条款另有约定外，缺陷责任期（工程质量保修期）从工程通过合同工程完工验收后开始计算。在合同工程完工验收前，已经发包人提前验收的单位工程或部分工程，若未</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使用，其缺陷责任期（工程质量保修期）亦从工程通过合同工程完工验收后开始计算；若已</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使用，其缺陷责任期（工程质量保修期）从通过单位工程或部分工程</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使用验收后开始计算。缺陷责任期（工程质量保修期）的期限在专用合同条款中约定。</w:t>
      </w:r>
      <w:bookmarkEnd w:id="690"/>
    </w:p>
    <w:p w14:paraId="11D8B9B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91" w:name="_Toc179632754"/>
      <w:bookmarkStart w:id="692" w:name="_Toc152045736"/>
      <w:bookmarkStart w:id="693" w:name="_Toc152042515"/>
      <w:bookmarkStart w:id="694" w:name="_Toc144974707"/>
      <w:r>
        <w:rPr>
          <w:rFonts w:hint="eastAsia" w:ascii="宋体" w:hAnsi="宋体" w:eastAsia="宋体" w:cs="宋体"/>
          <w:color w:val="000000"/>
          <w:sz w:val="21"/>
          <w:szCs w:val="21"/>
          <w:highlight w:val="none"/>
        </w:rPr>
        <w:t>19.2缺陷责任</w:t>
      </w:r>
      <w:bookmarkEnd w:id="691"/>
      <w:bookmarkEnd w:id="692"/>
      <w:bookmarkEnd w:id="693"/>
      <w:bookmarkEnd w:id="694"/>
    </w:p>
    <w:p w14:paraId="38F0BB9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19.2.1承包人应在缺陷责任期内对已交付使用的工程承担缺陷责任。</w:t>
      </w:r>
    </w:p>
    <w:p w14:paraId="069DC59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19.2.2缺陷责任期内，发包人对已接收使用的工程负责日常维护工作。发包人在使用过程中，发现已接收的工程存在新的缺陷或已修复的缺陷部位或部件又遭损坏的，承包人应负责修复，直至检验合格为止。</w:t>
      </w:r>
    </w:p>
    <w:p w14:paraId="46D3E1C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19.2.3监理人和承包人应共同查清缺陷和（或）损坏的原因。经查明属承包人原因造成的，应由承包人承担修复和查验的费用。经查验属发包人原因造成的，发包人应承担修复和查验的费用，并支付承包人合理利润。</w:t>
      </w:r>
    </w:p>
    <w:p w14:paraId="057F23E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19.2.4承包人不能在合理时间内修复缺陷的，发包人可自行修复或委托其他人修复，所需费用和利润的承担，按第19.2.3项约定办理。</w:t>
      </w:r>
    </w:p>
    <w:p w14:paraId="23D3AF8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95" w:name="_Toc152042516"/>
      <w:bookmarkStart w:id="696" w:name="_Toc152045737"/>
      <w:bookmarkStart w:id="697" w:name="_Toc179632755"/>
      <w:bookmarkStart w:id="698" w:name="_Toc144974708"/>
      <w:r>
        <w:rPr>
          <w:rFonts w:hint="eastAsia" w:ascii="宋体" w:hAnsi="宋体" w:eastAsia="宋体" w:cs="宋体"/>
          <w:color w:val="000000"/>
          <w:sz w:val="21"/>
          <w:szCs w:val="21"/>
          <w:highlight w:val="none"/>
        </w:rPr>
        <w:t>19.3缺陷责任期的延长</w:t>
      </w:r>
      <w:bookmarkEnd w:id="695"/>
      <w:bookmarkEnd w:id="696"/>
      <w:bookmarkEnd w:id="697"/>
      <w:bookmarkEnd w:id="698"/>
    </w:p>
    <w:p w14:paraId="2D1B50E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由于承包人原因造成某项缺陷或损坏使某项工程或工程设备不能按原定目标使用而需要再次检查、检验和修复的，发包人有权要求承包人相应延长缺陷责任期，但缺陷责任期最长不超过2年。</w:t>
      </w:r>
    </w:p>
    <w:p w14:paraId="627C4FC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99" w:name="_Toc144974709"/>
      <w:bookmarkStart w:id="700" w:name="_Toc152045738"/>
      <w:bookmarkStart w:id="701" w:name="_Toc152042517"/>
      <w:bookmarkStart w:id="702" w:name="_Toc179632756"/>
      <w:r>
        <w:rPr>
          <w:rFonts w:hint="eastAsia" w:ascii="宋体" w:hAnsi="宋体" w:eastAsia="宋体" w:cs="宋体"/>
          <w:color w:val="000000"/>
          <w:sz w:val="21"/>
          <w:szCs w:val="21"/>
          <w:highlight w:val="none"/>
        </w:rPr>
        <w:t>19.4进一步试验和试运行</w:t>
      </w:r>
      <w:bookmarkEnd w:id="699"/>
      <w:bookmarkEnd w:id="700"/>
      <w:bookmarkEnd w:id="701"/>
      <w:bookmarkEnd w:id="702"/>
    </w:p>
    <w:p w14:paraId="47BAEBB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任何一项缺陷或损坏修复后，经检查证明其影响了工程或工程设备的使用性能，承包人应重新进行合同约定的试验和试运行，试验和试运行的全部费用应由责任方承担。</w:t>
      </w:r>
    </w:p>
    <w:p w14:paraId="2665AA2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03" w:name="_Toc152045739"/>
      <w:bookmarkStart w:id="704" w:name="_Toc144974710"/>
      <w:bookmarkStart w:id="705" w:name="_Toc179632757"/>
      <w:bookmarkStart w:id="706" w:name="_Toc152042518"/>
      <w:r>
        <w:rPr>
          <w:rFonts w:hint="eastAsia" w:ascii="宋体" w:hAnsi="宋体" w:eastAsia="宋体" w:cs="宋体"/>
          <w:color w:val="000000"/>
          <w:sz w:val="21"/>
          <w:szCs w:val="21"/>
          <w:highlight w:val="none"/>
        </w:rPr>
        <w:t>19.5承包人的进入权</w:t>
      </w:r>
      <w:bookmarkEnd w:id="703"/>
      <w:bookmarkEnd w:id="704"/>
      <w:bookmarkEnd w:id="705"/>
      <w:bookmarkEnd w:id="706"/>
    </w:p>
    <w:p w14:paraId="3687A3A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缺陷责任期内承包人为缺陷修复工作需要，有权进入工程现场，但应遵守发包人的保安和保密规定。</w:t>
      </w:r>
    </w:p>
    <w:p w14:paraId="26E84B7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07" w:name="_Toc221951058"/>
      <w:r>
        <w:rPr>
          <w:rFonts w:hint="eastAsia" w:ascii="宋体" w:hAnsi="宋体" w:eastAsia="宋体" w:cs="宋体"/>
          <w:color w:val="000000"/>
          <w:sz w:val="21"/>
          <w:szCs w:val="21"/>
          <w:highlight w:val="none"/>
        </w:rPr>
        <w:t>19.6</w:t>
      </w:r>
      <w:bookmarkEnd w:id="707"/>
      <w:r>
        <w:rPr>
          <w:rFonts w:hint="eastAsia" w:ascii="宋体" w:hAnsi="宋体" w:eastAsia="宋体" w:cs="宋体"/>
          <w:color w:val="000000"/>
          <w:sz w:val="21"/>
          <w:szCs w:val="21"/>
          <w:highlight w:val="none"/>
        </w:rPr>
        <w:t>缺陷责任期终止证书</w:t>
      </w:r>
    </w:p>
    <w:p w14:paraId="1E0E609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08" w:name="_Toc222032690"/>
      <w:bookmarkStart w:id="709" w:name="_Toc221951060"/>
      <w:bookmarkStart w:id="710" w:name="_Toc222029521"/>
      <w:bookmarkStart w:id="711" w:name="_Toc222031023"/>
      <w:bookmarkStart w:id="712" w:name="_Toc229305381"/>
      <w:bookmarkStart w:id="713" w:name="_Toc222033872"/>
      <w:r>
        <w:rPr>
          <w:rFonts w:hint="eastAsia" w:ascii="宋体" w:hAnsi="宋体" w:eastAsia="宋体" w:cs="宋体"/>
          <w:color w:val="000000"/>
          <w:sz w:val="21"/>
          <w:szCs w:val="21"/>
          <w:highlight w:val="none"/>
        </w:rPr>
        <w:t>合同工程完工验收或</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使用验收后，发包人与承包人应办理工程交接手续，承包人应向发包人递交工程质量保修书。</w:t>
      </w:r>
    </w:p>
    <w:p w14:paraId="4D4D513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缺陷责任期（工程质量保修期）满后30个工作日内，发包人应向承包人颁发工程质量保修责任终止证书，并退还剩余的质量保证金，但保修责任范围内的质量缺陷未处理完成的应除外。</w:t>
      </w:r>
    </w:p>
    <w:p w14:paraId="606DC4F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14" w:name="_Toc152042520"/>
      <w:bookmarkStart w:id="715" w:name="_Toc144974712"/>
      <w:bookmarkStart w:id="716" w:name="_Toc179632759"/>
      <w:bookmarkStart w:id="717" w:name="_Toc152045741"/>
      <w:r>
        <w:rPr>
          <w:rFonts w:hint="eastAsia" w:ascii="宋体" w:hAnsi="宋体" w:eastAsia="宋体" w:cs="宋体"/>
          <w:color w:val="000000"/>
          <w:sz w:val="21"/>
          <w:szCs w:val="21"/>
          <w:highlight w:val="none"/>
        </w:rPr>
        <w:t>19.7保修责任</w:t>
      </w:r>
      <w:bookmarkEnd w:id="714"/>
      <w:bookmarkEnd w:id="715"/>
      <w:bookmarkEnd w:id="716"/>
      <w:bookmarkEnd w:id="717"/>
    </w:p>
    <w:p w14:paraId="57EBD87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10D30A30">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20.保险</w:t>
      </w:r>
      <w:bookmarkEnd w:id="708"/>
      <w:bookmarkEnd w:id="709"/>
      <w:bookmarkEnd w:id="710"/>
      <w:bookmarkEnd w:id="711"/>
      <w:bookmarkEnd w:id="712"/>
      <w:bookmarkEnd w:id="713"/>
    </w:p>
    <w:p w14:paraId="30B71EA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18" w:name="_Toc179632761"/>
      <w:bookmarkStart w:id="719" w:name="_Toc144974714"/>
      <w:bookmarkStart w:id="720" w:name="_Toc152045743"/>
      <w:bookmarkStart w:id="721" w:name="_Toc152042522"/>
      <w:r>
        <w:rPr>
          <w:rFonts w:hint="eastAsia" w:ascii="宋体" w:hAnsi="宋体" w:eastAsia="宋体" w:cs="宋体"/>
          <w:color w:val="000000"/>
          <w:sz w:val="21"/>
          <w:szCs w:val="21"/>
          <w:highlight w:val="none"/>
        </w:rPr>
        <w:t>20.1工程保险</w:t>
      </w:r>
      <w:bookmarkEnd w:id="718"/>
      <w:bookmarkEnd w:id="719"/>
      <w:bookmarkEnd w:id="720"/>
      <w:bookmarkEnd w:id="721"/>
    </w:p>
    <w:p w14:paraId="00FB7DC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1B0E7BC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22" w:name="_Toc152045744"/>
      <w:bookmarkStart w:id="723" w:name="_Toc152042523"/>
      <w:bookmarkStart w:id="724" w:name="_Toc144974715"/>
      <w:bookmarkStart w:id="725" w:name="_Toc179632762"/>
      <w:r>
        <w:rPr>
          <w:rFonts w:hint="eastAsia" w:ascii="宋体" w:hAnsi="宋体" w:eastAsia="宋体" w:cs="宋体"/>
          <w:color w:val="000000"/>
          <w:sz w:val="21"/>
          <w:szCs w:val="21"/>
          <w:highlight w:val="none"/>
        </w:rPr>
        <w:t>20.2人员工伤事故的保险</w:t>
      </w:r>
      <w:bookmarkEnd w:id="722"/>
      <w:bookmarkEnd w:id="723"/>
      <w:bookmarkEnd w:id="724"/>
      <w:bookmarkEnd w:id="725"/>
    </w:p>
    <w:p w14:paraId="0C6DFE5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20.2.1承包人员工伤事故的保险</w:t>
      </w:r>
    </w:p>
    <w:p w14:paraId="062F94F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承包人应依照有关法律规定参加工伤保险，为其履行合同所雇佣的全部人员，缴纳工伤保险费，并要求其分包人也进行此项保险。</w:t>
      </w:r>
    </w:p>
    <w:p w14:paraId="1DD4019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20.2.2发包人员工伤事故的保险</w:t>
      </w:r>
    </w:p>
    <w:p w14:paraId="780A031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发包人应依照有关法律规定参加工伤保险，为其现场机构雇佣的全部人员，缴纳工伤保险费，并要求其监理人也进行此项保险。</w:t>
      </w:r>
    </w:p>
    <w:p w14:paraId="0C8C514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26" w:name="_Toc152042524"/>
      <w:bookmarkStart w:id="727" w:name="_Toc144974716"/>
      <w:bookmarkStart w:id="728" w:name="_Toc179632763"/>
      <w:bookmarkStart w:id="729" w:name="_Toc152045745"/>
      <w:r>
        <w:rPr>
          <w:rFonts w:hint="eastAsia" w:ascii="宋体" w:hAnsi="宋体" w:eastAsia="宋体" w:cs="宋体"/>
          <w:color w:val="000000"/>
          <w:sz w:val="21"/>
          <w:szCs w:val="21"/>
          <w:highlight w:val="none"/>
        </w:rPr>
        <w:t>20.3人身意外伤害险</w:t>
      </w:r>
      <w:bookmarkEnd w:id="726"/>
      <w:bookmarkEnd w:id="727"/>
      <w:bookmarkEnd w:id="728"/>
      <w:bookmarkEnd w:id="729"/>
    </w:p>
    <w:p w14:paraId="7479BEF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20.3.1发包人应在整个施工期间为其现场机构雇用的全部人员，投保人身意外伤害险，缴纳保险费，并要求其监理人也进行此项保险。</w:t>
      </w:r>
    </w:p>
    <w:p w14:paraId="022645C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20.3.2承包人应在整个施工期间为其现场机构雇用的全部人员，投保人身意外伤害险，缴纳保险费，并要求其分包人也进行此项保险。</w:t>
      </w:r>
    </w:p>
    <w:p w14:paraId="72FCE05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30" w:name="_Toc179632764"/>
      <w:bookmarkStart w:id="731" w:name="_Toc152045746"/>
      <w:bookmarkStart w:id="732" w:name="_Toc152042525"/>
      <w:bookmarkStart w:id="733" w:name="_Toc144974717"/>
      <w:r>
        <w:rPr>
          <w:rFonts w:hint="eastAsia" w:ascii="宋体" w:hAnsi="宋体" w:eastAsia="宋体" w:cs="宋体"/>
          <w:color w:val="000000"/>
          <w:sz w:val="21"/>
          <w:szCs w:val="21"/>
          <w:highlight w:val="none"/>
        </w:rPr>
        <w:t>20.4第三者责任险</w:t>
      </w:r>
      <w:bookmarkEnd w:id="730"/>
      <w:bookmarkEnd w:id="731"/>
      <w:bookmarkEnd w:id="732"/>
      <w:bookmarkEnd w:id="733"/>
    </w:p>
    <w:p w14:paraId="7EA9FEC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4D62C9D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20.4.2在缺陷责任期终止证书颁发前，承包人应以承包人和发包人的共同名义，投保第20.4.1项约定的第三者责任险，其保险费率、保险金额等有关内容在专用合同条款中约定。</w:t>
      </w:r>
    </w:p>
    <w:p w14:paraId="3106B78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34" w:name="_Toc152045747"/>
      <w:bookmarkStart w:id="735" w:name="_Toc179632765"/>
      <w:bookmarkStart w:id="736" w:name="_Toc144974718"/>
      <w:bookmarkStart w:id="737" w:name="_Toc152042526"/>
      <w:r>
        <w:rPr>
          <w:rFonts w:hint="eastAsia" w:ascii="宋体" w:hAnsi="宋体" w:eastAsia="宋体" w:cs="宋体"/>
          <w:color w:val="000000"/>
          <w:sz w:val="21"/>
          <w:szCs w:val="21"/>
          <w:highlight w:val="none"/>
        </w:rPr>
        <w:t>20.5其他保险</w:t>
      </w:r>
      <w:bookmarkEnd w:id="734"/>
      <w:bookmarkEnd w:id="735"/>
      <w:bookmarkEnd w:id="736"/>
      <w:bookmarkEnd w:id="737"/>
    </w:p>
    <w:p w14:paraId="208FFB7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除专用合同条款另有约定外，承包人应为其施工设备、进场的材料和工程设备等办理保险。</w:t>
      </w:r>
    </w:p>
    <w:p w14:paraId="446625E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20.6对各项保险的一般要求</w:t>
      </w:r>
    </w:p>
    <w:p w14:paraId="574901EC">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20.6.1保险凭证</w:t>
      </w:r>
    </w:p>
    <w:p w14:paraId="57818649">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承包人应在专用合同条款约定的期限内向发包人提交各项保险生效的证据和保险单副本，保险单必须与专用合同条款约定的条件保持一致。</w:t>
      </w:r>
    </w:p>
    <w:p w14:paraId="36DA2C18">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20.6.2保险合同条款的变动</w:t>
      </w:r>
    </w:p>
    <w:p w14:paraId="5C7A3393">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承包人需要变动保险合同条款时，应事先征得发包人同意，并通知监理人。保险人作出变动的，承包人应在收到保险人通知后立即通知发包人和监理人。</w:t>
      </w:r>
    </w:p>
    <w:p w14:paraId="20C2C085">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20.6.3持续保险</w:t>
      </w:r>
    </w:p>
    <w:p w14:paraId="2CF08590">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承包人应与保险人保持联系，使保险人能够随时了解工程实施中的变动，并确保按保险合同条款要求持续保险。</w:t>
      </w:r>
    </w:p>
    <w:p w14:paraId="65211A9E">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20.6.4</w:t>
      </w:r>
      <w:bookmarkStart w:id="738" w:name="_Toc221951074"/>
      <w:r>
        <w:rPr>
          <w:rFonts w:hint="eastAsia" w:ascii="宋体" w:hAnsi="宋体" w:eastAsia="宋体" w:cs="宋体"/>
          <w:color w:val="000000"/>
          <w:sz w:val="21"/>
          <w:szCs w:val="21"/>
          <w:highlight w:val="none"/>
        </w:rPr>
        <w:t>保险金不足以补偿损失时，应由承包人和发包人各自负责补偿的范围和金额在专用合同条款中约定。</w:t>
      </w:r>
    </w:p>
    <w:p w14:paraId="5AAF52C8">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20.6.5未按约定投保的补救</w:t>
      </w:r>
    </w:p>
    <w:p w14:paraId="75FB1965">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（1）由于负有投保义务的一方当事人未按合同约定办理保险，或未能使保险持续有效的，另一方当事人可代为办理，所需费用由对方当事人承担。</w:t>
      </w:r>
    </w:p>
    <w:p w14:paraId="08B00DC2">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（2）由于负有投保义务的一方当事人未按合同约定办理某项保险，导致受益人未能得到保险人的赔偿，原应从该项保险得到的保险金应由负有投保义务的一方当事人支付。</w:t>
      </w:r>
    </w:p>
    <w:p w14:paraId="16501786">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20.6.6报告义务</w:t>
      </w:r>
    </w:p>
    <w:p w14:paraId="31ED4379">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当保险事故发生时，投保人应按照保险单规定的条件和期限及时向保险人报告。</w:t>
      </w:r>
    </w:p>
    <w:p w14:paraId="730E2AF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20.7风险责任的转移</w:t>
      </w:r>
      <w:bookmarkEnd w:id="738"/>
    </w:p>
    <w:p w14:paraId="4888128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39" w:name="_Toc221951075"/>
      <w:r>
        <w:rPr>
          <w:rFonts w:hint="eastAsia" w:ascii="宋体" w:hAnsi="宋体" w:eastAsia="宋体" w:cs="宋体"/>
          <w:color w:val="000000"/>
          <w:sz w:val="21"/>
          <w:szCs w:val="21"/>
          <w:highlight w:val="none"/>
        </w:rPr>
        <w:t>工程通过合同工程完工验收并移交给发包人后，原由承包人应承担的风险责任，以及保险的责任、权利和义务同时转移给发包人，但承包人在缺陷责任期（工程质量保修期）前造成损失和损坏情形除外。</w:t>
      </w:r>
      <w:bookmarkEnd w:id="739"/>
    </w:p>
    <w:p w14:paraId="510EE042">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740" w:name="_Toc179632767"/>
      <w:bookmarkStart w:id="741" w:name="_Toc152042528"/>
      <w:bookmarkStart w:id="742" w:name="_Toc152045749"/>
      <w:bookmarkStart w:id="743" w:name="_Toc144974720"/>
      <w:r>
        <w:rPr>
          <w:rFonts w:hint="eastAsia" w:ascii="宋体" w:hAnsi="宋体" w:eastAsia="宋体" w:cs="宋体"/>
          <w:color w:val="000000"/>
          <w:sz w:val="21"/>
          <w:szCs w:val="21"/>
          <w:highlight w:val="none"/>
        </w:rPr>
        <w:t>21.不可抗力</w:t>
      </w:r>
      <w:bookmarkEnd w:id="740"/>
      <w:bookmarkEnd w:id="741"/>
      <w:bookmarkEnd w:id="742"/>
      <w:bookmarkEnd w:id="743"/>
    </w:p>
    <w:p w14:paraId="7663F4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44" w:name="_Toc144974721"/>
      <w:bookmarkStart w:id="745" w:name="_Toc152045750"/>
      <w:bookmarkStart w:id="746" w:name="_Toc179632768"/>
      <w:bookmarkStart w:id="747" w:name="_Toc152042529"/>
      <w:r>
        <w:rPr>
          <w:rFonts w:hint="eastAsia" w:ascii="宋体" w:hAnsi="宋体" w:eastAsia="宋体" w:cs="宋体"/>
          <w:color w:val="000000"/>
          <w:sz w:val="21"/>
          <w:szCs w:val="21"/>
          <w:highlight w:val="none"/>
        </w:rPr>
        <w:t>21.1不可抗力的确认</w:t>
      </w:r>
      <w:bookmarkEnd w:id="744"/>
      <w:bookmarkEnd w:id="745"/>
      <w:bookmarkEnd w:id="746"/>
      <w:bookmarkEnd w:id="747"/>
    </w:p>
    <w:p w14:paraId="6CAE1B3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21.1.1不可抗力是指承包人和发包人在订立合同时不可预见，在工程施工过程中不可避免发生并不能克服的自然灾害和社会性突发事件，如地震、海啸、瘟疫、水灾、骚乱、暴动、战争和专用合同条款约定的其他情形。</w:t>
      </w:r>
    </w:p>
    <w:p w14:paraId="57C4AB6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21.1.2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4B7B6B7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48" w:name="_Toc179632769"/>
      <w:bookmarkStart w:id="749" w:name="_Toc144974722"/>
      <w:bookmarkStart w:id="750" w:name="_Toc152042530"/>
      <w:bookmarkStart w:id="751" w:name="_Toc152045751"/>
      <w:r>
        <w:rPr>
          <w:rFonts w:hint="eastAsia" w:ascii="宋体" w:hAnsi="宋体" w:eastAsia="宋体" w:cs="宋体"/>
          <w:color w:val="000000"/>
          <w:sz w:val="21"/>
          <w:szCs w:val="21"/>
          <w:highlight w:val="none"/>
        </w:rPr>
        <w:t>21.2不可抗力的通知</w:t>
      </w:r>
      <w:bookmarkEnd w:id="748"/>
      <w:bookmarkEnd w:id="749"/>
      <w:bookmarkEnd w:id="750"/>
      <w:bookmarkEnd w:id="751"/>
    </w:p>
    <w:p w14:paraId="5AF9DB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21.2.1合同一方当事人遇到不可抗力事件，使其履行合同义务受到阻碍时，应立即通知合同另一方当事人和监理人，书面说明不可抗力和受阻碍的详细情况，并提供必要的证明。</w:t>
      </w:r>
    </w:p>
    <w:p w14:paraId="597AEEB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21.2.2如不可抗力持续发生，合同一方当事人应及时向合同另一方当事人和监理人提交中间报告，说明不可抗力和履行合同受阻的情况，并于不可抗力事件结束后28天内提交最终报告及有关资料。</w:t>
      </w:r>
    </w:p>
    <w:p w14:paraId="7553376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52" w:name="_Toc152042531"/>
      <w:bookmarkStart w:id="753" w:name="_Toc179632770"/>
      <w:bookmarkStart w:id="754" w:name="_Toc144974723"/>
      <w:bookmarkStart w:id="755" w:name="_Toc152045752"/>
      <w:r>
        <w:rPr>
          <w:rFonts w:hint="eastAsia" w:ascii="宋体" w:hAnsi="宋体" w:eastAsia="宋体" w:cs="宋体"/>
          <w:color w:val="000000"/>
          <w:sz w:val="21"/>
          <w:szCs w:val="21"/>
          <w:highlight w:val="none"/>
        </w:rPr>
        <w:t>21.3不可抗力后果及其处理</w:t>
      </w:r>
      <w:bookmarkEnd w:id="752"/>
      <w:bookmarkEnd w:id="753"/>
      <w:bookmarkEnd w:id="754"/>
      <w:bookmarkEnd w:id="755"/>
    </w:p>
    <w:p w14:paraId="6D79E72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21.3.1不可抗力造成损害的责任</w:t>
      </w:r>
    </w:p>
    <w:p w14:paraId="4BCCBCD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除专用合同条款另有约定外，不可抗力导致的人员伤亡、财产损失、费用增加和（或）工期延误等后果，由合同双方按以下原则承担：</w:t>
      </w:r>
    </w:p>
    <w:p w14:paraId="07426E8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（1）永久工程，包括已运至施工场地的材料和工程设备的损害，以及因工程损害造成的第三者人员伤亡和财产损失由发包人承担；</w:t>
      </w:r>
    </w:p>
    <w:p w14:paraId="3A44220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（2）承包人设备的损坏由承包人承担；</w:t>
      </w:r>
    </w:p>
    <w:p w14:paraId="3BAB3B1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（3）发包人和承包人各自承担其人员伤亡和其他财产损失</w:t>
      </w:r>
      <w:r>
        <w:rPr>
          <w:rFonts w:hint="eastAsia" w:ascii="宋体" w:hAnsi="宋体" w:cs="宋体"/>
          <w:color w:val="000000"/>
          <w:sz w:val="21"/>
          <w:szCs w:val="21"/>
          <w:highlight w:val="none"/>
          <w:lang w:eastAsia="zh-CN"/>
        </w:rPr>
        <w:t>及</w:t>
      </w:r>
      <w:r>
        <w:rPr>
          <w:rFonts w:hint="eastAsia" w:ascii="宋体" w:hAnsi="宋体" w:eastAsia="宋体" w:cs="宋体"/>
          <w:color w:val="000000"/>
          <w:sz w:val="21"/>
          <w:szCs w:val="21"/>
          <w:highlight w:val="none"/>
        </w:rPr>
        <w:t>相关费用；</w:t>
      </w:r>
    </w:p>
    <w:p w14:paraId="3B13266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（4）承包人的停工损失由承包人承担，但停工期间应监理人要求照管工程和清理、修复工程的金额由发包人承担；</w:t>
      </w:r>
    </w:p>
    <w:p w14:paraId="6B4CF2E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（5）不能按期竣工的，应合理延长工期，承包人不需支付逾期竣工违约金。发包人要求赶工的，承包人应采取赶工措施，赶工费用由发包人承担。</w:t>
      </w:r>
    </w:p>
    <w:p w14:paraId="278E56E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21.3.2延迟履行期间发生的不可抗力</w:t>
      </w:r>
    </w:p>
    <w:p w14:paraId="1350903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合同一方当事人延迟履行，在延迟履行期间发生不可抗力的，不免除其责任。</w:t>
      </w:r>
    </w:p>
    <w:p w14:paraId="43C569F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21.3.3避免和减少不可抗力损失</w:t>
      </w:r>
    </w:p>
    <w:p w14:paraId="29E807C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不可抗力发生后，发包人和承包人均应采取措施尽量避免和减少损失的扩大，任何一方没有采取有效措施导致损失扩大的，应对扩大的损失承担责任。</w:t>
      </w:r>
    </w:p>
    <w:p w14:paraId="04485E5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21.3.4因不可抗力解除合同</w:t>
      </w:r>
    </w:p>
    <w:p w14:paraId="3BC722F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28B94F93">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756" w:name="_Toc221951083"/>
      <w:bookmarkStart w:id="757" w:name="_Toc222033874"/>
      <w:bookmarkStart w:id="758" w:name="_Toc222031025"/>
      <w:bookmarkStart w:id="759" w:name="_Toc229305383"/>
      <w:bookmarkStart w:id="760" w:name="_Toc222032692"/>
      <w:bookmarkStart w:id="761" w:name="_Toc222029523"/>
      <w:r>
        <w:rPr>
          <w:rFonts w:hint="eastAsia" w:ascii="宋体" w:hAnsi="宋体" w:eastAsia="宋体" w:cs="宋体"/>
          <w:color w:val="000000"/>
          <w:sz w:val="21"/>
          <w:szCs w:val="21"/>
          <w:highlight w:val="none"/>
        </w:rPr>
        <w:t>22.违约</w:t>
      </w:r>
      <w:bookmarkEnd w:id="756"/>
      <w:bookmarkEnd w:id="757"/>
      <w:bookmarkEnd w:id="758"/>
      <w:bookmarkEnd w:id="759"/>
      <w:bookmarkEnd w:id="760"/>
      <w:bookmarkEnd w:id="761"/>
    </w:p>
    <w:p w14:paraId="1451A38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22.1承包人违约的情形</w:t>
      </w:r>
    </w:p>
    <w:p w14:paraId="2F91445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在履行合同过程中发生的下列情况属承包人违约：</w:t>
      </w:r>
    </w:p>
    <w:p w14:paraId="5ED3ABF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1）承包人违反第1.8款或第4.3款的约定，私自将合同的全部或部分权利转让给其他人，或私自将合同的全部或部分义务转移给其他人；</w:t>
      </w:r>
    </w:p>
    <w:p w14:paraId="2657E04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2）承包人违反第5.3款或第6.4款的约定，未经监理人批准，私自将已按合同约定</w:t>
      </w:r>
      <w:r>
        <w:rPr>
          <w:rFonts w:hint="eastAsia" w:ascii="宋体" w:hAnsi="宋体" w:cs="宋体"/>
          <w:color w:val="000000"/>
          <w:sz w:val="21"/>
          <w:szCs w:val="21"/>
          <w:highlight w:val="none"/>
          <w:lang w:eastAsia="zh-CN"/>
        </w:rPr>
        <w:t>进入</w:t>
      </w:r>
      <w:r>
        <w:rPr>
          <w:rFonts w:hint="eastAsia" w:ascii="宋体" w:hAnsi="宋体" w:eastAsia="宋体" w:cs="宋体"/>
          <w:color w:val="000000"/>
          <w:sz w:val="21"/>
          <w:szCs w:val="21"/>
          <w:highlight w:val="none"/>
        </w:rPr>
        <w:t>施工场地的施工设备、临时设施或材料撤离施工场地；</w:t>
      </w:r>
    </w:p>
    <w:p w14:paraId="20636A7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3）承包人违反第5.4款的约定使用了不合格材料或工程设备，工程质量达不到标准要求，又拒绝清除不合格工程；</w:t>
      </w:r>
    </w:p>
    <w:p w14:paraId="101920F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4）承包人未能按合同进度计划及时完成合同约定的工作，已造成或预期造成工期延误；</w:t>
      </w:r>
    </w:p>
    <w:p w14:paraId="011B9AF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5）承包人在缺陷责任期（工程质量保修期）内，未能对合同工程完工验收鉴定书所列的缺陷清单的内容或缺陷责任期（工程质量保修期）内发生的缺陷进行修复，而又拒绝按监理人指示再进行修补；</w:t>
      </w:r>
    </w:p>
    <w:p w14:paraId="68D9ADB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6）承包人无法继续履行或明确表示不履行或实质上已停止履行合同；</w:t>
      </w:r>
    </w:p>
    <w:p w14:paraId="60E8F4C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7）承包人不按合同约定履行义务</w:t>
      </w:r>
      <w:r>
        <w:rPr>
          <w:rFonts w:hint="eastAsia" w:ascii="宋体" w:hAnsi="宋体" w:cs="宋体"/>
          <w:color w:val="000000"/>
          <w:sz w:val="21"/>
          <w:szCs w:val="21"/>
          <w:highlight w:val="none"/>
          <w:lang w:eastAsia="zh-CN"/>
        </w:rPr>
        <w:t>的其他</w:t>
      </w:r>
      <w:r>
        <w:rPr>
          <w:rFonts w:hint="eastAsia" w:ascii="宋体" w:hAnsi="宋体" w:eastAsia="宋体" w:cs="宋体"/>
          <w:color w:val="000000"/>
          <w:sz w:val="21"/>
          <w:szCs w:val="21"/>
          <w:highlight w:val="none"/>
        </w:rPr>
        <w:t>情况。</w:t>
      </w:r>
    </w:p>
    <w:p w14:paraId="2E75438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22.2对承包人违约的处理</w:t>
      </w:r>
    </w:p>
    <w:p w14:paraId="78BD030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（1）承包人发生第22.1.1（6</w:t>
      </w:r>
      <w:r>
        <w:rPr>
          <w:rFonts w:hint="eastAsia" w:ascii="宋体" w:hAnsi="宋体" w:cs="宋体"/>
          <w:color w:val="000000"/>
          <w:sz w:val="21"/>
          <w:szCs w:val="21"/>
          <w:highlight w:val="none"/>
          <w:lang w:eastAsia="zh-CN"/>
        </w:rPr>
        <w:t>）项</w:t>
      </w:r>
      <w:r>
        <w:rPr>
          <w:rFonts w:hint="eastAsia" w:ascii="宋体" w:hAnsi="宋体" w:eastAsia="宋体" w:cs="宋体"/>
          <w:color w:val="000000"/>
          <w:sz w:val="21"/>
          <w:szCs w:val="21"/>
          <w:highlight w:val="none"/>
        </w:rPr>
        <w:t>约定的违约情况时，发包人可通知承包人立即解除合同，并按有关法律处理。</w:t>
      </w:r>
    </w:p>
    <w:p w14:paraId="7A34B67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（2）承包人发生除第22.1.1（6）目约定以外的其他违约情况时，监理人可向承包人发出整改通知，要求其在指定的期限内改正。承包人应承担其违约所引起的费用增加和（或）工期延误。</w:t>
      </w:r>
    </w:p>
    <w:p w14:paraId="0C5EB55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（3）经检查证明承包人已采取了有效措施纠正违约行为，具备复工条件的，可由监理人签发复工通知复工。</w:t>
      </w:r>
    </w:p>
    <w:p w14:paraId="589D5DC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22.3承包人违约解除合同</w:t>
      </w:r>
    </w:p>
    <w:p w14:paraId="76AC618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428159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22.4合同解除后的估价、付款和结清</w:t>
      </w:r>
    </w:p>
    <w:p w14:paraId="72EE41A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（1）合同解除后，监理人按第3.5款商定或确定承包人实际完成工作的价值，以及承包人已提供的材料、施工设备、工程设备和临时工程等的价值。</w:t>
      </w:r>
    </w:p>
    <w:p w14:paraId="3221687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（2）合同解除后，发包人应暂停对承包人的一切付款，查清各项付款和已扣款金额，包括承包人应支付的违约金。</w:t>
      </w:r>
    </w:p>
    <w:p w14:paraId="42C8F3A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（3）合同解除后，发包人应按第23.4款的约定向承包人索赔由于解除合同给发包人造成的损失。</w:t>
      </w:r>
    </w:p>
    <w:p w14:paraId="780FC86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（4）合同双方确认上述往来款项后，出具最终结清付款证书，结清全部合同款项。</w:t>
      </w:r>
    </w:p>
    <w:p w14:paraId="321E6EB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（5）发包人和承包人未能就解除合同后的结清达成一致而形成争议的，按第24条的约定办理。</w:t>
      </w:r>
    </w:p>
    <w:p w14:paraId="0239B81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22.5协议利益的转让</w:t>
      </w:r>
    </w:p>
    <w:p w14:paraId="35AEFB9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因承包人违约解除合同的，发包人有权要求承包人将其为实施合同而签订的材料和设备的订货协议或任何服务协议利益转让给发包人，并在解除合同后的14天内，依法办理转让手续。</w:t>
      </w:r>
    </w:p>
    <w:p w14:paraId="1CC8286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22.6紧急情况下无能力或不愿进行抢救</w:t>
      </w:r>
    </w:p>
    <w:p w14:paraId="1FDAAC7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276CAC51">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762" w:name="_Toc221951088"/>
      <w:bookmarkStart w:id="763" w:name="_Toc222032693"/>
      <w:bookmarkStart w:id="764" w:name="_Toc222031026"/>
      <w:bookmarkStart w:id="765" w:name="_Toc229305384"/>
      <w:bookmarkStart w:id="766" w:name="_Toc222029524"/>
      <w:bookmarkStart w:id="767" w:name="_Toc222033875"/>
      <w:r>
        <w:rPr>
          <w:rFonts w:hint="eastAsia" w:ascii="宋体" w:hAnsi="宋体" w:eastAsia="宋体" w:cs="宋体"/>
          <w:color w:val="000000"/>
          <w:sz w:val="21"/>
          <w:szCs w:val="21"/>
          <w:highlight w:val="none"/>
        </w:rPr>
        <w:t>23.索赔</w:t>
      </w:r>
      <w:bookmarkEnd w:id="762"/>
      <w:bookmarkEnd w:id="763"/>
      <w:bookmarkEnd w:id="764"/>
      <w:bookmarkEnd w:id="765"/>
      <w:bookmarkEnd w:id="766"/>
      <w:bookmarkEnd w:id="767"/>
    </w:p>
    <w:p w14:paraId="7BB61A2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68" w:name="_Toc179632776"/>
      <w:bookmarkStart w:id="769" w:name="_Toc144974728"/>
      <w:bookmarkStart w:id="770" w:name="_Toc152045758"/>
      <w:bookmarkStart w:id="771" w:name="_Toc152042537"/>
      <w:r>
        <w:rPr>
          <w:rFonts w:hint="eastAsia" w:ascii="宋体" w:hAnsi="宋体" w:eastAsia="宋体" w:cs="宋体"/>
          <w:color w:val="000000"/>
          <w:sz w:val="21"/>
          <w:szCs w:val="21"/>
          <w:highlight w:val="none"/>
        </w:rPr>
        <w:t>23.1承包人索赔的提出</w:t>
      </w:r>
      <w:bookmarkEnd w:id="768"/>
      <w:bookmarkEnd w:id="769"/>
      <w:bookmarkEnd w:id="770"/>
      <w:bookmarkEnd w:id="771"/>
    </w:p>
    <w:p w14:paraId="6C2E0D6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根据合同约定，承包人认为有权得到追加付款和（或）延长工期的，应按以下程序向发包人提出索赔：</w:t>
      </w:r>
    </w:p>
    <w:p w14:paraId="3E5E7D2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329BBF2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（2）承包人应在发出索赔意向通知书后28天内，向监理人正式递交索赔通知书。索赔通知书应详细说明索赔理由以及要求追加的付款金额和（或）延长的工期，并附必要的记录和证明材料；</w:t>
      </w:r>
    </w:p>
    <w:p w14:paraId="50EE91A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（3）索赔事件具有连续影响的，承包人应按合理时间间隔继续递交延续索赔通知，说明连续影响的实际情况和记录，列出累计的追加付款金额和（或）工期延长天数；</w:t>
      </w:r>
    </w:p>
    <w:p w14:paraId="6DABA00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（4）在索赔事件影响结束后的28天内，承包人应向监理人递交最终索赔通知书，说明最终要求索赔的追加付款金额和延长的工期，并附必要的记录和证明材料。</w:t>
      </w:r>
    </w:p>
    <w:p w14:paraId="1067803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72" w:name="_Toc152042538"/>
      <w:bookmarkStart w:id="773" w:name="_Toc144974729"/>
      <w:bookmarkStart w:id="774" w:name="_Toc179632777"/>
      <w:bookmarkStart w:id="775" w:name="_Toc152045759"/>
      <w:r>
        <w:rPr>
          <w:rFonts w:hint="eastAsia" w:ascii="宋体" w:hAnsi="宋体" w:eastAsia="宋体" w:cs="宋体"/>
          <w:color w:val="000000"/>
          <w:sz w:val="21"/>
          <w:szCs w:val="21"/>
          <w:highlight w:val="none"/>
        </w:rPr>
        <w:t>23.2承包人索赔处理程序</w:t>
      </w:r>
      <w:bookmarkEnd w:id="772"/>
      <w:bookmarkEnd w:id="773"/>
      <w:bookmarkEnd w:id="774"/>
      <w:bookmarkEnd w:id="775"/>
    </w:p>
    <w:p w14:paraId="406F1B7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（1）监理人收到承包人提交的索赔通知书后，应及时审查索赔通知书的内容、查验承包人的记录和证明材料，必要时监理人可要求承包人提交全部原始记录副本。</w:t>
      </w:r>
    </w:p>
    <w:p w14:paraId="77E7B30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（2）监理人应按第3.5款商定或确定追加的付款和（或）延长的工期，并在收到上述索赔通知书或有关索赔的进一步证明材料后的42天内，将索赔处理结果答复承包人。</w:t>
      </w:r>
    </w:p>
    <w:p w14:paraId="0422F9B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（3）承包人接受索赔处理结果的，发包人应在作出索赔处理结果答复后28天内完成赔付。承包人不接受索赔处理结果的，按第24条的约定办理。</w:t>
      </w:r>
    </w:p>
    <w:p w14:paraId="5A81BD7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76" w:name="_Toc221951097"/>
      <w:r>
        <w:rPr>
          <w:rFonts w:hint="eastAsia" w:ascii="宋体" w:hAnsi="宋体" w:eastAsia="宋体" w:cs="宋体"/>
          <w:color w:val="000000"/>
          <w:sz w:val="21"/>
          <w:szCs w:val="21"/>
          <w:highlight w:val="none"/>
        </w:rPr>
        <w:t>23.3承包人提出索赔的期限</w:t>
      </w:r>
    </w:p>
    <w:p w14:paraId="15DDB93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23.3.1承包人按第17.5款的约定接受了完工付款证书后，应被认为已无权再提出在合同工程完工证书颁发前所发生的任何索赔。</w:t>
      </w:r>
    </w:p>
    <w:p w14:paraId="11756B7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23.3.2承包人按第17.6款的约定提交的最终结清申请单中，只限于提出合同工程完工证书颁发后发生的索赔。提出索赔的期限自接受最终结清证书时终止。</w:t>
      </w:r>
    </w:p>
    <w:p w14:paraId="09A3EAD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23.4发包人的索赔</w:t>
      </w:r>
    </w:p>
    <w:p w14:paraId="5DA9C37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23.4.1承包人对监理人按第23.4.1项发出的索赔书面通知内容持异议时，应在收到书面通知后的14天内，将持有异议的书面报告及其证明材料提交监理人。监理人应在收到承包人书面报告后的14天内，将索赔处理意见通知承包人，并按第23.4.2项的约定执行赔付。若承包人不接受监理人的索赔处理意见，可按本合同第24条的规定办理。</w:t>
      </w:r>
      <w:bookmarkEnd w:id="776"/>
    </w:p>
    <w:p w14:paraId="5127F5B5">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777" w:name="_Toc222033876"/>
      <w:bookmarkStart w:id="778" w:name="_Toc222031027"/>
      <w:bookmarkStart w:id="779" w:name="_Toc221951098"/>
      <w:bookmarkStart w:id="780" w:name="_Toc222032694"/>
      <w:bookmarkStart w:id="781" w:name="_Toc229305385"/>
      <w:bookmarkStart w:id="782" w:name="_Toc222029525"/>
      <w:r>
        <w:rPr>
          <w:rFonts w:hint="eastAsia" w:ascii="宋体" w:hAnsi="宋体" w:eastAsia="宋体" w:cs="宋体"/>
          <w:color w:val="000000"/>
          <w:sz w:val="21"/>
          <w:szCs w:val="21"/>
          <w:highlight w:val="none"/>
        </w:rPr>
        <w:t>24.争议的解决</w:t>
      </w:r>
      <w:bookmarkEnd w:id="777"/>
      <w:bookmarkEnd w:id="778"/>
      <w:bookmarkEnd w:id="779"/>
      <w:bookmarkEnd w:id="780"/>
      <w:bookmarkEnd w:id="781"/>
      <w:bookmarkEnd w:id="782"/>
      <w:bookmarkStart w:id="783" w:name="_Toc221951107"/>
    </w:p>
    <w:bookmarkEnd w:id="783"/>
    <w:p w14:paraId="4B72011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24.4仲裁</w:t>
      </w:r>
    </w:p>
    <w:p w14:paraId="14C4A26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24.4.1若合同双方商定直接向仲裁机构申请仲裁，应签订仲裁协议并约定仲裁机构。</w:t>
      </w:r>
    </w:p>
    <w:p w14:paraId="17E39D6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24.4.2若合同双方未能达成仲裁协议，则本合同的仲裁条款无效，任一方均有权向人民法院提起诉讼。</w:t>
      </w:r>
    </w:p>
    <w:p w14:paraId="2B9DD6B4">
      <w:pPr>
        <w:pStyle w:val="11"/>
        <w:spacing w:line="360" w:lineRule="auto"/>
        <w:rPr>
          <w:rFonts w:ascii="宋体" w:hAnsi="宋体"/>
          <w:color w:val="000000"/>
          <w:highlight w:val="none"/>
        </w:rPr>
      </w:pPr>
    </w:p>
    <w:p w14:paraId="1A5653B6">
      <w:pPr>
        <w:pStyle w:val="11"/>
        <w:spacing w:line="360" w:lineRule="auto"/>
        <w:rPr>
          <w:rFonts w:ascii="宋体" w:hAnsi="宋体"/>
          <w:color w:val="000000"/>
          <w:highlight w:val="none"/>
        </w:rPr>
      </w:pPr>
    </w:p>
    <w:p w14:paraId="590373F5">
      <w:pPr>
        <w:pStyle w:val="10"/>
        <w:spacing w:line="360" w:lineRule="auto"/>
        <w:ind w:right="-41"/>
        <w:jc w:val="center"/>
        <w:outlineLvl w:val="9"/>
        <w:rPr>
          <w:rFonts w:hint="eastAsia" w:ascii="宋体" w:hAnsi="宋体" w:eastAsia="宋体"/>
          <w:b w:val="0"/>
          <w:color w:val="000000"/>
          <w:sz w:val="30"/>
          <w:szCs w:val="30"/>
          <w:highlight w:val="none"/>
        </w:rPr>
        <w:sectPr>
          <w:pgSz w:w="11906" w:h="16838"/>
          <w:pgMar w:top="1418" w:right="1418" w:bottom="1418" w:left="1418" w:header="851" w:footer="992" w:gutter="0"/>
          <w:pgNumType w:fmt="decimal"/>
          <w:cols w:space="720" w:num="1"/>
          <w:docGrid w:type="linesAndChars" w:linePitch="312" w:charSpace="0"/>
        </w:sectPr>
      </w:pPr>
      <w:bookmarkStart w:id="784" w:name="_Toc477437656"/>
    </w:p>
    <w:bookmarkEnd w:id="263"/>
    <w:bookmarkEnd w:id="264"/>
    <w:bookmarkEnd w:id="265"/>
    <w:bookmarkEnd w:id="266"/>
    <w:bookmarkEnd w:id="267"/>
    <w:bookmarkEnd w:id="268"/>
    <w:bookmarkEnd w:id="269"/>
    <w:bookmarkEnd w:id="277"/>
    <w:bookmarkEnd w:id="278"/>
    <w:bookmarkEnd w:id="279"/>
    <w:bookmarkEnd w:id="280"/>
    <w:bookmarkEnd w:id="281"/>
    <w:bookmarkEnd w:id="282"/>
    <w:bookmarkEnd w:id="283"/>
    <w:bookmarkEnd w:id="284"/>
    <w:bookmarkEnd w:id="784"/>
    <w:p w14:paraId="6F44C01C">
      <w:pPr>
        <w:pStyle w:val="10"/>
        <w:spacing w:line="360" w:lineRule="auto"/>
        <w:ind w:right="-41"/>
        <w:jc w:val="center"/>
        <w:rPr>
          <w:rFonts w:hint="eastAsia" w:ascii="微软雅黑 Light" w:hAnsi="微软雅黑 Light" w:eastAsia="微软雅黑 Light" w:cs="微软雅黑 Light"/>
          <w:b/>
          <w:bCs w:val="0"/>
          <w:color w:val="000000"/>
          <w:sz w:val="28"/>
          <w:szCs w:val="28"/>
          <w:highlight w:val="none"/>
        </w:rPr>
      </w:pPr>
      <w:bookmarkStart w:id="785" w:name="_Toc13158"/>
      <w:bookmarkStart w:id="786" w:name="_Toc18586"/>
      <w:bookmarkStart w:id="787" w:name="_Toc9232"/>
      <w:bookmarkStart w:id="788" w:name="_Toc188"/>
      <w:bookmarkStart w:id="789" w:name="_Toc477437657"/>
      <w:bookmarkStart w:id="790" w:name="_Toc168476286"/>
      <w:bookmarkStart w:id="791" w:name="_Toc168475883"/>
      <w:bookmarkStart w:id="792" w:name="_Toc229305402"/>
      <w:bookmarkStart w:id="793" w:name="_Toc144974826"/>
      <w:bookmarkStart w:id="794" w:name="_Toc168475890"/>
      <w:bookmarkStart w:id="795" w:name="_Toc168476293"/>
      <w:bookmarkStart w:id="796" w:name="_Toc144974834"/>
      <w:r>
        <w:rPr>
          <w:rFonts w:hint="eastAsia" w:ascii="微软雅黑 Light" w:hAnsi="微软雅黑 Light" w:eastAsia="微软雅黑 Light" w:cs="微软雅黑 Light"/>
          <w:b/>
          <w:bCs w:val="0"/>
          <w:color w:val="000000"/>
          <w:sz w:val="28"/>
          <w:szCs w:val="28"/>
          <w:highlight w:val="none"/>
        </w:rPr>
        <w:t>第二节</w:t>
      </w:r>
      <w:r>
        <w:rPr>
          <w:rFonts w:hint="eastAsia" w:ascii="微软雅黑 Light" w:hAnsi="微软雅黑 Light" w:eastAsia="微软雅黑 Light" w:cs="微软雅黑 Light"/>
          <w:b/>
          <w:bCs w:val="0"/>
          <w:color w:val="000000"/>
          <w:sz w:val="28"/>
          <w:szCs w:val="28"/>
          <w:highlight w:val="none"/>
          <w:lang w:val="en-US" w:eastAsia="zh-CN"/>
        </w:rPr>
        <w:t xml:space="preserve">  </w:t>
      </w:r>
      <w:r>
        <w:rPr>
          <w:rFonts w:hint="eastAsia" w:ascii="微软雅黑 Light" w:hAnsi="微软雅黑 Light" w:eastAsia="微软雅黑 Light" w:cs="微软雅黑 Light"/>
          <w:b/>
          <w:bCs w:val="0"/>
          <w:color w:val="000000"/>
          <w:sz w:val="28"/>
          <w:szCs w:val="28"/>
          <w:highlight w:val="none"/>
        </w:rPr>
        <w:t>专用合同条款</w:t>
      </w:r>
      <w:bookmarkEnd w:id="785"/>
      <w:bookmarkEnd w:id="786"/>
      <w:bookmarkEnd w:id="787"/>
      <w:bookmarkEnd w:id="788"/>
    </w:p>
    <w:p w14:paraId="7644B8E7">
      <w:pPr>
        <w:pageBreakBefore w:val="0"/>
        <w:widowControl w:val="0"/>
        <w:kinsoku/>
        <w:wordWrap/>
        <w:overflowPunct/>
        <w:topLinePunct w:val="0"/>
        <w:autoSpaceDE/>
        <w:autoSpaceDN/>
        <w:bidi w:val="0"/>
        <w:adjustRightInd/>
        <w:snapToGrid/>
        <w:spacing w:after="0" w:line="480" w:lineRule="exact"/>
        <w:ind w:right="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前言</w:t>
      </w:r>
    </w:p>
    <w:p w14:paraId="104D43D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专用合同条款中的各条款是补充和修改通用条款中条款号相同的条款或当需要时增加新的条款，两者应对照阅读，一旦出现矛盾或不一致，则以专用合同条款为准，通用合同条款中未补充和修改的部分仍有效。专用条款中未明确的部分在签订合同协议书时由发包人和承包人协商确定。</w:t>
      </w:r>
    </w:p>
    <w:p w14:paraId="7C705AD7">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797" w:name="_Toc229305387"/>
      <w:bookmarkStart w:id="798" w:name="_Toc222031029"/>
      <w:bookmarkStart w:id="799" w:name="_Toc222032696"/>
      <w:bookmarkStart w:id="800" w:name="_Toc222029527"/>
      <w:bookmarkStart w:id="801" w:name="_Toc222033878"/>
      <w:bookmarkStart w:id="802" w:name="_Toc221951111"/>
      <w:bookmarkStart w:id="803" w:name="_Toc274933686"/>
      <w:r>
        <w:rPr>
          <w:rFonts w:hint="eastAsia" w:ascii="宋体" w:hAnsi="宋体" w:eastAsia="宋体" w:cs="宋体"/>
          <w:b/>
          <w:bCs/>
          <w:snapToGrid/>
          <w:color w:val="000000"/>
          <w:kern w:val="2"/>
          <w:sz w:val="21"/>
          <w:szCs w:val="21"/>
          <w:highlight w:val="none"/>
          <w:lang w:val="en-US" w:eastAsia="zh-CN" w:bidi="ar-SA"/>
        </w:rPr>
        <w:t>1．一般约定</w:t>
      </w:r>
      <w:bookmarkEnd w:id="797"/>
      <w:bookmarkEnd w:id="798"/>
      <w:bookmarkEnd w:id="799"/>
      <w:bookmarkEnd w:id="800"/>
      <w:bookmarkEnd w:id="801"/>
      <w:bookmarkEnd w:id="802"/>
      <w:bookmarkEnd w:id="803"/>
    </w:p>
    <w:p w14:paraId="7E481D36">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04" w:name="_Toc221951112"/>
      <w:r>
        <w:rPr>
          <w:rFonts w:hint="eastAsia" w:ascii="宋体" w:hAnsi="宋体" w:eastAsia="宋体" w:cs="宋体"/>
          <w:b/>
          <w:snapToGrid/>
          <w:color w:val="000000"/>
          <w:kern w:val="2"/>
          <w:sz w:val="21"/>
          <w:szCs w:val="21"/>
          <w:highlight w:val="none"/>
          <w:lang w:val="en-US" w:eastAsia="zh-CN" w:bidi="ar-SA"/>
        </w:rPr>
        <w:t>1.1词语定义</w:t>
      </w:r>
      <w:bookmarkEnd w:id="804"/>
    </w:p>
    <w:p w14:paraId="63794F6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05" w:name="_Toc221951113"/>
      <w:r>
        <w:rPr>
          <w:rFonts w:hint="eastAsia" w:ascii="宋体" w:hAnsi="宋体" w:eastAsia="宋体" w:cs="宋体"/>
          <w:snapToGrid/>
          <w:color w:val="000000"/>
          <w:kern w:val="2"/>
          <w:sz w:val="21"/>
          <w:szCs w:val="21"/>
          <w:highlight w:val="none"/>
          <w:lang w:val="en-US" w:eastAsia="zh-CN" w:bidi="ar-SA"/>
        </w:rPr>
        <w:t>1.1.2合同当事人和人员</w:t>
      </w:r>
      <w:bookmarkEnd w:id="805"/>
    </w:p>
    <w:p w14:paraId="2E5311F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06" w:name="_Toc221951114"/>
      <w:r>
        <w:rPr>
          <w:rFonts w:hint="eastAsia" w:ascii="宋体" w:hAnsi="宋体" w:eastAsia="宋体" w:cs="宋体"/>
          <w:snapToGrid/>
          <w:color w:val="000000"/>
          <w:kern w:val="2"/>
          <w:sz w:val="21"/>
          <w:szCs w:val="21"/>
          <w:highlight w:val="none"/>
          <w:lang w:val="en-US" w:eastAsia="zh-CN" w:bidi="ar-SA"/>
        </w:rPr>
        <w:t>1.1.2.2发包人：</w:t>
      </w:r>
      <w:r>
        <w:rPr>
          <w:rFonts w:hint="eastAsia" w:ascii="宋体" w:hAnsi="宋体" w:eastAsia="宋体" w:cs="宋体"/>
          <w:snapToGrid/>
          <w:color w:val="000000"/>
          <w:kern w:val="2"/>
          <w:sz w:val="21"/>
          <w:szCs w:val="21"/>
          <w:highlight w:val="none"/>
          <w:u w:val="single"/>
          <w:lang w:val="en-US" w:eastAsia="zh-CN" w:bidi="ar-SA"/>
        </w:rPr>
        <w:t>耿马傣族佤族自治县水务局。</w:t>
      </w:r>
      <w:bookmarkEnd w:id="806"/>
    </w:p>
    <w:p w14:paraId="1CDA003C">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07" w:name="_Toc221951115"/>
      <w:r>
        <w:rPr>
          <w:rFonts w:hint="eastAsia" w:ascii="宋体" w:hAnsi="宋体" w:eastAsia="宋体" w:cs="宋体"/>
          <w:snapToGrid/>
          <w:color w:val="000000"/>
          <w:kern w:val="2"/>
          <w:sz w:val="21"/>
          <w:szCs w:val="21"/>
          <w:highlight w:val="none"/>
          <w:lang w:val="en-US" w:eastAsia="zh-CN" w:bidi="ar-SA"/>
        </w:rPr>
        <w:t>1.1.2.3承包人：</w:t>
      </w:r>
      <w:r>
        <w:rPr>
          <w:rFonts w:hint="eastAsia" w:ascii="宋体" w:hAnsi="宋体" w:eastAsia="宋体" w:cs="宋体"/>
          <w:snapToGrid/>
          <w:color w:val="000000"/>
          <w:kern w:val="2"/>
          <w:sz w:val="21"/>
          <w:szCs w:val="21"/>
          <w:highlight w:val="none"/>
          <w:u w:val="single"/>
          <w:lang w:val="en-US" w:eastAsia="zh-CN" w:bidi="ar-SA"/>
        </w:rPr>
        <w:t>（签约后填入承包人的名称）</w:t>
      </w:r>
      <w:r>
        <w:rPr>
          <w:rFonts w:hint="eastAsia" w:ascii="宋体" w:hAnsi="宋体" w:eastAsia="宋体" w:cs="宋体"/>
          <w:snapToGrid/>
          <w:color w:val="000000"/>
          <w:kern w:val="2"/>
          <w:sz w:val="21"/>
          <w:szCs w:val="21"/>
          <w:highlight w:val="none"/>
          <w:lang w:val="en-US" w:eastAsia="zh-CN" w:bidi="ar-SA"/>
        </w:rPr>
        <w:t>。</w:t>
      </w:r>
      <w:bookmarkEnd w:id="807"/>
    </w:p>
    <w:p w14:paraId="4327B1E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08" w:name="_Toc221951125"/>
      <w:r>
        <w:rPr>
          <w:rFonts w:hint="eastAsia" w:ascii="宋体" w:hAnsi="宋体" w:eastAsia="宋体" w:cs="宋体"/>
          <w:snapToGrid/>
          <w:color w:val="000000"/>
          <w:kern w:val="2"/>
          <w:sz w:val="21"/>
          <w:szCs w:val="21"/>
          <w:highlight w:val="none"/>
          <w:lang w:val="en-US" w:eastAsia="zh-CN" w:bidi="ar-SA"/>
        </w:rPr>
        <w:t>1.1.2.4项目经理：</w:t>
      </w:r>
    </w:p>
    <w:p w14:paraId="18C19CF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1.1.4日期</w:t>
      </w:r>
      <w:bookmarkEnd w:id="808"/>
    </w:p>
    <w:p w14:paraId="1202BD2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09" w:name="_Toc221951126"/>
      <w:r>
        <w:rPr>
          <w:rFonts w:hint="eastAsia" w:ascii="宋体" w:hAnsi="宋体" w:eastAsia="宋体" w:cs="宋体"/>
          <w:snapToGrid/>
          <w:color w:val="000000"/>
          <w:kern w:val="2"/>
          <w:sz w:val="21"/>
          <w:szCs w:val="21"/>
          <w:highlight w:val="none"/>
          <w:lang w:val="en-US" w:eastAsia="zh-CN" w:bidi="ar-SA"/>
        </w:rPr>
        <w:t>1.1.4.3工期：</w:t>
      </w:r>
      <w:r>
        <w:rPr>
          <w:rFonts w:hint="eastAsia" w:ascii="宋体" w:hAnsi="宋体" w:eastAsia="宋体" w:cs="宋体"/>
          <w:snapToGrid/>
          <w:color w:val="000000"/>
          <w:kern w:val="2"/>
          <w:sz w:val="21"/>
          <w:szCs w:val="21"/>
          <w:highlight w:val="none"/>
          <w:u w:val="single"/>
          <w:lang w:val="en-US" w:eastAsia="zh-CN" w:bidi="ar-SA"/>
        </w:rPr>
        <w:t>90日历天</w:t>
      </w:r>
    </w:p>
    <w:p w14:paraId="4A0E0F4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1.1.4.5缺陷责任期（工程质量保修期）：</w:t>
      </w:r>
      <w:r>
        <w:rPr>
          <w:rFonts w:hint="eastAsia" w:ascii="宋体" w:hAnsi="宋体" w:eastAsia="宋体" w:cs="宋体"/>
          <w:snapToGrid/>
          <w:color w:val="000000"/>
          <w:kern w:val="2"/>
          <w:sz w:val="21"/>
          <w:szCs w:val="21"/>
          <w:highlight w:val="none"/>
          <w:u w:val="single"/>
          <w:lang w:val="en-US" w:eastAsia="zh-CN" w:bidi="ar-SA"/>
        </w:rPr>
        <w:t>一年</w:t>
      </w:r>
      <w:r>
        <w:rPr>
          <w:rFonts w:hint="eastAsia" w:ascii="宋体" w:hAnsi="宋体" w:eastAsia="宋体" w:cs="宋体"/>
          <w:snapToGrid/>
          <w:color w:val="000000"/>
          <w:kern w:val="2"/>
          <w:sz w:val="21"/>
          <w:szCs w:val="21"/>
          <w:highlight w:val="none"/>
          <w:lang w:val="en-US" w:eastAsia="zh-CN" w:bidi="ar-SA"/>
        </w:rPr>
        <w:t>。</w:t>
      </w:r>
      <w:bookmarkEnd w:id="809"/>
    </w:p>
    <w:p w14:paraId="3F61BCE8">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10" w:name="_Toc221951127"/>
      <w:r>
        <w:rPr>
          <w:rFonts w:hint="eastAsia" w:ascii="宋体" w:hAnsi="宋体" w:eastAsia="宋体" w:cs="宋体"/>
          <w:b/>
          <w:snapToGrid/>
          <w:color w:val="000000"/>
          <w:kern w:val="2"/>
          <w:sz w:val="21"/>
          <w:szCs w:val="21"/>
          <w:highlight w:val="none"/>
          <w:lang w:val="en-US" w:eastAsia="zh-CN" w:bidi="ar-SA"/>
        </w:rPr>
        <w:t>1.4合同文件的优先顺序</w:t>
      </w:r>
      <w:bookmarkEnd w:id="810"/>
      <w:bookmarkStart w:id="811" w:name="_Toc221951129"/>
    </w:p>
    <w:p w14:paraId="4AE5621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进入合同文件的各项文件及其优先顺序是：</w:t>
      </w:r>
    </w:p>
    <w:p w14:paraId="315CB326">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合同协议书（包括会议纪要、补充协议）；</w:t>
      </w:r>
    </w:p>
    <w:p w14:paraId="79952A1D">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成交通知书；</w:t>
      </w:r>
    </w:p>
    <w:p w14:paraId="48E688A0">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专用合同条款；</w:t>
      </w:r>
    </w:p>
    <w:p w14:paraId="786E25A0">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通用合同条款；</w:t>
      </w:r>
    </w:p>
    <w:p w14:paraId="3B810E2D">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技术标准和要求；</w:t>
      </w:r>
    </w:p>
    <w:p w14:paraId="47D1AA0C">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图纸；</w:t>
      </w:r>
    </w:p>
    <w:p w14:paraId="04C61BB0">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报价文件；</w:t>
      </w:r>
    </w:p>
    <w:p w14:paraId="1F140AC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经双方确认进入合同的其他文件（如竞争性磋商文件、发包人有关工程的洽商、变更等书面协议，以及工程保修协议书、安全生产协议书等）。</w:t>
      </w:r>
    </w:p>
    <w:p w14:paraId="60A491C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1.5合同协议书</w:t>
      </w:r>
    </w:p>
    <w:p w14:paraId="03725352">
      <w:pPr>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snapToGrid/>
          <w:kern w:val="0"/>
          <w:sz w:val="21"/>
          <w:szCs w:val="21"/>
          <w:highlight w:val="none"/>
          <w:lang w:val="en-US" w:eastAsia="zh-CN" w:bidi="ar-SA"/>
        </w:rPr>
      </w:pPr>
      <w:r>
        <w:rPr>
          <w:rFonts w:hint="eastAsia" w:ascii="宋体" w:hAnsi="宋体" w:eastAsia="宋体" w:cs="宋体"/>
          <w:snapToGrid/>
          <w:kern w:val="0"/>
          <w:sz w:val="21"/>
          <w:szCs w:val="21"/>
          <w:highlight w:val="none"/>
          <w:lang w:val="en-US" w:eastAsia="zh-CN" w:bidi="ar-SA"/>
        </w:rPr>
        <w:t>承包人按中标通知书规定的时间与发包人签订合同协议书。除法律另有规定或合同另有约定外，发包人和承包人的法定代表人或其委托代理人在合同协议书上签字并盖单位章后，合同生效。</w:t>
      </w:r>
      <w:bookmarkStart w:id="812" w:name="_Toc27022"/>
    </w:p>
    <w:p w14:paraId="5C61E44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1.6图纸和承包人文件</w:t>
      </w:r>
      <w:bookmarkEnd w:id="812"/>
    </w:p>
    <w:p w14:paraId="108D1C8E">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1.6.1 图纸的提供</w:t>
      </w:r>
    </w:p>
    <w:p w14:paraId="72247DD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发包人应按技术标准和要求（合同技术条款）约定的期限和数量将施工图纸以及其他图纸（包括配套说明和有关资料）提供给承包人。由于发包人未按时提供图纸造成工期延误的，按第11.3款的约定办理。</w:t>
      </w:r>
    </w:p>
    <w:p w14:paraId="5E2E5BFE">
      <w:pPr>
        <w:pageBreakBefore w:val="0"/>
        <w:widowControl w:val="0"/>
        <w:kinsoku/>
        <w:wordWrap/>
        <w:overflowPunct/>
        <w:topLinePunct w:val="0"/>
        <w:autoSpaceDE w:val="0"/>
        <w:autoSpaceDN w:val="0"/>
        <w:bidi w:val="0"/>
        <w:adjustRightInd w:val="0"/>
        <w:snapToGrid/>
        <w:spacing w:after="0" w:line="480" w:lineRule="exact"/>
        <w:ind w:right="0" w:firstLine="422" w:firstLineChars="200"/>
        <w:jc w:val="left"/>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1.6.2 承包人提供的文件</w:t>
      </w:r>
    </w:p>
    <w:p w14:paraId="5841F344">
      <w:pPr>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承包人提供的文件，包括部分工程的大样图、加工图等，承包人应在开工前10日内报送3份给监理人。监理人应在5个工作日内批复。</w:t>
      </w:r>
    </w:p>
    <w:p w14:paraId="01E703A0">
      <w:pPr>
        <w:pageBreakBefore w:val="0"/>
        <w:widowControl w:val="0"/>
        <w:kinsoku/>
        <w:wordWrap/>
        <w:overflowPunct/>
        <w:topLinePunct w:val="0"/>
        <w:autoSpaceDE w:val="0"/>
        <w:autoSpaceDN w:val="0"/>
        <w:bidi w:val="0"/>
        <w:adjustRightInd w:val="0"/>
        <w:snapToGrid/>
        <w:spacing w:after="0" w:line="480" w:lineRule="exact"/>
        <w:ind w:right="0" w:firstLine="422" w:firstLineChars="200"/>
        <w:jc w:val="left"/>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1.6.3 图纸的修改</w:t>
      </w:r>
    </w:p>
    <w:p w14:paraId="7A0ED92A">
      <w:pPr>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图纸需要修改和补充的，应由监理人取得发包人同意后，在该工程或工程相应部位施工前3个工作日内签发图纸修改图给承包人。</w:t>
      </w:r>
    </w:p>
    <w:p w14:paraId="7739BBC1">
      <w:pPr>
        <w:pageBreakBefore w:val="0"/>
        <w:widowControl w:val="0"/>
        <w:kinsoku/>
        <w:wordWrap/>
        <w:overflowPunct/>
        <w:topLinePunct w:val="0"/>
        <w:autoSpaceDE w:val="0"/>
        <w:autoSpaceDN w:val="0"/>
        <w:bidi w:val="0"/>
        <w:adjustRightInd w:val="0"/>
        <w:snapToGrid/>
        <w:spacing w:after="0" w:line="480" w:lineRule="exact"/>
        <w:ind w:right="0" w:firstLine="422" w:firstLineChars="200"/>
        <w:jc w:val="left"/>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1.6.4 图纸的错误</w:t>
      </w:r>
    </w:p>
    <w:p w14:paraId="67893957">
      <w:pPr>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承包人发现发包人提供的图纸存在明显错误或疏忽，应及时通知监理人，否则所造成的损失全部由承包人承担。</w:t>
      </w:r>
    </w:p>
    <w:p w14:paraId="02271DBF">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1.6.5 图纸和承包人文件的保管</w:t>
      </w:r>
    </w:p>
    <w:p w14:paraId="34A84669">
      <w:pPr>
        <w:pageBreakBefore w:val="0"/>
        <w:widowControl w:val="0"/>
        <w:numPr>
          <w:ilvl w:val="0"/>
          <w:numId w:val="0"/>
        </w:numPr>
        <w:kinsoku/>
        <w:wordWrap/>
        <w:overflowPunct/>
        <w:topLinePunct w:val="0"/>
        <w:autoSpaceDE/>
        <w:autoSpaceDN/>
        <w:bidi w:val="0"/>
        <w:adjustRightInd/>
        <w:snapToGrid/>
        <w:spacing w:after="0" w:line="480" w:lineRule="exact"/>
        <w:ind w:leftChars="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lang w:val="en-US" w:eastAsia="zh-CN" w:bidi="ar-SA"/>
        </w:rPr>
        <w:t>监理人和承包人均应在施工场地各保存一套完整的包含第1.6.1项、第1.6.2项、第1.6.3项约定内容的图纸和承包人文件。</w:t>
      </w:r>
    </w:p>
    <w:p w14:paraId="0C7E9541">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1.7联络</w:t>
      </w:r>
      <w:bookmarkEnd w:id="811"/>
    </w:p>
    <w:p w14:paraId="7D18E3B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13" w:name="_Toc221951130"/>
      <w:r>
        <w:rPr>
          <w:rFonts w:hint="eastAsia" w:ascii="宋体" w:hAnsi="宋体" w:eastAsia="宋体" w:cs="宋体"/>
          <w:snapToGrid/>
          <w:color w:val="000000"/>
          <w:kern w:val="2"/>
          <w:sz w:val="21"/>
          <w:szCs w:val="21"/>
          <w:highlight w:val="none"/>
          <w:lang w:val="en-US" w:eastAsia="zh-CN" w:bidi="ar-SA"/>
        </w:rPr>
        <w:t>1.7.2来往函件均应按技术标准和要求（合同技术条款）约定的期限送达</w:t>
      </w:r>
      <w:bookmarkEnd w:id="813"/>
      <w:bookmarkStart w:id="814" w:name="_Toc274933687"/>
      <w:bookmarkStart w:id="815" w:name="_Toc229305388"/>
      <w:bookmarkStart w:id="816" w:name="_Toc221951131"/>
      <w:bookmarkStart w:id="817" w:name="_Toc222029528"/>
      <w:bookmarkStart w:id="818" w:name="_Toc222032697"/>
      <w:bookmarkStart w:id="819" w:name="_Toc222031030"/>
      <w:bookmarkStart w:id="820" w:name="_Toc222033879"/>
      <w:r>
        <w:rPr>
          <w:rFonts w:hint="eastAsia" w:ascii="宋体" w:hAnsi="宋体" w:eastAsia="宋体" w:cs="宋体"/>
          <w:snapToGrid/>
          <w:color w:val="000000"/>
          <w:kern w:val="2"/>
          <w:sz w:val="21"/>
          <w:szCs w:val="21"/>
          <w:highlight w:val="none"/>
          <w:u w:val="single"/>
          <w:lang w:val="en-US" w:eastAsia="zh-CN" w:bidi="ar-SA"/>
        </w:rPr>
        <w:t>耿马傣族佤族自治县水务局</w:t>
      </w:r>
      <w:r>
        <w:rPr>
          <w:rFonts w:hint="eastAsia" w:ascii="宋体" w:hAnsi="宋体" w:eastAsia="宋体" w:cs="宋体"/>
          <w:snapToGrid/>
          <w:color w:val="000000"/>
          <w:kern w:val="2"/>
          <w:sz w:val="21"/>
          <w:szCs w:val="21"/>
          <w:highlight w:val="none"/>
          <w:lang w:val="en-US" w:eastAsia="zh-CN" w:bidi="ar-SA"/>
        </w:rPr>
        <w:t>。</w:t>
      </w:r>
    </w:p>
    <w:p w14:paraId="570F4D11">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2. 发包人义务</w:t>
      </w:r>
      <w:bookmarkEnd w:id="814"/>
      <w:bookmarkEnd w:id="815"/>
      <w:bookmarkEnd w:id="816"/>
      <w:bookmarkEnd w:id="817"/>
      <w:bookmarkEnd w:id="818"/>
      <w:bookmarkEnd w:id="819"/>
      <w:bookmarkEnd w:id="820"/>
    </w:p>
    <w:p w14:paraId="540064E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21" w:name="_Toc221951132"/>
      <w:r>
        <w:rPr>
          <w:rFonts w:hint="eastAsia" w:ascii="宋体" w:hAnsi="宋体" w:eastAsia="宋体" w:cs="宋体"/>
          <w:b/>
          <w:snapToGrid/>
          <w:color w:val="000000"/>
          <w:kern w:val="2"/>
          <w:sz w:val="21"/>
          <w:szCs w:val="21"/>
          <w:highlight w:val="none"/>
          <w:lang w:val="en-US" w:eastAsia="zh-CN" w:bidi="ar-SA"/>
        </w:rPr>
        <w:t>2.3 提供施工场地</w:t>
      </w:r>
      <w:bookmarkEnd w:id="821"/>
    </w:p>
    <w:p w14:paraId="118D8D7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2.3.2发包人提供的施工场地范围为：在本招标文件图纸中明确的征地范围，或发包人实际征地范围内的施工场地。</w:t>
      </w:r>
    </w:p>
    <w:p w14:paraId="119547CD">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删除通用合同条款2.3.3项内容全文，代之以：</w:t>
      </w:r>
    </w:p>
    <w:p w14:paraId="17BB36D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2.3.3发包人按技术标准和要求（合同技术条款）约定的期限向承包人提供施工场地内的工程地质图纸和报告属于参考资料，不构成合同文件的组成部分。承包人应结合发包人提供的资料现场自行踏勘、调查、了解并对自身就上述资料的分析、推论和应用负责，发包人不对承包人据此作出的判断和决策承担任何责任。</w:t>
      </w:r>
    </w:p>
    <w:p w14:paraId="784B42C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22" w:name="_Toc221951134"/>
      <w:r>
        <w:rPr>
          <w:rFonts w:hint="eastAsia" w:ascii="宋体" w:hAnsi="宋体" w:eastAsia="宋体" w:cs="宋体"/>
          <w:b/>
          <w:snapToGrid/>
          <w:color w:val="000000"/>
          <w:kern w:val="2"/>
          <w:sz w:val="21"/>
          <w:szCs w:val="21"/>
          <w:highlight w:val="none"/>
          <w:lang w:val="en-US" w:eastAsia="zh-CN" w:bidi="ar-SA"/>
        </w:rPr>
        <w:t>2.8其它义务</w:t>
      </w:r>
      <w:bookmarkEnd w:id="822"/>
    </w:p>
    <w:p w14:paraId="73BA4A7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23" w:name="_Toc222032698"/>
      <w:bookmarkStart w:id="824" w:name="_Toc221951140"/>
      <w:bookmarkStart w:id="825" w:name="_Toc222029529"/>
      <w:bookmarkStart w:id="826" w:name="_Toc222031031"/>
      <w:bookmarkStart w:id="827" w:name="_Toc274933688"/>
      <w:bookmarkStart w:id="828" w:name="_Toc229305389"/>
      <w:bookmarkStart w:id="829" w:name="_Toc222033880"/>
      <w:r>
        <w:rPr>
          <w:rFonts w:hint="eastAsia" w:ascii="宋体" w:hAnsi="宋体" w:eastAsia="宋体" w:cs="宋体"/>
          <w:snapToGrid/>
          <w:color w:val="000000"/>
          <w:kern w:val="2"/>
          <w:sz w:val="21"/>
          <w:szCs w:val="21"/>
          <w:highlight w:val="none"/>
          <w:lang w:val="en-US" w:eastAsia="zh-CN" w:bidi="ar-SA"/>
        </w:rPr>
        <w:t>2.8.1建设过程中发包人应协调好参建各方（包括勘察、设计、监理、施工、跟踪审计等）的工作交叉等工作联系。</w:t>
      </w:r>
    </w:p>
    <w:p w14:paraId="3E8BD72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2.8.2发包人应按通用条款第8.1款和技术条款的有关规定，委托监理人向承包人移交现场测量基准点及其有关资料。</w:t>
      </w:r>
    </w:p>
    <w:p w14:paraId="62D85D08">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3．监理人</w:t>
      </w:r>
      <w:bookmarkEnd w:id="823"/>
      <w:bookmarkEnd w:id="824"/>
      <w:bookmarkEnd w:id="825"/>
      <w:bookmarkEnd w:id="826"/>
      <w:bookmarkEnd w:id="827"/>
      <w:bookmarkEnd w:id="828"/>
      <w:bookmarkEnd w:id="829"/>
    </w:p>
    <w:p w14:paraId="32F07332">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30" w:name="_Toc221951141"/>
      <w:r>
        <w:rPr>
          <w:rFonts w:hint="eastAsia" w:ascii="宋体" w:hAnsi="宋体" w:eastAsia="宋体" w:cs="宋体"/>
          <w:b/>
          <w:snapToGrid/>
          <w:color w:val="000000"/>
          <w:kern w:val="2"/>
          <w:sz w:val="21"/>
          <w:szCs w:val="21"/>
          <w:highlight w:val="none"/>
          <w:lang w:val="en-US" w:eastAsia="zh-CN" w:bidi="ar-SA"/>
        </w:rPr>
        <w:t>3.1监理人的职责和权力</w:t>
      </w:r>
      <w:bookmarkEnd w:id="830"/>
    </w:p>
    <w:p w14:paraId="78FD316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31" w:name="_Toc221951142"/>
      <w:r>
        <w:rPr>
          <w:rFonts w:hint="eastAsia" w:ascii="宋体" w:hAnsi="宋体" w:eastAsia="宋体" w:cs="宋体"/>
          <w:snapToGrid/>
          <w:color w:val="000000"/>
          <w:kern w:val="2"/>
          <w:sz w:val="21"/>
          <w:szCs w:val="21"/>
          <w:highlight w:val="none"/>
          <w:lang w:val="en-US" w:eastAsia="zh-CN" w:bidi="ar-SA"/>
        </w:rPr>
        <w:t>本款补充如下内容：</w:t>
      </w:r>
    </w:p>
    <w:bookmarkEnd w:id="831"/>
    <w:p w14:paraId="133CD3C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监理人在行使下列权力前，必须得到发包人的批准。</w:t>
      </w:r>
    </w:p>
    <w:p w14:paraId="1976D11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32" w:name="_Toc222032699"/>
      <w:bookmarkStart w:id="833" w:name="_Toc222033881"/>
      <w:bookmarkStart w:id="834" w:name="_Toc221951150"/>
      <w:bookmarkStart w:id="835" w:name="_Toc222029530"/>
      <w:bookmarkStart w:id="836" w:name="_Toc222031032"/>
      <w:bookmarkStart w:id="837" w:name="_Toc229305390"/>
      <w:r>
        <w:rPr>
          <w:rFonts w:hint="eastAsia" w:ascii="宋体" w:hAnsi="宋体" w:eastAsia="宋体" w:cs="宋体"/>
          <w:snapToGrid/>
          <w:color w:val="000000"/>
          <w:kern w:val="2"/>
          <w:sz w:val="21"/>
          <w:szCs w:val="21"/>
          <w:highlight w:val="none"/>
          <w:lang w:val="en-US" w:eastAsia="zh-CN" w:bidi="ar-SA"/>
        </w:rPr>
        <w:t>（1）确定延长完工期限；</w:t>
      </w:r>
    </w:p>
    <w:p w14:paraId="12A368B3">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（2）作出变更决定。</w:t>
      </w:r>
    </w:p>
    <w:p w14:paraId="7AE545C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尽管有以上规定，但当监理人认为出现了危及生命、工程或毗邻财产等安全的紧急事件时，在不免除合同规定的承包人责任的情况下，监理人可以指示承包人实施为消除或减少危险所必须进行的工作，即使没有发包人的事先批准，承包人也应立即遵照执行。监理人应按通用条款第15条的规定增加相应的费用，并通知发包人。</w:t>
      </w:r>
    </w:p>
    <w:p w14:paraId="6C23018A">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38" w:name="_Toc274933689"/>
      <w:r>
        <w:rPr>
          <w:rFonts w:hint="eastAsia" w:ascii="宋体" w:hAnsi="宋体" w:eastAsia="宋体" w:cs="宋体"/>
          <w:b/>
          <w:bCs/>
          <w:snapToGrid/>
          <w:color w:val="000000"/>
          <w:kern w:val="2"/>
          <w:sz w:val="21"/>
          <w:szCs w:val="21"/>
          <w:highlight w:val="none"/>
          <w:lang w:val="en-US" w:eastAsia="zh-CN" w:bidi="ar-SA"/>
        </w:rPr>
        <w:t>4．承包人</w:t>
      </w:r>
      <w:bookmarkEnd w:id="832"/>
      <w:bookmarkEnd w:id="833"/>
      <w:bookmarkEnd w:id="834"/>
      <w:bookmarkEnd w:id="835"/>
      <w:bookmarkEnd w:id="836"/>
      <w:bookmarkEnd w:id="837"/>
      <w:bookmarkEnd w:id="838"/>
    </w:p>
    <w:p w14:paraId="77CF84DF">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39" w:name="_Toc221951151"/>
      <w:r>
        <w:rPr>
          <w:rFonts w:hint="eastAsia" w:ascii="宋体" w:hAnsi="宋体" w:eastAsia="宋体" w:cs="宋体"/>
          <w:b/>
          <w:snapToGrid/>
          <w:color w:val="000000"/>
          <w:kern w:val="2"/>
          <w:sz w:val="21"/>
          <w:szCs w:val="21"/>
          <w:highlight w:val="none"/>
          <w:lang w:val="en-US" w:eastAsia="zh-CN" w:bidi="ar-SA"/>
        </w:rPr>
        <w:t>4.1承包人的一般义务</w:t>
      </w:r>
      <w:bookmarkEnd w:id="839"/>
    </w:p>
    <w:p w14:paraId="3242C7B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40" w:name="_Toc221951152"/>
      <w:r>
        <w:rPr>
          <w:rFonts w:hint="eastAsia" w:ascii="宋体" w:hAnsi="宋体" w:eastAsia="宋体" w:cs="宋体"/>
          <w:snapToGrid/>
          <w:color w:val="000000"/>
          <w:kern w:val="2"/>
          <w:sz w:val="21"/>
          <w:szCs w:val="21"/>
          <w:highlight w:val="none"/>
          <w:lang w:val="en-US" w:eastAsia="zh-CN" w:bidi="ar-SA"/>
        </w:rPr>
        <w:t>4.1.10其他义务</w:t>
      </w:r>
      <w:bookmarkEnd w:id="840"/>
    </w:p>
    <w:p w14:paraId="0DC7FF9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本合同工程施工所需的水、电、交通等临时工程的修建与维护费用全部由承包人自行承担，施工中对乡村便道的损坏由承包人负责恢复。若造成当地交通、农田、房屋、植被等损害，承包人应负责对造成的损害进行恢复及赔偿。</w:t>
      </w:r>
    </w:p>
    <w:p w14:paraId="2DEFDEE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（2）在施工队伍进场后，施工技术方案、施工进度计划、资金流计划、设备、人员进场报验单经监理方检查、审核、批准，总监理工程师发出开工令后工程方可开工。</w:t>
      </w:r>
    </w:p>
    <w:p w14:paraId="35FA3CF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（3）承包人必须结清和施工所在地政府、老百姓的所有拖欠款项及今后施工中发生的相应款项，承包人应对由此引起的一切后果负完全责任。</w:t>
      </w:r>
    </w:p>
    <w:p w14:paraId="7599414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（4）</w:t>
      </w:r>
      <w:bookmarkStart w:id="841" w:name="_Toc221951153"/>
      <w:r>
        <w:rPr>
          <w:rFonts w:hint="eastAsia" w:ascii="宋体" w:hAnsi="宋体" w:eastAsia="宋体" w:cs="宋体"/>
          <w:snapToGrid/>
          <w:color w:val="000000"/>
          <w:kern w:val="2"/>
          <w:sz w:val="21"/>
          <w:szCs w:val="21"/>
          <w:highlight w:val="none"/>
          <w:lang w:val="en-US" w:eastAsia="zh-CN" w:bidi="ar-SA"/>
        </w:rPr>
        <w:t>承包人应按《国务院办公厅关于全面治理拖欠农民工工资问题的意见》国办发〔2016〕1号文第八点意见：建立健全农民工工资（劳务费）专用账户管理制度。在工程建设领域，实行人工费用与其他工程款分账管理制度，推动农民工工资与工程材料款等相分离。施工总承包企业应分解工程价款中的人工费用，在工程项目所在地银行开设农民工工资（劳务费）专用账户，专项用于支付农民工工资。施工总承包企业将人工费单独拨付到开设的农民工工资（劳务费）专用账户。农民工工资（劳务费）专用账户应向人力资源社会保障部门和工程建设项目主管部门备案，并委托开户银行负责日常监管，确保专款专用。开户银行发现账户资金不足、被挪用等情况，应及时向人力资源社会保障部门和工程建设项目主管部门报告。</w:t>
      </w:r>
    </w:p>
    <w:p w14:paraId="52BE7AB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（5）承包人要采取有效措施对施工开挖边坡及时进行支护和做好排水措施（特别是雨季施工排水与防洪措施），避免施工中造成水土流失，否则将承担相应赔偿责任。</w:t>
      </w:r>
    </w:p>
    <w:p w14:paraId="49A6AFC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（6）承包人在施工过程中应采取有效措施，注意保护生活用水源免受施工活动造成的污染，否则将承担相应责任。</w:t>
      </w:r>
    </w:p>
    <w:p w14:paraId="3024456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（7）用于工程建设的工程款承包人必须专款专用，不得挪作他用。发包人有权指定承包人开户银行，并请银行代为监督。</w:t>
      </w:r>
    </w:p>
    <w:p w14:paraId="6DE9691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（8）发包人提供的施工用地以外的承包人所需用地及其费用，由承包人自行解决。</w:t>
      </w:r>
    </w:p>
    <w:p w14:paraId="2A2A28D8">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4.2履约担保</w:t>
      </w:r>
    </w:p>
    <w:p w14:paraId="0349F80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删去本款全文，并代之以：</w:t>
      </w:r>
    </w:p>
    <w:p w14:paraId="03754AB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承包人应按合同规定的格式和专用合同条款规定的金额，在正式签订合同前向招标人提交经发包人同意的履约担保，履约担保的形式：现金，支票或履约保函。</w:t>
      </w:r>
    </w:p>
    <w:p w14:paraId="64DEB86C">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履约担保的金额：</w:t>
      </w:r>
      <w:r>
        <w:rPr>
          <w:rFonts w:hint="eastAsia" w:ascii="宋体" w:hAnsi="宋体" w:eastAsia="宋体" w:cs="宋体"/>
          <w:snapToGrid/>
          <w:color w:val="000000"/>
          <w:kern w:val="2"/>
          <w:sz w:val="21"/>
          <w:szCs w:val="21"/>
          <w:highlight w:val="none"/>
          <w:u w:val="single"/>
          <w:lang w:val="en-US" w:eastAsia="zh-CN" w:bidi="ar-SA"/>
        </w:rPr>
        <w:t xml:space="preserve">          </w:t>
      </w:r>
      <w:r>
        <w:rPr>
          <w:rFonts w:hint="eastAsia" w:ascii="宋体" w:hAnsi="宋体" w:eastAsia="宋体" w:cs="宋体"/>
          <w:snapToGrid/>
          <w:color w:val="000000"/>
          <w:kern w:val="2"/>
          <w:sz w:val="21"/>
          <w:szCs w:val="21"/>
          <w:highlight w:val="none"/>
          <w:lang w:val="en-US" w:eastAsia="zh-CN" w:bidi="ar-SA"/>
        </w:rPr>
        <w:t>。</w:t>
      </w:r>
    </w:p>
    <w:p w14:paraId="0E2B88A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履约担保的有效期自合同生效日起至工程移交证书颁发后28天内一直有效。</w:t>
      </w:r>
    </w:p>
    <w:p w14:paraId="0619DC03">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4.3分包</w:t>
      </w:r>
      <w:bookmarkEnd w:id="841"/>
      <w:bookmarkStart w:id="842" w:name="_Toc221951158"/>
    </w:p>
    <w:p w14:paraId="1111D660">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删去本款全文，并代之以：本工程不允许分包。</w:t>
      </w:r>
    </w:p>
    <w:p w14:paraId="23A1EDA3">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4.4联合体</w:t>
      </w:r>
    </w:p>
    <w:p w14:paraId="193C312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本工程不接受联合体投标。</w:t>
      </w:r>
    </w:p>
    <w:bookmarkEnd w:id="842"/>
    <w:p w14:paraId="08EE0B6D">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43" w:name="_Toc275712227"/>
      <w:bookmarkStart w:id="844" w:name="_Toc276205460"/>
      <w:bookmarkStart w:id="845" w:name="_Toc221951178"/>
      <w:bookmarkStart w:id="846" w:name="_Toc274933692"/>
      <w:bookmarkStart w:id="847" w:name="_Toc222029533"/>
      <w:bookmarkStart w:id="848" w:name="_Toc222032702"/>
      <w:bookmarkStart w:id="849" w:name="_Toc222033884"/>
      <w:bookmarkStart w:id="850" w:name="_Toc222031035"/>
      <w:r>
        <w:rPr>
          <w:rFonts w:hint="eastAsia" w:ascii="宋体" w:hAnsi="宋体" w:eastAsia="宋体" w:cs="宋体"/>
          <w:b/>
          <w:bCs/>
          <w:snapToGrid/>
          <w:color w:val="000000"/>
          <w:kern w:val="2"/>
          <w:sz w:val="21"/>
          <w:szCs w:val="21"/>
          <w:highlight w:val="none"/>
          <w:lang w:val="en-US" w:eastAsia="zh-CN" w:bidi="ar-SA"/>
        </w:rPr>
        <w:t>5．材料和工程设备</w:t>
      </w:r>
      <w:bookmarkEnd w:id="843"/>
      <w:bookmarkEnd w:id="844"/>
    </w:p>
    <w:p w14:paraId="5415608F">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51" w:name="_Toc221951161"/>
      <w:r>
        <w:rPr>
          <w:rFonts w:hint="eastAsia" w:ascii="宋体" w:hAnsi="宋体" w:eastAsia="宋体" w:cs="宋体"/>
          <w:b/>
          <w:snapToGrid/>
          <w:color w:val="000000"/>
          <w:kern w:val="2"/>
          <w:sz w:val="21"/>
          <w:szCs w:val="21"/>
          <w:highlight w:val="none"/>
          <w:lang w:val="en-US" w:eastAsia="zh-CN" w:bidi="ar-SA"/>
        </w:rPr>
        <w:t>5.2</w:t>
      </w:r>
      <w:bookmarkEnd w:id="851"/>
      <w:r>
        <w:rPr>
          <w:rFonts w:hint="eastAsia" w:ascii="宋体" w:hAnsi="宋体" w:eastAsia="宋体" w:cs="宋体"/>
          <w:b/>
          <w:snapToGrid/>
          <w:color w:val="000000"/>
          <w:kern w:val="2"/>
          <w:sz w:val="21"/>
          <w:szCs w:val="21"/>
          <w:highlight w:val="none"/>
          <w:lang w:val="en-US" w:eastAsia="zh-CN" w:bidi="ar-SA"/>
        </w:rPr>
        <w:t>发包人提供的材料和工程设备</w:t>
      </w:r>
    </w:p>
    <w:p w14:paraId="071A75E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删去本款全文，并代之以：本工程发包人不提供材料和工程设备。</w:t>
      </w:r>
    </w:p>
    <w:p w14:paraId="09246659">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52" w:name="_Toc222029532"/>
      <w:bookmarkStart w:id="853" w:name="_Toc222033883"/>
      <w:bookmarkStart w:id="854" w:name="_Toc229305392"/>
      <w:bookmarkStart w:id="855" w:name="_Toc274933691"/>
      <w:bookmarkStart w:id="856" w:name="_Toc222032701"/>
      <w:bookmarkStart w:id="857" w:name="_Toc275712228"/>
      <w:bookmarkStart w:id="858" w:name="_Toc221951166"/>
      <w:bookmarkStart w:id="859" w:name="_Toc222031034"/>
      <w:bookmarkStart w:id="860" w:name="_Toc276205461"/>
      <w:r>
        <w:rPr>
          <w:rFonts w:hint="eastAsia" w:ascii="宋体" w:hAnsi="宋体" w:eastAsia="宋体" w:cs="宋体"/>
          <w:b/>
          <w:bCs/>
          <w:snapToGrid/>
          <w:color w:val="000000"/>
          <w:kern w:val="2"/>
          <w:sz w:val="21"/>
          <w:szCs w:val="21"/>
          <w:highlight w:val="none"/>
          <w:lang w:val="en-US" w:eastAsia="zh-CN" w:bidi="ar-SA"/>
        </w:rPr>
        <w:t>6．施工设备和临时设施</w:t>
      </w:r>
      <w:bookmarkEnd w:id="852"/>
      <w:bookmarkEnd w:id="853"/>
      <w:bookmarkEnd w:id="854"/>
      <w:bookmarkEnd w:id="855"/>
      <w:bookmarkEnd w:id="856"/>
      <w:bookmarkEnd w:id="857"/>
      <w:bookmarkEnd w:id="858"/>
      <w:bookmarkEnd w:id="859"/>
      <w:bookmarkEnd w:id="860"/>
    </w:p>
    <w:p w14:paraId="339A5708">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61" w:name="_Toc221951167"/>
      <w:r>
        <w:rPr>
          <w:rFonts w:hint="eastAsia" w:ascii="宋体" w:hAnsi="宋体" w:eastAsia="宋体" w:cs="宋体"/>
          <w:b/>
          <w:snapToGrid/>
          <w:color w:val="000000"/>
          <w:kern w:val="2"/>
          <w:sz w:val="21"/>
          <w:szCs w:val="21"/>
          <w:highlight w:val="none"/>
          <w:lang w:val="en-US" w:eastAsia="zh-CN" w:bidi="ar-SA"/>
        </w:rPr>
        <w:t>6.2发包人提供的施工设备和临时设施</w:t>
      </w:r>
      <w:bookmarkEnd w:id="861"/>
    </w:p>
    <w:p w14:paraId="34C8325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删去本款全文，并代之以：本工程发包人不提供施工设备和临时设施。</w:t>
      </w:r>
    </w:p>
    <w:p w14:paraId="1089B6C5">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7．交通运输</w:t>
      </w:r>
      <w:bookmarkEnd w:id="845"/>
      <w:bookmarkEnd w:id="846"/>
      <w:bookmarkEnd w:id="847"/>
      <w:bookmarkEnd w:id="848"/>
      <w:bookmarkEnd w:id="849"/>
      <w:bookmarkEnd w:id="850"/>
    </w:p>
    <w:p w14:paraId="66097EA9">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62" w:name="_Toc221951179"/>
      <w:r>
        <w:rPr>
          <w:rFonts w:hint="eastAsia" w:ascii="宋体" w:hAnsi="宋体" w:eastAsia="宋体" w:cs="宋体"/>
          <w:b/>
          <w:snapToGrid/>
          <w:color w:val="000000"/>
          <w:kern w:val="2"/>
          <w:sz w:val="21"/>
          <w:szCs w:val="21"/>
          <w:highlight w:val="none"/>
          <w:lang w:val="en-US" w:eastAsia="zh-CN" w:bidi="ar-SA"/>
        </w:rPr>
        <w:t>7.1道路通行权和场外设施</w:t>
      </w:r>
      <w:bookmarkEnd w:id="862"/>
    </w:p>
    <w:p w14:paraId="2ABC72D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承包人应根据合同工程的施工需要，负责办理取得出入施工场地的专用和临时道路的通行权，以及取得为工程建设所需修建场外设施的权利，并承担相关费用。承包人应对项目周边省、县、乡、村道的道路承载情况和通行条件做充分了解，遵守交通运输法律法规等相关制度，严禁超速、超限、超载等，施工过程中路面破损，承包人自行修复。</w:t>
      </w:r>
    </w:p>
    <w:p w14:paraId="19C10F9F">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63" w:name="_Toc274933693"/>
      <w:r>
        <w:rPr>
          <w:rFonts w:hint="eastAsia" w:ascii="宋体" w:hAnsi="宋体" w:eastAsia="宋体" w:cs="宋体"/>
          <w:b/>
          <w:bCs/>
          <w:snapToGrid/>
          <w:color w:val="000000"/>
          <w:kern w:val="2"/>
          <w:sz w:val="21"/>
          <w:szCs w:val="21"/>
          <w:highlight w:val="none"/>
          <w:lang w:val="en-US" w:eastAsia="zh-CN" w:bidi="ar-SA"/>
        </w:rPr>
        <w:t>8．测量放线</w:t>
      </w:r>
      <w:bookmarkEnd w:id="863"/>
    </w:p>
    <w:p w14:paraId="7BDFE37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8.1施工控制网</w:t>
      </w:r>
    </w:p>
    <w:p w14:paraId="563A0D7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8.1.1发包人应在发出开工通知后7天内，通过监理人向承包人提供测量基准点、基准线和水准点及其书面资料。承包人应根据国家测绘基准、测绘系统和工程测量技术规范，按上述基准点（线）以及合同工程精度要求，测设施工控制网，并在开工后21天内，将施工控制网资料报送监理人审批。</w:t>
      </w:r>
      <w:bookmarkStart w:id="864" w:name="_Toc314143833"/>
      <w:r>
        <w:rPr>
          <w:rFonts w:hint="eastAsia" w:ascii="宋体" w:hAnsi="宋体" w:eastAsia="宋体" w:cs="宋体"/>
          <w:b/>
          <w:snapToGrid/>
          <w:kern w:val="2"/>
          <w:sz w:val="21"/>
          <w:szCs w:val="21"/>
          <w:highlight w:val="none"/>
          <w:lang w:val="en-US" w:eastAsia="zh-CN" w:bidi="ar-SA"/>
        </w:rPr>
        <w:t>8.2施工测量</w:t>
      </w:r>
      <w:bookmarkEnd w:id="864"/>
    </w:p>
    <w:p w14:paraId="64A05FB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b/>
          <w:bCs/>
          <w:snapToGrid/>
          <w:kern w:val="2"/>
          <w:sz w:val="21"/>
          <w:szCs w:val="21"/>
          <w:highlight w:val="none"/>
          <w:lang w:val="en-US" w:eastAsia="zh-CN" w:bidi="ar-SA"/>
        </w:rPr>
        <w:t>8.2.1</w:t>
      </w:r>
      <w:r>
        <w:rPr>
          <w:rFonts w:hint="eastAsia" w:ascii="宋体" w:hAnsi="宋体" w:eastAsia="宋体" w:cs="宋体"/>
          <w:snapToGrid/>
          <w:kern w:val="2"/>
          <w:sz w:val="21"/>
          <w:szCs w:val="21"/>
          <w:highlight w:val="none"/>
          <w:lang w:val="en-US" w:eastAsia="zh-CN" w:bidi="ar-SA"/>
        </w:rPr>
        <w:t>承包人应负责施工过程中的全部施工测量放线工作，并配置合格的人员、仪器、设备和其他物品。并配合监理人进行抽查。</w:t>
      </w:r>
    </w:p>
    <w:p w14:paraId="5773D60A">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bookmarkStart w:id="865" w:name="_Toc314143834"/>
      <w:r>
        <w:rPr>
          <w:rFonts w:hint="eastAsia" w:ascii="宋体" w:hAnsi="宋体" w:eastAsia="宋体" w:cs="宋体"/>
          <w:b/>
          <w:snapToGrid/>
          <w:kern w:val="2"/>
          <w:sz w:val="21"/>
          <w:szCs w:val="21"/>
          <w:highlight w:val="none"/>
          <w:lang w:val="en-US" w:eastAsia="zh-CN" w:bidi="ar-SA"/>
        </w:rPr>
        <w:t>8.3基准资料错误的责任</w:t>
      </w:r>
      <w:bookmarkEnd w:id="865"/>
    </w:p>
    <w:p w14:paraId="3CAE5D38">
      <w:pPr>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snapToGrid/>
          <w:kern w:val="0"/>
          <w:sz w:val="21"/>
          <w:szCs w:val="21"/>
          <w:highlight w:val="none"/>
          <w:lang w:val="en-US" w:eastAsia="zh-CN" w:bidi="ar-SA"/>
        </w:rPr>
      </w:pPr>
      <w:r>
        <w:rPr>
          <w:rFonts w:hint="eastAsia" w:ascii="宋体" w:hAnsi="宋体" w:eastAsia="宋体" w:cs="宋体"/>
          <w:snapToGrid/>
          <w:kern w:val="0"/>
          <w:sz w:val="21"/>
          <w:szCs w:val="21"/>
          <w:highlight w:val="none"/>
          <w:lang w:val="en-US" w:eastAsia="zh-CN" w:bidi="ar-SA"/>
        </w:rPr>
        <w:t>发包人应对其提供的测量基准点、基准线和水准点及其书面资料的真实性、准确性和完整性负责。承包人发现发包人提供的上述基准资料存在明显错误或疏忽的，应及时通知监理人。</w:t>
      </w:r>
    </w:p>
    <w:p w14:paraId="231FA7F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8.5补充地质勘探</w:t>
      </w:r>
    </w:p>
    <w:p w14:paraId="77F7113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在合同实施期间，监理人可以指示承包人进行必要的补充地质勘探和提供有关资料；承包人为本合同永久工程施工的需要进行补充地质勘探时，须经监理人批准，并应向监理人提交有关资料，上述补充勘探的费用由承包人承担。承包人为其临时工程所需进行的补充地质勘探，其费用由承包人承担。</w:t>
      </w:r>
    </w:p>
    <w:p w14:paraId="013B57F7">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66" w:name="_Toc274933694"/>
      <w:r>
        <w:rPr>
          <w:rFonts w:hint="eastAsia" w:ascii="宋体" w:hAnsi="宋体" w:eastAsia="宋体" w:cs="宋体"/>
          <w:b/>
          <w:bCs/>
          <w:snapToGrid/>
          <w:color w:val="000000"/>
          <w:kern w:val="2"/>
          <w:sz w:val="21"/>
          <w:szCs w:val="21"/>
          <w:highlight w:val="none"/>
          <w:lang w:val="en-US" w:eastAsia="zh-CN" w:bidi="ar-SA"/>
        </w:rPr>
        <w:t>9．施工安全、治安保卫和环境保护</w:t>
      </w:r>
      <w:bookmarkEnd w:id="866"/>
    </w:p>
    <w:p w14:paraId="5E1DA747">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9.2承包人的施工安全责任</w:t>
      </w:r>
    </w:p>
    <w:p w14:paraId="3822283D">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9.2.1承包人应按合同约定履行安全职责，执行监理人有关安全工作的指示，并在签订合同后14日内编制施工安全措施计划报送监理人审批。</w:t>
      </w:r>
    </w:p>
    <w:p w14:paraId="73CA9B9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9.2.7由于承包人原因在施工场地内及其毗邻地带造成的第三者人员伤亡和财产损失，由承包人负责赔偿。</w:t>
      </w:r>
    </w:p>
    <w:p w14:paraId="57745CF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9.2.8承包人</w:t>
      </w:r>
      <w:r>
        <w:rPr>
          <w:rFonts w:hint="eastAsia" w:ascii="宋体" w:hAnsi="宋体" w:eastAsia="宋体" w:cs="宋体"/>
          <w:snapToGrid/>
          <w:kern w:val="2"/>
          <w:sz w:val="21"/>
          <w:szCs w:val="21"/>
          <w:highlight w:val="none"/>
          <w:lang w:val="en-US" w:eastAsia="zh-CN" w:bidi="ar-SA"/>
        </w:rPr>
        <w:t>按照工程量清单约定报价，并按规定做到专款专用</w:t>
      </w:r>
      <w:r>
        <w:rPr>
          <w:rFonts w:hint="eastAsia" w:ascii="宋体" w:hAnsi="宋体" w:eastAsia="宋体" w:cs="宋体"/>
          <w:snapToGrid/>
          <w:color w:val="000000"/>
          <w:kern w:val="2"/>
          <w:sz w:val="21"/>
          <w:szCs w:val="21"/>
          <w:highlight w:val="none"/>
          <w:lang w:val="en-US" w:eastAsia="zh-CN" w:bidi="ar-SA"/>
        </w:rPr>
        <w:t>。</w:t>
      </w:r>
    </w:p>
    <w:p w14:paraId="6EF3AC7F">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增加以下条款：</w:t>
      </w:r>
    </w:p>
    <w:p w14:paraId="3BFA9FD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（1）承包人负责其自己辖区内的消防工作。承包人应对其辖区内发生的火灾及其造成的人员伤亡和财产损失负责。</w:t>
      </w:r>
    </w:p>
    <w:p w14:paraId="444D6E2F">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（2）承包人必须服从地方安监部门及发包人的安全监管。若违反有关规定将按相关法律法规追究责任。</w:t>
      </w:r>
    </w:p>
    <w:p w14:paraId="645087B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（3）此类专项费用需要在签订合同时明确，针对此类费用专款专用。</w:t>
      </w:r>
    </w:p>
    <w:p w14:paraId="5EBA4D2D">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both"/>
        <w:textAlignment w:val="auto"/>
        <w:outlineLvl w:val="2"/>
        <w:rPr>
          <w:rFonts w:hint="eastAsia" w:ascii="宋体" w:hAnsi="宋体" w:eastAsia="宋体" w:cs="宋体"/>
          <w:b w:val="0"/>
          <w:bCs/>
          <w:snapToGrid/>
          <w:kern w:val="2"/>
          <w:sz w:val="21"/>
          <w:szCs w:val="21"/>
          <w:highlight w:val="none"/>
          <w:lang w:val="en-US" w:eastAsia="zh-CN" w:bidi="ar-SA"/>
        </w:rPr>
      </w:pPr>
      <w:bookmarkStart w:id="867" w:name="_Toc6835"/>
      <w:r>
        <w:rPr>
          <w:rFonts w:hint="eastAsia" w:ascii="宋体" w:hAnsi="宋体" w:eastAsia="宋体" w:cs="宋体"/>
          <w:b/>
          <w:bCs/>
          <w:snapToGrid/>
          <w:kern w:val="2"/>
          <w:sz w:val="21"/>
          <w:szCs w:val="21"/>
          <w:highlight w:val="none"/>
          <w:lang w:val="en-US" w:eastAsia="zh-CN" w:bidi="ar-SA"/>
        </w:rPr>
        <w:t>10.进度计划</w:t>
      </w:r>
      <w:bookmarkEnd w:id="867"/>
    </w:p>
    <w:p w14:paraId="61C4EEEA">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68" w:name="_Toc17737"/>
      <w:r>
        <w:rPr>
          <w:rFonts w:hint="eastAsia" w:ascii="宋体" w:hAnsi="宋体" w:eastAsia="宋体" w:cs="宋体"/>
          <w:b/>
          <w:snapToGrid/>
          <w:color w:val="000000"/>
          <w:kern w:val="2"/>
          <w:sz w:val="21"/>
          <w:szCs w:val="21"/>
          <w:highlight w:val="none"/>
          <w:lang w:val="en-US" w:eastAsia="zh-CN" w:bidi="ar-SA"/>
        </w:rPr>
        <w:t>10.1合同进度计划</w:t>
      </w:r>
      <w:bookmarkEnd w:id="868"/>
    </w:p>
    <w:p w14:paraId="2E7BF1E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0"/>
          <w:sz w:val="21"/>
          <w:szCs w:val="21"/>
          <w:highlight w:val="none"/>
          <w:lang w:val="en-US" w:eastAsia="zh-CN" w:bidi="ar-SA"/>
        </w:rPr>
      </w:pPr>
      <w:bookmarkStart w:id="869" w:name="_Toc1096"/>
      <w:r>
        <w:rPr>
          <w:rFonts w:hint="eastAsia" w:ascii="宋体" w:hAnsi="宋体" w:eastAsia="宋体" w:cs="宋体"/>
          <w:snapToGrid/>
          <w:color w:val="000000"/>
          <w:kern w:val="0"/>
          <w:sz w:val="21"/>
          <w:szCs w:val="21"/>
          <w:highlight w:val="none"/>
          <w:lang w:val="en-US" w:eastAsia="zh-CN" w:bidi="ar-SA"/>
        </w:rPr>
        <w:t>承包人应在合同签订后7天内，编制详细的施工进度计划和施工方案说明报送监理人。监理人应在7天内批复或提出修改意见。经监理人批准的施工进度计划称合同进度计划，是控制合同工程进度的依据。承包人还应根据合同进度计划，编制更为详细的分阶段或分项进度计划，报监理人审批。</w:t>
      </w:r>
    </w:p>
    <w:p w14:paraId="152B4E5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10.2合同进度计划的修订</w:t>
      </w:r>
      <w:bookmarkEnd w:id="869"/>
    </w:p>
    <w:p w14:paraId="69101EB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0"/>
          <w:sz w:val="21"/>
          <w:szCs w:val="21"/>
          <w:highlight w:val="none"/>
          <w:lang w:val="en-US" w:eastAsia="zh-CN" w:bidi="ar-SA"/>
        </w:rPr>
        <w:t>不论何种原因造成工程的实际进度与第10.1款的合同进度计划不符时，承包人可以在发现后的14天内向监理人提交修订合同进度计划的申请报告，并附有关措施和相关资料，报监理人审批：监理人也可以直接向承包人作出修订合同进度计划的指示，承包人应按该指示修订合同进度计划，报监理人审批。监理人应在7天内批复。监理人在批复前应获得发包人同意。</w:t>
      </w:r>
    </w:p>
    <w:p w14:paraId="7C3FD1D8">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70" w:name="_Toc229305394"/>
      <w:bookmarkStart w:id="871" w:name="_Toc221951188"/>
      <w:bookmarkStart w:id="872" w:name="_Toc222032705"/>
      <w:bookmarkStart w:id="873" w:name="_Toc222031038"/>
      <w:bookmarkStart w:id="874" w:name="_Toc222029536"/>
      <w:bookmarkStart w:id="875" w:name="_Toc222033887"/>
      <w:bookmarkStart w:id="876" w:name="_Toc274933695"/>
      <w:r>
        <w:rPr>
          <w:rFonts w:hint="eastAsia" w:ascii="宋体" w:hAnsi="宋体" w:eastAsia="宋体" w:cs="宋体"/>
          <w:b/>
          <w:bCs/>
          <w:snapToGrid/>
          <w:color w:val="000000"/>
          <w:kern w:val="2"/>
          <w:sz w:val="21"/>
          <w:szCs w:val="21"/>
          <w:highlight w:val="none"/>
          <w:lang w:val="en-US" w:eastAsia="zh-CN" w:bidi="ar-SA"/>
        </w:rPr>
        <w:t>11.开工和竣工</w:t>
      </w:r>
      <w:bookmarkEnd w:id="870"/>
      <w:bookmarkEnd w:id="871"/>
      <w:bookmarkEnd w:id="872"/>
      <w:bookmarkEnd w:id="873"/>
      <w:bookmarkEnd w:id="874"/>
      <w:bookmarkEnd w:id="875"/>
      <w:r>
        <w:rPr>
          <w:rFonts w:hint="eastAsia" w:ascii="宋体" w:hAnsi="宋体" w:eastAsia="宋体" w:cs="宋体"/>
          <w:b/>
          <w:bCs/>
          <w:snapToGrid/>
          <w:color w:val="000000"/>
          <w:kern w:val="2"/>
          <w:sz w:val="21"/>
          <w:szCs w:val="21"/>
          <w:highlight w:val="none"/>
          <w:lang w:val="en-US" w:eastAsia="zh-CN" w:bidi="ar-SA"/>
        </w:rPr>
        <w:t>（完工）</w:t>
      </w:r>
      <w:bookmarkEnd w:id="876"/>
    </w:p>
    <w:p w14:paraId="3D46DBAD">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77" w:name="_Toc221951189"/>
      <w:r>
        <w:rPr>
          <w:rFonts w:hint="eastAsia" w:ascii="宋体" w:hAnsi="宋体" w:eastAsia="宋体" w:cs="宋体"/>
          <w:b/>
          <w:snapToGrid/>
          <w:color w:val="000000"/>
          <w:kern w:val="2"/>
          <w:sz w:val="21"/>
          <w:szCs w:val="21"/>
          <w:highlight w:val="none"/>
          <w:lang w:val="en-US" w:eastAsia="zh-CN" w:bidi="ar-SA"/>
        </w:rPr>
        <w:t>11.2</w:t>
      </w:r>
      <w:bookmarkEnd w:id="877"/>
      <w:r>
        <w:rPr>
          <w:rFonts w:hint="eastAsia" w:ascii="宋体" w:hAnsi="宋体" w:eastAsia="宋体" w:cs="宋体"/>
          <w:b/>
          <w:snapToGrid/>
          <w:color w:val="000000"/>
          <w:kern w:val="2"/>
          <w:sz w:val="21"/>
          <w:szCs w:val="21"/>
          <w:highlight w:val="none"/>
          <w:lang w:val="en-US" w:eastAsia="zh-CN" w:bidi="ar-SA"/>
        </w:rPr>
        <w:t>竣工</w:t>
      </w:r>
    </w:p>
    <w:p w14:paraId="38E31F1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增加以下条款：</w:t>
      </w:r>
    </w:p>
    <w:p w14:paraId="33E016A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本合同全部工程和部分工程的要求完工日期如下表：</w:t>
      </w:r>
    </w:p>
    <w:tbl>
      <w:tblPr>
        <w:tblStyle w:val="7"/>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4423"/>
        <w:gridCol w:w="2704"/>
        <w:gridCol w:w="1538"/>
      </w:tblGrid>
      <w:tr w14:paraId="53CD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621" w:type="dxa"/>
            <w:tcBorders>
              <w:top w:val="single" w:color="auto" w:sz="4" w:space="0"/>
              <w:left w:val="single" w:color="auto" w:sz="4" w:space="0"/>
              <w:bottom w:val="single" w:color="auto" w:sz="4" w:space="0"/>
              <w:right w:val="single" w:color="auto" w:sz="4" w:space="0"/>
            </w:tcBorders>
            <w:noWrap w:val="0"/>
            <w:vAlign w:val="center"/>
          </w:tcPr>
          <w:p w14:paraId="76799C78">
            <w:pPr>
              <w:pageBreakBefore w:val="0"/>
              <w:widowControl w:val="0"/>
              <w:kinsoku/>
              <w:wordWrap/>
              <w:overflowPunct/>
              <w:topLinePunct w:val="0"/>
              <w:autoSpaceDE/>
              <w:autoSpaceDN/>
              <w:bidi w:val="0"/>
              <w:adjustRightInd/>
              <w:snapToGrid/>
              <w:spacing w:after="0" w:line="480" w:lineRule="exact"/>
              <w:ind w:right="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序号</w:t>
            </w:r>
          </w:p>
        </w:tc>
        <w:tc>
          <w:tcPr>
            <w:tcW w:w="4423" w:type="dxa"/>
            <w:tcBorders>
              <w:top w:val="single" w:color="auto" w:sz="4" w:space="0"/>
              <w:left w:val="single" w:color="auto" w:sz="4" w:space="0"/>
              <w:bottom w:val="single" w:color="auto" w:sz="4" w:space="0"/>
              <w:right w:val="single" w:color="auto" w:sz="4" w:space="0"/>
            </w:tcBorders>
            <w:noWrap w:val="0"/>
            <w:vAlign w:val="center"/>
          </w:tcPr>
          <w:p w14:paraId="70915285">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项目及其说明</w:t>
            </w:r>
          </w:p>
        </w:tc>
        <w:tc>
          <w:tcPr>
            <w:tcW w:w="2704" w:type="dxa"/>
            <w:tcBorders>
              <w:top w:val="single" w:color="auto" w:sz="4" w:space="0"/>
              <w:left w:val="single" w:color="auto" w:sz="4" w:space="0"/>
              <w:bottom w:val="single" w:color="auto" w:sz="4" w:space="0"/>
              <w:right w:val="single" w:color="auto" w:sz="4" w:space="0"/>
            </w:tcBorders>
            <w:noWrap w:val="0"/>
            <w:vAlign w:val="center"/>
          </w:tcPr>
          <w:p w14:paraId="1FB65674">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工期</w:t>
            </w:r>
          </w:p>
        </w:tc>
        <w:tc>
          <w:tcPr>
            <w:tcW w:w="1538" w:type="dxa"/>
            <w:tcBorders>
              <w:top w:val="single" w:color="auto" w:sz="4" w:space="0"/>
              <w:left w:val="single" w:color="auto" w:sz="4" w:space="0"/>
              <w:bottom w:val="single" w:color="auto" w:sz="4" w:space="0"/>
              <w:right w:val="single" w:color="auto" w:sz="4" w:space="0"/>
            </w:tcBorders>
            <w:noWrap w:val="0"/>
            <w:vAlign w:val="center"/>
          </w:tcPr>
          <w:p w14:paraId="0DDE621B">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备注</w:t>
            </w:r>
          </w:p>
        </w:tc>
      </w:tr>
      <w:tr w14:paraId="1EA4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621" w:type="dxa"/>
            <w:tcBorders>
              <w:top w:val="single" w:color="auto" w:sz="4" w:space="0"/>
              <w:left w:val="single" w:color="auto" w:sz="4" w:space="0"/>
              <w:bottom w:val="single" w:color="auto" w:sz="4" w:space="0"/>
              <w:right w:val="single" w:color="auto" w:sz="4" w:space="0"/>
            </w:tcBorders>
            <w:noWrap w:val="0"/>
            <w:vAlign w:val="center"/>
          </w:tcPr>
          <w:p w14:paraId="6D281906">
            <w:pPr>
              <w:pageBreakBefore w:val="0"/>
              <w:widowControl w:val="0"/>
              <w:kinsoku/>
              <w:wordWrap/>
              <w:overflowPunct/>
              <w:topLinePunct w:val="0"/>
              <w:autoSpaceDE/>
              <w:autoSpaceDN/>
              <w:bidi w:val="0"/>
              <w:adjustRightInd/>
              <w:snapToGrid/>
              <w:spacing w:after="0" w:line="480" w:lineRule="exact"/>
              <w:ind w:right="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w:t>
            </w:r>
          </w:p>
        </w:tc>
        <w:tc>
          <w:tcPr>
            <w:tcW w:w="4423" w:type="dxa"/>
            <w:tcBorders>
              <w:top w:val="single" w:color="auto" w:sz="4" w:space="0"/>
              <w:left w:val="single" w:color="auto" w:sz="4" w:space="0"/>
              <w:bottom w:val="single" w:color="auto" w:sz="4" w:space="0"/>
              <w:right w:val="single" w:color="auto" w:sz="4" w:space="0"/>
            </w:tcBorders>
            <w:noWrap w:val="0"/>
            <w:vAlign w:val="center"/>
          </w:tcPr>
          <w:p w14:paraId="50D5F997">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u w:val="single"/>
                <w:lang w:val="en-US" w:eastAsia="zh-CN" w:bidi="ar-SA"/>
              </w:rPr>
            </w:pPr>
          </w:p>
        </w:tc>
        <w:tc>
          <w:tcPr>
            <w:tcW w:w="2704" w:type="dxa"/>
            <w:tcBorders>
              <w:top w:val="single" w:color="auto" w:sz="4" w:space="0"/>
              <w:left w:val="single" w:color="auto" w:sz="4" w:space="0"/>
              <w:bottom w:val="single" w:color="auto" w:sz="4" w:space="0"/>
              <w:right w:val="single" w:color="auto" w:sz="4" w:space="0"/>
            </w:tcBorders>
            <w:noWrap w:val="0"/>
            <w:vAlign w:val="center"/>
          </w:tcPr>
          <w:p w14:paraId="027E8589">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90日历天</w:t>
            </w:r>
          </w:p>
        </w:tc>
        <w:tc>
          <w:tcPr>
            <w:tcW w:w="1538" w:type="dxa"/>
            <w:tcBorders>
              <w:top w:val="single" w:color="auto" w:sz="4" w:space="0"/>
              <w:left w:val="single" w:color="auto" w:sz="4" w:space="0"/>
              <w:bottom w:val="single" w:color="auto" w:sz="4" w:space="0"/>
              <w:right w:val="single" w:color="auto" w:sz="4" w:space="0"/>
            </w:tcBorders>
            <w:noWrap w:val="0"/>
            <w:vAlign w:val="center"/>
          </w:tcPr>
          <w:p w14:paraId="50909D16">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lang w:val="en-US" w:eastAsia="zh-CN" w:bidi="ar-SA"/>
              </w:rPr>
            </w:pPr>
          </w:p>
        </w:tc>
      </w:tr>
    </w:tbl>
    <w:p w14:paraId="3B459901">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78" w:name="_Toc221951198"/>
      <w:r>
        <w:rPr>
          <w:rFonts w:hint="eastAsia" w:ascii="宋体" w:hAnsi="宋体" w:eastAsia="宋体" w:cs="宋体"/>
          <w:b/>
          <w:snapToGrid/>
          <w:color w:val="000000"/>
          <w:kern w:val="2"/>
          <w:sz w:val="21"/>
          <w:szCs w:val="21"/>
          <w:highlight w:val="none"/>
          <w:lang w:val="en-US" w:eastAsia="zh-CN" w:bidi="ar-SA"/>
        </w:rPr>
        <w:t>11.5承包人工期延误</w:t>
      </w:r>
      <w:bookmarkEnd w:id="878"/>
    </w:p>
    <w:p w14:paraId="6562F2D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本款补充如下：</w:t>
      </w:r>
    </w:p>
    <w:p w14:paraId="604DFB2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每节点工期及总工期每延长一天，将扣逾期完工违约金1000/天，全部逾期完工违约金的总限额为不超过签约合同价的10%，承包人支付逾期竣工违约金，不免除承包人完成工程及修补缺陷的义务。特殊情况由发包人和承包人协商解决。</w:t>
      </w:r>
    </w:p>
    <w:p w14:paraId="49F93732">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11.6工期提前</w:t>
      </w:r>
    </w:p>
    <w:p w14:paraId="0331808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工期提前的奖金约定：本工程要求承包人按质按量按时完成工程内容，提前完工的，不进行任何奖励。</w:t>
      </w:r>
    </w:p>
    <w:p w14:paraId="5FC00D1B">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79" w:name="_Toc221951206"/>
      <w:bookmarkStart w:id="880" w:name="_Toc222032706"/>
      <w:bookmarkStart w:id="881" w:name="_Toc222031039"/>
      <w:bookmarkStart w:id="882" w:name="_Toc222029537"/>
      <w:bookmarkStart w:id="883" w:name="_Toc274933696"/>
      <w:bookmarkStart w:id="884" w:name="_Toc229305395"/>
      <w:bookmarkStart w:id="885" w:name="_Toc222033888"/>
      <w:r>
        <w:rPr>
          <w:rFonts w:hint="eastAsia" w:ascii="宋体" w:hAnsi="宋体" w:eastAsia="宋体" w:cs="宋体"/>
          <w:b/>
          <w:bCs/>
          <w:snapToGrid/>
          <w:color w:val="000000"/>
          <w:kern w:val="2"/>
          <w:sz w:val="21"/>
          <w:szCs w:val="21"/>
          <w:highlight w:val="none"/>
          <w:lang w:val="en-US" w:eastAsia="zh-CN" w:bidi="ar-SA"/>
        </w:rPr>
        <w:t>12．暂停施工</w:t>
      </w:r>
      <w:bookmarkEnd w:id="879"/>
      <w:bookmarkEnd w:id="880"/>
      <w:bookmarkEnd w:id="881"/>
      <w:bookmarkEnd w:id="882"/>
      <w:bookmarkEnd w:id="883"/>
      <w:bookmarkEnd w:id="884"/>
      <w:bookmarkEnd w:id="885"/>
    </w:p>
    <w:p w14:paraId="15D7FD0F">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86" w:name="_Toc221951207"/>
      <w:r>
        <w:rPr>
          <w:rFonts w:hint="eastAsia" w:ascii="宋体" w:hAnsi="宋体" w:eastAsia="宋体" w:cs="宋体"/>
          <w:b/>
          <w:snapToGrid/>
          <w:color w:val="000000"/>
          <w:kern w:val="2"/>
          <w:sz w:val="21"/>
          <w:szCs w:val="21"/>
          <w:highlight w:val="none"/>
          <w:lang w:val="en-US" w:eastAsia="zh-CN" w:bidi="ar-SA"/>
        </w:rPr>
        <w:t>12.1承包人暂停施工的责任</w:t>
      </w:r>
      <w:bookmarkEnd w:id="886"/>
    </w:p>
    <w:p w14:paraId="48860C7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87" w:name="_Toc221951209"/>
      <w:r>
        <w:rPr>
          <w:rFonts w:hint="eastAsia" w:ascii="宋体" w:hAnsi="宋体" w:eastAsia="宋体" w:cs="宋体"/>
          <w:snapToGrid/>
          <w:color w:val="000000"/>
          <w:kern w:val="2"/>
          <w:sz w:val="21"/>
          <w:szCs w:val="21"/>
          <w:highlight w:val="none"/>
          <w:lang w:val="en-US" w:eastAsia="zh-CN" w:bidi="ar-SA"/>
        </w:rPr>
        <w:t>承包人承担的其他暂停施工责任的其他情形：</w:t>
      </w:r>
      <w:bookmarkEnd w:id="887"/>
    </w:p>
    <w:p w14:paraId="6141F30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承包人在接到开工通知后14天内未及时进场组织施工，监理人可通知承包人立即采取有效措施赶上进度，承包人应在接到通知后的7天内向监理人提交一份补救措施报告报送监理人审批。补救措施报告应详细说明不能及时进点的原因和补救办法，由此增加的费用和工期延误责任由承包人承担。</w:t>
      </w:r>
    </w:p>
    <w:p w14:paraId="5D2CBFE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（2）由于现场非异常恶劣气候条件引起的正常停工。</w:t>
      </w:r>
    </w:p>
    <w:p w14:paraId="60652269">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both"/>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88" w:name="_Toc406504104"/>
      <w:r>
        <w:rPr>
          <w:rFonts w:hint="eastAsia" w:ascii="宋体" w:hAnsi="宋体" w:eastAsia="宋体" w:cs="宋体"/>
          <w:b/>
          <w:bCs/>
          <w:snapToGrid/>
          <w:color w:val="000000"/>
          <w:kern w:val="2"/>
          <w:sz w:val="21"/>
          <w:szCs w:val="21"/>
          <w:highlight w:val="none"/>
          <w:lang w:val="en-US" w:eastAsia="zh-CN" w:bidi="ar-SA"/>
        </w:rPr>
        <w:t>13、工程质量</w:t>
      </w:r>
      <w:bookmarkEnd w:id="888"/>
    </w:p>
    <w:p w14:paraId="142BC629">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13.2承包人的质量管理</w:t>
      </w:r>
    </w:p>
    <w:p w14:paraId="30FFDD6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13.2.1承包人应在施工现场设置专门的质量检查机构，配备专职质量检查人员，建立完善的质量检查制度。承包人应在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70E6C8E4">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13.7质量评定</w:t>
      </w:r>
    </w:p>
    <w:p w14:paraId="56AC2C16">
      <w:pPr>
        <w:pageBreakBefore w:val="0"/>
        <w:widowControl w:val="0"/>
        <w:kinsoku/>
        <w:wordWrap/>
        <w:overflowPunct/>
        <w:topLinePunct w:val="0"/>
        <w:autoSpaceDE w:val="0"/>
        <w:autoSpaceDN w:val="0"/>
        <w:bidi w:val="0"/>
        <w:adjustRightInd w:val="0"/>
        <w:snapToGrid w:val="0"/>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zh-CN" w:eastAsia="zh-CN" w:bidi="ar-SA"/>
        </w:rPr>
      </w:pPr>
      <w:r>
        <w:rPr>
          <w:rFonts w:hint="eastAsia" w:ascii="宋体" w:hAnsi="宋体" w:eastAsia="宋体" w:cs="宋体"/>
          <w:snapToGrid/>
          <w:kern w:val="2"/>
          <w:sz w:val="21"/>
          <w:szCs w:val="21"/>
          <w:highlight w:val="none"/>
          <w:lang w:val="zh-CN" w:eastAsia="zh-CN" w:bidi="ar-SA"/>
        </w:rPr>
        <w:t>13.7.4重要隐蔽单元工程和关键部位单元工程质量评定的约定：</w:t>
      </w:r>
      <w:r>
        <w:rPr>
          <w:rFonts w:hint="eastAsia" w:ascii="宋体" w:hAnsi="宋体" w:eastAsia="宋体" w:cs="宋体"/>
          <w:snapToGrid/>
          <w:kern w:val="2"/>
          <w:sz w:val="21"/>
          <w:szCs w:val="21"/>
          <w:highlight w:val="none"/>
          <w:u w:val="single"/>
          <w:lang w:val="zh-CN" w:eastAsia="zh-CN" w:bidi="ar-SA"/>
        </w:rPr>
        <w:t>合格</w:t>
      </w:r>
      <w:r>
        <w:rPr>
          <w:rFonts w:hint="eastAsia" w:ascii="宋体" w:hAnsi="宋体" w:eastAsia="宋体" w:cs="宋体"/>
          <w:snapToGrid/>
          <w:kern w:val="2"/>
          <w:sz w:val="21"/>
          <w:szCs w:val="21"/>
          <w:highlight w:val="none"/>
          <w:lang w:val="zh-CN" w:eastAsia="zh-CN" w:bidi="ar-SA"/>
        </w:rPr>
        <w:t>。</w:t>
      </w:r>
    </w:p>
    <w:p w14:paraId="752D9AFC">
      <w:pPr>
        <w:pageBreakBefore w:val="0"/>
        <w:widowControl w:val="0"/>
        <w:kinsoku/>
        <w:wordWrap/>
        <w:overflowPunct/>
        <w:topLinePunct w:val="0"/>
        <w:autoSpaceDE w:val="0"/>
        <w:autoSpaceDN w:val="0"/>
        <w:bidi w:val="0"/>
        <w:adjustRightInd w:val="0"/>
        <w:snapToGrid w:val="0"/>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zh-CN" w:eastAsia="zh-CN" w:bidi="ar-SA"/>
        </w:rPr>
      </w:pPr>
      <w:r>
        <w:rPr>
          <w:rFonts w:hint="eastAsia" w:ascii="宋体" w:hAnsi="宋体" w:eastAsia="宋体" w:cs="宋体"/>
          <w:snapToGrid/>
          <w:kern w:val="2"/>
          <w:sz w:val="21"/>
          <w:szCs w:val="21"/>
          <w:highlight w:val="none"/>
          <w:lang w:val="zh-CN" w:eastAsia="zh-CN" w:bidi="ar-SA"/>
        </w:rPr>
        <w:t>13.7.7工程合格标准为：</w:t>
      </w:r>
      <w:r>
        <w:rPr>
          <w:rFonts w:hint="eastAsia" w:ascii="宋体" w:hAnsi="宋体" w:eastAsia="宋体" w:cs="宋体"/>
          <w:b/>
          <w:bCs/>
          <w:snapToGrid/>
          <w:kern w:val="2"/>
          <w:sz w:val="21"/>
          <w:szCs w:val="21"/>
          <w:highlight w:val="none"/>
          <w:lang w:val="en-US" w:eastAsia="zh-CN" w:bidi="ar-SA"/>
        </w:rPr>
        <w:fldChar w:fldCharType="begin"/>
      </w:r>
      <w:r>
        <w:rPr>
          <w:rFonts w:hint="eastAsia" w:ascii="宋体" w:hAnsi="宋体" w:eastAsia="宋体" w:cs="宋体"/>
          <w:b/>
          <w:bCs/>
          <w:snapToGrid/>
          <w:kern w:val="2"/>
          <w:sz w:val="21"/>
          <w:szCs w:val="21"/>
          <w:highlight w:val="none"/>
          <w:lang w:val="en-US" w:eastAsia="zh-CN" w:bidi="ar-SA"/>
        </w:rPr>
        <w:instrText xml:space="preserve"> AUTOTEXT  input142 \* MERGEFORMAT </w:instrText>
      </w:r>
      <w:r>
        <w:rPr>
          <w:rFonts w:hint="eastAsia" w:ascii="宋体" w:hAnsi="宋体" w:eastAsia="宋体" w:cs="宋体"/>
          <w:b/>
          <w:bCs/>
          <w:snapToGrid/>
          <w:kern w:val="2"/>
          <w:sz w:val="21"/>
          <w:szCs w:val="21"/>
          <w:highlight w:val="none"/>
          <w:lang w:val="en-US" w:eastAsia="zh-CN" w:bidi="ar-SA"/>
        </w:rPr>
        <w:fldChar w:fldCharType="separate"/>
      </w:r>
      <w:r>
        <w:rPr>
          <w:rFonts w:hint="eastAsia" w:ascii="宋体" w:hAnsi="宋体" w:eastAsia="宋体" w:cs="宋体"/>
          <w:b/>
          <w:bCs/>
          <w:snapToGrid/>
          <w:color w:val="000000"/>
          <w:kern w:val="0"/>
          <w:sz w:val="21"/>
          <w:szCs w:val="21"/>
          <w:highlight w:val="none"/>
          <w:u w:val="single"/>
          <w:lang w:val="en-US" w:eastAsia="zh-CN" w:bidi="ar-SA"/>
        </w:rPr>
        <w:t>按现行的国家及水利行业相关法律法规、规范及相关技术要求</w:t>
      </w:r>
      <w:r>
        <w:rPr>
          <w:rFonts w:hint="eastAsia" w:ascii="宋体" w:hAnsi="宋体" w:eastAsia="宋体" w:cs="宋体"/>
          <w:b/>
          <w:bCs/>
          <w:snapToGrid/>
          <w:kern w:val="0"/>
          <w:sz w:val="21"/>
          <w:szCs w:val="21"/>
          <w:highlight w:val="none"/>
          <w:u w:val="single"/>
          <w:lang w:val="en-US" w:eastAsia="zh-CN" w:bidi="ar-SA"/>
        </w:rPr>
        <w:t>，一次性验收合格，</w:t>
      </w:r>
      <w:r>
        <w:rPr>
          <w:rFonts w:hint="eastAsia" w:ascii="宋体" w:hAnsi="宋体" w:eastAsia="宋体" w:cs="宋体"/>
          <w:b/>
          <w:bCs/>
          <w:snapToGrid/>
          <w:kern w:val="0"/>
          <w:sz w:val="21"/>
          <w:szCs w:val="21"/>
          <w:highlight w:val="none"/>
          <w:u w:val="single"/>
          <w:lang w:val="en-US" w:eastAsia="zh-CN" w:bidi="ar-SA"/>
        </w:rPr>
        <w:fldChar w:fldCharType="end"/>
      </w:r>
      <w:r>
        <w:rPr>
          <w:rFonts w:hint="eastAsia" w:ascii="宋体" w:hAnsi="宋体" w:eastAsia="宋体" w:cs="宋体"/>
          <w:b/>
          <w:bCs/>
          <w:snapToGrid/>
          <w:kern w:val="0"/>
          <w:sz w:val="21"/>
          <w:szCs w:val="21"/>
          <w:highlight w:val="none"/>
          <w:u w:val="single"/>
          <w:lang w:val="en-US" w:eastAsia="zh-CN" w:bidi="ar-SA"/>
        </w:rPr>
        <w:t>且根据水利行业相关要求实行质量终生责任制</w:t>
      </w:r>
      <w:r>
        <w:rPr>
          <w:rFonts w:hint="eastAsia" w:ascii="宋体" w:hAnsi="宋体" w:eastAsia="宋体" w:cs="宋体"/>
          <w:snapToGrid/>
          <w:kern w:val="2"/>
          <w:sz w:val="21"/>
          <w:szCs w:val="21"/>
          <w:highlight w:val="none"/>
          <w:lang w:val="zh-CN" w:eastAsia="zh-CN" w:bidi="ar-SA"/>
        </w:rPr>
        <w:t>；优良标准为：</w:t>
      </w:r>
      <w:r>
        <w:rPr>
          <w:rFonts w:hint="eastAsia" w:ascii="宋体" w:hAnsi="宋体" w:eastAsia="宋体" w:cs="宋体"/>
          <w:b/>
          <w:bCs/>
          <w:snapToGrid/>
          <w:kern w:val="2"/>
          <w:sz w:val="21"/>
          <w:szCs w:val="21"/>
          <w:highlight w:val="none"/>
          <w:lang w:val="en-US" w:eastAsia="zh-CN" w:bidi="ar-SA"/>
        </w:rPr>
        <w:fldChar w:fldCharType="begin"/>
      </w:r>
      <w:r>
        <w:rPr>
          <w:rFonts w:hint="eastAsia" w:ascii="宋体" w:hAnsi="宋体" w:eastAsia="宋体" w:cs="宋体"/>
          <w:b/>
          <w:bCs/>
          <w:snapToGrid/>
          <w:kern w:val="2"/>
          <w:sz w:val="21"/>
          <w:szCs w:val="21"/>
          <w:highlight w:val="none"/>
          <w:lang w:val="en-US" w:eastAsia="zh-CN" w:bidi="ar-SA"/>
        </w:rPr>
        <w:instrText xml:space="preserve"> AUTOTEXT  input142 \* MERGEFORMAT </w:instrText>
      </w:r>
      <w:r>
        <w:rPr>
          <w:rFonts w:hint="eastAsia" w:ascii="宋体" w:hAnsi="宋体" w:eastAsia="宋体" w:cs="宋体"/>
          <w:b/>
          <w:bCs/>
          <w:snapToGrid/>
          <w:kern w:val="2"/>
          <w:sz w:val="21"/>
          <w:szCs w:val="21"/>
          <w:highlight w:val="none"/>
          <w:lang w:val="en-US" w:eastAsia="zh-CN" w:bidi="ar-SA"/>
        </w:rPr>
        <w:fldChar w:fldCharType="separate"/>
      </w:r>
      <w:r>
        <w:rPr>
          <w:rFonts w:hint="eastAsia" w:ascii="宋体" w:hAnsi="宋体" w:eastAsia="宋体" w:cs="宋体"/>
          <w:b/>
          <w:bCs/>
          <w:snapToGrid/>
          <w:color w:val="000000"/>
          <w:kern w:val="0"/>
          <w:sz w:val="21"/>
          <w:szCs w:val="21"/>
          <w:highlight w:val="none"/>
          <w:u w:val="single"/>
          <w:lang w:val="en-US" w:eastAsia="zh-CN" w:bidi="ar-SA"/>
        </w:rPr>
        <w:t>按现行的国家及水利行业相关法律法规、规范及相关技术要求</w:t>
      </w:r>
      <w:r>
        <w:rPr>
          <w:rFonts w:hint="eastAsia" w:ascii="宋体" w:hAnsi="宋体" w:eastAsia="宋体" w:cs="宋体"/>
          <w:b/>
          <w:bCs/>
          <w:snapToGrid/>
          <w:kern w:val="0"/>
          <w:sz w:val="21"/>
          <w:szCs w:val="21"/>
          <w:highlight w:val="none"/>
          <w:u w:val="single"/>
          <w:lang w:val="en-US" w:eastAsia="zh-CN" w:bidi="ar-SA"/>
        </w:rPr>
        <w:fldChar w:fldCharType="end"/>
      </w:r>
      <w:r>
        <w:rPr>
          <w:rFonts w:hint="eastAsia" w:ascii="宋体" w:hAnsi="宋体" w:eastAsia="宋体" w:cs="宋体"/>
          <w:snapToGrid/>
          <w:kern w:val="2"/>
          <w:sz w:val="21"/>
          <w:szCs w:val="21"/>
          <w:highlight w:val="none"/>
          <w:lang w:val="zh-CN" w:eastAsia="zh-CN" w:bidi="ar-SA"/>
        </w:rPr>
        <w:t>。达到优良的奖金为：</w:t>
      </w:r>
      <w:r>
        <w:rPr>
          <w:rFonts w:hint="eastAsia" w:ascii="宋体" w:hAnsi="宋体" w:eastAsia="宋体" w:cs="宋体"/>
          <w:snapToGrid/>
          <w:kern w:val="2"/>
          <w:sz w:val="21"/>
          <w:szCs w:val="21"/>
          <w:highlight w:val="none"/>
          <w:u w:val="single"/>
          <w:lang w:val="zh-CN" w:eastAsia="zh-CN" w:bidi="ar-SA"/>
        </w:rPr>
        <w:t>无奖励</w:t>
      </w:r>
      <w:r>
        <w:rPr>
          <w:rFonts w:hint="eastAsia" w:ascii="宋体" w:hAnsi="宋体" w:eastAsia="宋体" w:cs="宋体"/>
          <w:snapToGrid/>
          <w:kern w:val="2"/>
          <w:sz w:val="21"/>
          <w:szCs w:val="21"/>
          <w:highlight w:val="none"/>
          <w:lang w:val="zh-CN" w:eastAsia="zh-CN" w:bidi="ar-SA"/>
        </w:rPr>
        <w:t>。</w:t>
      </w:r>
    </w:p>
    <w:p w14:paraId="2C387457">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13.8质量事故处理</w:t>
      </w:r>
    </w:p>
    <w:p w14:paraId="1EA3D04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2"/>
          <w:sz w:val="21"/>
          <w:szCs w:val="21"/>
          <w:highlight w:val="none"/>
          <w:lang w:val="zh-CN" w:eastAsia="zh-CN" w:bidi="ar-SA"/>
        </w:rPr>
        <w:t>13.8.4工程竣工验收时，</w:t>
      </w:r>
      <w:r>
        <w:rPr>
          <w:rFonts w:hint="eastAsia" w:ascii="宋体" w:hAnsi="宋体" w:eastAsia="宋体" w:cs="宋体"/>
          <w:snapToGrid/>
          <w:kern w:val="2"/>
          <w:sz w:val="21"/>
          <w:szCs w:val="21"/>
          <w:highlight w:val="none"/>
          <w:u w:val="single"/>
          <w:lang w:val="zh-CN" w:eastAsia="zh-CN" w:bidi="ar-SA"/>
        </w:rPr>
        <w:t>由监理单位</w:t>
      </w:r>
      <w:r>
        <w:rPr>
          <w:rFonts w:hint="eastAsia" w:ascii="宋体" w:hAnsi="宋体" w:eastAsia="宋体" w:cs="宋体"/>
          <w:snapToGrid/>
          <w:kern w:val="2"/>
          <w:sz w:val="21"/>
          <w:szCs w:val="21"/>
          <w:highlight w:val="none"/>
          <w:lang w:val="zh-CN" w:eastAsia="zh-CN" w:bidi="ar-SA"/>
        </w:rPr>
        <w:t>向竣工验收委员会汇报并提交历次质量缺陷处理的备案资料。</w:t>
      </w:r>
    </w:p>
    <w:p w14:paraId="103D5E08">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89" w:name="_Toc274933698"/>
      <w:r>
        <w:rPr>
          <w:rFonts w:hint="eastAsia" w:ascii="宋体" w:hAnsi="宋体" w:eastAsia="宋体" w:cs="宋体"/>
          <w:b/>
          <w:bCs/>
          <w:snapToGrid/>
          <w:color w:val="000000"/>
          <w:kern w:val="2"/>
          <w:sz w:val="21"/>
          <w:szCs w:val="21"/>
          <w:highlight w:val="none"/>
          <w:lang w:val="en-US" w:eastAsia="zh-CN" w:bidi="ar-SA"/>
        </w:rPr>
        <w:t>14．试验和检验</w:t>
      </w:r>
      <w:bookmarkEnd w:id="889"/>
    </w:p>
    <w:p w14:paraId="3832335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14.2现场材料试验</w:t>
      </w:r>
    </w:p>
    <w:p w14:paraId="59A65A4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本条增加：</w:t>
      </w:r>
    </w:p>
    <w:p w14:paraId="119278F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14.1.1工程所用原材料及中间产品试验需送省、州（或）县级具有水利资质质检部门试验时，承包人应经监理人见证取样后送上述质检部门进行试验，费用由承包人承担。</w:t>
      </w:r>
    </w:p>
    <w:p w14:paraId="63A4C92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14.2.1质量保证及保修期</w:t>
      </w:r>
    </w:p>
    <w:p w14:paraId="2A5A217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承包人应保证其提供的货物是全新的、未使用过的，并在各个方面符合合同规定的质量、规格和性能。承包人应保证其货物经过正确安装、正常操作和保养在货物寿命期内运转良好。在规定的质量保证期内，承包人应对由于设计、工艺或材料的缺陷而发生的任何材料质量问题负责。出现上述情况，承包人应在3天内，免费负责修理或更换有缺陷的零部件或整机并相应延长此保修期。</w:t>
      </w:r>
    </w:p>
    <w:p w14:paraId="5D4F2D4E">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本合同规定质量保修期为一年，自工程竣工验收合格之日算起。</w:t>
      </w:r>
    </w:p>
    <w:p w14:paraId="4AA6D414">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90" w:name="_Toc222029539"/>
      <w:bookmarkStart w:id="891" w:name="_Toc274933699"/>
      <w:bookmarkStart w:id="892" w:name="_Toc222032708"/>
      <w:bookmarkStart w:id="893" w:name="_Toc222033890"/>
      <w:bookmarkStart w:id="894" w:name="_Toc229305396"/>
      <w:bookmarkStart w:id="895" w:name="_Toc221951213"/>
      <w:bookmarkStart w:id="896" w:name="_Toc222031041"/>
      <w:r>
        <w:rPr>
          <w:rFonts w:hint="eastAsia" w:ascii="宋体" w:hAnsi="宋体" w:eastAsia="宋体" w:cs="宋体"/>
          <w:b/>
          <w:bCs/>
          <w:snapToGrid/>
          <w:color w:val="000000"/>
          <w:kern w:val="2"/>
          <w:sz w:val="21"/>
          <w:szCs w:val="21"/>
          <w:highlight w:val="none"/>
          <w:lang w:val="en-US" w:eastAsia="zh-CN" w:bidi="ar-SA"/>
        </w:rPr>
        <w:t>15．变更</w:t>
      </w:r>
      <w:bookmarkEnd w:id="890"/>
      <w:bookmarkEnd w:id="891"/>
      <w:bookmarkEnd w:id="892"/>
      <w:bookmarkEnd w:id="893"/>
      <w:bookmarkEnd w:id="894"/>
      <w:bookmarkEnd w:id="895"/>
      <w:bookmarkEnd w:id="896"/>
    </w:p>
    <w:p w14:paraId="50AF81BC">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15.1变更的范围和内容</w:t>
      </w:r>
    </w:p>
    <w:p w14:paraId="39FF095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删去本款（6）之后全文，并增加：</w:t>
      </w:r>
    </w:p>
    <w:p w14:paraId="01E64AD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已标价的《工程量清单》中列示的项目，无论增加或减少工程量，其《工程量清单》中的单价均不作调整。</w:t>
      </w:r>
    </w:p>
    <w:p w14:paraId="0262212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15.4变更的估价原则</w:t>
      </w:r>
    </w:p>
    <w:p w14:paraId="42672F53">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15.4.1已标价工程量清单中有适用于变更工作的子目的，采用该子目的单价。</w:t>
      </w:r>
    </w:p>
    <w:p w14:paraId="4742BD1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15.4.2已标价工程量清单中无适用于变更工作的子目，但有类似子目的，可在合同范围内参照类似子目的单价，由监理人按第3.5款商定或确定变更工作的单价并报发包人批准。</w:t>
      </w:r>
    </w:p>
    <w:p w14:paraId="7ED085FC">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15.4.3已标价工程量清单中无适用或类似子目的单价，由承包人按第3.5款商定或确定变更工作的单价或参照国家相关部门颁发的定额子目按投标报价的编制水平编制补充单价报给监理人审核，并报发包人批准。</w:t>
      </w:r>
    </w:p>
    <w:p w14:paraId="34F4E1C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15.4.4编制新增项目单价应与投标报价所采用的人工、材料、机械的基价、采用定额及取费标准等保持一致。</w:t>
      </w:r>
    </w:p>
    <w:p w14:paraId="3D208F4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15.4.5新增项目单价编制由建设方、施工方、监理方共同编制签证；</w:t>
      </w:r>
    </w:p>
    <w:p w14:paraId="5CC78CB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15.4.6新编制的单价应加盖有相应资质人员的资质章、无加盖编制人员资质章的监理不予审查。</w:t>
      </w:r>
    </w:p>
    <w:p w14:paraId="733F1AC3">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97" w:name="_Toc274933700"/>
      <w:bookmarkStart w:id="898" w:name="_Toc229305397"/>
      <w:r>
        <w:rPr>
          <w:rFonts w:hint="eastAsia" w:ascii="宋体" w:hAnsi="宋体" w:eastAsia="宋体" w:cs="宋体"/>
          <w:b/>
          <w:bCs/>
          <w:snapToGrid/>
          <w:color w:val="000000"/>
          <w:kern w:val="2"/>
          <w:sz w:val="21"/>
          <w:szCs w:val="21"/>
          <w:highlight w:val="none"/>
          <w:lang w:val="en-US" w:eastAsia="zh-CN" w:bidi="ar-SA"/>
        </w:rPr>
        <w:t>16．价格调整</w:t>
      </w:r>
      <w:bookmarkEnd w:id="897"/>
      <w:bookmarkEnd w:id="898"/>
    </w:p>
    <w:p w14:paraId="0F3E3C71">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16.1物价波动引起的价格调整</w:t>
      </w:r>
    </w:p>
    <w:p w14:paraId="27CF7553">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删去本文，并代之以：</w:t>
      </w:r>
    </w:p>
    <w:p w14:paraId="4E18E30C">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物价波动引起的价格调整方式：</w:t>
      </w:r>
      <w:r>
        <w:rPr>
          <w:rFonts w:hint="eastAsia" w:ascii="宋体" w:hAnsi="宋体" w:eastAsia="宋体" w:cs="宋体"/>
          <w:snapToGrid/>
          <w:color w:val="000000"/>
          <w:kern w:val="2"/>
          <w:sz w:val="21"/>
          <w:szCs w:val="21"/>
          <w:highlight w:val="none"/>
          <w:u w:val="single"/>
          <w:lang w:val="en-US" w:eastAsia="zh-CN" w:bidi="ar-SA"/>
        </w:rPr>
        <w:t>双方合同签订时协商。</w:t>
      </w:r>
    </w:p>
    <w:p w14:paraId="334BE727">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99" w:name="_Toc274933701"/>
      <w:bookmarkStart w:id="900" w:name="_Toc229305398"/>
      <w:bookmarkStart w:id="901" w:name="_Toc222033891"/>
      <w:bookmarkStart w:id="902" w:name="_Toc221951223"/>
      <w:bookmarkStart w:id="903" w:name="_Toc222031042"/>
      <w:bookmarkStart w:id="904" w:name="_Toc222029540"/>
      <w:bookmarkStart w:id="905" w:name="_Toc222032709"/>
      <w:r>
        <w:rPr>
          <w:rFonts w:hint="eastAsia" w:ascii="宋体" w:hAnsi="宋体" w:eastAsia="宋体" w:cs="宋体"/>
          <w:b/>
          <w:bCs/>
          <w:snapToGrid/>
          <w:color w:val="000000"/>
          <w:kern w:val="2"/>
          <w:sz w:val="21"/>
          <w:szCs w:val="21"/>
          <w:highlight w:val="none"/>
          <w:lang w:val="en-US" w:eastAsia="zh-CN" w:bidi="ar-SA"/>
        </w:rPr>
        <w:t>17．计量与支付</w:t>
      </w:r>
      <w:bookmarkEnd w:id="899"/>
      <w:bookmarkEnd w:id="900"/>
      <w:bookmarkEnd w:id="901"/>
      <w:bookmarkEnd w:id="902"/>
      <w:bookmarkEnd w:id="903"/>
      <w:bookmarkEnd w:id="904"/>
      <w:bookmarkEnd w:id="905"/>
    </w:p>
    <w:p w14:paraId="594797BD">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906" w:name="_Toc221951224"/>
      <w:r>
        <w:rPr>
          <w:rFonts w:hint="eastAsia" w:ascii="宋体" w:hAnsi="宋体" w:eastAsia="宋体" w:cs="宋体"/>
          <w:b/>
          <w:snapToGrid/>
          <w:color w:val="000000"/>
          <w:kern w:val="2"/>
          <w:sz w:val="21"/>
          <w:szCs w:val="21"/>
          <w:highlight w:val="none"/>
          <w:lang w:val="en-US" w:eastAsia="zh-CN" w:bidi="ar-SA"/>
        </w:rPr>
        <w:t>17.1计量</w:t>
      </w:r>
    </w:p>
    <w:p w14:paraId="422FBFE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删去本款，并代之以：</w:t>
      </w:r>
    </w:p>
    <w:p w14:paraId="01D04EA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按承包方实际完成的工程量，由承包方上报并经监理工程师、建设单位共同确认的工程量计量及按本合同《技术条款》的有关规定执行。</w:t>
      </w:r>
    </w:p>
    <w:p w14:paraId="036ADFB7">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17.2预付款</w:t>
      </w:r>
      <w:bookmarkEnd w:id="906"/>
      <w:r>
        <w:rPr>
          <w:rFonts w:hint="eastAsia" w:ascii="宋体" w:hAnsi="宋体" w:eastAsia="宋体" w:cs="宋体"/>
          <w:b/>
          <w:snapToGrid/>
          <w:color w:val="000000"/>
          <w:kern w:val="2"/>
          <w:sz w:val="21"/>
          <w:szCs w:val="21"/>
          <w:highlight w:val="none"/>
          <w:lang w:val="en-US" w:eastAsia="zh-CN" w:bidi="ar-SA"/>
        </w:rPr>
        <w:t>：</w:t>
      </w:r>
    </w:p>
    <w:p w14:paraId="5DB642E3">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default" w:ascii="宋体" w:hAnsi="宋体" w:eastAsia="宋体" w:cs="宋体"/>
          <w:b w:val="0"/>
          <w:bCs/>
          <w:snapToGrid/>
          <w:kern w:val="2"/>
          <w:sz w:val="21"/>
          <w:szCs w:val="21"/>
          <w:highlight w:val="none"/>
          <w:u w:val="none"/>
          <w:lang w:val="en-US" w:eastAsia="zh-CN" w:bidi="ar-SA"/>
        </w:rPr>
      </w:pPr>
      <w:r>
        <w:rPr>
          <w:rFonts w:hint="eastAsia" w:ascii="宋体" w:hAnsi="宋体" w:eastAsia="宋体" w:cs="宋体"/>
          <w:b w:val="0"/>
          <w:bCs/>
          <w:snapToGrid/>
          <w:color w:val="000000"/>
          <w:kern w:val="2"/>
          <w:sz w:val="21"/>
          <w:szCs w:val="21"/>
          <w:highlight w:val="none"/>
          <w:u w:val="none"/>
          <w:lang w:val="en-US" w:eastAsia="zh-CN" w:bidi="ar-SA"/>
        </w:rPr>
        <w:t>按合同约定进行办理。</w:t>
      </w:r>
    </w:p>
    <w:p w14:paraId="4C3265D7">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17.3工程进度款</w:t>
      </w:r>
    </w:p>
    <w:p w14:paraId="58A667C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u w:val="none"/>
          <w:lang w:val="en-US" w:eastAsia="zh-CN" w:bidi="ar-SA"/>
        </w:rPr>
      </w:pPr>
      <w:r>
        <w:rPr>
          <w:rFonts w:hint="eastAsia" w:ascii="宋体" w:hAnsi="宋体" w:eastAsia="宋体" w:cs="宋体"/>
          <w:snapToGrid/>
          <w:color w:val="000000"/>
          <w:kern w:val="2"/>
          <w:sz w:val="21"/>
          <w:szCs w:val="21"/>
          <w:highlight w:val="none"/>
          <w:u w:val="none"/>
          <w:lang w:val="en-US" w:eastAsia="zh-CN" w:bidi="ar-SA"/>
        </w:rPr>
        <w:t>每月实际支付金额，按监理人审核的月进度付款申请单中支付申请单中金额的90</w:t>
      </w:r>
      <w:r>
        <w:rPr>
          <w:rFonts w:hint="eastAsia" w:ascii="宋体" w:hAnsi="宋体" w:eastAsia="宋体" w:cs="宋体"/>
          <w:bCs/>
          <w:snapToGrid/>
          <w:kern w:val="2"/>
          <w:sz w:val="21"/>
          <w:szCs w:val="21"/>
          <w:highlight w:val="none"/>
          <w:u w:val="none"/>
          <w:lang w:val="en-US" w:eastAsia="zh-CN" w:bidi="ar-SA"/>
        </w:rPr>
        <w:t>%，</w:t>
      </w:r>
      <w:r>
        <w:rPr>
          <w:rFonts w:hint="eastAsia" w:ascii="宋体" w:hAnsi="宋体" w:eastAsia="宋体" w:cs="宋体"/>
          <w:snapToGrid/>
          <w:kern w:val="2"/>
          <w:sz w:val="21"/>
          <w:szCs w:val="21"/>
          <w:highlight w:val="none"/>
          <w:u w:val="none"/>
          <w:lang w:val="en-US" w:eastAsia="zh-CN" w:bidi="ar-SA"/>
        </w:rPr>
        <w:fldChar w:fldCharType="begin"/>
      </w:r>
      <w:r>
        <w:rPr>
          <w:rFonts w:hint="eastAsia" w:ascii="宋体" w:hAnsi="宋体" w:eastAsia="宋体" w:cs="宋体"/>
          <w:snapToGrid/>
          <w:kern w:val="2"/>
          <w:sz w:val="21"/>
          <w:szCs w:val="21"/>
          <w:highlight w:val="none"/>
          <w:u w:val="none"/>
          <w:lang w:val="en-US" w:eastAsia="zh-CN" w:bidi="ar-SA"/>
        </w:rPr>
        <w:instrText xml:space="preserve"> AUTOTEXT  input531 \* MERGEFORMAT </w:instrText>
      </w:r>
      <w:r>
        <w:rPr>
          <w:rFonts w:hint="eastAsia" w:ascii="宋体" w:hAnsi="宋体" w:eastAsia="宋体" w:cs="宋体"/>
          <w:snapToGrid/>
          <w:kern w:val="2"/>
          <w:sz w:val="21"/>
          <w:szCs w:val="21"/>
          <w:highlight w:val="none"/>
          <w:u w:val="none"/>
          <w:lang w:val="en-US" w:eastAsia="zh-CN" w:bidi="ar-SA"/>
        </w:rPr>
        <w:fldChar w:fldCharType="separate"/>
      </w:r>
      <w:r>
        <w:rPr>
          <w:rFonts w:hint="eastAsia" w:ascii="宋体" w:hAnsi="宋体" w:eastAsia="宋体" w:cs="宋体"/>
          <w:snapToGrid/>
          <w:kern w:val="2"/>
          <w:sz w:val="21"/>
          <w:szCs w:val="21"/>
          <w:highlight w:val="none"/>
          <w:u w:val="none"/>
          <w:lang w:val="en-US" w:eastAsia="zh-CN" w:bidi="ar-SA"/>
        </w:rPr>
        <w:t>本工程竣工验收并交齐竣工结算资料时支付至合同价款90%，工程决算审计结果产生后支付至审计结果总造价的97%，剩余3%部分作为质量保修金，保修期满处理完质量问题后无息退还。</w:t>
      </w:r>
      <w:r>
        <w:rPr>
          <w:rFonts w:hint="eastAsia" w:ascii="宋体" w:hAnsi="宋体" w:eastAsia="宋体" w:cs="宋体"/>
          <w:snapToGrid/>
          <w:kern w:val="2"/>
          <w:sz w:val="21"/>
          <w:szCs w:val="21"/>
          <w:highlight w:val="none"/>
          <w:u w:val="none"/>
          <w:lang w:val="en-US" w:eastAsia="zh-CN" w:bidi="ar-SA"/>
        </w:rPr>
        <w:fldChar w:fldCharType="end"/>
      </w:r>
    </w:p>
    <w:p w14:paraId="55ABEF3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907" w:name="_Toc221951260"/>
      <w:r>
        <w:rPr>
          <w:rFonts w:hint="eastAsia" w:ascii="宋体" w:hAnsi="宋体" w:eastAsia="宋体" w:cs="宋体"/>
          <w:b/>
          <w:snapToGrid/>
          <w:color w:val="000000"/>
          <w:kern w:val="2"/>
          <w:sz w:val="21"/>
          <w:szCs w:val="21"/>
          <w:highlight w:val="none"/>
          <w:lang w:val="en-US" w:eastAsia="zh-CN" w:bidi="ar-SA"/>
        </w:rPr>
        <w:t>17.4质量保证金</w:t>
      </w:r>
      <w:bookmarkEnd w:id="907"/>
    </w:p>
    <w:p w14:paraId="06D610A9">
      <w:pPr>
        <w:pageBreakBefore w:val="0"/>
        <w:widowControl/>
        <w:kinsoku/>
        <w:wordWrap/>
        <w:overflowPunct/>
        <w:topLinePunct w:val="0"/>
        <w:autoSpaceDE/>
        <w:autoSpaceDN/>
        <w:bidi w:val="0"/>
        <w:adjustRightInd/>
        <w:snapToGrid/>
        <w:spacing w:after="0" w:line="480" w:lineRule="exact"/>
        <w:ind w:right="0" w:firstLine="420" w:firstLineChars="200"/>
        <w:jc w:val="left"/>
        <w:textAlignment w:val="auto"/>
        <w:rPr>
          <w:rFonts w:hint="eastAsia" w:ascii="宋体" w:hAnsi="宋体" w:eastAsia="宋体" w:cs="宋体"/>
          <w:snapToGrid/>
          <w:color w:val="000000"/>
          <w:kern w:val="2"/>
          <w:sz w:val="21"/>
          <w:szCs w:val="21"/>
          <w:highlight w:val="none"/>
          <w:lang w:val="en-US" w:eastAsia="zh-CN" w:bidi="ar-SA"/>
        </w:rPr>
      </w:pPr>
      <w:bookmarkStart w:id="908" w:name="_Toc221951265"/>
      <w:r>
        <w:rPr>
          <w:rFonts w:hint="eastAsia" w:ascii="宋体" w:hAnsi="宋体" w:eastAsia="宋体" w:cs="宋体"/>
          <w:snapToGrid/>
          <w:color w:val="000000"/>
          <w:kern w:val="2"/>
          <w:sz w:val="21"/>
          <w:szCs w:val="21"/>
          <w:highlight w:val="none"/>
          <w:lang w:val="en-US" w:eastAsia="zh-CN" w:bidi="ar-SA"/>
        </w:rPr>
        <w:t>质量保证金总额为签约合同价的3%</w:t>
      </w:r>
    </w:p>
    <w:p w14:paraId="4F906FCE">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17.5竣工（完工）结算</w:t>
      </w:r>
      <w:bookmarkEnd w:id="908"/>
    </w:p>
    <w:p w14:paraId="5F9F930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909" w:name="_Toc221951266"/>
      <w:r>
        <w:rPr>
          <w:rFonts w:hint="eastAsia" w:ascii="宋体" w:hAnsi="宋体" w:eastAsia="宋体" w:cs="宋体"/>
          <w:snapToGrid/>
          <w:color w:val="000000"/>
          <w:kern w:val="2"/>
          <w:sz w:val="21"/>
          <w:szCs w:val="21"/>
          <w:highlight w:val="none"/>
          <w:lang w:val="en-US" w:eastAsia="zh-CN" w:bidi="ar-SA"/>
        </w:rPr>
        <w:t>17.5.1竣工付款申请单</w:t>
      </w:r>
      <w:bookmarkEnd w:id="909"/>
    </w:p>
    <w:p w14:paraId="6268A98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910" w:name="_Toc221951267"/>
      <w:r>
        <w:rPr>
          <w:rFonts w:hint="eastAsia" w:ascii="宋体" w:hAnsi="宋体" w:eastAsia="宋体" w:cs="宋体"/>
          <w:snapToGrid/>
          <w:color w:val="000000"/>
          <w:kern w:val="2"/>
          <w:sz w:val="21"/>
          <w:szCs w:val="21"/>
          <w:highlight w:val="none"/>
          <w:lang w:val="en-US" w:eastAsia="zh-CN" w:bidi="ar-SA"/>
        </w:rPr>
        <w:t>（1）在本合同工程移交证书颁发后的28天内，承包人应按监理人批准的格式提交一份竣工付款申请单（一式四份）。并提供相关证明材料。竣工付款申请单应包括下列内容：竣工结算合同总价、发包人已支付承包人的工程价款、应扣留的质量保证金、应支付款金额、承包人认为根据合同应支付给其的追加金额和其他金额。</w:t>
      </w:r>
      <w:bookmarkEnd w:id="910"/>
    </w:p>
    <w:p w14:paraId="1DAACD8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（2）最终结算价款以审计部门审核确定的为准。</w:t>
      </w:r>
    </w:p>
    <w:p w14:paraId="7E1FFE77">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911" w:name="_Toc221951268"/>
      <w:r>
        <w:rPr>
          <w:rFonts w:hint="eastAsia" w:ascii="宋体" w:hAnsi="宋体" w:eastAsia="宋体" w:cs="宋体"/>
          <w:b/>
          <w:snapToGrid/>
          <w:color w:val="000000"/>
          <w:kern w:val="2"/>
          <w:sz w:val="21"/>
          <w:szCs w:val="21"/>
          <w:highlight w:val="none"/>
          <w:lang w:val="en-US" w:eastAsia="zh-CN" w:bidi="ar-SA"/>
        </w:rPr>
        <w:t>17.6最终结清</w:t>
      </w:r>
      <w:bookmarkEnd w:id="911"/>
    </w:p>
    <w:p w14:paraId="7979EEB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17.61最终结清申请单</w:t>
      </w:r>
    </w:p>
    <w:p w14:paraId="1803EE0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（1）缺陷责任期终止证书签发后的28天内，承包人按监理人批准的格式向监理人提交一份最终付款申请单（一式四份）</w:t>
      </w:r>
    </w:p>
    <w:p w14:paraId="600CAB77">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912" w:name="_Toc222033892"/>
      <w:bookmarkStart w:id="913" w:name="_Toc274933702"/>
      <w:bookmarkStart w:id="914" w:name="_Toc222032710"/>
      <w:bookmarkStart w:id="915" w:name="_Toc229305399"/>
      <w:bookmarkStart w:id="916" w:name="_Toc222031043"/>
      <w:bookmarkStart w:id="917" w:name="_Toc222029541"/>
      <w:bookmarkStart w:id="918" w:name="_Toc221951271"/>
      <w:r>
        <w:rPr>
          <w:rFonts w:hint="eastAsia" w:ascii="宋体" w:hAnsi="宋体" w:eastAsia="宋体" w:cs="宋体"/>
          <w:b/>
          <w:bCs/>
          <w:snapToGrid/>
          <w:color w:val="000000"/>
          <w:kern w:val="2"/>
          <w:sz w:val="21"/>
          <w:szCs w:val="21"/>
          <w:highlight w:val="none"/>
          <w:lang w:val="en-US" w:eastAsia="zh-CN" w:bidi="ar-SA"/>
        </w:rPr>
        <w:t>18．竣工验收</w:t>
      </w:r>
      <w:bookmarkEnd w:id="912"/>
      <w:bookmarkEnd w:id="913"/>
      <w:bookmarkEnd w:id="914"/>
      <w:bookmarkEnd w:id="915"/>
      <w:bookmarkEnd w:id="916"/>
      <w:bookmarkEnd w:id="917"/>
      <w:bookmarkEnd w:id="918"/>
    </w:p>
    <w:p w14:paraId="7FC36EE6">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919" w:name="_Toc274933703"/>
      <w:r>
        <w:rPr>
          <w:rFonts w:hint="eastAsia" w:ascii="宋体" w:hAnsi="宋体" w:eastAsia="宋体" w:cs="宋体"/>
          <w:b/>
          <w:bCs/>
          <w:snapToGrid/>
          <w:color w:val="000000"/>
          <w:kern w:val="2"/>
          <w:sz w:val="21"/>
          <w:szCs w:val="21"/>
          <w:highlight w:val="none"/>
          <w:lang w:val="en-US" w:eastAsia="zh-CN" w:bidi="ar-SA"/>
        </w:rPr>
        <w:t>19．缺陷责任与保修责任</w:t>
      </w:r>
      <w:bookmarkEnd w:id="919"/>
    </w:p>
    <w:p w14:paraId="47FDC30A">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19.1缺陷责任期（工程质量保修期）的起算时间</w:t>
      </w:r>
    </w:p>
    <w:p w14:paraId="31FB8FC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本工程缺陷责任期（工程质量保修期）的起算时间：自竣工验收合格之日起算。本工程保修期为一年。</w:t>
      </w:r>
    </w:p>
    <w:p w14:paraId="17242A80">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920" w:name="_Toc222031044"/>
      <w:bookmarkStart w:id="921" w:name="_Toc222033893"/>
      <w:bookmarkStart w:id="922" w:name="_Toc274933704"/>
      <w:bookmarkStart w:id="923" w:name="_Toc222032711"/>
      <w:bookmarkStart w:id="924" w:name="_Toc221951299"/>
      <w:bookmarkStart w:id="925" w:name="_Toc229305400"/>
      <w:bookmarkStart w:id="926" w:name="_Toc222029542"/>
      <w:r>
        <w:rPr>
          <w:rFonts w:hint="eastAsia" w:ascii="宋体" w:hAnsi="宋体" w:eastAsia="宋体" w:cs="宋体"/>
          <w:b/>
          <w:bCs/>
          <w:snapToGrid/>
          <w:color w:val="000000"/>
          <w:kern w:val="2"/>
          <w:sz w:val="21"/>
          <w:szCs w:val="21"/>
          <w:highlight w:val="none"/>
          <w:lang w:val="en-US" w:eastAsia="zh-CN" w:bidi="ar-SA"/>
        </w:rPr>
        <w:t>20．保险</w:t>
      </w:r>
      <w:bookmarkEnd w:id="920"/>
      <w:bookmarkEnd w:id="921"/>
      <w:bookmarkEnd w:id="922"/>
      <w:bookmarkEnd w:id="923"/>
      <w:bookmarkEnd w:id="924"/>
      <w:bookmarkEnd w:id="925"/>
      <w:bookmarkEnd w:id="926"/>
    </w:p>
    <w:p w14:paraId="3C52859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927" w:name="_Toc283676089"/>
      <w:r>
        <w:rPr>
          <w:rFonts w:hint="eastAsia" w:ascii="宋体" w:hAnsi="宋体" w:eastAsia="宋体" w:cs="宋体"/>
          <w:snapToGrid/>
          <w:color w:val="000000"/>
          <w:kern w:val="2"/>
          <w:sz w:val="21"/>
          <w:szCs w:val="21"/>
          <w:highlight w:val="none"/>
          <w:lang w:val="en-US" w:eastAsia="zh-CN" w:bidi="ar-SA"/>
        </w:rPr>
        <w:t>各方按相关规定购买，费用自理。</w:t>
      </w:r>
    </w:p>
    <w:p w14:paraId="6447977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第三者责任险由承包人负责投保，费用不单独列项，包含在承包人的总报价内。</w:t>
      </w:r>
    </w:p>
    <w:p w14:paraId="4074B5C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需要投保的其他内容：无。</w:t>
      </w:r>
    </w:p>
    <w:p w14:paraId="70F58B8B">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22.违约</w:t>
      </w:r>
      <w:bookmarkEnd w:id="927"/>
    </w:p>
    <w:p w14:paraId="1C9557B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22.1承包人违约</w:t>
      </w:r>
    </w:p>
    <w:p w14:paraId="1A962D2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承包人在没有发包人同意的情况下，不能任意更换项目经理和技术负责人，如更换项目经理和技术负责人需报监理人审核和发包人批准，更换项目经理和技术负责人的资质和工作业绩不得低于投标文件中项目经理和技术负责人的标准。如未经发包人批准更换将造成违约，将扣违约金5000元。</w:t>
      </w:r>
    </w:p>
    <w:p w14:paraId="78FEBA3C">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2、项目经理未能按要求每月驻工地20天的，应向承包人罚款500元/天。技术负责人未能按要求每月驻工地22天的，应向承包人罚款500元/天，均在当期进度款中扣除，罚款累计总额不超过签约合同价的2%。</w:t>
      </w:r>
    </w:p>
    <w:p w14:paraId="0F0EA00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3、承包人不及时支付农民工工资和材料款造成窝工、阻工或其他群体性事件的，影响工程施工工期的，除接受劳动监察部门处罚整改外，还应向发包人支付5000元/次的违约金，违约金自承包人工程进度款中扣除，其次发包人将材料款直接支付给材料供应商，其材料款支付程序为：发包人组织会议，材料供应商向发包人举证，三方确定欠款，承包人出具委托支付函给发包人并向供应商付款，款项从工程进度款中扣除，发票按照施工合同关系开具，罚款累计总额不超过签约合同价的5%。</w:t>
      </w:r>
    </w:p>
    <w:p w14:paraId="03B4EAA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4、当承包人不积极履行和配合上一条款中支付程序时，造成工程建设情况进一步恶化时，发包人有权向承包人处以5000元/次的违约罚款，并向承包人单位所在地行业主管部门和项目所在地州（市）级行业主管部门举报。</w:t>
      </w:r>
    </w:p>
    <w:p w14:paraId="69C0B00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22.2发包人违约</w:t>
      </w:r>
    </w:p>
    <w:p w14:paraId="4DADE69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22.2.1发包人违约的情形</w:t>
      </w:r>
    </w:p>
    <w:p w14:paraId="305F651F">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在履行合同过程中发生的下列情形，属发包人违约：</w:t>
      </w:r>
    </w:p>
    <w:p w14:paraId="406BD52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（1）发包人未能按合同约定支付预付款或合同价款，或拖延、拒绝批准付款申请和支付凭证，导致付款延误的；</w:t>
      </w:r>
    </w:p>
    <w:p w14:paraId="1D13888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（2）发包人原因造成停工的；</w:t>
      </w:r>
    </w:p>
    <w:p w14:paraId="1BA96F6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（3）监理人无正当理由没有在约定期限内发出复工指示，导致承包人无法复工的；</w:t>
      </w:r>
    </w:p>
    <w:p w14:paraId="45E1A23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（4）发包人无法继续履行或明确表示不履行或实质上已停止履行合同的；</w:t>
      </w:r>
    </w:p>
    <w:p w14:paraId="2C7360C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（5）发包人不履行合同约定的其他义务的。</w:t>
      </w:r>
    </w:p>
    <w:p w14:paraId="3E163F08">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928" w:name="_Toc283676090"/>
      <w:r>
        <w:rPr>
          <w:rFonts w:hint="eastAsia" w:ascii="宋体" w:hAnsi="宋体" w:eastAsia="宋体" w:cs="宋体"/>
          <w:b/>
          <w:bCs/>
          <w:snapToGrid/>
          <w:color w:val="000000"/>
          <w:kern w:val="2"/>
          <w:sz w:val="21"/>
          <w:szCs w:val="21"/>
          <w:highlight w:val="none"/>
          <w:lang w:val="en-US" w:eastAsia="zh-CN" w:bidi="ar-SA"/>
        </w:rPr>
        <w:t>24.争议的解决</w:t>
      </w:r>
      <w:bookmarkEnd w:id="928"/>
    </w:p>
    <w:p w14:paraId="7D1F8486">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24.1争议的解决方式</w:t>
      </w:r>
    </w:p>
    <w:p w14:paraId="27F2527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合同当事人友好协商解决不成、不愿提请争议评审或不接受争议评审组意见的，约定的合同争议解决方式：</w:t>
      </w:r>
      <w:r>
        <w:rPr>
          <w:rFonts w:hint="eastAsia" w:ascii="宋体" w:hAnsi="宋体" w:eastAsia="宋体" w:cs="宋体"/>
          <w:snapToGrid/>
          <w:color w:val="000000"/>
          <w:kern w:val="2"/>
          <w:sz w:val="21"/>
          <w:szCs w:val="21"/>
          <w:highlight w:val="none"/>
          <w:u w:val="single"/>
          <w:lang w:val="en-US" w:eastAsia="zh-CN" w:bidi="ar-SA"/>
        </w:rPr>
        <w:t>调解、仲裁或诉讼</w:t>
      </w:r>
      <w:r>
        <w:rPr>
          <w:rFonts w:hint="eastAsia" w:ascii="宋体" w:hAnsi="宋体" w:eastAsia="宋体" w:cs="宋体"/>
          <w:snapToGrid/>
          <w:color w:val="000000"/>
          <w:kern w:val="2"/>
          <w:sz w:val="21"/>
          <w:szCs w:val="21"/>
          <w:highlight w:val="none"/>
          <w:lang w:val="en-US" w:eastAsia="zh-CN" w:bidi="ar-SA"/>
        </w:rPr>
        <w:t>。</w:t>
      </w:r>
    </w:p>
    <w:p w14:paraId="5C9A104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本合同双方约定的争议调解机构为：“县级水行政主管部门”，不再设置专门的争议调解机构。</w:t>
      </w:r>
    </w:p>
    <w:p w14:paraId="0F11DD2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仲裁或诉讼：项目所在地仲裁委员会或项目所在地人民法院。</w:t>
      </w:r>
    </w:p>
    <w:p w14:paraId="196E3072">
      <w:pPr>
        <w:widowControl/>
        <w:numPr>
          <w:ilvl w:val="0"/>
          <w:numId w:val="0"/>
        </w:numPr>
        <w:kinsoku/>
        <w:autoSpaceDE/>
        <w:autoSpaceDN/>
        <w:adjustRightInd/>
        <w:snapToGrid/>
        <w:spacing w:after="160" w:line="360" w:lineRule="auto"/>
        <w:ind w:firstLine="422" w:firstLineChars="200"/>
        <w:jc w:val="left"/>
        <w:textAlignment w:val="auto"/>
        <w:outlineLvl w:val="2"/>
        <w:rPr>
          <w:rFonts w:hint="default"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25.其他内容</w:t>
      </w:r>
    </w:p>
    <w:p w14:paraId="7EEDF70E">
      <w:pPr>
        <w:widowControl/>
        <w:numPr>
          <w:ilvl w:val="0"/>
          <w:numId w:val="0"/>
        </w:numPr>
        <w:kinsoku/>
        <w:autoSpaceDE/>
        <w:autoSpaceDN/>
        <w:adjustRightInd/>
        <w:snapToGrid/>
        <w:spacing w:after="160" w:line="360" w:lineRule="auto"/>
        <w:ind w:firstLine="422" w:firstLineChars="200"/>
        <w:jc w:val="left"/>
        <w:textAlignment w:val="auto"/>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25.1档案管理要求</w:t>
      </w:r>
    </w:p>
    <w:p w14:paraId="28C7486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（1）按</w:t>
      </w:r>
      <w:bookmarkStart w:id="929" w:name="_Toc345603034"/>
      <w:r>
        <w:rPr>
          <w:rFonts w:hint="eastAsia" w:ascii="宋体" w:hAnsi="宋体" w:eastAsia="宋体" w:cs="宋体"/>
          <w:snapToGrid/>
          <w:kern w:val="2"/>
          <w:sz w:val="21"/>
          <w:szCs w:val="21"/>
          <w:highlight w:val="none"/>
          <w:lang w:val="en-US" w:eastAsia="zh-CN" w:bidi="ar-SA"/>
        </w:rPr>
        <w:t>《水利部关于印发水利工程建设项目档案管理规定的通知》水办〔2021〕200号、水利部 国家档案局关于印发〈水利工程建设项目档案验收办法〉的通知水办〔2023〕131号及有关的法律法规和</w:t>
      </w:r>
      <w:r>
        <w:rPr>
          <w:rFonts w:hint="eastAsia" w:ascii="宋体" w:hAnsi="宋体" w:eastAsia="宋体" w:cs="宋体"/>
          <w:snapToGrid/>
          <w:kern w:val="2"/>
          <w:sz w:val="21"/>
          <w:szCs w:val="21"/>
          <w:highlight w:val="none"/>
          <w:u w:val="single"/>
          <w:lang w:val="en-US" w:eastAsia="zh-CN" w:bidi="ar-SA"/>
        </w:rPr>
        <w:t>耿马县2024年小型水库维修养护工程</w:t>
      </w:r>
      <w:r>
        <w:rPr>
          <w:rFonts w:hint="eastAsia" w:ascii="宋体" w:hAnsi="宋体" w:eastAsia="宋体" w:cs="宋体"/>
          <w:snapToGrid/>
          <w:kern w:val="2"/>
          <w:sz w:val="21"/>
          <w:szCs w:val="21"/>
          <w:highlight w:val="none"/>
          <w:lang w:val="en-US" w:eastAsia="zh-CN" w:bidi="ar-SA"/>
        </w:rPr>
        <w:t>档案管理办法</w:t>
      </w:r>
      <w:bookmarkEnd w:id="929"/>
      <w:r>
        <w:rPr>
          <w:rFonts w:hint="eastAsia" w:ascii="宋体" w:hAnsi="宋体" w:eastAsia="宋体" w:cs="宋体"/>
          <w:snapToGrid/>
          <w:kern w:val="2"/>
          <w:sz w:val="21"/>
          <w:szCs w:val="21"/>
          <w:highlight w:val="none"/>
          <w:lang w:val="en-US" w:eastAsia="zh-CN" w:bidi="ar-SA"/>
        </w:rPr>
        <w:t>要求进行档案管理。</w:t>
      </w:r>
    </w:p>
    <w:p w14:paraId="1521C6B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default"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（2）项目文件管理责任按档案管理办法执行。</w:t>
      </w:r>
    </w:p>
    <w:p w14:paraId="50FD332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3）发包人对项目文件的形成与收集、整理与归档等情况进行考核，项目文件管理条款的履约情况作出评价，合同款完工结算、支付审批时审查项目文件归档情况，并将项目文件是否按要求管理和归档作为合同款支付的前提条件。</w:t>
      </w:r>
    </w:p>
    <w:p w14:paraId="6E917C7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default"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4）施工单位必须配备满足工作需要的档案管理人员，在工程建设期间不得随意更换，确需变动的必须对负责的项目文件办理交接手续。档案管理人员要具备档案专业知识和技能，掌握一定的工程管理和水利工程技术专业知识，经档案管理业务培训。</w:t>
      </w:r>
    </w:p>
    <w:p w14:paraId="2BCFA74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（5）施工单位主要履行以下职责任务：</w:t>
      </w:r>
    </w:p>
    <w:p w14:paraId="481E319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（一）建立符合项目法人要求且规范的项目文件管理和档案管理制度，报项目法人确认后实施。</w:t>
      </w:r>
    </w:p>
    <w:p w14:paraId="195F52A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（二）负责本单位所承担项目文件收集、整理和归档工作，接受项目法人的监督和指导。</w:t>
      </w:r>
    </w:p>
    <w:p w14:paraId="4FAD9AF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（三）施工单位的项目文件归档接收监理单位的审查后提交项目法人。</w:t>
      </w:r>
    </w:p>
    <w:p w14:paraId="13C2FCA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（6）文件管理：</w:t>
      </w:r>
    </w:p>
    <w:p w14:paraId="695BD1C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（一）本项目文件内容必须真实、准确，与工程实际相符；格式规范、准确、文字清晰、页面整洁、编号规范、签字及盖章完备，满足耐久性要求。</w:t>
      </w:r>
    </w:p>
    <w:p w14:paraId="0B0202A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（二）本项目的重要活动及事件，原始地形地貌，工程形象进度，隐蔽工程，关键节点工序，重要部位，地质、施工及设备缺陷处理，工程质量或安全事故，重要芯样，工程验收等，必须形成照片和音视频文件。</w:t>
      </w:r>
    </w:p>
    <w:p w14:paraId="10A190D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（三）竣工图是档案的重要组成部分，由施工单位负责编制，须符合《水利工程建设项目竣工图编制要求》。</w:t>
      </w:r>
    </w:p>
    <w:p w14:paraId="5EFA76C0">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（四）本项目的工程总平面图由施工单位负责编制，由监理和设计单位审核通过后进行确定归档。</w:t>
      </w:r>
    </w:p>
    <w:p w14:paraId="513C240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（五）项目文件应在文件办理完毕后及时收集，并实行预立卷制度。工程建设过程中形成的、具有查考利用价值的各种形式和载体的项目文件均应收集齐全，并依据归档范围确定其是否归档。</w:t>
      </w:r>
    </w:p>
    <w:p w14:paraId="2CAA8270">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（六）项目文件整理遵循项目文件的形成规律和成套性特点，按照形成阶段、专业、内容等特征进行分类。</w:t>
      </w:r>
    </w:p>
    <w:p w14:paraId="1FA02B9F">
      <w:pPr>
        <w:pageBreakBefore w:val="0"/>
        <w:kinsoku/>
        <w:wordWrap/>
        <w:overflowPunct/>
        <w:topLinePunct w:val="0"/>
        <w:bidi w:val="0"/>
        <w:spacing w:after="0" w:line="480" w:lineRule="exact"/>
        <w:ind w:right="0" w:firstLine="420" w:firstLineChars="200"/>
        <w:textAlignment w:val="auto"/>
        <w:rPr>
          <w:rFonts w:hint="eastAsia" w:ascii="宋体" w:hAnsi="宋体" w:eastAsia="宋体" w:cs="宋体"/>
          <w:sz w:val="21"/>
          <w:szCs w:val="21"/>
          <w:highlight w:val="none"/>
        </w:rPr>
        <w:sectPr>
          <w:footerReference r:id="rId7" w:type="default"/>
          <w:pgSz w:w="11906" w:h="16838"/>
          <w:pgMar w:top="1417" w:right="1417" w:bottom="1417" w:left="1417" w:header="851" w:footer="992" w:gutter="0"/>
          <w:pgNumType w:fmt="decimal"/>
          <w:cols w:space="720" w:num="1"/>
          <w:docGrid w:type="lines" w:linePitch="312" w:charSpace="0"/>
        </w:sectPr>
      </w:pPr>
      <w:r>
        <w:rPr>
          <w:rFonts w:hint="eastAsia" w:ascii="宋体" w:hAnsi="宋体" w:eastAsia="宋体" w:cs="宋体"/>
          <w:snapToGrid/>
          <w:kern w:val="2"/>
          <w:sz w:val="21"/>
          <w:szCs w:val="21"/>
          <w:highlight w:val="none"/>
          <w:lang w:val="en-US" w:eastAsia="zh-CN" w:bidi="ar-SA"/>
        </w:rPr>
        <w:t>项目文件组卷及排列参照《建设项目档案管理规范》(DA/T28)；案卷编目、案卷装订、卷盒、表格规格及制成材料必须符合《科学技术档案案卷构成的一般要求》(GB/T11822)；数码照片文件整理参照《数码照片归档与管理规范》(DA/T50)；录音录像文件整理参照《录音录像档案管理规范》(DA/T78)。</w:t>
      </w:r>
    </w:p>
    <w:p w14:paraId="29433DA6">
      <w:pPr>
        <w:pStyle w:val="10"/>
        <w:spacing w:line="360" w:lineRule="auto"/>
        <w:ind w:right="-41"/>
        <w:jc w:val="center"/>
        <w:rPr>
          <w:rFonts w:hint="eastAsia" w:ascii="微软雅黑 Light" w:hAnsi="微软雅黑 Light" w:eastAsia="微软雅黑 Light" w:cs="微软雅黑 Light"/>
          <w:b/>
          <w:bCs w:val="0"/>
          <w:color w:val="000000"/>
          <w:sz w:val="28"/>
          <w:szCs w:val="28"/>
          <w:highlight w:val="none"/>
        </w:rPr>
      </w:pPr>
      <w:bookmarkStart w:id="930" w:name="_Toc9524"/>
      <w:bookmarkStart w:id="931" w:name="_Toc31433"/>
      <w:bookmarkStart w:id="932" w:name="_Toc19310"/>
      <w:bookmarkStart w:id="933" w:name="_Toc14853"/>
      <w:r>
        <w:rPr>
          <w:rFonts w:hint="eastAsia" w:ascii="微软雅黑 Light" w:hAnsi="微软雅黑 Light" w:eastAsia="微软雅黑 Light" w:cs="微软雅黑 Light"/>
          <w:b/>
          <w:bCs w:val="0"/>
          <w:color w:val="000000"/>
          <w:sz w:val="28"/>
          <w:szCs w:val="28"/>
          <w:highlight w:val="none"/>
        </w:rPr>
        <w:t>第三节</w:t>
      </w:r>
      <w:r>
        <w:rPr>
          <w:rFonts w:hint="eastAsia" w:ascii="微软雅黑 Light" w:hAnsi="微软雅黑 Light" w:eastAsia="微软雅黑 Light" w:cs="微软雅黑 Light"/>
          <w:b/>
          <w:bCs w:val="0"/>
          <w:color w:val="000000"/>
          <w:sz w:val="28"/>
          <w:szCs w:val="28"/>
          <w:highlight w:val="none"/>
          <w:lang w:val="en-US" w:eastAsia="zh-CN"/>
        </w:rPr>
        <w:t xml:space="preserve">  </w:t>
      </w:r>
      <w:r>
        <w:rPr>
          <w:rFonts w:hint="eastAsia" w:ascii="微软雅黑 Light" w:hAnsi="微软雅黑 Light" w:eastAsia="微软雅黑 Light" w:cs="微软雅黑 Light"/>
          <w:b/>
          <w:bCs w:val="0"/>
          <w:color w:val="000000"/>
          <w:sz w:val="28"/>
          <w:szCs w:val="28"/>
          <w:highlight w:val="none"/>
        </w:rPr>
        <w:t>合同附件格式</w:t>
      </w:r>
      <w:bookmarkEnd w:id="789"/>
      <w:bookmarkEnd w:id="790"/>
      <w:bookmarkEnd w:id="791"/>
      <w:bookmarkEnd w:id="792"/>
      <w:bookmarkEnd w:id="793"/>
      <w:bookmarkEnd w:id="930"/>
      <w:bookmarkEnd w:id="931"/>
      <w:bookmarkEnd w:id="932"/>
      <w:bookmarkEnd w:id="933"/>
    </w:p>
    <w:p w14:paraId="468950D1">
      <w:pPr>
        <w:pStyle w:val="11"/>
        <w:spacing w:line="500" w:lineRule="exact"/>
        <w:outlineLvl w:val="2"/>
        <w:rPr>
          <w:rFonts w:hint="default" w:ascii="Times New Roman" w:hAnsi="Times New Roman" w:eastAsia="宋体"/>
          <w:color w:val="000000"/>
          <w:sz w:val="28"/>
          <w:szCs w:val="28"/>
          <w:highlight w:val="none"/>
          <w:lang w:val="en-US" w:eastAsia="zh-CN"/>
        </w:rPr>
      </w:pPr>
      <w:r>
        <w:rPr>
          <w:rFonts w:hint="eastAsia" w:ascii="宋体" w:hAnsi="宋体"/>
          <w:color w:val="000000"/>
          <w:sz w:val="20"/>
          <w:szCs w:val="20"/>
          <w:highlight w:val="none"/>
        </w:rPr>
        <w:br w:type="page"/>
      </w:r>
      <w:bookmarkEnd w:id="794"/>
      <w:bookmarkEnd w:id="795"/>
      <w:bookmarkEnd w:id="796"/>
      <w:bookmarkStart w:id="934" w:name="_Toc168476287"/>
      <w:bookmarkStart w:id="935" w:name="_Toc168475884"/>
      <w:bookmarkStart w:id="936" w:name="_Toc144974827"/>
      <w:r>
        <w:rPr>
          <w:rFonts w:hint="eastAsia"/>
          <w:color w:val="000000"/>
          <w:sz w:val="28"/>
          <w:szCs w:val="28"/>
          <w:highlight w:val="none"/>
        </w:rPr>
        <w:t>附件一：</w:t>
      </w:r>
      <w:bookmarkEnd w:id="934"/>
      <w:bookmarkEnd w:id="935"/>
      <w:bookmarkEnd w:id="936"/>
      <w:r>
        <w:rPr>
          <w:rFonts w:hint="eastAsia"/>
          <w:color w:val="000000"/>
          <w:sz w:val="28"/>
          <w:szCs w:val="28"/>
          <w:highlight w:val="none"/>
        </w:rPr>
        <w:t>合同协议书</w:t>
      </w:r>
      <w:r>
        <w:rPr>
          <w:rFonts w:hint="eastAsia"/>
          <w:color w:val="000000"/>
          <w:sz w:val="28"/>
          <w:szCs w:val="28"/>
          <w:highlight w:val="none"/>
          <w:lang w:eastAsia="zh-CN"/>
        </w:rPr>
        <w:t>（</w:t>
      </w:r>
      <w:r>
        <w:rPr>
          <w:rFonts w:hint="eastAsia"/>
          <w:color w:val="000000"/>
          <w:sz w:val="28"/>
          <w:szCs w:val="28"/>
          <w:highlight w:val="none"/>
          <w:lang w:val="en-US" w:eastAsia="zh-CN"/>
        </w:rPr>
        <w:t>格式）</w:t>
      </w:r>
    </w:p>
    <w:p w14:paraId="3875AFC1">
      <w:pPr>
        <w:pStyle w:val="11"/>
        <w:spacing w:line="400" w:lineRule="exact"/>
        <w:rPr>
          <w:rFonts w:ascii="宋体" w:hAnsi="宋体"/>
          <w:color w:val="000000"/>
          <w:sz w:val="20"/>
          <w:szCs w:val="20"/>
          <w:highlight w:val="none"/>
        </w:rPr>
      </w:pPr>
    </w:p>
    <w:p w14:paraId="32D8BA59">
      <w:pPr>
        <w:pStyle w:val="11"/>
        <w:adjustRightInd w:val="0"/>
        <w:snapToGrid w:val="0"/>
        <w:spacing w:before="100" w:after="100"/>
        <w:jc w:val="center"/>
        <w:rPr>
          <w:rFonts w:ascii="宋体" w:hAnsi="宋体"/>
          <w:bCs/>
          <w:color w:val="000000"/>
          <w:sz w:val="32"/>
          <w:szCs w:val="24"/>
          <w:highlight w:val="none"/>
        </w:rPr>
      </w:pPr>
      <w:r>
        <w:rPr>
          <w:rFonts w:hint="eastAsia" w:ascii="宋体" w:hAnsi="宋体"/>
          <w:bCs/>
          <w:color w:val="000000"/>
          <w:sz w:val="32"/>
          <w:highlight w:val="none"/>
        </w:rPr>
        <w:t>合同协议书（格式）</w:t>
      </w:r>
    </w:p>
    <w:p w14:paraId="5680ED02">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（发包人名称，以下简称“发包人”）为实施（项目名称），已接受（承包人名称，以下简称“承包人”）对（项目名称）（标段名称）的投标，并确定其为中标人。发包人和承包人共同达成如下协议。</w:t>
      </w:r>
    </w:p>
    <w:p w14:paraId="7CDB2B46">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bookmarkStart w:id="937" w:name="_Toc168476288"/>
      <w:bookmarkStart w:id="938" w:name="_Toc168475885"/>
      <w:bookmarkStart w:id="939" w:name="_Toc144974828"/>
      <w:r>
        <w:rPr>
          <w:rFonts w:hint="eastAsia" w:ascii="宋体" w:hAnsi="宋体" w:eastAsia="宋体" w:cs="宋体"/>
          <w:color w:val="000000"/>
          <w:szCs w:val="21"/>
          <w:highlight w:val="none"/>
        </w:rPr>
        <w:t>1.本协议书与下列文件一起构成合同文件：</w:t>
      </w:r>
      <w:bookmarkEnd w:id="937"/>
      <w:bookmarkEnd w:id="938"/>
      <w:bookmarkEnd w:id="939"/>
    </w:p>
    <w:p w14:paraId="698BE614">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（1）中标通知书；</w:t>
      </w:r>
    </w:p>
    <w:p w14:paraId="6AB2EA3E">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（2）投标函及投标函附录；</w:t>
      </w:r>
    </w:p>
    <w:p w14:paraId="0225389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（3）专用合同条款；</w:t>
      </w:r>
    </w:p>
    <w:p w14:paraId="0CF02E00">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（4）通用合同条款；</w:t>
      </w:r>
    </w:p>
    <w:p w14:paraId="4D315911">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（5）技术标准和要求（合同技术条款）；</w:t>
      </w:r>
    </w:p>
    <w:p w14:paraId="37D4E32B">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（6）图纸；</w:t>
      </w:r>
    </w:p>
    <w:p w14:paraId="62BD0A00">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（7）已标价工程量清单；</w:t>
      </w:r>
    </w:p>
    <w:p w14:paraId="50F94927">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（8）其他合同文件。</w:t>
      </w:r>
    </w:p>
    <w:p w14:paraId="497F789B">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bookmarkStart w:id="940" w:name="_Toc168475886"/>
      <w:bookmarkStart w:id="941" w:name="_Toc144974829"/>
      <w:bookmarkStart w:id="942" w:name="_Toc168476289"/>
      <w:r>
        <w:rPr>
          <w:rFonts w:hint="eastAsia" w:ascii="宋体" w:hAnsi="宋体" w:eastAsia="宋体" w:cs="宋体"/>
          <w:color w:val="000000"/>
          <w:szCs w:val="21"/>
          <w:highlight w:val="none"/>
        </w:rPr>
        <w:t>2.上述文件互相补充和解释，如有不明确或不一致之处，以合同约定次序在先者为准。</w:t>
      </w:r>
      <w:bookmarkEnd w:id="940"/>
      <w:bookmarkEnd w:id="941"/>
      <w:bookmarkEnd w:id="942"/>
    </w:p>
    <w:p w14:paraId="05A79B2F">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3.签约合同价：人民币（大写）元（¥元）。</w:t>
      </w:r>
    </w:p>
    <w:p w14:paraId="1CA2D73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4.承包人项目经理：</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none"/>
        </w:rPr>
        <w:t>。</w:t>
      </w:r>
    </w:p>
    <w:p w14:paraId="61BEB7B4">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5.工程质量符合标准。</w:t>
      </w:r>
    </w:p>
    <w:p w14:paraId="6D68E5C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6.承包人承诺按合同约定承担工程的实施、完成及缺陷修复。</w:t>
      </w:r>
    </w:p>
    <w:p w14:paraId="798B0EE3">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7.发包人承诺按合同约定的条件、时间和方式向承包人支付合同价款。</w:t>
      </w:r>
    </w:p>
    <w:p w14:paraId="281B80CA">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8.承包人承诺执行监理人开工通知，计划工期为天。</w:t>
      </w:r>
    </w:p>
    <w:p w14:paraId="5F8D21E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9.本协议书</w:t>
      </w:r>
      <w:r>
        <w:rPr>
          <w:rFonts w:hint="eastAsia" w:ascii="宋体" w:hAnsi="宋体" w:cs="宋体"/>
          <w:color w:val="000000"/>
          <w:szCs w:val="21"/>
          <w:highlight w:val="none"/>
          <w:lang w:val="en-US" w:eastAsia="zh-CN"/>
        </w:rPr>
        <w:t>以</w:t>
      </w:r>
      <w:r>
        <w:rPr>
          <w:rFonts w:hint="eastAsia" w:ascii="宋体" w:hAnsi="宋体" w:eastAsia="宋体" w:cs="宋体"/>
          <w:color w:val="000000"/>
          <w:szCs w:val="21"/>
          <w:highlight w:val="none"/>
        </w:rPr>
        <w:t>式</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份，合同双方各执</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份。</w:t>
      </w:r>
    </w:p>
    <w:p w14:paraId="0608650A">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bookmarkStart w:id="943" w:name="_Toc168476290"/>
      <w:bookmarkStart w:id="944" w:name="_Toc144974830"/>
      <w:bookmarkStart w:id="945" w:name="_Toc168475887"/>
      <w:r>
        <w:rPr>
          <w:rFonts w:hint="eastAsia" w:ascii="宋体" w:hAnsi="宋体" w:eastAsia="宋体" w:cs="宋体"/>
          <w:color w:val="000000"/>
          <w:szCs w:val="21"/>
          <w:highlight w:val="none"/>
        </w:rPr>
        <w:t>10.合同未尽事宜，双方另行签订补充协议，补充协议是合同的组成部分。</w:t>
      </w:r>
      <w:bookmarkEnd w:id="943"/>
      <w:bookmarkEnd w:id="944"/>
      <w:bookmarkEnd w:id="945"/>
    </w:p>
    <w:p w14:paraId="09ABBD50">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以下为合同协议补充条款：</w:t>
      </w:r>
    </w:p>
    <w:p w14:paraId="7A592E47">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w:t>
      </w:r>
    </w:p>
    <w:p w14:paraId="268F87C1">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w:t>
      </w:r>
    </w:p>
    <w:p w14:paraId="453515C6">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w:t>
      </w:r>
    </w:p>
    <w:p w14:paraId="3989E804">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w:t>
      </w:r>
    </w:p>
    <w:p w14:paraId="1C7EDCF3">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p>
    <w:p w14:paraId="496D0CDE">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p>
    <w:p w14:paraId="078E05A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发包人：（盖单位章）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承包人：（盖单位章）</w:t>
      </w:r>
    </w:p>
    <w:p w14:paraId="45FD0C5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法定代表人或其委托代理人：（签字）</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法定代表人或其委托代理人：（签字）</w:t>
      </w:r>
    </w:p>
    <w:p w14:paraId="1FB1CB12">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年月日</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年月日</w:t>
      </w:r>
    </w:p>
    <w:p w14:paraId="107CE95E">
      <w:pPr>
        <w:widowControl w:val="0"/>
        <w:kinsoku/>
        <w:autoSpaceDE/>
        <w:autoSpaceDN/>
        <w:adjustRightInd w:val="0"/>
        <w:snapToGrid w:val="0"/>
        <w:spacing w:after="160" w:line="259" w:lineRule="auto"/>
        <w:jc w:val="both"/>
        <w:textAlignment w:val="auto"/>
        <w:outlineLvl w:val="2"/>
        <w:rPr>
          <w:rFonts w:hint="eastAsia" w:ascii="Calibri" w:hAnsi="Calibri" w:eastAsia="宋体" w:cs="Times New Roman"/>
          <w:snapToGrid/>
          <w:color w:val="000000"/>
          <w:kern w:val="2"/>
          <w:sz w:val="28"/>
          <w:szCs w:val="28"/>
          <w:highlight w:val="none"/>
          <w:lang w:val="en-US" w:eastAsia="zh-CN" w:bidi="ar-SA"/>
        </w:rPr>
        <w:sectPr>
          <w:pgSz w:w="11906" w:h="16838"/>
          <w:pgMar w:top="1417" w:right="1417" w:bottom="1417" w:left="1417" w:header="851" w:footer="992" w:gutter="0"/>
          <w:pgNumType w:fmt="decimal"/>
          <w:cols w:space="720" w:num="1"/>
          <w:docGrid w:type="lines" w:linePitch="312" w:charSpace="0"/>
        </w:sectPr>
      </w:pPr>
    </w:p>
    <w:p w14:paraId="24EFA7C5">
      <w:pPr>
        <w:widowControl w:val="0"/>
        <w:kinsoku/>
        <w:autoSpaceDE/>
        <w:autoSpaceDN/>
        <w:adjustRightInd w:val="0"/>
        <w:snapToGrid w:val="0"/>
        <w:spacing w:after="160" w:line="259" w:lineRule="auto"/>
        <w:jc w:val="both"/>
        <w:textAlignment w:val="auto"/>
        <w:outlineLvl w:val="2"/>
        <w:rPr>
          <w:rFonts w:hint="eastAsia" w:ascii="Calibri" w:hAnsi="Calibri" w:eastAsia="宋体" w:cs="Times New Roman"/>
          <w:snapToGrid/>
          <w:color w:val="000000"/>
          <w:kern w:val="2"/>
          <w:sz w:val="28"/>
          <w:szCs w:val="28"/>
          <w:highlight w:val="none"/>
          <w:lang w:val="en-US" w:eastAsia="zh-CN" w:bidi="ar-SA"/>
        </w:rPr>
      </w:pPr>
      <w:r>
        <w:rPr>
          <w:rFonts w:hint="eastAsia" w:ascii="Calibri" w:hAnsi="Calibri" w:eastAsia="宋体" w:cs="Times New Roman"/>
          <w:snapToGrid/>
          <w:color w:val="000000"/>
          <w:kern w:val="2"/>
          <w:sz w:val="28"/>
          <w:szCs w:val="28"/>
          <w:highlight w:val="none"/>
          <w:lang w:val="en-US" w:eastAsia="zh-CN" w:bidi="ar-SA"/>
        </w:rPr>
        <w:t>附件二：廉政协议书</w:t>
      </w:r>
    </w:p>
    <w:p w14:paraId="689C57EC">
      <w:pPr>
        <w:widowControl w:val="0"/>
        <w:kinsoku/>
        <w:autoSpaceDE/>
        <w:autoSpaceDN/>
        <w:adjustRightInd w:val="0"/>
        <w:snapToGrid w:val="0"/>
        <w:spacing w:after="160" w:line="259" w:lineRule="auto"/>
        <w:jc w:val="center"/>
        <w:textAlignment w:val="auto"/>
        <w:outlineLvl w:val="9"/>
        <w:rPr>
          <w:rFonts w:hint="default" w:ascii="Calibri" w:hAnsi="Calibri" w:eastAsia="宋体" w:cs="Times New Roman"/>
          <w:snapToGrid/>
          <w:color w:val="000000"/>
          <w:kern w:val="2"/>
          <w:sz w:val="28"/>
          <w:szCs w:val="28"/>
          <w:highlight w:val="none"/>
          <w:lang w:val="en-US" w:eastAsia="zh-CN" w:bidi="ar-SA"/>
        </w:rPr>
      </w:pPr>
      <w:r>
        <w:rPr>
          <w:rFonts w:hint="eastAsia" w:ascii="Calibri" w:hAnsi="Calibri" w:eastAsia="宋体" w:cs="Times New Roman"/>
          <w:snapToGrid/>
          <w:color w:val="000000"/>
          <w:kern w:val="2"/>
          <w:sz w:val="28"/>
          <w:szCs w:val="28"/>
          <w:highlight w:val="none"/>
          <w:lang w:val="en-US" w:eastAsia="zh-CN" w:bidi="ar-SA"/>
        </w:rPr>
        <w:t>廉政协议书</w:t>
      </w:r>
    </w:p>
    <w:p w14:paraId="1FE2BA66">
      <w:pPr>
        <w:widowControl w:val="0"/>
        <w:kinsoku/>
        <w:autoSpaceDE/>
        <w:autoSpaceDN/>
        <w:adjustRightInd w:val="0"/>
        <w:snapToGrid w:val="0"/>
        <w:spacing w:after="160" w:line="259" w:lineRule="auto"/>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施工合同名称：</w:t>
      </w:r>
    </w:p>
    <w:p w14:paraId="29D2B1D4">
      <w:pPr>
        <w:widowControl w:val="0"/>
        <w:kinsoku/>
        <w:autoSpaceDE/>
        <w:autoSpaceDN/>
        <w:adjustRightInd w:val="0"/>
        <w:snapToGrid w:val="0"/>
        <w:spacing w:after="160" w:line="259" w:lineRule="auto"/>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施工合同编号：</w:t>
      </w:r>
    </w:p>
    <w:p w14:paraId="2EC1D6B5">
      <w:pPr>
        <w:widowControl w:val="0"/>
        <w:kinsoku/>
        <w:autoSpaceDE/>
        <w:autoSpaceDN/>
        <w:adjustRightInd w:val="0"/>
        <w:snapToGrid w:val="0"/>
        <w:spacing w:after="160" w:line="259" w:lineRule="auto"/>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发包人（甲方）：</w:t>
      </w:r>
    </w:p>
    <w:p w14:paraId="2DEFE468">
      <w:pPr>
        <w:widowControl w:val="0"/>
        <w:kinsoku/>
        <w:autoSpaceDE/>
        <w:autoSpaceDN/>
        <w:adjustRightInd w:val="0"/>
        <w:snapToGrid w:val="0"/>
        <w:spacing w:after="160" w:line="259" w:lineRule="auto"/>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承包人（乙方）：</w:t>
      </w:r>
    </w:p>
    <w:p w14:paraId="2816478B">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为加强</w:t>
      </w:r>
      <w:r>
        <w:rPr>
          <w:rFonts w:hint="eastAsia" w:ascii="Times New Roman" w:hAnsi="Times New Roman" w:eastAsia="宋体" w:cs="Times New Roman"/>
          <w:snapToGrid/>
          <w:kern w:val="2"/>
          <w:szCs w:val="20"/>
          <w:highlight w:val="none"/>
          <w:lang w:val="en-US" w:eastAsia="zh-CN" w:bidi="ar-SA"/>
        </w:rPr>
        <w:t>云南</w:t>
      </w:r>
      <w:r>
        <w:rPr>
          <w:rFonts w:hint="default" w:ascii="Times New Roman" w:hAnsi="Times New Roman" w:eastAsia="宋体" w:cs="Times New Roman"/>
          <w:snapToGrid/>
          <w:kern w:val="2"/>
          <w:szCs w:val="20"/>
          <w:highlight w:val="none"/>
          <w:lang w:val="en-US" w:eastAsia="zh-CN" w:bidi="ar-SA"/>
        </w:rPr>
        <w:t>省水利水电工程建设中的廉政建设，规范水利水电建设项目中承发包双方的各项活动，防止各种非法谋取不正当利益的行为，保护国家、集体和当事人的合法权益，根据国家有关法律法规和廉政建设的要求，特签订本廉政协议。</w:t>
      </w:r>
    </w:p>
    <w:p w14:paraId="6E233943">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第一条 甲、乙双方的责任</w:t>
      </w:r>
    </w:p>
    <w:p w14:paraId="0F51CF0D">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（一）严格遵守国家关于水利水电工程建设有关</w:t>
      </w:r>
      <w:r>
        <w:rPr>
          <w:rFonts w:hint="eastAsia" w:ascii="Times New Roman" w:hAnsi="Times New Roman" w:eastAsia="宋体" w:cs="Times New Roman"/>
          <w:snapToGrid/>
          <w:kern w:val="2"/>
          <w:szCs w:val="20"/>
          <w:highlight w:val="none"/>
          <w:lang w:val="en-US" w:eastAsia="zh-CN" w:bidi="ar-SA"/>
        </w:rPr>
        <w:t>法律法规</w:t>
      </w:r>
      <w:r>
        <w:rPr>
          <w:rFonts w:hint="default" w:ascii="Times New Roman" w:hAnsi="Times New Roman" w:eastAsia="宋体" w:cs="Times New Roman"/>
          <w:snapToGrid/>
          <w:kern w:val="2"/>
          <w:szCs w:val="20"/>
          <w:highlight w:val="none"/>
          <w:lang w:val="en-US" w:eastAsia="zh-CN" w:bidi="ar-SA"/>
        </w:rPr>
        <w:t>以及廉政建设的各项规定。</w:t>
      </w:r>
    </w:p>
    <w:p w14:paraId="310DA65B">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（二）严格执行工程项目承发包合同文件，认真履行合同规定的权利和义务。</w:t>
      </w:r>
    </w:p>
    <w:p w14:paraId="73A0A3A1">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三）业务活动必须坚持公开、公平、公正、诚信、透明的原则（除法律认定的商业秘密和合同文件另有规定除外），不得为获取不正当利益而损害国家、集体和对方利益，不得违反水利水电工程建设管理、勘察、设计、监理、施工的规定和规范。</w:t>
      </w:r>
    </w:p>
    <w:p w14:paraId="22B428BC">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（四）发现对方在业务活动中有违规、违纪、违法行为，有责任及时提醒对方，情节严重的，应向其上级主管部门或纪检、监察、司法等机关举报。</w:t>
      </w:r>
    </w:p>
    <w:p w14:paraId="441089A4">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第二条 甲方的责任</w:t>
      </w:r>
    </w:p>
    <w:p w14:paraId="609F3A05">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甲方的领导和工作人员，在工程建设的事前、事中、事后应遵守以下规定：</w:t>
      </w:r>
    </w:p>
    <w:p w14:paraId="25A2B00B">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（一）不准向乙方和相关单位索要或接受回扣、礼金、有价证券、贵重物品和好处费、感谢费等。</w:t>
      </w:r>
    </w:p>
    <w:p w14:paraId="2A2BD727">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（二）不准在乙方和相关单位报销任何应由甲方或应由个人支付的费用。</w:t>
      </w:r>
    </w:p>
    <w:p w14:paraId="05088842">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三）不准要求、暗示或接受乙方和相关单位为个人装修住房、婚丧嫁娶、配偶子女的工作安排以及出国（境）、旅游等提供方便。不准工作人员的配偶、子女从事与甲方工程交易行为有关的材料设备供应、工程分包、劳务等经济活动。</w:t>
      </w:r>
    </w:p>
    <w:p w14:paraId="66E3F76E">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（四）不准参加有可能影响公正执行公务的乙方和相关单位宴请和营业性健身、娱乐等活动。不准接受乙方提供的通讯工具和高档办公用品等。</w:t>
      </w:r>
    </w:p>
    <w:p w14:paraId="4D4F8C6D">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（五）不准向乙方介绍与工程建设项目有关的设备、材料采购、劳务等经济活动，不得强行向乙方和相关单位推荐分包单位，不准以任何理由要求乙方购买工程建设项目施工合同规定以外的材料、设备等。</w:t>
      </w:r>
    </w:p>
    <w:p w14:paraId="51AF6E99">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第三条 乙方的责任</w:t>
      </w:r>
    </w:p>
    <w:p w14:paraId="1C46B092">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应与甲方保持正常的业务交往，按照有关法律法规和合同规定开展业务工作，严格执行工程建设的有关政策，并遵守如下规定：</w:t>
      </w:r>
    </w:p>
    <w:p w14:paraId="7E5B8FCF">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（一）不准以任何理由向甲方、相关单位及其工作人员赠送礼金、有价证券、贵重物品和回扣、好处费、感谢费等。</w:t>
      </w:r>
    </w:p>
    <w:p w14:paraId="7A65C047">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（二）不准以任何理由为甲方和相关单位报销应由对方或应由个人支付的费用。</w:t>
      </w:r>
    </w:p>
    <w:p w14:paraId="605BE02D">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（三）不准为甲方、相关单位或个人装修住房、婚丧嫁娶、配偶子女的工作安排以及出国（境）、旅游等提供方便。</w:t>
      </w:r>
    </w:p>
    <w:p w14:paraId="5B2FF0F9">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（四）不准以任何理由为甲方、相关单位或个人组织有可能影响公正执行公务的宴请和营业性健身、娱乐等活动。不准为甲方单位和个人购置或提供通讯工具和高档办公用品等。</w:t>
      </w:r>
    </w:p>
    <w:p w14:paraId="09820569">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第四条 违约责任</w:t>
      </w:r>
    </w:p>
    <w:p w14:paraId="1DF623EE">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甲、乙双方工作人员如有违反本协议有关规定，按照管理权限，依据有关法律法规和规定对责任人和责任单位负责人给予党纪、政纪处分。涉嫌犯罪的，移交司法机关追究刑事责任。</w:t>
      </w:r>
    </w:p>
    <w:p w14:paraId="0D6B2FFF">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第五条 本协议书的有效期自双方签署之日起至相应承发包合同终了之日止。</w:t>
      </w:r>
    </w:p>
    <w:p w14:paraId="02DDC53A">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第六条 本责任书一式四份，甲乙双方各执一份，并分送甲乙双方主管单位纪检监察部门各一份。</w:t>
      </w:r>
    </w:p>
    <w:p w14:paraId="75CC0CCB">
      <w:pPr>
        <w:widowControl w:val="0"/>
        <w:kinsoku/>
        <w:autoSpaceDE/>
        <w:autoSpaceDN/>
        <w:adjustRightInd w:val="0"/>
        <w:snapToGrid w:val="0"/>
        <w:spacing w:after="160" w:line="259" w:lineRule="auto"/>
        <w:jc w:val="both"/>
        <w:textAlignment w:val="auto"/>
        <w:outlineLvl w:val="9"/>
        <w:rPr>
          <w:rFonts w:hint="default" w:ascii="Times New Roman" w:hAnsi="Times New Roman" w:eastAsia="宋体" w:cs="Times New Roman"/>
          <w:snapToGrid/>
          <w:kern w:val="2"/>
          <w:szCs w:val="20"/>
          <w:highlight w:val="none"/>
          <w:lang w:val="en-US" w:eastAsia="zh-CN" w:bidi="ar-SA"/>
        </w:rPr>
      </w:pPr>
    </w:p>
    <w:p w14:paraId="76C47460">
      <w:pPr>
        <w:widowControl w:val="0"/>
        <w:kinsoku/>
        <w:autoSpaceDE/>
        <w:autoSpaceDN/>
        <w:adjustRightInd w:val="0"/>
        <w:snapToGrid w:val="0"/>
        <w:spacing w:after="160" w:line="259" w:lineRule="auto"/>
        <w:jc w:val="right"/>
        <w:textAlignment w:val="auto"/>
        <w:outlineLvl w:val="9"/>
        <w:rPr>
          <w:rFonts w:hint="eastAsia"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甲方（盖章）：</w:t>
      </w:r>
      <w:r>
        <w:rPr>
          <w:rFonts w:hint="eastAsia" w:ascii="Times New Roman" w:hAnsi="Times New Roman" w:eastAsia="宋体" w:cs="Times New Roman"/>
          <w:snapToGrid/>
          <w:color w:val="FFFFFF"/>
          <w:kern w:val="2"/>
          <w:szCs w:val="20"/>
          <w:highlight w:val="none"/>
          <w:lang w:val="en-US" w:eastAsia="zh-CN" w:bidi="ar-SA"/>
        </w:rPr>
        <w:t xml:space="preserve">  </w:t>
      </w:r>
    </w:p>
    <w:p w14:paraId="6CEF0D27">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法定代表人（或委托代理人）：</w:t>
      </w:r>
    </w:p>
    <w:p w14:paraId="5BA8750F">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年</w:t>
      </w:r>
      <w:r>
        <w:rPr>
          <w:rFonts w:hint="eastAsia" w:ascii="Times New Roman" w:hAnsi="Times New Roman" w:eastAsia="宋体" w:cs="Times New Roman"/>
          <w:snapToGrid/>
          <w:kern w:val="2"/>
          <w:szCs w:val="20"/>
          <w:highlight w:val="none"/>
          <w:lang w:val="en-US" w:eastAsia="zh-CN" w:bidi="ar-SA"/>
        </w:rPr>
        <w:t xml:space="preserve">  </w:t>
      </w:r>
      <w:r>
        <w:rPr>
          <w:rFonts w:hint="default" w:ascii="Times New Roman" w:hAnsi="Times New Roman" w:eastAsia="宋体" w:cs="Times New Roman"/>
          <w:snapToGrid/>
          <w:kern w:val="2"/>
          <w:szCs w:val="20"/>
          <w:highlight w:val="none"/>
          <w:lang w:val="en-US" w:eastAsia="zh-CN" w:bidi="ar-SA"/>
        </w:rPr>
        <w:t>月</w:t>
      </w:r>
      <w:r>
        <w:rPr>
          <w:rFonts w:hint="eastAsia" w:ascii="Times New Roman" w:hAnsi="Times New Roman" w:eastAsia="宋体" w:cs="Times New Roman"/>
          <w:snapToGrid/>
          <w:kern w:val="2"/>
          <w:szCs w:val="20"/>
          <w:highlight w:val="none"/>
          <w:lang w:val="en-US" w:eastAsia="zh-CN" w:bidi="ar-SA"/>
        </w:rPr>
        <w:t xml:space="preserve">  </w:t>
      </w:r>
      <w:r>
        <w:rPr>
          <w:rFonts w:hint="default" w:ascii="Times New Roman" w:hAnsi="Times New Roman" w:eastAsia="宋体" w:cs="Times New Roman"/>
          <w:snapToGrid/>
          <w:kern w:val="2"/>
          <w:szCs w:val="20"/>
          <w:highlight w:val="none"/>
          <w:lang w:val="en-US" w:eastAsia="zh-CN" w:bidi="ar-SA"/>
        </w:rPr>
        <w:t>日</w:t>
      </w:r>
    </w:p>
    <w:p w14:paraId="2CB0672C">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p>
    <w:p w14:paraId="4FA18E13">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乙方（盖章）：</w:t>
      </w:r>
      <w:r>
        <w:rPr>
          <w:rFonts w:hint="eastAsia" w:ascii="Times New Roman" w:hAnsi="Times New Roman" w:eastAsia="宋体" w:cs="Times New Roman"/>
          <w:snapToGrid/>
          <w:kern w:val="2"/>
          <w:szCs w:val="20"/>
          <w:highlight w:val="none"/>
          <w:lang w:val="en-US" w:eastAsia="zh-CN" w:bidi="ar-SA"/>
        </w:rPr>
        <w:t xml:space="preserve">   </w:t>
      </w:r>
    </w:p>
    <w:p w14:paraId="0BC27642">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法定代表人（或委托代理人）：</w:t>
      </w:r>
      <w:r>
        <w:rPr>
          <w:rFonts w:hint="eastAsia" w:ascii="Times New Roman" w:hAnsi="Times New Roman" w:eastAsia="宋体" w:cs="Times New Roman"/>
          <w:snapToGrid/>
          <w:kern w:val="2"/>
          <w:szCs w:val="20"/>
          <w:highlight w:val="none"/>
          <w:lang w:val="en-US" w:eastAsia="zh-CN" w:bidi="ar-SA"/>
        </w:rPr>
        <w:t xml:space="preserve">   </w:t>
      </w:r>
    </w:p>
    <w:p w14:paraId="5CFF39AB">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年</w:t>
      </w:r>
      <w:r>
        <w:rPr>
          <w:rFonts w:hint="eastAsia" w:ascii="Times New Roman" w:hAnsi="Times New Roman" w:eastAsia="宋体" w:cs="Times New Roman"/>
          <w:snapToGrid/>
          <w:kern w:val="2"/>
          <w:szCs w:val="20"/>
          <w:highlight w:val="none"/>
          <w:lang w:val="en-US" w:eastAsia="zh-CN" w:bidi="ar-SA"/>
        </w:rPr>
        <w:t xml:space="preserve">  </w:t>
      </w:r>
      <w:r>
        <w:rPr>
          <w:rFonts w:hint="default" w:ascii="Times New Roman" w:hAnsi="Times New Roman" w:eastAsia="宋体" w:cs="Times New Roman"/>
          <w:snapToGrid/>
          <w:kern w:val="2"/>
          <w:szCs w:val="20"/>
          <w:highlight w:val="none"/>
          <w:lang w:val="en-US" w:eastAsia="zh-CN" w:bidi="ar-SA"/>
        </w:rPr>
        <w:t>月</w:t>
      </w:r>
      <w:r>
        <w:rPr>
          <w:rFonts w:hint="eastAsia" w:ascii="Times New Roman" w:hAnsi="Times New Roman" w:eastAsia="宋体" w:cs="Times New Roman"/>
          <w:snapToGrid/>
          <w:kern w:val="2"/>
          <w:szCs w:val="20"/>
          <w:highlight w:val="none"/>
          <w:lang w:val="en-US" w:eastAsia="zh-CN" w:bidi="ar-SA"/>
        </w:rPr>
        <w:t xml:space="preserve">  </w:t>
      </w:r>
      <w:r>
        <w:rPr>
          <w:rFonts w:hint="default" w:ascii="Times New Roman" w:hAnsi="Times New Roman" w:eastAsia="宋体" w:cs="Times New Roman"/>
          <w:snapToGrid/>
          <w:kern w:val="2"/>
          <w:szCs w:val="20"/>
          <w:highlight w:val="none"/>
          <w:lang w:val="en-US" w:eastAsia="zh-CN" w:bidi="ar-SA"/>
        </w:rPr>
        <w:t>日</w:t>
      </w:r>
    </w:p>
    <w:p w14:paraId="1B99CD26">
      <w:pPr>
        <w:adjustRightInd w:val="0"/>
        <w:snapToGrid w:val="0"/>
        <w:jc w:val="both"/>
        <w:outlineLvl w:val="9"/>
        <w:rPr>
          <w:rFonts w:hint="default"/>
          <w:highlight w:val="none"/>
          <w:lang w:val="en-US" w:eastAsia="zh-CN"/>
        </w:rPr>
        <w:sectPr>
          <w:pgSz w:w="11906" w:h="16838"/>
          <w:pgMar w:top="1417" w:right="1417" w:bottom="1417" w:left="1417" w:header="851" w:footer="992" w:gutter="0"/>
          <w:pgNumType w:fmt="decimal"/>
          <w:cols w:space="720" w:num="1"/>
          <w:docGrid w:type="lines" w:linePitch="312" w:charSpace="0"/>
        </w:sectPr>
      </w:pPr>
    </w:p>
    <w:p w14:paraId="58E2CCA4">
      <w:pPr>
        <w:widowControl w:val="0"/>
        <w:kinsoku/>
        <w:autoSpaceDE/>
        <w:autoSpaceDN/>
        <w:adjustRightInd w:val="0"/>
        <w:snapToGrid w:val="0"/>
        <w:spacing w:after="160" w:line="259" w:lineRule="auto"/>
        <w:jc w:val="both"/>
        <w:textAlignment w:val="auto"/>
        <w:outlineLvl w:val="2"/>
        <w:rPr>
          <w:rFonts w:hint="eastAsia" w:ascii="Calibri" w:hAnsi="Calibri" w:eastAsia="宋体" w:cs="Times New Roman"/>
          <w:snapToGrid/>
          <w:color w:val="000000"/>
          <w:kern w:val="2"/>
          <w:sz w:val="28"/>
          <w:szCs w:val="28"/>
          <w:highlight w:val="none"/>
          <w:lang w:val="en-US" w:eastAsia="zh-CN" w:bidi="ar-SA"/>
        </w:rPr>
      </w:pPr>
      <w:bookmarkStart w:id="946" w:name="_Toc40633484"/>
      <w:bookmarkStart w:id="947" w:name="_Toc45585183"/>
      <w:bookmarkStart w:id="948" w:name="_Toc42247100"/>
      <w:r>
        <w:rPr>
          <w:rFonts w:hint="eastAsia" w:ascii="Calibri" w:hAnsi="Calibri" w:eastAsia="宋体" w:cs="Times New Roman"/>
          <w:snapToGrid/>
          <w:color w:val="000000"/>
          <w:kern w:val="2"/>
          <w:sz w:val="28"/>
          <w:szCs w:val="28"/>
          <w:highlight w:val="none"/>
          <w:lang w:val="zh-CN" w:eastAsia="zh-CN" w:bidi="ar-SA"/>
        </w:rPr>
        <w:t>附件</w:t>
      </w:r>
      <w:r>
        <w:rPr>
          <w:rFonts w:hint="eastAsia" w:ascii="Calibri" w:hAnsi="Calibri" w:eastAsia="宋体" w:cs="Times New Roman"/>
          <w:snapToGrid/>
          <w:color w:val="000000"/>
          <w:kern w:val="2"/>
          <w:sz w:val="28"/>
          <w:szCs w:val="28"/>
          <w:highlight w:val="none"/>
          <w:lang w:val="en-US" w:eastAsia="zh-CN" w:bidi="ar-SA"/>
        </w:rPr>
        <w:t>三</w:t>
      </w:r>
      <w:r>
        <w:rPr>
          <w:rFonts w:hint="eastAsia" w:ascii="Calibri" w:hAnsi="Calibri" w:eastAsia="宋体" w:cs="Times New Roman"/>
          <w:snapToGrid/>
          <w:color w:val="000000"/>
          <w:kern w:val="2"/>
          <w:sz w:val="28"/>
          <w:szCs w:val="28"/>
          <w:highlight w:val="none"/>
          <w:lang w:val="zh-CN" w:eastAsia="zh-CN" w:bidi="ar-SA"/>
        </w:rPr>
        <w:t>：安全生产管理目标责任书</w:t>
      </w:r>
      <w:bookmarkEnd w:id="946"/>
      <w:bookmarkEnd w:id="947"/>
      <w:bookmarkEnd w:id="948"/>
    </w:p>
    <w:p w14:paraId="653FFC56">
      <w:pPr>
        <w:widowControl w:val="0"/>
        <w:kinsoku/>
        <w:autoSpaceDE/>
        <w:autoSpaceDN/>
        <w:adjustRightInd/>
        <w:snapToGrid/>
        <w:spacing w:after="160" w:line="240" w:lineRule="auto"/>
        <w:jc w:val="center"/>
        <w:textAlignment w:val="auto"/>
        <w:outlineLvl w:val="9"/>
        <w:rPr>
          <w:rFonts w:ascii="黑体" w:hAnsi="黑体" w:eastAsia="黑体" w:cs="黑体"/>
          <w:snapToGrid/>
          <w:color w:val="auto"/>
          <w:kern w:val="2"/>
          <w:sz w:val="44"/>
          <w:szCs w:val="44"/>
          <w:highlight w:val="none"/>
          <w:lang w:val="en-US" w:eastAsia="zh-CN" w:bidi="ar-SA"/>
        </w:rPr>
      </w:pPr>
    </w:p>
    <w:p w14:paraId="64A6D089">
      <w:pPr>
        <w:widowControl w:val="0"/>
        <w:kinsoku/>
        <w:autoSpaceDE/>
        <w:autoSpaceDN/>
        <w:adjustRightInd/>
        <w:snapToGrid/>
        <w:spacing w:after="160" w:line="800" w:lineRule="exact"/>
        <w:jc w:val="center"/>
        <w:textAlignment w:val="auto"/>
        <w:outlineLvl w:val="9"/>
        <w:rPr>
          <w:rFonts w:ascii="黑体" w:hAnsi="黑体" w:eastAsia="黑体" w:cs="黑体"/>
          <w:snapToGrid/>
          <w:color w:val="auto"/>
          <w:kern w:val="2"/>
          <w:sz w:val="48"/>
          <w:szCs w:val="48"/>
          <w:highlight w:val="none"/>
          <w:lang w:val="en-US" w:eastAsia="zh-CN" w:bidi="ar-SA"/>
        </w:rPr>
      </w:pPr>
    </w:p>
    <w:p w14:paraId="3A5D6B46">
      <w:pPr>
        <w:widowControl w:val="0"/>
        <w:kinsoku/>
        <w:autoSpaceDE/>
        <w:autoSpaceDN/>
        <w:adjustRightInd/>
        <w:snapToGrid/>
        <w:spacing w:after="160" w:line="800" w:lineRule="exact"/>
        <w:jc w:val="center"/>
        <w:textAlignment w:val="auto"/>
        <w:outlineLvl w:val="9"/>
        <w:rPr>
          <w:rFonts w:hint="eastAsia" w:ascii="宋体" w:hAnsi="宋体" w:eastAsia="宋体" w:cs="宋体"/>
          <w:snapToGrid/>
          <w:color w:val="auto"/>
          <w:kern w:val="2"/>
          <w:sz w:val="44"/>
          <w:szCs w:val="44"/>
          <w:highlight w:val="none"/>
          <w:lang w:val="en-US" w:eastAsia="zh-CN" w:bidi="ar-SA"/>
        </w:rPr>
      </w:pPr>
      <w:r>
        <w:rPr>
          <w:rFonts w:hint="eastAsia" w:ascii="宋体" w:hAnsi="宋体" w:eastAsia="宋体" w:cs="宋体"/>
          <w:snapToGrid/>
          <w:color w:val="auto"/>
          <w:kern w:val="2"/>
          <w:sz w:val="44"/>
          <w:szCs w:val="44"/>
          <w:highlight w:val="none"/>
          <w:u w:val="single"/>
          <w:lang w:val="en-US" w:eastAsia="zh-CN" w:bidi="ar-SA"/>
        </w:rPr>
        <w:t>（项目名称）</w:t>
      </w:r>
    </w:p>
    <w:p w14:paraId="6BD9EB6F">
      <w:pPr>
        <w:widowControl w:val="0"/>
        <w:kinsoku/>
        <w:autoSpaceDE/>
        <w:autoSpaceDN/>
        <w:adjustRightInd/>
        <w:snapToGrid/>
        <w:spacing w:after="160" w:line="800" w:lineRule="exact"/>
        <w:jc w:val="center"/>
        <w:textAlignment w:val="auto"/>
        <w:outlineLvl w:val="9"/>
        <w:rPr>
          <w:rFonts w:hint="eastAsia" w:ascii="宋体" w:hAnsi="宋体" w:eastAsia="宋体" w:cs="宋体"/>
          <w:snapToGrid/>
          <w:color w:val="auto"/>
          <w:kern w:val="2"/>
          <w:sz w:val="44"/>
          <w:szCs w:val="44"/>
          <w:highlight w:val="none"/>
          <w:lang w:val="en-US" w:eastAsia="zh-CN" w:bidi="ar-SA"/>
        </w:rPr>
      </w:pPr>
    </w:p>
    <w:p w14:paraId="7B7BFBD9">
      <w:pPr>
        <w:widowControl w:val="0"/>
        <w:kinsoku/>
        <w:autoSpaceDE/>
        <w:autoSpaceDN/>
        <w:adjustRightInd/>
        <w:snapToGrid/>
        <w:spacing w:after="160" w:line="800" w:lineRule="exact"/>
        <w:jc w:val="center"/>
        <w:textAlignment w:val="auto"/>
        <w:outlineLvl w:val="9"/>
        <w:rPr>
          <w:rFonts w:hint="eastAsia" w:ascii="宋体" w:hAnsi="宋体" w:eastAsia="宋体" w:cs="宋体"/>
          <w:snapToGrid/>
          <w:color w:val="auto"/>
          <w:kern w:val="2"/>
          <w:sz w:val="44"/>
          <w:szCs w:val="44"/>
          <w:highlight w:val="none"/>
          <w:lang w:val="en-US" w:eastAsia="zh-CN" w:bidi="ar-SA"/>
        </w:rPr>
      </w:pPr>
    </w:p>
    <w:p w14:paraId="273C3942">
      <w:pPr>
        <w:widowControl w:val="0"/>
        <w:kinsoku/>
        <w:autoSpaceDE/>
        <w:autoSpaceDN/>
        <w:adjustRightInd/>
        <w:snapToGrid/>
        <w:spacing w:after="160" w:line="800" w:lineRule="exact"/>
        <w:jc w:val="center"/>
        <w:textAlignment w:val="auto"/>
        <w:outlineLvl w:val="9"/>
        <w:rPr>
          <w:rFonts w:hint="eastAsia" w:ascii="宋体" w:hAnsi="宋体" w:eastAsia="宋体" w:cs="宋体"/>
          <w:snapToGrid/>
          <w:color w:val="auto"/>
          <w:kern w:val="2"/>
          <w:sz w:val="44"/>
          <w:szCs w:val="44"/>
          <w:highlight w:val="none"/>
          <w:lang w:val="en-US" w:eastAsia="zh-CN" w:bidi="ar-SA"/>
        </w:rPr>
      </w:pPr>
    </w:p>
    <w:p w14:paraId="5FD7BD1E">
      <w:pPr>
        <w:widowControl w:val="0"/>
        <w:kinsoku/>
        <w:autoSpaceDE/>
        <w:autoSpaceDN/>
        <w:adjustRightInd/>
        <w:snapToGrid/>
        <w:spacing w:after="160" w:line="800" w:lineRule="exact"/>
        <w:jc w:val="center"/>
        <w:textAlignment w:val="auto"/>
        <w:outlineLvl w:val="9"/>
        <w:rPr>
          <w:rFonts w:hint="eastAsia" w:ascii="宋体" w:hAnsi="宋体" w:eastAsia="宋体" w:cs="宋体"/>
          <w:snapToGrid/>
          <w:color w:val="auto"/>
          <w:kern w:val="2"/>
          <w:sz w:val="52"/>
          <w:szCs w:val="52"/>
          <w:highlight w:val="none"/>
          <w:lang w:val="en-US" w:eastAsia="zh-CN" w:bidi="ar-SA"/>
        </w:rPr>
      </w:pPr>
      <w:r>
        <w:rPr>
          <w:rFonts w:hint="eastAsia" w:ascii="宋体" w:hAnsi="宋体" w:eastAsia="宋体" w:cs="宋体"/>
          <w:snapToGrid/>
          <w:color w:val="auto"/>
          <w:kern w:val="2"/>
          <w:sz w:val="52"/>
          <w:szCs w:val="52"/>
          <w:highlight w:val="none"/>
          <w:lang w:val="en-US" w:eastAsia="zh-CN" w:bidi="ar-SA"/>
        </w:rPr>
        <w:t>安全生产管理目标责任书</w:t>
      </w:r>
    </w:p>
    <w:p w14:paraId="31270523">
      <w:pPr>
        <w:widowControl w:val="0"/>
        <w:kinsoku/>
        <w:autoSpaceDE/>
        <w:autoSpaceDN/>
        <w:adjustRightInd/>
        <w:snapToGrid/>
        <w:spacing w:after="160" w:line="240" w:lineRule="auto"/>
        <w:jc w:val="center"/>
        <w:textAlignment w:val="auto"/>
        <w:outlineLvl w:val="9"/>
        <w:rPr>
          <w:rFonts w:ascii="黑体" w:hAnsi="黑体" w:eastAsia="黑体" w:cs="黑体"/>
          <w:snapToGrid/>
          <w:color w:val="auto"/>
          <w:kern w:val="2"/>
          <w:sz w:val="44"/>
          <w:szCs w:val="44"/>
          <w:highlight w:val="none"/>
          <w:lang w:val="en-US" w:eastAsia="zh-CN" w:bidi="ar-SA"/>
        </w:rPr>
      </w:pPr>
    </w:p>
    <w:p w14:paraId="3EE0BEB6">
      <w:pPr>
        <w:widowControl w:val="0"/>
        <w:kinsoku/>
        <w:autoSpaceDE/>
        <w:autoSpaceDN/>
        <w:adjustRightInd/>
        <w:snapToGrid/>
        <w:spacing w:after="160" w:line="240" w:lineRule="auto"/>
        <w:jc w:val="center"/>
        <w:textAlignment w:val="auto"/>
        <w:outlineLvl w:val="9"/>
        <w:rPr>
          <w:rFonts w:ascii="黑体" w:hAnsi="黑体" w:eastAsia="黑体" w:cs="黑体"/>
          <w:snapToGrid/>
          <w:color w:val="auto"/>
          <w:kern w:val="2"/>
          <w:sz w:val="44"/>
          <w:szCs w:val="44"/>
          <w:highlight w:val="none"/>
          <w:lang w:val="en-US" w:eastAsia="zh-CN" w:bidi="ar-SA"/>
        </w:rPr>
      </w:pPr>
    </w:p>
    <w:p w14:paraId="48E8AC2F">
      <w:pPr>
        <w:widowControl w:val="0"/>
        <w:kinsoku/>
        <w:autoSpaceDE/>
        <w:autoSpaceDN/>
        <w:adjustRightInd/>
        <w:snapToGrid/>
        <w:spacing w:after="160" w:line="240" w:lineRule="auto"/>
        <w:jc w:val="both"/>
        <w:textAlignment w:val="auto"/>
        <w:outlineLvl w:val="9"/>
        <w:rPr>
          <w:rFonts w:ascii="黑体" w:hAnsi="黑体" w:eastAsia="黑体" w:cs="黑体"/>
          <w:snapToGrid/>
          <w:color w:val="auto"/>
          <w:kern w:val="2"/>
          <w:sz w:val="44"/>
          <w:szCs w:val="44"/>
          <w:highlight w:val="none"/>
          <w:lang w:val="en-US" w:eastAsia="zh-CN" w:bidi="ar-SA"/>
        </w:rPr>
      </w:pPr>
    </w:p>
    <w:p w14:paraId="3B707161">
      <w:pPr>
        <w:widowControl w:val="0"/>
        <w:kinsoku/>
        <w:autoSpaceDE/>
        <w:autoSpaceDN/>
        <w:adjustRightInd/>
        <w:snapToGrid/>
        <w:spacing w:after="160" w:line="240" w:lineRule="auto"/>
        <w:jc w:val="both"/>
        <w:textAlignment w:val="auto"/>
        <w:outlineLvl w:val="9"/>
        <w:rPr>
          <w:rFonts w:ascii="黑体" w:hAnsi="黑体" w:eastAsia="黑体" w:cs="黑体"/>
          <w:snapToGrid/>
          <w:color w:val="auto"/>
          <w:kern w:val="2"/>
          <w:sz w:val="32"/>
          <w:szCs w:val="32"/>
          <w:highlight w:val="none"/>
          <w:lang w:val="en-US" w:eastAsia="zh-CN" w:bidi="ar-SA"/>
        </w:rPr>
      </w:pPr>
    </w:p>
    <w:p w14:paraId="214FB908">
      <w:pPr>
        <w:widowControl w:val="0"/>
        <w:kinsoku/>
        <w:autoSpaceDE/>
        <w:autoSpaceDN/>
        <w:adjustRightInd/>
        <w:snapToGrid/>
        <w:spacing w:after="160" w:line="360" w:lineRule="auto"/>
        <w:ind w:firstLine="960" w:firstLineChars="300"/>
        <w:jc w:val="both"/>
        <w:textAlignment w:val="auto"/>
        <w:outlineLvl w:val="9"/>
        <w:rPr>
          <w:rFonts w:hint="eastAsia" w:ascii="宋体" w:hAnsi="宋体" w:eastAsia="宋体" w:cs="宋体"/>
          <w:snapToGrid/>
          <w:color w:val="auto"/>
          <w:kern w:val="2"/>
          <w:sz w:val="32"/>
          <w:szCs w:val="32"/>
          <w:highlight w:val="none"/>
          <w:lang w:val="en-US" w:eastAsia="zh-CN" w:bidi="ar-SA"/>
        </w:rPr>
      </w:pPr>
      <w:r>
        <w:rPr>
          <w:rFonts w:hint="eastAsia" w:ascii="宋体" w:hAnsi="宋体" w:eastAsia="宋体" w:cs="宋体"/>
          <w:snapToGrid/>
          <w:color w:val="auto"/>
          <w:kern w:val="2"/>
          <w:sz w:val="32"/>
          <w:szCs w:val="32"/>
          <w:highlight w:val="none"/>
          <w:lang w:val="en-US" w:eastAsia="zh-CN" w:bidi="ar-SA"/>
        </w:rPr>
        <w:t>甲方：</w:t>
      </w:r>
    </w:p>
    <w:p w14:paraId="67A73222">
      <w:pPr>
        <w:widowControl w:val="0"/>
        <w:kinsoku/>
        <w:autoSpaceDE/>
        <w:autoSpaceDN/>
        <w:adjustRightInd/>
        <w:snapToGrid/>
        <w:spacing w:after="160" w:line="360" w:lineRule="auto"/>
        <w:ind w:firstLine="960" w:firstLineChars="300"/>
        <w:jc w:val="both"/>
        <w:textAlignment w:val="auto"/>
        <w:outlineLvl w:val="9"/>
        <w:rPr>
          <w:rFonts w:hint="eastAsia" w:ascii="宋体" w:hAnsi="宋体" w:eastAsia="宋体" w:cs="宋体"/>
          <w:snapToGrid/>
          <w:color w:val="auto"/>
          <w:kern w:val="2"/>
          <w:sz w:val="32"/>
          <w:szCs w:val="32"/>
          <w:highlight w:val="none"/>
          <w:lang w:val="en-US" w:eastAsia="zh-CN" w:bidi="ar-SA"/>
        </w:rPr>
      </w:pPr>
      <w:r>
        <w:rPr>
          <w:rFonts w:hint="eastAsia" w:ascii="宋体" w:hAnsi="宋体" w:eastAsia="宋体" w:cs="宋体"/>
          <w:snapToGrid/>
          <w:color w:val="auto"/>
          <w:kern w:val="2"/>
          <w:sz w:val="32"/>
          <w:szCs w:val="32"/>
          <w:highlight w:val="none"/>
          <w:lang w:val="en-US" w:eastAsia="zh-CN" w:bidi="ar-SA"/>
        </w:rPr>
        <w:t>乙方：</w:t>
      </w:r>
    </w:p>
    <w:p w14:paraId="0FD32F98">
      <w:pPr>
        <w:widowControl w:val="0"/>
        <w:kinsoku/>
        <w:autoSpaceDE/>
        <w:autoSpaceDN/>
        <w:adjustRightInd/>
        <w:snapToGrid/>
        <w:spacing w:after="160" w:line="360" w:lineRule="auto"/>
        <w:ind w:firstLine="960" w:firstLineChars="300"/>
        <w:jc w:val="both"/>
        <w:textAlignment w:val="auto"/>
        <w:outlineLvl w:val="9"/>
        <w:rPr>
          <w:rFonts w:hint="eastAsia" w:ascii="宋体" w:hAnsi="宋体" w:eastAsia="宋体" w:cs="宋体"/>
          <w:snapToGrid/>
          <w:color w:val="auto"/>
          <w:kern w:val="2"/>
          <w:sz w:val="32"/>
          <w:szCs w:val="32"/>
          <w:highlight w:val="none"/>
          <w:lang w:val="en-US" w:eastAsia="zh-CN" w:bidi="ar-SA"/>
        </w:rPr>
      </w:pPr>
      <w:r>
        <w:rPr>
          <w:rFonts w:hint="eastAsia" w:ascii="宋体" w:hAnsi="宋体" w:eastAsia="宋体" w:cs="宋体"/>
          <w:snapToGrid/>
          <w:color w:val="auto"/>
          <w:kern w:val="2"/>
          <w:sz w:val="32"/>
          <w:szCs w:val="32"/>
          <w:highlight w:val="none"/>
          <w:lang w:val="en-US" w:eastAsia="zh-CN" w:bidi="ar-SA"/>
        </w:rPr>
        <w:t>签订地点：</w:t>
      </w:r>
    </w:p>
    <w:p w14:paraId="7EA1D097">
      <w:pPr>
        <w:widowControl w:val="0"/>
        <w:kinsoku/>
        <w:autoSpaceDE/>
        <w:autoSpaceDN/>
        <w:adjustRightInd/>
        <w:snapToGrid/>
        <w:spacing w:after="160" w:line="360" w:lineRule="auto"/>
        <w:ind w:firstLine="960" w:firstLineChars="300"/>
        <w:jc w:val="both"/>
        <w:textAlignment w:val="auto"/>
        <w:outlineLvl w:val="9"/>
        <w:rPr>
          <w:rFonts w:hint="eastAsia" w:ascii="宋体" w:hAnsi="宋体" w:eastAsia="宋体" w:cs="宋体"/>
          <w:snapToGrid/>
          <w:color w:val="auto"/>
          <w:kern w:val="2"/>
          <w:sz w:val="32"/>
          <w:szCs w:val="32"/>
          <w:highlight w:val="none"/>
          <w:lang w:val="en-US" w:eastAsia="zh-CN" w:bidi="ar-SA"/>
        </w:rPr>
      </w:pPr>
      <w:r>
        <w:rPr>
          <w:rFonts w:hint="eastAsia" w:ascii="宋体" w:hAnsi="宋体" w:eastAsia="宋体" w:cs="宋体"/>
          <w:snapToGrid/>
          <w:color w:val="auto"/>
          <w:kern w:val="2"/>
          <w:sz w:val="32"/>
          <w:szCs w:val="32"/>
          <w:highlight w:val="none"/>
          <w:lang w:val="en-US" w:eastAsia="zh-CN" w:bidi="ar-SA"/>
        </w:rPr>
        <w:t>签订时间：　　年　　月</w:t>
      </w:r>
    </w:p>
    <w:p w14:paraId="420535C8">
      <w:pPr>
        <w:widowControl w:val="0"/>
        <w:kinsoku/>
        <w:autoSpaceDE/>
        <w:autoSpaceDN/>
        <w:adjustRightInd/>
        <w:snapToGrid/>
        <w:spacing w:after="160" w:line="240" w:lineRule="auto"/>
        <w:jc w:val="center"/>
        <w:textAlignment w:val="auto"/>
        <w:outlineLvl w:val="9"/>
        <w:rPr>
          <w:rFonts w:hint="eastAsia" w:ascii="宋体" w:hAnsi="宋体" w:eastAsia="宋体" w:cs="宋体"/>
          <w:snapToGrid/>
          <w:color w:val="auto"/>
          <w:kern w:val="2"/>
          <w:sz w:val="32"/>
          <w:szCs w:val="32"/>
          <w:highlight w:val="none"/>
          <w:lang w:val="en-US" w:eastAsia="zh-CN" w:bidi="ar-SA"/>
        </w:rPr>
      </w:pPr>
      <w:r>
        <w:rPr>
          <w:rFonts w:ascii="黑体" w:hAnsi="黑体" w:eastAsia="黑体" w:cs="黑体"/>
          <w:snapToGrid/>
          <w:color w:val="auto"/>
          <w:kern w:val="2"/>
          <w:sz w:val="32"/>
          <w:szCs w:val="32"/>
          <w:highlight w:val="none"/>
          <w:lang w:val="en-US" w:eastAsia="zh-CN" w:bidi="ar-SA"/>
        </w:rPr>
        <w:br w:type="page"/>
      </w:r>
      <w:r>
        <w:rPr>
          <w:rFonts w:hint="eastAsia" w:ascii="宋体" w:hAnsi="宋体" w:eastAsia="宋体" w:cs="宋体"/>
          <w:snapToGrid/>
          <w:color w:val="auto"/>
          <w:kern w:val="2"/>
          <w:sz w:val="32"/>
          <w:szCs w:val="32"/>
          <w:highlight w:val="none"/>
          <w:lang w:val="en-US" w:eastAsia="zh-CN" w:bidi="ar-SA"/>
        </w:rPr>
        <w:t>安全生产管理目标责任书</w:t>
      </w:r>
    </w:p>
    <w:p w14:paraId="51571680">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为贯彻执行国家安全生产法律法规和行业规程规范，切实做好</w:t>
      </w:r>
      <w:r>
        <w:rPr>
          <w:rFonts w:hint="eastAsia" w:ascii="宋体" w:hAnsi="宋体" w:eastAsia="宋体" w:cs="宋体"/>
          <w:snapToGrid/>
          <w:color w:val="auto"/>
          <w:kern w:val="2"/>
          <w:szCs w:val="21"/>
          <w:highlight w:val="none"/>
          <w:u w:val="single"/>
          <w:lang w:val="en-US" w:eastAsia="zh-CN" w:bidi="ar-SA"/>
        </w:rPr>
        <w:t xml:space="preserve">         </w:t>
      </w:r>
      <w:r>
        <w:rPr>
          <w:rFonts w:hint="eastAsia" w:ascii="宋体" w:hAnsi="宋体" w:eastAsia="宋体" w:cs="宋体"/>
          <w:snapToGrid/>
          <w:color w:val="auto"/>
          <w:kern w:val="2"/>
          <w:szCs w:val="21"/>
          <w:highlight w:val="none"/>
          <w:lang w:val="en-US" w:eastAsia="zh-CN" w:bidi="ar-SA"/>
        </w:rPr>
        <w:t>（项目名称）施工安全生产管理工作，甲乙双方特签订本责任书。</w:t>
      </w:r>
    </w:p>
    <w:p w14:paraId="48946EDB">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（一）杜绝群死群伤的重特大事故发生，避免较大事故发生，减少一般事故发生。</w:t>
      </w:r>
    </w:p>
    <w:p w14:paraId="6CCA5D7F">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（二）安全生产隐患整改率100%。</w:t>
      </w:r>
    </w:p>
    <w:p w14:paraId="0EDF94BB">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二、甲方责任</w:t>
      </w:r>
    </w:p>
    <w:p w14:paraId="4F56C4F3">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（一）严格遵守国家有关安全生产的法律法规，认真执行工程承包合同中的有关安全要求。</w:t>
      </w:r>
    </w:p>
    <w:p w14:paraId="5F86F08F">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（二）负责统一监督、检查、协调工程施工安全、消防、防汛和防灾等工作，制定并实施安全生产管理制度和处罚办法。</w:t>
      </w:r>
    </w:p>
    <w:p w14:paraId="40DC8764">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（三）严格执行国家及行业有关法律法规，做到安全生产设施建设与主体工程“三同时”，即：同时设计审批、同时施工、同时验收投入使用。</w:t>
      </w:r>
    </w:p>
    <w:p w14:paraId="2027D283">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（四）负责定期组织召开安全生产专题会议和安全检查，确保各项安全措施及时落实到位。</w:t>
      </w:r>
    </w:p>
    <w:p w14:paraId="1B9508FD">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（五）保障安全措施经费足额到位，为乙方履行安全责任创造条件。</w:t>
      </w:r>
    </w:p>
    <w:p w14:paraId="0525ED39">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三、乙方责任</w:t>
      </w:r>
    </w:p>
    <w:p w14:paraId="7696438A">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（一）严格执行国家及行业有关法律法规，履行工程承包合同中的有关安全要求和义务。</w:t>
      </w:r>
    </w:p>
    <w:p w14:paraId="241B44FC">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（二）作为安全生产的责任主体，负责建立安全生产管理机构和制度体系，单位法人为安全生产第一责任人。</w:t>
      </w:r>
    </w:p>
    <w:p w14:paraId="532A530E">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（三）加强职工岗位教育培训，工人岗前安全生产培训达到100%，安全生产管理人员及特种工人持证上岗率100%。</w:t>
      </w:r>
    </w:p>
    <w:p w14:paraId="3BFCE9C0">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（四）按照设计施工计划编制安全施工组织设计，并严格执行；确保各类设施设备报检率、合格率及完好率均达到100%；及时做好专项检查和整改工作，做到检查、整改工作到位率均达100%。</w:t>
      </w:r>
    </w:p>
    <w:p w14:paraId="4E5ADD84">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（五）采取安全控制措施，确保人员安全，如果发生安全事故，及时上报有关部门，及时报告和事故及时办结率应达到100%。</w:t>
      </w:r>
    </w:p>
    <w:p w14:paraId="55BE7644">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（六）保障合同列支的安全措施经费及时足额到位，不得挪作他用。</w:t>
      </w:r>
    </w:p>
    <w:p w14:paraId="28E794CA">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四、安全生产管理奖惩</w:t>
      </w:r>
    </w:p>
    <w:p w14:paraId="5315745F">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乙方负责施工的工程项目发生责任事故，除有关部门按照安全生产相关规定处罚外，甲方将按有关制度将乙方列入黑名单，在本工程后续建设中不得参与相关招投标工作。</w:t>
      </w:r>
    </w:p>
    <w:p w14:paraId="6800BC27">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其他</w:t>
      </w:r>
    </w:p>
    <w:p w14:paraId="682F9975">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（一）不因本责任书的签订而免除乙方按法律法规和合同规定应承担的其他责任和义务。</w:t>
      </w:r>
    </w:p>
    <w:p w14:paraId="56316749">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（二）本责任书由双方法定代表人或其授权代理人签署并加盖单位公章后生效，一式六份，甲方执四份，乙方执二份，工程竣工验收后自行失效。</w:t>
      </w:r>
    </w:p>
    <w:p w14:paraId="25E9C6D9">
      <w:pPr>
        <w:widowControl w:val="0"/>
        <w:kinsoku/>
        <w:autoSpaceDE/>
        <w:autoSpaceDN/>
        <w:adjustRightInd/>
        <w:snapToGrid/>
        <w:spacing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bookmarkStart w:id="949" w:name="_Hlk19763081"/>
    </w:p>
    <w:p w14:paraId="64F2DD50">
      <w:pPr>
        <w:widowControl w:val="0"/>
        <w:kinsoku/>
        <w:autoSpaceDE/>
        <w:autoSpaceDN/>
        <w:adjustRightInd/>
        <w:snapToGrid/>
        <w:spacing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r>
        <w:rPr>
          <w:rFonts w:hint="eastAsia" w:ascii="宋体" w:hAnsi="宋体" w:eastAsia="宋体" w:cs="宋体"/>
          <w:snapToGrid/>
          <w:color w:val="auto"/>
          <w:kern w:val="2"/>
          <w:sz w:val="21"/>
          <w:szCs w:val="21"/>
          <w:highlight w:val="none"/>
          <w:lang w:val="en-US" w:eastAsia="zh-CN" w:bidi="ar-SA"/>
        </w:rPr>
        <w:t>甲方：</w:t>
      </w:r>
      <w:r>
        <w:rPr>
          <w:rFonts w:hint="eastAsia" w:ascii="宋体" w:hAnsi="宋体" w:eastAsia="宋体" w:cs="宋体"/>
          <w:snapToGrid/>
          <w:color w:val="auto"/>
          <w:kern w:val="2"/>
          <w:sz w:val="21"/>
          <w:szCs w:val="21"/>
          <w:highlight w:val="none"/>
          <w:u w:val="single"/>
          <w:lang w:val="en-US" w:eastAsia="zh-CN" w:bidi="ar-SA"/>
        </w:rPr>
        <w:t xml:space="preserve">                  </w:t>
      </w:r>
      <w:r>
        <w:rPr>
          <w:rFonts w:hint="eastAsia" w:ascii="宋体" w:hAnsi="宋体" w:eastAsia="宋体" w:cs="宋体"/>
          <w:snapToGrid/>
          <w:color w:val="auto"/>
          <w:kern w:val="2"/>
          <w:sz w:val="21"/>
          <w:szCs w:val="21"/>
          <w:highlight w:val="none"/>
          <w:lang w:val="en-US" w:eastAsia="zh-CN" w:bidi="ar-SA"/>
        </w:rPr>
        <w:t xml:space="preserve">（盖章） </w:t>
      </w:r>
    </w:p>
    <w:p w14:paraId="0E3FD1E7">
      <w:pPr>
        <w:widowControl w:val="0"/>
        <w:kinsoku/>
        <w:autoSpaceDE/>
        <w:autoSpaceDN/>
        <w:adjustRightInd/>
        <w:snapToGrid/>
        <w:spacing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u w:val="single"/>
          <w:lang w:val="en-US" w:eastAsia="zh-CN" w:bidi="ar-SA"/>
        </w:rPr>
      </w:pPr>
      <w:r>
        <w:rPr>
          <w:rFonts w:hint="eastAsia" w:ascii="宋体" w:hAnsi="宋体" w:eastAsia="宋体" w:cs="宋体"/>
          <w:snapToGrid/>
          <w:color w:val="auto"/>
          <w:kern w:val="2"/>
          <w:sz w:val="21"/>
          <w:szCs w:val="21"/>
          <w:highlight w:val="none"/>
          <w:lang w:val="en-US" w:eastAsia="zh-CN" w:bidi="ar-SA"/>
        </w:rPr>
        <w:t>法定代表人或授权代理人：（签字）</w:t>
      </w:r>
      <w:r>
        <w:rPr>
          <w:rFonts w:hint="eastAsia" w:ascii="宋体" w:hAnsi="宋体" w:eastAsia="宋体" w:cs="宋体"/>
          <w:snapToGrid/>
          <w:color w:val="auto"/>
          <w:kern w:val="2"/>
          <w:sz w:val="21"/>
          <w:szCs w:val="21"/>
          <w:highlight w:val="none"/>
          <w:u w:val="single"/>
          <w:lang w:val="en-US" w:eastAsia="zh-CN" w:bidi="ar-SA"/>
        </w:rPr>
        <w:t xml:space="preserve">            </w:t>
      </w:r>
    </w:p>
    <w:p w14:paraId="2A450FC6">
      <w:pPr>
        <w:widowControl w:val="0"/>
        <w:kinsoku/>
        <w:autoSpaceDE/>
        <w:autoSpaceDN/>
        <w:adjustRightInd/>
        <w:snapToGrid/>
        <w:spacing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r>
        <w:rPr>
          <w:rFonts w:hint="eastAsia" w:ascii="宋体" w:hAnsi="宋体" w:eastAsia="宋体" w:cs="宋体"/>
          <w:snapToGrid/>
          <w:color w:val="auto"/>
          <w:kern w:val="2"/>
          <w:sz w:val="21"/>
          <w:szCs w:val="21"/>
          <w:highlight w:val="none"/>
          <w:lang w:val="en-US" w:eastAsia="zh-CN" w:bidi="ar-SA"/>
        </w:rPr>
        <w:t xml:space="preserve">日期：   年  月  日  </w:t>
      </w:r>
    </w:p>
    <w:p w14:paraId="54676051">
      <w:pPr>
        <w:widowControl w:val="0"/>
        <w:kinsoku/>
        <w:autoSpaceDE/>
        <w:autoSpaceDN/>
        <w:adjustRightInd/>
        <w:snapToGrid/>
        <w:spacing w:beforeLines="50"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p>
    <w:p w14:paraId="089C5EBC">
      <w:pPr>
        <w:widowControl w:val="0"/>
        <w:kinsoku/>
        <w:autoSpaceDE/>
        <w:autoSpaceDN/>
        <w:adjustRightInd/>
        <w:snapToGrid/>
        <w:spacing w:beforeLines="50"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r>
        <w:rPr>
          <w:rFonts w:hint="eastAsia" w:ascii="宋体" w:hAnsi="宋体" w:eastAsia="宋体" w:cs="宋体"/>
          <w:snapToGrid/>
          <w:color w:val="auto"/>
          <w:kern w:val="2"/>
          <w:sz w:val="21"/>
          <w:szCs w:val="21"/>
          <w:highlight w:val="none"/>
          <w:lang w:val="en-US" w:eastAsia="zh-CN" w:bidi="ar-SA"/>
        </w:rPr>
        <w:t>乙方：</w:t>
      </w:r>
      <w:r>
        <w:rPr>
          <w:rFonts w:hint="eastAsia" w:ascii="宋体" w:hAnsi="宋体" w:eastAsia="宋体" w:cs="宋体"/>
          <w:snapToGrid/>
          <w:color w:val="auto"/>
          <w:kern w:val="2"/>
          <w:sz w:val="21"/>
          <w:szCs w:val="21"/>
          <w:highlight w:val="none"/>
          <w:u w:val="single"/>
          <w:lang w:val="en-US" w:eastAsia="zh-CN" w:bidi="ar-SA"/>
        </w:rPr>
        <w:t xml:space="preserve">                </w:t>
      </w:r>
      <w:r>
        <w:rPr>
          <w:rFonts w:hint="eastAsia" w:ascii="宋体" w:hAnsi="宋体" w:eastAsia="宋体" w:cs="宋体"/>
          <w:snapToGrid/>
          <w:color w:val="auto"/>
          <w:kern w:val="2"/>
          <w:sz w:val="21"/>
          <w:szCs w:val="21"/>
          <w:highlight w:val="none"/>
          <w:lang w:val="en-US" w:eastAsia="zh-CN" w:bidi="ar-SA"/>
        </w:rPr>
        <w:t>（盖章）</w:t>
      </w:r>
    </w:p>
    <w:p w14:paraId="2E95C3FD">
      <w:pPr>
        <w:widowControl w:val="0"/>
        <w:kinsoku/>
        <w:autoSpaceDE/>
        <w:autoSpaceDN/>
        <w:adjustRightInd/>
        <w:snapToGrid/>
        <w:spacing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r>
        <w:rPr>
          <w:rFonts w:hint="eastAsia" w:ascii="宋体" w:hAnsi="宋体" w:eastAsia="宋体" w:cs="宋体"/>
          <w:snapToGrid/>
          <w:color w:val="auto"/>
          <w:kern w:val="2"/>
          <w:sz w:val="21"/>
          <w:szCs w:val="21"/>
          <w:highlight w:val="none"/>
          <w:lang w:val="en-US" w:eastAsia="zh-CN" w:bidi="ar-SA"/>
        </w:rPr>
        <w:t>法定代表人或授权代理人：（签字）</w:t>
      </w:r>
      <w:r>
        <w:rPr>
          <w:rFonts w:hint="eastAsia" w:ascii="宋体" w:hAnsi="宋体" w:eastAsia="宋体" w:cs="宋体"/>
          <w:snapToGrid/>
          <w:color w:val="auto"/>
          <w:kern w:val="2"/>
          <w:sz w:val="21"/>
          <w:szCs w:val="21"/>
          <w:highlight w:val="none"/>
          <w:u w:val="single"/>
          <w:lang w:val="en-US" w:eastAsia="zh-CN" w:bidi="ar-SA"/>
        </w:rPr>
        <w:t xml:space="preserve">            </w:t>
      </w:r>
    </w:p>
    <w:p w14:paraId="0F48CAA0">
      <w:pPr>
        <w:bidi w:val="0"/>
        <w:ind w:firstLine="420" w:firstLineChars="200"/>
        <w:rPr>
          <w:rFonts w:hint="eastAsia" w:ascii="宋体" w:hAnsi="宋体" w:eastAsia="宋体" w:cs="宋体"/>
          <w:snapToGrid/>
          <w:color w:val="auto"/>
          <w:kern w:val="2"/>
          <w:sz w:val="21"/>
          <w:szCs w:val="21"/>
          <w:highlight w:val="none"/>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napToGrid/>
          <w:color w:val="auto"/>
          <w:kern w:val="2"/>
          <w:sz w:val="21"/>
          <w:szCs w:val="21"/>
          <w:highlight w:val="none"/>
          <w:lang w:val="en-US" w:eastAsia="zh-CN" w:bidi="ar-SA"/>
        </w:rPr>
        <w:t>日期：   年  月  日</w:t>
      </w:r>
      <w:bookmarkEnd w:id="949"/>
    </w:p>
    <w:p w14:paraId="4DE7F0C5">
      <w:pPr>
        <w:keepNext/>
        <w:widowControl w:val="0"/>
        <w:autoSpaceDE w:val="0"/>
        <w:autoSpaceDN w:val="0"/>
        <w:adjustRightInd w:val="0"/>
        <w:jc w:val="center"/>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bookmarkStart w:id="950" w:name="_Toc20528"/>
      <w:bookmarkStart w:id="951" w:name="_Toc23458"/>
      <w:bookmarkStart w:id="952" w:name="_Toc12959"/>
      <w:bookmarkStart w:id="953" w:name="_Toc13582"/>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第四章  响应文件格式</w:t>
      </w:r>
      <w:bookmarkEnd w:id="950"/>
      <w:bookmarkEnd w:id="951"/>
      <w:bookmarkEnd w:id="952"/>
      <w:bookmarkEnd w:id="953"/>
    </w:p>
    <w:p w14:paraId="3EFC9050">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napToGrid/>
          <w:color w:val="auto"/>
          <w:kern w:val="2"/>
          <w:sz w:val="21"/>
          <w:szCs w:val="21"/>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233CB478">
      <w:pPr>
        <w:widowControl w:val="0"/>
        <w:kinsoku/>
        <w:autoSpaceDE/>
        <w:autoSpaceDN/>
        <w:adjustRightInd/>
        <w:snapToGrid/>
        <w:spacing w:before="120" w:after="120" w:line="360" w:lineRule="auto"/>
        <w:ind w:firstLine="1120" w:firstLineChars="200"/>
        <w:jc w:val="both"/>
        <w:textAlignment w:val="auto"/>
        <w:rPr>
          <w:rFonts w:hint="eastAsia" w:ascii="宋体" w:hAnsi="宋体" w:eastAsia="宋体" w:cs="宋体"/>
          <w:bCs/>
          <w:snapToGrid/>
          <w:color w:val="auto"/>
          <w:kern w:val="2"/>
          <w:sz w:val="56"/>
          <w:szCs w:val="56"/>
          <w:highlight w:val="none"/>
          <w:u w:val="single"/>
          <w:lang w:val="en-US" w:eastAsia="zh-CN" w:bidi="ar-SA"/>
        </w:rPr>
      </w:pPr>
      <w:bookmarkStart w:id="954" w:name="_Toc15966"/>
    </w:p>
    <w:p w14:paraId="4C498EAD">
      <w:pPr>
        <w:bidi w:val="0"/>
        <w:jc w:val="center"/>
        <w:outlineLvl w:val="9"/>
        <w:rPr>
          <w:rFonts w:hint="eastAsia" w:ascii="宋体" w:hAnsi="宋体" w:eastAsia="宋体" w:cs="宋体"/>
          <w:b w:val="0"/>
          <w:bCs w:val="0"/>
          <w:color w:val="000000"/>
          <w:sz w:val="52"/>
          <w:szCs w:val="52"/>
          <w:lang w:val="en-US" w:eastAsia="en-US" w:bidi="ar-SA"/>
        </w:rPr>
      </w:pPr>
      <w:r>
        <w:rPr>
          <w:rFonts w:hint="eastAsia" w:ascii="宋体" w:hAnsi="宋体" w:eastAsia="宋体" w:cs="宋体"/>
          <w:b w:val="0"/>
          <w:bCs w:val="0"/>
          <w:color w:val="000000"/>
          <w:sz w:val="52"/>
          <w:szCs w:val="52"/>
          <w:lang w:val="en-US" w:eastAsia="en-US" w:bidi="ar-SA"/>
        </w:rPr>
        <w:t>耿马县2024年小型水库维修养护工程</w:t>
      </w:r>
    </w:p>
    <w:p w14:paraId="30A404C2">
      <w:pPr>
        <w:bidi w:val="0"/>
        <w:jc w:val="center"/>
        <w:outlineLvl w:val="9"/>
        <w:rPr>
          <w:rFonts w:hint="eastAsia" w:ascii="宋体" w:hAnsi="宋体" w:eastAsia="宋体" w:cs="宋体"/>
          <w:snapToGrid/>
          <w:color w:val="auto"/>
          <w:kern w:val="2"/>
          <w:sz w:val="72"/>
          <w:szCs w:val="72"/>
          <w:highlight w:val="none"/>
          <w:lang w:val="en-US" w:eastAsia="zh-CN" w:bidi="ar-SA"/>
        </w:rPr>
      </w:pPr>
      <w:r>
        <w:rPr>
          <w:rFonts w:hint="eastAsia" w:ascii="宋体" w:hAnsi="宋体" w:eastAsia="宋体" w:cs="宋体"/>
          <w:b w:val="0"/>
          <w:bCs w:val="0"/>
          <w:color w:val="000000"/>
          <w:sz w:val="52"/>
          <w:szCs w:val="52"/>
          <w:lang w:val="en-US" w:eastAsia="zh-CN" w:bidi="ar-SA"/>
        </w:rPr>
        <w:t>第</w:t>
      </w:r>
      <w:r>
        <w:rPr>
          <w:rFonts w:hint="eastAsia" w:ascii="宋体" w:hAnsi="宋体" w:eastAsia="宋体" w:cs="宋体"/>
          <w:b w:val="0"/>
          <w:bCs w:val="0"/>
          <w:color w:val="000000"/>
          <w:sz w:val="52"/>
          <w:szCs w:val="52"/>
          <w:u w:val="single"/>
          <w:lang w:val="en-US" w:eastAsia="zh-CN" w:bidi="ar-SA"/>
        </w:rPr>
        <w:t xml:space="preserve">  三  </w:t>
      </w:r>
      <w:r>
        <w:rPr>
          <w:rFonts w:hint="eastAsia" w:ascii="宋体" w:hAnsi="宋体" w:eastAsia="宋体" w:cs="宋体"/>
          <w:b w:val="0"/>
          <w:bCs w:val="0"/>
          <w:color w:val="000000"/>
          <w:sz w:val="52"/>
          <w:szCs w:val="52"/>
          <w:lang w:val="en-US" w:eastAsia="zh-CN" w:bidi="ar-SA"/>
        </w:rPr>
        <w:t>标段</w:t>
      </w:r>
    </w:p>
    <w:p w14:paraId="56E334C0">
      <w:pPr>
        <w:widowControl w:val="0"/>
        <w:kinsoku/>
        <w:autoSpaceDE/>
        <w:autoSpaceDN/>
        <w:adjustRightInd/>
        <w:snapToGrid/>
        <w:spacing w:before="120" w:after="120" w:line="360" w:lineRule="auto"/>
        <w:jc w:val="center"/>
        <w:textAlignment w:val="auto"/>
        <w:rPr>
          <w:rFonts w:hint="eastAsia" w:ascii="宋体" w:hAnsi="宋体" w:eastAsia="宋体" w:cs="宋体"/>
          <w:b/>
          <w:snapToGrid/>
          <w:color w:val="auto"/>
          <w:kern w:val="2"/>
          <w:sz w:val="60"/>
          <w:szCs w:val="60"/>
          <w:highlight w:val="none"/>
          <w:lang w:val="en-US" w:eastAsia="zh-CN" w:bidi="ar-SA"/>
        </w:rPr>
      </w:pPr>
    </w:p>
    <w:p w14:paraId="7100237F">
      <w:pPr>
        <w:widowControl w:val="0"/>
        <w:kinsoku/>
        <w:autoSpaceDE/>
        <w:autoSpaceDN/>
        <w:adjustRightInd/>
        <w:snapToGrid/>
        <w:spacing w:before="120" w:after="120" w:line="360" w:lineRule="auto"/>
        <w:jc w:val="center"/>
        <w:textAlignment w:val="auto"/>
        <w:rPr>
          <w:rFonts w:hint="eastAsia" w:ascii="宋体" w:hAnsi="宋体" w:eastAsia="宋体" w:cs="宋体"/>
          <w:b/>
          <w:snapToGrid/>
          <w:color w:val="auto"/>
          <w:kern w:val="2"/>
          <w:sz w:val="60"/>
          <w:szCs w:val="60"/>
          <w:highlight w:val="none"/>
          <w:lang w:val="en-US" w:eastAsia="zh-CN" w:bidi="ar-SA"/>
        </w:rPr>
      </w:pPr>
    </w:p>
    <w:p w14:paraId="342E3D66">
      <w:pPr>
        <w:widowControl w:val="0"/>
        <w:kinsoku/>
        <w:autoSpaceDE/>
        <w:autoSpaceDN/>
        <w:adjustRightInd/>
        <w:snapToGrid/>
        <w:spacing w:before="120" w:after="120" w:line="360" w:lineRule="auto"/>
        <w:jc w:val="center"/>
        <w:textAlignment w:val="auto"/>
        <w:rPr>
          <w:rFonts w:hint="eastAsia" w:ascii="宋体" w:hAnsi="宋体" w:eastAsia="宋体" w:cs="宋体"/>
          <w:b/>
          <w:snapToGrid/>
          <w:color w:val="auto"/>
          <w:spacing w:val="57"/>
          <w:kern w:val="2"/>
          <w:sz w:val="60"/>
          <w:szCs w:val="60"/>
          <w:highlight w:val="none"/>
          <w:lang w:val="en-US" w:eastAsia="zh-CN" w:bidi="ar-SA"/>
        </w:rPr>
      </w:pPr>
    </w:p>
    <w:p w14:paraId="097237BF">
      <w:pPr>
        <w:widowControl w:val="0"/>
        <w:kinsoku/>
        <w:autoSpaceDE/>
        <w:autoSpaceDN/>
        <w:adjustRightInd/>
        <w:snapToGrid/>
        <w:spacing w:before="120" w:after="120" w:line="360" w:lineRule="auto"/>
        <w:jc w:val="center"/>
        <w:textAlignment w:val="auto"/>
        <w:rPr>
          <w:rFonts w:hint="eastAsia" w:ascii="宋体" w:hAnsi="宋体" w:eastAsia="宋体" w:cs="宋体"/>
          <w:b/>
          <w:snapToGrid/>
          <w:color w:val="auto"/>
          <w:spacing w:val="57"/>
          <w:kern w:val="2"/>
          <w:sz w:val="60"/>
          <w:szCs w:val="60"/>
          <w:highlight w:val="none"/>
          <w:lang w:val="en-US" w:eastAsia="zh-CN" w:bidi="ar-SA"/>
        </w:rPr>
      </w:pPr>
      <w:r>
        <w:rPr>
          <w:rFonts w:hint="eastAsia" w:ascii="宋体" w:hAnsi="宋体" w:eastAsia="宋体" w:cs="宋体"/>
          <w:b/>
          <w:snapToGrid/>
          <w:color w:val="auto"/>
          <w:spacing w:val="57"/>
          <w:kern w:val="2"/>
          <w:sz w:val="60"/>
          <w:szCs w:val="60"/>
          <w:highlight w:val="none"/>
          <w:lang w:val="en-US" w:eastAsia="zh-CN" w:bidi="ar-SA"/>
        </w:rPr>
        <w:t>响应文件</w:t>
      </w:r>
    </w:p>
    <w:p w14:paraId="2E209309">
      <w:pPr>
        <w:widowControl w:val="0"/>
        <w:kinsoku/>
        <w:autoSpaceDE/>
        <w:autoSpaceDN/>
        <w:adjustRightInd/>
        <w:snapToGrid/>
        <w:spacing w:before="120" w:after="120" w:line="360" w:lineRule="auto"/>
        <w:jc w:val="center"/>
        <w:textAlignment w:val="auto"/>
        <w:rPr>
          <w:rFonts w:hint="eastAsia" w:ascii="宋体" w:hAnsi="宋体" w:eastAsia="宋体" w:cs="宋体"/>
          <w:b/>
          <w:bCs/>
          <w:snapToGrid/>
          <w:color w:val="auto"/>
          <w:kern w:val="2"/>
          <w:sz w:val="30"/>
          <w:szCs w:val="30"/>
          <w:highlight w:val="none"/>
          <w:lang w:val="en-US" w:eastAsia="zh-CN" w:bidi="ar-SA"/>
        </w:rPr>
      </w:pPr>
    </w:p>
    <w:p w14:paraId="4A1E3136">
      <w:pPr>
        <w:widowControl w:val="0"/>
        <w:kinsoku/>
        <w:autoSpaceDE/>
        <w:autoSpaceDN/>
        <w:adjustRightInd/>
        <w:snapToGrid/>
        <w:spacing w:before="120" w:after="120" w:line="360" w:lineRule="auto"/>
        <w:jc w:val="center"/>
        <w:textAlignment w:val="auto"/>
        <w:rPr>
          <w:rFonts w:hint="eastAsia" w:ascii="宋体" w:hAnsi="宋体" w:eastAsia="宋体" w:cs="宋体"/>
          <w:b/>
          <w:bCs/>
          <w:snapToGrid/>
          <w:color w:val="auto"/>
          <w:kern w:val="2"/>
          <w:sz w:val="30"/>
          <w:szCs w:val="30"/>
          <w:highlight w:val="none"/>
          <w:lang w:val="en-US" w:eastAsia="zh-CN" w:bidi="ar-SA"/>
        </w:rPr>
      </w:pPr>
    </w:p>
    <w:p w14:paraId="438CB67E">
      <w:pPr>
        <w:widowControl w:val="0"/>
        <w:kinsoku/>
        <w:autoSpaceDE/>
        <w:autoSpaceDN/>
        <w:adjustRightInd/>
        <w:snapToGrid/>
        <w:spacing w:before="120" w:after="120" w:line="360" w:lineRule="auto"/>
        <w:jc w:val="both"/>
        <w:textAlignment w:val="auto"/>
        <w:rPr>
          <w:rFonts w:hint="eastAsia" w:ascii="宋体" w:hAnsi="宋体" w:eastAsia="宋体" w:cs="宋体"/>
          <w:b/>
          <w:snapToGrid/>
          <w:color w:val="auto"/>
          <w:kern w:val="2"/>
          <w:sz w:val="30"/>
          <w:szCs w:val="30"/>
          <w:highlight w:val="none"/>
          <w:lang w:val="en-US" w:eastAsia="zh-CN" w:bidi="ar-SA"/>
        </w:rPr>
      </w:pPr>
    </w:p>
    <w:p w14:paraId="2E41FA8B">
      <w:pPr>
        <w:widowControl w:val="0"/>
        <w:kinsoku/>
        <w:autoSpaceDE/>
        <w:autoSpaceDN/>
        <w:adjustRightInd/>
        <w:snapToGrid/>
        <w:spacing w:before="120" w:after="120" w:line="360" w:lineRule="auto"/>
        <w:jc w:val="both"/>
        <w:textAlignment w:val="auto"/>
        <w:rPr>
          <w:rFonts w:hint="eastAsia" w:ascii="宋体" w:hAnsi="宋体" w:eastAsia="宋体" w:cs="宋体"/>
          <w:b/>
          <w:snapToGrid/>
          <w:color w:val="auto"/>
          <w:kern w:val="2"/>
          <w:sz w:val="30"/>
          <w:szCs w:val="30"/>
          <w:highlight w:val="none"/>
          <w:lang w:val="en-US" w:eastAsia="zh-CN" w:bidi="ar-SA"/>
        </w:rPr>
      </w:pPr>
    </w:p>
    <w:p w14:paraId="35F6EC85">
      <w:pPr>
        <w:widowControl w:val="0"/>
        <w:kinsoku/>
        <w:autoSpaceDE/>
        <w:autoSpaceDN/>
        <w:adjustRightInd/>
        <w:snapToGrid/>
        <w:spacing w:line="360" w:lineRule="auto"/>
        <w:ind w:firstLine="600" w:firstLineChars="200"/>
        <w:jc w:val="both"/>
        <w:textAlignment w:val="auto"/>
        <w:rPr>
          <w:rFonts w:hint="eastAsia" w:ascii="宋体" w:hAnsi="宋体" w:eastAsia="宋体" w:cs="宋体"/>
          <w:bCs/>
          <w:snapToGrid/>
          <w:color w:val="auto"/>
          <w:kern w:val="2"/>
          <w:sz w:val="30"/>
          <w:szCs w:val="30"/>
          <w:highlight w:val="none"/>
          <w:lang w:val="zh-CN" w:eastAsia="zh-CN" w:bidi="ar-SA"/>
        </w:rPr>
      </w:pPr>
    </w:p>
    <w:p w14:paraId="30CABD35">
      <w:pPr>
        <w:widowControl w:val="0"/>
        <w:kinsoku/>
        <w:autoSpaceDE/>
        <w:autoSpaceDN/>
        <w:adjustRightInd/>
        <w:snapToGrid/>
        <w:spacing w:line="360" w:lineRule="auto"/>
        <w:ind w:firstLine="600" w:firstLineChars="200"/>
        <w:jc w:val="both"/>
        <w:textAlignment w:val="auto"/>
        <w:rPr>
          <w:rFonts w:hint="eastAsia" w:ascii="宋体" w:hAnsi="宋体" w:eastAsia="宋体" w:cs="宋体"/>
          <w:bCs/>
          <w:snapToGrid/>
          <w:color w:val="auto"/>
          <w:kern w:val="2"/>
          <w:sz w:val="30"/>
          <w:szCs w:val="30"/>
          <w:highlight w:val="none"/>
          <w:lang w:val="zh-CN" w:eastAsia="zh-CN" w:bidi="ar-SA"/>
        </w:rPr>
      </w:pPr>
    </w:p>
    <w:p w14:paraId="45169F48">
      <w:pPr>
        <w:widowControl w:val="0"/>
        <w:kinsoku/>
        <w:autoSpaceDE/>
        <w:autoSpaceDN/>
        <w:adjustRightInd/>
        <w:snapToGrid/>
        <w:spacing w:line="360" w:lineRule="auto"/>
        <w:ind w:firstLine="600" w:firstLineChars="200"/>
        <w:jc w:val="both"/>
        <w:textAlignment w:val="auto"/>
        <w:rPr>
          <w:rFonts w:hint="eastAsia" w:ascii="宋体" w:hAnsi="宋体" w:eastAsia="宋体" w:cs="宋体"/>
          <w:bCs/>
          <w:snapToGrid/>
          <w:color w:val="auto"/>
          <w:kern w:val="2"/>
          <w:sz w:val="30"/>
          <w:szCs w:val="30"/>
          <w:highlight w:val="none"/>
          <w:u w:val="single"/>
          <w:lang w:val="en-US" w:eastAsia="zh-CN" w:bidi="ar-SA"/>
        </w:rPr>
      </w:pPr>
      <w:r>
        <w:rPr>
          <w:rFonts w:hint="eastAsia" w:ascii="宋体" w:hAnsi="宋体" w:eastAsia="宋体" w:cs="宋体"/>
          <w:bCs/>
          <w:snapToGrid/>
          <w:color w:val="auto"/>
          <w:kern w:val="2"/>
          <w:sz w:val="30"/>
          <w:szCs w:val="30"/>
          <w:highlight w:val="none"/>
          <w:lang w:val="zh-CN" w:eastAsia="zh-CN" w:bidi="ar-SA"/>
        </w:rPr>
        <w:t>磋商申请人（</w:t>
      </w:r>
      <w:r>
        <w:rPr>
          <w:rFonts w:hint="eastAsia" w:ascii="宋体" w:hAnsi="宋体" w:eastAsia="宋体" w:cs="宋体"/>
          <w:bCs/>
          <w:snapToGrid/>
          <w:color w:val="auto"/>
          <w:kern w:val="2"/>
          <w:sz w:val="30"/>
          <w:szCs w:val="30"/>
          <w:highlight w:val="none"/>
          <w:lang w:val="en-US" w:eastAsia="zh-CN" w:bidi="ar-SA"/>
        </w:rPr>
        <w:t>加盖公章）：</w:t>
      </w:r>
      <w:r>
        <w:rPr>
          <w:rFonts w:hint="eastAsia" w:ascii="宋体" w:hAnsi="宋体" w:eastAsia="宋体" w:cs="宋体"/>
          <w:bCs/>
          <w:snapToGrid/>
          <w:color w:val="auto"/>
          <w:kern w:val="2"/>
          <w:sz w:val="30"/>
          <w:szCs w:val="30"/>
          <w:highlight w:val="none"/>
          <w:u w:val="single"/>
          <w:lang w:val="en-US" w:eastAsia="zh-CN" w:bidi="ar-SA"/>
        </w:rPr>
        <w:t xml:space="preserve">                       </w:t>
      </w:r>
    </w:p>
    <w:p w14:paraId="4D55D227">
      <w:pPr>
        <w:widowControl w:val="0"/>
        <w:kinsoku/>
        <w:autoSpaceDE/>
        <w:autoSpaceDN/>
        <w:adjustRightInd/>
        <w:snapToGrid/>
        <w:spacing w:line="360" w:lineRule="auto"/>
        <w:ind w:firstLine="600" w:firstLineChars="200"/>
        <w:jc w:val="both"/>
        <w:textAlignment w:val="auto"/>
        <w:rPr>
          <w:rFonts w:hint="default" w:ascii="宋体" w:hAnsi="宋体" w:eastAsia="宋体" w:cs="宋体"/>
          <w:bCs/>
          <w:snapToGrid/>
          <w:color w:val="auto"/>
          <w:kern w:val="2"/>
          <w:sz w:val="30"/>
          <w:szCs w:val="30"/>
          <w:highlight w:val="none"/>
          <w:lang w:val="en-US" w:eastAsia="zh-CN" w:bidi="ar-SA"/>
        </w:rPr>
      </w:pPr>
      <w:r>
        <w:rPr>
          <w:rFonts w:hint="eastAsia" w:ascii="宋体" w:hAnsi="宋体" w:eastAsia="宋体" w:cs="宋体"/>
          <w:bCs/>
          <w:snapToGrid/>
          <w:color w:val="auto"/>
          <w:kern w:val="2"/>
          <w:sz w:val="30"/>
          <w:szCs w:val="30"/>
          <w:highlight w:val="none"/>
          <w:lang w:val="en-US" w:eastAsia="zh-CN" w:bidi="ar-SA"/>
        </w:rPr>
        <w:t>法定代表人或授权委托人（签字或盖章）：</w:t>
      </w:r>
      <w:r>
        <w:rPr>
          <w:rFonts w:hint="eastAsia" w:ascii="宋体" w:hAnsi="宋体" w:eastAsia="宋体" w:cs="宋体"/>
          <w:bCs/>
          <w:snapToGrid/>
          <w:color w:val="auto"/>
          <w:kern w:val="2"/>
          <w:sz w:val="30"/>
          <w:szCs w:val="30"/>
          <w:highlight w:val="none"/>
          <w:u w:val="single"/>
          <w:lang w:val="en-US" w:eastAsia="zh-CN" w:bidi="ar-SA"/>
        </w:rPr>
        <w:t xml:space="preserve">         </w:t>
      </w:r>
    </w:p>
    <w:p w14:paraId="64040345">
      <w:pPr>
        <w:widowControl w:val="0"/>
        <w:kinsoku/>
        <w:autoSpaceDE/>
        <w:autoSpaceDN/>
        <w:adjustRightInd/>
        <w:snapToGrid/>
        <w:spacing w:line="360" w:lineRule="auto"/>
        <w:ind w:firstLine="600" w:firstLineChars="200"/>
        <w:jc w:val="both"/>
        <w:textAlignment w:val="auto"/>
        <w:rPr>
          <w:rFonts w:hint="eastAsia" w:ascii="宋体" w:hAnsi="宋体" w:eastAsia="宋体" w:cs="宋体"/>
          <w:bCs/>
          <w:snapToGrid/>
          <w:color w:val="auto"/>
          <w:kern w:val="2"/>
          <w:sz w:val="30"/>
          <w:szCs w:val="30"/>
          <w:highlight w:val="none"/>
          <w:u w:val="single"/>
          <w:lang w:val="en-US" w:eastAsia="zh-CN" w:bidi="ar-SA"/>
        </w:rPr>
      </w:pPr>
      <w:r>
        <w:rPr>
          <w:rFonts w:hint="eastAsia" w:ascii="宋体" w:hAnsi="宋体" w:eastAsia="宋体" w:cs="宋体"/>
          <w:bCs/>
          <w:snapToGrid/>
          <w:color w:val="auto"/>
          <w:kern w:val="2"/>
          <w:sz w:val="30"/>
          <w:szCs w:val="30"/>
          <w:highlight w:val="none"/>
          <w:lang w:val="en-US" w:eastAsia="zh-CN" w:bidi="ar-SA"/>
        </w:rPr>
        <w:t>联系人：</w:t>
      </w:r>
      <w:r>
        <w:rPr>
          <w:rFonts w:hint="eastAsia" w:ascii="宋体" w:hAnsi="宋体" w:eastAsia="宋体" w:cs="宋体"/>
          <w:bCs/>
          <w:snapToGrid/>
          <w:color w:val="auto"/>
          <w:kern w:val="2"/>
          <w:sz w:val="30"/>
          <w:szCs w:val="30"/>
          <w:highlight w:val="none"/>
          <w:u w:val="single"/>
          <w:lang w:val="en-US" w:eastAsia="zh-CN" w:bidi="ar-SA"/>
        </w:rPr>
        <w:t xml:space="preserve">         </w:t>
      </w:r>
      <w:r>
        <w:rPr>
          <w:rFonts w:hint="eastAsia" w:ascii="宋体" w:hAnsi="宋体" w:eastAsia="宋体" w:cs="宋体"/>
          <w:bCs/>
          <w:snapToGrid/>
          <w:color w:val="auto"/>
          <w:kern w:val="2"/>
          <w:sz w:val="30"/>
          <w:szCs w:val="30"/>
          <w:highlight w:val="none"/>
          <w:lang w:val="en-US" w:eastAsia="zh-CN" w:bidi="ar-SA"/>
        </w:rPr>
        <w:t xml:space="preserve">  联系电话：</w:t>
      </w:r>
      <w:r>
        <w:rPr>
          <w:rFonts w:hint="eastAsia" w:ascii="宋体" w:hAnsi="宋体" w:eastAsia="宋体" w:cs="宋体"/>
          <w:bCs/>
          <w:snapToGrid/>
          <w:color w:val="auto"/>
          <w:kern w:val="2"/>
          <w:sz w:val="30"/>
          <w:szCs w:val="30"/>
          <w:highlight w:val="none"/>
          <w:u w:val="single"/>
          <w:lang w:val="en-US" w:eastAsia="zh-CN" w:bidi="ar-SA"/>
        </w:rPr>
        <w:t xml:space="preserve">            </w:t>
      </w:r>
    </w:p>
    <w:p w14:paraId="01877C53">
      <w:pPr>
        <w:widowControl/>
        <w:kinsoku/>
        <w:autoSpaceDE/>
        <w:autoSpaceDN/>
        <w:adjustRightInd/>
        <w:snapToGrid/>
        <w:spacing w:line="360" w:lineRule="auto"/>
        <w:ind w:firstLine="600" w:firstLineChars="200"/>
        <w:jc w:val="both"/>
        <w:textAlignment w:val="auto"/>
        <w:rPr>
          <w:rFonts w:hint="eastAsia" w:ascii="宋体" w:hAnsi="宋体" w:eastAsia="宋体" w:cs="宋体"/>
          <w:bCs/>
          <w:snapToGrid/>
          <w:color w:val="auto"/>
          <w:kern w:val="2"/>
          <w:sz w:val="30"/>
          <w:szCs w:val="30"/>
          <w:highlight w:val="none"/>
          <w:lang w:val="en-US" w:eastAsia="zh-CN" w:bidi="ar-SA"/>
        </w:rPr>
      </w:pPr>
      <w:r>
        <w:rPr>
          <w:rFonts w:hint="eastAsia" w:ascii="宋体" w:hAnsi="宋体" w:eastAsia="宋体" w:cs="宋体"/>
          <w:bCs/>
          <w:snapToGrid/>
          <w:color w:val="auto"/>
          <w:kern w:val="2"/>
          <w:sz w:val="30"/>
          <w:szCs w:val="30"/>
          <w:highlight w:val="none"/>
          <w:lang w:val="en-US" w:eastAsia="zh-CN" w:bidi="ar-SA"/>
        </w:rPr>
        <w:t>日  期：</w:t>
      </w:r>
      <w:r>
        <w:rPr>
          <w:rFonts w:hint="eastAsia" w:ascii="宋体" w:hAnsi="宋体" w:eastAsia="宋体" w:cs="宋体"/>
          <w:bCs/>
          <w:snapToGrid/>
          <w:color w:val="auto"/>
          <w:kern w:val="2"/>
          <w:sz w:val="30"/>
          <w:szCs w:val="30"/>
          <w:highlight w:val="none"/>
          <w:u w:val="single"/>
          <w:lang w:val="en-US" w:eastAsia="zh-CN" w:bidi="ar-SA"/>
        </w:rPr>
        <w:t xml:space="preserve">      </w:t>
      </w:r>
      <w:r>
        <w:rPr>
          <w:rFonts w:hint="eastAsia" w:ascii="宋体" w:hAnsi="宋体" w:eastAsia="宋体" w:cs="宋体"/>
          <w:bCs/>
          <w:snapToGrid/>
          <w:color w:val="auto"/>
          <w:kern w:val="2"/>
          <w:sz w:val="30"/>
          <w:szCs w:val="30"/>
          <w:highlight w:val="none"/>
          <w:lang w:val="en-US" w:eastAsia="zh-CN" w:bidi="ar-SA"/>
        </w:rPr>
        <w:t>年</w:t>
      </w:r>
      <w:r>
        <w:rPr>
          <w:rFonts w:hint="eastAsia" w:ascii="宋体" w:hAnsi="宋体" w:eastAsia="宋体" w:cs="宋体"/>
          <w:bCs/>
          <w:snapToGrid/>
          <w:color w:val="auto"/>
          <w:kern w:val="2"/>
          <w:sz w:val="30"/>
          <w:szCs w:val="30"/>
          <w:highlight w:val="none"/>
          <w:u w:val="single"/>
          <w:lang w:val="en-US" w:eastAsia="zh-CN" w:bidi="ar-SA"/>
        </w:rPr>
        <w:t xml:space="preserve">      </w:t>
      </w:r>
      <w:r>
        <w:rPr>
          <w:rFonts w:hint="eastAsia" w:ascii="宋体" w:hAnsi="宋体" w:eastAsia="宋体" w:cs="宋体"/>
          <w:bCs/>
          <w:snapToGrid/>
          <w:color w:val="auto"/>
          <w:kern w:val="2"/>
          <w:sz w:val="30"/>
          <w:szCs w:val="30"/>
          <w:highlight w:val="none"/>
          <w:lang w:val="en-US" w:eastAsia="zh-CN" w:bidi="ar-SA"/>
        </w:rPr>
        <w:t>月</w:t>
      </w:r>
      <w:r>
        <w:rPr>
          <w:rFonts w:hint="eastAsia" w:ascii="宋体" w:hAnsi="宋体" w:eastAsia="宋体" w:cs="宋体"/>
          <w:bCs/>
          <w:snapToGrid/>
          <w:color w:val="auto"/>
          <w:kern w:val="2"/>
          <w:sz w:val="30"/>
          <w:szCs w:val="30"/>
          <w:highlight w:val="none"/>
          <w:u w:val="single"/>
          <w:lang w:val="en-US" w:eastAsia="zh-CN" w:bidi="ar-SA"/>
        </w:rPr>
        <w:t xml:space="preserve">      </w:t>
      </w:r>
      <w:r>
        <w:rPr>
          <w:rFonts w:hint="eastAsia" w:ascii="宋体" w:hAnsi="宋体" w:eastAsia="宋体" w:cs="宋体"/>
          <w:bCs/>
          <w:snapToGrid/>
          <w:color w:val="auto"/>
          <w:kern w:val="2"/>
          <w:sz w:val="30"/>
          <w:szCs w:val="30"/>
          <w:highlight w:val="none"/>
          <w:lang w:val="en-US" w:eastAsia="zh-CN" w:bidi="ar-SA"/>
        </w:rPr>
        <w:t>日</w:t>
      </w:r>
    </w:p>
    <w:p w14:paraId="4AB0874B">
      <w:pPr>
        <w:widowControl w:val="0"/>
        <w:kinsoku/>
        <w:autoSpaceDE/>
        <w:autoSpaceDN/>
        <w:adjustRightInd/>
        <w:snapToGrid/>
        <w:spacing w:line="600" w:lineRule="exact"/>
        <w:jc w:val="center"/>
        <w:textAlignment w:val="auto"/>
        <w:outlineLvl w:val="9"/>
        <w:rPr>
          <w:rFonts w:hint="eastAsia" w:ascii="黑体" w:hAnsi="黑体" w:eastAsia="黑体" w:cs="黑体"/>
          <w:b w:val="0"/>
          <w:bCs/>
          <w:snapToGrid/>
          <w:color w:val="auto"/>
          <w:kern w:val="2"/>
          <w:sz w:val="28"/>
          <w:szCs w:val="28"/>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1ECF366D">
      <w:pPr>
        <w:widowControl w:val="0"/>
        <w:kinsoku/>
        <w:autoSpaceDE/>
        <w:autoSpaceDN/>
        <w:adjustRightInd/>
        <w:snapToGrid/>
        <w:spacing w:line="600" w:lineRule="exact"/>
        <w:jc w:val="center"/>
        <w:textAlignment w:val="auto"/>
        <w:outlineLvl w:val="1"/>
        <w:rPr>
          <w:rFonts w:hint="eastAsia" w:ascii="黑体" w:hAnsi="黑体" w:eastAsia="黑体" w:cs="黑体"/>
          <w:b w:val="0"/>
          <w:bCs/>
          <w:snapToGrid/>
          <w:color w:val="auto"/>
          <w:kern w:val="2"/>
          <w:sz w:val="28"/>
          <w:szCs w:val="28"/>
          <w:highlight w:val="none"/>
          <w:lang w:val="en-US" w:eastAsia="zh-CN" w:bidi="ar-SA"/>
        </w:rPr>
      </w:pPr>
      <w:bookmarkStart w:id="955" w:name="_Toc25161"/>
      <w:r>
        <w:rPr>
          <w:rFonts w:hint="eastAsia" w:ascii="黑体" w:hAnsi="黑体" w:eastAsia="黑体" w:cs="黑体"/>
          <w:b w:val="0"/>
          <w:bCs/>
          <w:snapToGrid/>
          <w:color w:val="auto"/>
          <w:kern w:val="2"/>
          <w:sz w:val="28"/>
          <w:szCs w:val="28"/>
          <w:highlight w:val="none"/>
          <w:lang w:val="en-US" w:eastAsia="zh-CN" w:bidi="ar-SA"/>
        </w:rPr>
        <w:t>一、资格证明文件</w:t>
      </w:r>
      <w:bookmarkEnd w:id="954"/>
      <w:bookmarkEnd w:id="955"/>
    </w:p>
    <w:p w14:paraId="07B06977">
      <w:pPr>
        <w:widowControl w:val="0"/>
        <w:autoSpaceDE w:val="0"/>
        <w:autoSpaceDN w:val="0"/>
        <w:adjustRightInd w:val="0"/>
        <w:ind w:firstLine="482"/>
        <w:jc w:val="left"/>
        <w:rPr>
          <w:rFonts w:ascii="宋体" w:hAnsi="Times New Roman" w:eastAsia="宋体" w:cs="Times New Roman"/>
          <w:color w:val="auto"/>
          <w:kern w:val="0"/>
          <w:sz w:val="20"/>
          <w:szCs w:val="24"/>
          <w:highlight w:val="none"/>
          <w:lang w:val="en-US" w:eastAsia="zh-CN" w:bidi="ar-SA"/>
        </w:rPr>
      </w:pPr>
    </w:p>
    <w:p w14:paraId="7814533E">
      <w:pPr>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8"/>
          <w:highlight w:val="none"/>
          <w:lang w:val="en-US" w:eastAsia="zh-CN" w:bidi="ar-SA"/>
        </w:rPr>
      </w:pPr>
      <w:bookmarkStart w:id="956" w:name="_Toc31585"/>
      <w:r>
        <w:rPr>
          <w:rFonts w:hint="eastAsia" w:ascii="宋体" w:hAnsi="宋体" w:eastAsia="宋体" w:cs="宋体"/>
          <w:snapToGrid/>
          <w:color w:val="auto"/>
          <w:kern w:val="2"/>
          <w:sz w:val="22"/>
          <w:szCs w:val="28"/>
          <w:highlight w:val="none"/>
          <w:lang w:val="en-US" w:eastAsia="zh-CN" w:bidi="ar-SA"/>
        </w:rPr>
        <w:t>1. 供应商应填写和提交下述规定的全部资料。</w:t>
      </w:r>
      <w:bookmarkEnd w:id="956"/>
    </w:p>
    <w:p w14:paraId="047DA888">
      <w:pPr>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8"/>
          <w:highlight w:val="none"/>
          <w:lang w:val="en-US" w:eastAsia="zh-CN" w:bidi="ar-SA"/>
        </w:rPr>
      </w:pPr>
      <w:bookmarkStart w:id="957" w:name="_Toc27709"/>
      <w:r>
        <w:rPr>
          <w:rFonts w:hint="eastAsia" w:ascii="宋体" w:hAnsi="宋体" w:eastAsia="宋体" w:cs="宋体"/>
          <w:snapToGrid/>
          <w:color w:val="auto"/>
          <w:kern w:val="2"/>
          <w:sz w:val="22"/>
          <w:szCs w:val="28"/>
          <w:highlight w:val="none"/>
          <w:lang w:val="en-US" w:eastAsia="zh-CN" w:bidi="ar-SA"/>
        </w:rPr>
        <w:t>2. 所附格式要求填写的全部内容都必须填写。</w:t>
      </w:r>
      <w:bookmarkEnd w:id="957"/>
    </w:p>
    <w:p w14:paraId="7F86E589">
      <w:pPr>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8"/>
          <w:highlight w:val="none"/>
          <w:lang w:val="en-US" w:eastAsia="zh-CN" w:bidi="ar-SA"/>
        </w:rPr>
      </w:pPr>
      <w:bookmarkStart w:id="958" w:name="_Toc12065"/>
      <w:r>
        <w:rPr>
          <w:rFonts w:hint="eastAsia" w:ascii="宋体" w:hAnsi="宋体" w:eastAsia="宋体" w:cs="宋体"/>
          <w:snapToGrid/>
          <w:color w:val="auto"/>
          <w:kern w:val="2"/>
          <w:sz w:val="22"/>
          <w:szCs w:val="28"/>
          <w:highlight w:val="none"/>
          <w:lang w:val="en-US" w:eastAsia="zh-CN" w:bidi="ar-SA"/>
        </w:rPr>
        <w:t>3. 供应商应保证全部声明和填写的内容是真实的和正确的。</w:t>
      </w:r>
      <w:bookmarkEnd w:id="958"/>
    </w:p>
    <w:p w14:paraId="16FC7F97">
      <w:pPr>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bookmarkStart w:id="959" w:name="_Toc4221"/>
      <w:r>
        <w:rPr>
          <w:rFonts w:hint="eastAsia" w:ascii="宋体" w:hAnsi="宋体" w:eastAsia="宋体" w:cs="宋体"/>
          <w:snapToGrid/>
          <w:color w:val="auto"/>
          <w:kern w:val="2"/>
          <w:sz w:val="22"/>
          <w:szCs w:val="28"/>
          <w:highlight w:val="none"/>
          <w:lang w:val="en-US" w:eastAsia="zh-CN" w:bidi="ar-SA"/>
        </w:rPr>
        <w:t>4. 供应商提交的材料将被</w:t>
      </w:r>
      <w:r>
        <w:rPr>
          <w:rFonts w:hint="eastAsia" w:ascii="宋体" w:hAnsi="宋体" w:eastAsia="宋体" w:cs="宋体"/>
          <w:snapToGrid/>
          <w:color w:val="auto"/>
          <w:kern w:val="2"/>
          <w:sz w:val="22"/>
          <w:szCs w:val="22"/>
          <w:highlight w:val="none"/>
          <w:lang w:val="en-US" w:eastAsia="zh-CN" w:bidi="ar-SA"/>
        </w:rPr>
        <w:t>保密，但不退还。</w:t>
      </w:r>
      <w:bookmarkEnd w:id="959"/>
    </w:p>
    <w:p w14:paraId="4A67F298">
      <w:pPr>
        <w:widowControl w:val="0"/>
        <w:kinsoku/>
        <w:autoSpaceDE/>
        <w:autoSpaceDN/>
        <w:adjustRightInd w:val="0"/>
        <w:snapToGrid w:val="0"/>
        <w:spacing w:after="160" w:line="259" w:lineRule="auto"/>
        <w:jc w:val="both"/>
        <w:textAlignment w:val="auto"/>
        <w:outlineLvl w:val="2"/>
        <w:rPr>
          <w:rFonts w:hint="eastAsia" w:ascii="黑体" w:hAnsi="Times New Roman" w:eastAsia="黑体" w:cs="Times New Roman"/>
          <w:snapToGrid/>
          <w:kern w:val="0"/>
          <w:sz w:val="28"/>
          <w:szCs w:val="20"/>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格式1：</w:t>
      </w:r>
    </w:p>
    <w:p w14:paraId="5A391C91">
      <w:pPr>
        <w:keepNext w:val="0"/>
        <w:keepLines w:val="0"/>
        <w:pageBreakBefore w:val="0"/>
        <w:widowControl w:val="0"/>
        <w:kinsoku/>
        <w:wordWrap/>
        <w:overflowPunct/>
        <w:topLinePunct w:val="0"/>
        <w:autoSpaceDE w:val="0"/>
        <w:autoSpaceDN w:val="0"/>
        <w:bidi w:val="0"/>
        <w:adjustRightInd w:val="0"/>
        <w:snapToGrid/>
        <w:spacing w:line="360" w:lineRule="auto"/>
        <w:ind w:firstLine="422"/>
        <w:jc w:val="left"/>
        <w:textAlignment w:val="auto"/>
        <w:rPr>
          <w:rFonts w:hint="default" w:ascii="宋体" w:hAnsi="Times New Roman" w:eastAsia="宋体" w:cs="Times New Roman"/>
          <w:b w:val="0"/>
          <w:bCs w:val="0"/>
          <w:color w:val="auto"/>
          <w:kern w:val="0"/>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Times New Roman" w:eastAsia="宋体" w:cs="Times New Roman"/>
          <w:b w:val="0"/>
          <w:bCs w:val="0"/>
          <w:color w:val="auto"/>
          <w:kern w:val="0"/>
          <w:sz w:val="22"/>
          <w:szCs w:val="22"/>
          <w:highlight w:val="none"/>
          <w:lang w:val="en-US" w:eastAsia="zh-CN" w:bidi="ar-SA"/>
        </w:rPr>
        <w:t>供应商须具有独立承担民事责任的能力：供应商为法人或者其他组织，提供有效的营业执照或事业单位法人证书。</w:t>
      </w:r>
    </w:p>
    <w:p w14:paraId="77A5B16F">
      <w:pPr>
        <w:widowControl w:val="0"/>
        <w:kinsoku/>
        <w:autoSpaceDE/>
        <w:autoSpaceDN/>
        <w:adjustRightInd w:val="0"/>
        <w:snapToGrid w:val="0"/>
        <w:spacing w:after="160" w:line="259" w:lineRule="auto"/>
        <w:jc w:val="both"/>
        <w:textAlignment w:val="auto"/>
        <w:outlineLvl w:val="2"/>
        <w:rPr>
          <w:rFonts w:hint="eastAsia" w:ascii="黑体" w:hAnsi="Times New Roman" w:eastAsia="黑体" w:cs="Times New Roman"/>
          <w:snapToGrid/>
          <w:kern w:val="0"/>
          <w:sz w:val="28"/>
          <w:szCs w:val="20"/>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格式2：</w:t>
      </w:r>
    </w:p>
    <w:p w14:paraId="778B3FD0">
      <w:pPr>
        <w:keepNext w:val="0"/>
        <w:keepLines w:val="0"/>
        <w:pageBreakBefore w:val="0"/>
        <w:widowControl w:val="0"/>
        <w:kinsoku/>
        <w:overflowPunct/>
        <w:topLinePunct w:val="0"/>
        <w:autoSpaceDE/>
        <w:autoSpaceDN/>
        <w:bidi w:val="0"/>
        <w:adjustRightInd/>
        <w:snapToGrid/>
        <w:spacing w:line="360" w:lineRule="auto"/>
        <w:jc w:val="left"/>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供应商须具有良好的商业信誉和健全的财务会计制度：</w:t>
      </w:r>
    </w:p>
    <w:p w14:paraId="7F1E5B6C">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440" w:firstLineChars="200"/>
        <w:jc w:val="left"/>
        <w:textAlignment w:val="auto"/>
        <w:outlineLvl w:val="9"/>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1.2.1 供应商在本项目提交响应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3EAD9135">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440" w:firstLineChars="200"/>
        <w:jc w:val="left"/>
        <w:textAlignment w:val="auto"/>
        <w:outlineLvl w:val="9"/>
        <w:rPr>
          <w:rFonts w:ascii="宋体" w:hAnsi="宋体" w:eastAsia="宋体" w:cs="宋体"/>
          <w:color w:val="auto"/>
          <w:kern w:val="0"/>
          <w:sz w:val="20"/>
          <w:szCs w:val="21"/>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color w:val="auto"/>
          <w:kern w:val="0"/>
          <w:sz w:val="22"/>
          <w:szCs w:val="22"/>
          <w:highlight w:val="none"/>
          <w:lang w:val="en-US" w:eastAsia="zh-CN" w:bidi="ar-SA"/>
        </w:rPr>
        <w:t>1.2.2 供应商须提供2021年-2023年度任意一年的审计报告或财务报表或公司内部完整的财务报表或开标日期前3个月内由银行开具的资信证明文件（或资金证明文件）或有良好的商业信誉和健全的财务会计制度的自行承诺（成立不满1年的投标人提供自成立以来公司内部完整的财务报表或开标日期前3个月内由银行开具的资信证明文件（或资金证明文件）或有良好的商业信誉和健全的财务会计制度的自行承诺）；</w:t>
      </w:r>
      <w:r>
        <w:rPr>
          <w:rFonts w:ascii="宋体" w:hAnsi="宋体" w:eastAsia="宋体" w:cs="宋体"/>
          <w:color w:val="auto"/>
          <w:kern w:val="0"/>
          <w:sz w:val="20"/>
          <w:szCs w:val="21"/>
          <w:highlight w:val="none"/>
          <w:lang w:val="en-US" w:eastAsia="zh-CN" w:bidi="ar-SA"/>
        </w:rPr>
        <w:br w:type="page"/>
      </w:r>
    </w:p>
    <w:p w14:paraId="2D456784">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outlineLvl w:val="2"/>
        <w:rPr>
          <w:rFonts w:ascii="宋体" w:hAnsi="Times New Roman" w:eastAsia="宋体" w:cs="Times New Roman"/>
          <w:b/>
          <w:bCs w:val="0"/>
          <w:color w:val="auto"/>
          <w:kern w:val="0"/>
          <w:sz w:val="20"/>
          <w:szCs w:val="24"/>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格式3：</w:t>
      </w:r>
    </w:p>
    <w:p w14:paraId="125C1F87">
      <w:pPr>
        <w:keepNext w:val="0"/>
        <w:keepLines w:val="0"/>
        <w:pageBreakBefore w:val="0"/>
        <w:widowControl w:val="0"/>
        <w:kinsoku/>
        <w:wordWrap/>
        <w:overflowPunct/>
        <w:topLinePunct w:val="0"/>
        <w:autoSpaceDE w:val="0"/>
        <w:autoSpaceDN w:val="0"/>
        <w:bidi w:val="0"/>
        <w:adjustRightInd w:val="0"/>
        <w:snapToGrid/>
        <w:spacing w:after="120" w:line="360" w:lineRule="auto"/>
        <w:ind w:firstLine="440" w:firstLineChars="200"/>
        <w:jc w:val="left"/>
        <w:textAlignment w:val="auto"/>
        <w:outlineLvl w:val="9"/>
        <w:rPr>
          <w:rFonts w:hint="eastAsia" w:ascii="宋体" w:hAnsi="宋体" w:eastAsia="宋体" w:cs="宋体"/>
          <w:bCs w:val="0"/>
          <w:color w:val="auto"/>
          <w:kern w:val="2"/>
          <w:sz w:val="21"/>
          <w:szCs w:val="21"/>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bCs w:val="0"/>
          <w:color w:val="auto"/>
          <w:kern w:val="2"/>
          <w:sz w:val="22"/>
          <w:szCs w:val="22"/>
          <w:highlight w:val="none"/>
          <w:lang w:val="en-US" w:eastAsia="zh-CN" w:bidi="ar-SA"/>
        </w:rPr>
        <w:t>供应商须具有履行合同所必需的设备和专业技术能力（提供说明、承诺或其他证明材料）。</w:t>
      </w:r>
      <w:r>
        <w:rPr>
          <w:rFonts w:hint="eastAsia" w:ascii="宋体" w:hAnsi="宋体" w:eastAsia="宋体" w:cs="宋体"/>
          <w:bCs w:val="0"/>
          <w:color w:val="auto"/>
          <w:kern w:val="2"/>
          <w:sz w:val="21"/>
          <w:szCs w:val="21"/>
          <w:highlight w:val="none"/>
          <w:lang w:val="en-US" w:eastAsia="zh-CN" w:bidi="ar-SA"/>
        </w:rPr>
        <w:br w:type="page"/>
      </w:r>
    </w:p>
    <w:p w14:paraId="783931CB">
      <w:pPr>
        <w:keepNext w:val="0"/>
        <w:keepLines w:val="0"/>
        <w:pageBreakBefore w:val="0"/>
        <w:widowControl w:val="0"/>
        <w:kinsoku/>
        <w:wordWrap/>
        <w:overflowPunct/>
        <w:topLinePunct w:val="0"/>
        <w:autoSpaceDE w:val="0"/>
        <w:autoSpaceDN w:val="0"/>
        <w:bidi w:val="0"/>
        <w:adjustRightInd w:val="0"/>
        <w:snapToGrid/>
        <w:spacing w:after="120" w:line="360" w:lineRule="auto"/>
        <w:jc w:val="left"/>
        <w:textAlignment w:val="auto"/>
        <w:outlineLvl w:val="2"/>
        <w:rPr>
          <w:rFonts w:ascii="Times New Roman" w:hAnsi="Times New Roman" w:eastAsia="宋体" w:cs="Times New Roman"/>
          <w:color w:val="auto"/>
          <w:kern w:val="0"/>
          <w:sz w:val="28"/>
          <w:szCs w:val="24"/>
          <w:highlight w:val="none"/>
          <w:lang w:val="en-US" w:eastAsia="zh-CN" w:bidi="ar-SA"/>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格式4：</w:t>
      </w:r>
    </w:p>
    <w:p w14:paraId="0A740C1F">
      <w:pPr>
        <w:keepNext w:val="0"/>
        <w:keepLines w:val="0"/>
        <w:pageBreakBefore w:val="0"/>
        <w:widowControl w:val="0"/>
        <w:kinsoku/>
        <w:wordWrap/>
        <w:overflowPunct/>
        <w:topLinePunct w:val="0"/>
        <w:autoSpaceDE/>
        <w:autoSpaceDN/>
        <w:bidi w:val="0"/>
        <w:adjustRightInd/>
        <w:snapToGrid/>
        <w:spacing w:line="480" w:lineRule="exact"/>
        <w:ind w:firstLine="442" w:firstLineChars="200"/>
        <w:jc w:val="both"/>
        <w:textAlignment w:val="auto"/>
        <w:outlineLvl w:val="9"/>
        <w:rPr>
          <w:rFonts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供应商须具有依法缴纳税收和社会保障资金的良好记录：</w:t>
      </w:r>
    </w:p>
    <w:p w14:paraId="4030CC6E">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z w:val="22"/>
          <w:szCs w:val="22"/>
        </w:rPr>
      </w:pPr>
      <w:r>
        <w:rPr>
          <w:rFonts w:hint="eastAsia" w:ascii="宋体" w:hAnsi="宋体" w:eastAsia="宋体" w:cs="宋体"/>
          <w:snapToGrid/>
          <w:color w:val="auto"/>
          <w:kern w:val="2"/>
          <w:sz w:val="22"/>
          <w:szCs w:val="22"/>
          <w:highlight w:val="none"/>
          <w:lang w:val="en-US" w:eastAsia="zh-CN" w:bidi="ar-SA"/>
        </w:rPr>
        <w:t xml:space="preserve">1. </w:t>
      </w:r>
      <w:r>
        <w:rPr>
          <w:rFonts w:hint="eastAsia" w:ascii="宋体" w:hAnsi="宋体" w:eastAsia="宋体" w:cs="宋体"/>
          <w:sz w:val="22"/>
          <w:szCs w:val="22"/>
        </w:rPr>
        <w:t>提供</w:t>
      </w: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sz w:val="22"/>
          <w:szCs w:val="22"/>
        </w:rPr>
        <w:t>缴税所属时间在2024年01月至本项目响应文件提交截止时间前任意</w:t>
      </w:r>
      <w:r>
        <w:rPr>
          <w:rFonts w:hint="eastAsia" w:ascii="宋体" w:hAnsi="宋体" w:eastAsia="宋体" w:cs="宋体"/>
          <w:sz w:val="22"/>
          <w:szCs w:val="22"/>
          <w:lang w:val="en-US" w:eastAsia="zh-CN"/>
        </w:rPr>
        <w:t>1</w:t>
      </w:r>
      <w:r>
        <w:rPr>
          <w:rFonts w:hint="eastAsia" w:ascii="宋体" w:hAnsi="宋体" w:eastAsia="宋体" w:cs="宋体"/>
          <w:sz w:val="22"/>
          <w:szCs w:val="22"/>
        </w:rPr>
        <w:t>个月的税务局税收通用缴款书或银行电子缴税（费）凭证或税务局出具纳税情况的相关证明，依法免税的，应提供依法免税的相关证明文件</w:t>
      </w:r>
      <w:r>
        <w:rPr>
          <w:rFonts w:hint="eastAsia" w:ascii="宋体" w:hAnsi="宋体" w:eastAsia="宋体" w:cs="宋体"/>
          <w:sz w:val="22"/>
          <w:szCs w:val="22"/>
          <w:lang w:eastAsia="zh-CN"/>
        </w:rPr>
        <w:t>，</w:t>
      </w:r>
      <w:r>
        <w:rPr>
          <w:rFonts w:hint="eastAsia" w:ascii="宋体" w:hAnsi="宋体" w:eastAsia="宋体" w:cs="宋体"/>
          <w:b/>
          <w:bCs/>
          <w:sz w:val="22"/>
          <w:szCs w:val="22"/>
          <w:lang w:val="en-US" w:eastAsia="zh-CN"/>
        </w:rPr>
        <w:t>或提供</w:t>
      </w:r>
      <w:r>
        <w:rPr>
          <w:rFonts w:hint="eastAsia" w:ascii="宋体" w:hAnsi="宋体" w:eastAsia="宋体" w:cs="宋体"/>
          <w:b/>
          <w:bCs/>
          <w:snapToGrid/>
          <w:color w:val="auto"/>
          <w:kern w:val="2"/>
          <w:sz w:val="22"/>
          <w:szCs w:val="22"/>
          <w:highlight w:val="none"/>
          <w:lang w:val="en-US" w:eastAsia="zh-CN" w:bidi="ar-SA"/>
        </w:rPr>
        <w:t>有依法缴纳税收良好记录的自行承诺</w:t>
      </w:r>
      <w:r>
        <w:rPr>
          <w:rFonts w:hint="eastAsia" w:ascii="宋体" w:hAnsi="宋体" w:eastAsia="宋体" w:cs="宋体"/>
          <w:sz w:val="22"/>
          <w:szCs w:val="22"/>
        </w:rPr>
        <w:t>；</w:t>
      </w:r>
    </w:p>
    <w:p w14:paraId="788E219B">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sz w:val="22"/>
          <w:szCs w:val="22"/>
          <w:lang w:val="en-US" w:eastAsia="zh-CN"/>
        </w:rPr>
        <w:t xml:space="preserve">2. </w:t>
      </w:r>
      <w:r>
        <w:rPr>
          <w:rFonts w:hint="eastAsia" w:ascii="宋体" w:hAnsi="宋体" w:eastAsia="宋体" w:cs="宋体"/>
          <w:sz w:val="22"/>
          <w:szCs w:val="22"/>
        </w:rPr>
        <w:t>提供供应商缴费所属时间在2024年01月至本项目响应文件提交截止时间前任意</w:t>
      </w:r>
      <w:r>
        <w:rPr>
          <w:rFonts w:hint="eastAsia" w:ascii="宋体" w:hAnsi="宋体" w:eastAsia="宋体" w:cs="宋体"/>
          <w:sz w:val="22"/>
          <w:szCs w:val="22"/>
          <w:lang w:val="en-US" w:eastAsia="zh-CN"/>
        </w:rPr>
        <w:t>1</w:t>
      </w:r>
      <w:r>
        <w:rPr>
          <w:rFonts w:hint="eastAsia" w:ascii="宋体" w:hAnsi="宋体" w:eastAsia="宋体" w:cs="宋体"/>
          <w:sz w:val="22"/>
          <w:szCs w:val="22"/>
        </w:rPr>
        <w:t>个月的社会保险费缴款书或银行电子缴税（费）凭证或社保管理部门出具的有效的缴款证明，依法免缴的，应提供依法免缴的相关证明文件</w:t>
      </w:r>
      <w:r>
        <w:rPr>
          <w:rFonts w:hint="eastAsia" w:ascii="宋体" w:hAnsi="宋体" w:eastAsia="宋体" w:cs="宋体"/>
          <w:sz w:val="22"/>
          <w:szCs w:val="22"/>
          <w:lang w:eastAsia="zh-CN"/>
        </w:rPr>
        <w:t>，</w:t>
      </w:r>
      <w:r>
        <w:rPr>
          <w:rFonts w:hint="eastAsia" w:ascii="宋体" w:hAnsi="宋体" w:eastAsia="宋体" w:cs="宋体"/>
          <w:b/>
          <w:bCs/>
          <w:sz w:val="22"/>
          <w:szCs w:val="22"/>
          <w:lang w:val="en-US" w:eastAsia="zh-CN"/>
        </w:rPr>
        <w:t>或提供</w:t>
      </w:r>
      <w:r>
        <w:rPr>
          <w:rFonts w:hint="eastAsia" w:ascii="宋体" w:hAnsi="宋体" w:eastAsia="宋体" w:cs="宋体"/>
          <w:b/>
          <w:bCs/>
          <w:snapToGrid/>
          <w:color w:val="auto"/>
          <w:kern w:val="2"/>
          <w:sz w:val="22"/>
          <w:szCs w:val="22"/>
          <w:highlight w:val="none"/>
          <w:lang w:val="en-US" w:eastAsia="zh-CN" w:bidi="ar-SA"/>
        </w:rPr>
        <w:t>有依法缴纳社会保障资金的自行承诺</w:t>
      </w:r>
      <w:r>
        <w:rPr>
          <w:rFonts w:hint="eastAsia" w:ascii="宋体" w:hAnsi="宋体" w:eastAsia="宋体" w:cs="宋体"/>
          <w:sz w:val="22"/>
          <w:szCs w:val="22"/>
          <w:lang w:eastAsia="zh-CN"/>
        </w:rPr>
        <w:t>；</w:t>
      </w:r>
    </w:p>
    <w:p w14:paraId="0102A2F3">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9"/>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sectPr>
          <w:pgSz w:w="11906" w:h="16838"/>
          <w:pgMar w:top="1417" w:right="1587" w:bottom="1417" w:left="1587" w:header="851" w:footer="992" w:gutter="0"/>
          <w:pgNumType w:fmt="decimal"/>
          <w:cols w:space="425" w:num="1"/>
          <w:docGrid w:type="lines" w:linePitch="312" w:charSpace="0"/>
        </w:sectPr>
      </w:pPr>
    </w:p>
    <w:p w14:paraId="3646506C">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ascii="Times New Roman" w:hAnsi="Times New Roman" w:eastAsia="宋体" w:cs="Times New Roman"/>
          <w:b/>
          <w:snapToGrid/>
          <w:color w:val="auto"/>
          <w:kern w:val="2"/>
          <w:sz w:val="28"/>
          <w:szCs w:val="28"/>
          <w:highlight w:val="none"/>
          <w:lang w:val="en-US" w:eastAsia="zh-CN" w:bidi="ar-SA"/>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格式5：</w:t>
      </w:r>
    </w:p>
    <w:p w14:paraId="36665ED2">
      <w:pPr>
        <w:keepNext w:val="0"/>
        <w:keepLines w:val="0"/>
        <w:pageBreakBefore w:val="0"/>
        <w:widowControl/>
        <w:kinsoku/>
        <w:wordWrap w:val="0"/>
        <w:overflowPunct/>
        <w:topLinePunct w:val="0"/>
        <w:autoSpaceDE/>
        <w:autoSpaceDN/>
        <w:bidi w:val="0"/>
        <w:adjustRightInd/>
        <w:snapToGrid/>
        <w:spacing w:after="120" w:line="360" w:lineRule="auto"/>
        <w:ind w:firstLine="442" w:firstLineChars="200"/>
        <w:jc w:val="left"/>
        <w:textAlignment w:val="auto"/>
        <w:rPr>
          <w:rFonts w:hint="eastAsia" w:ascii="Times New Roman" w:hAnsi="Times New Roman" w:eastAsia="宋体" w:cs="Times New Roman"/>
          <w:b/>
          <w:bCs/>
          <w:snapToGrid/>
          <w:color w:val="auto"/>
          <w:kern w:val="2"/>
          <w:sz w:val="22"/>
          <w:szCs w:val="22"/>
          <w:highlight w:val="none"/>
          <w:lang w:val="en-US" w:eastAsia="zh-CN" w:bidi="ar-SA"/>
        </w:rPr>
      </w:pPr>
      <w:r>
        <w:rPr>
          <w:rFonts w:hint="eastAsia" w:ascii="Times New Roman" w:hAnsi="Times New Roman" w:eastAsia="宋体" w:cs="Times New Roman"/>
          <w:b/>
          <w:bCs/>
          <w:snapToGrid/>
          <w:color w:val="auto"/>
          <w:kern w:val="2"/>
          <w:sz w:val="22"/>
          <w:szCs w:val="22"/>
          <w:highlight w:val="none"/>
          <w:lang w:val="en-US" w:eastAsia="zh-CN" w:bidi="ar-SA"/>
        </w:rPr>
        <w:t>参加政府采购活动前三年内，在经营活动中没有重大违法记录：</w:t>
      </w:r>
    </w:p>
    <w:p w14:paraId="2458C137">
      <w:pPr>
        <w:keepNext w:val="0"/>
        <w:keepLines w:val="0"/>
        <w:pageBreakBefore w:val="0"/>
        <w:widowControl/>
        <w:kinsoku/>
        <w:wordWrap w:val="0"/>
        <w:overflowPunct/>
        <w:topLinePunct w:val="0"/>
        <w:autoSpaceDE/>
        <w:autoSpaceDN/>
        <w:bidi w:val="0"/>
        <w:adjustRightInd/>
        <w:snapToGrid/>
        <w:spacing w:after="120" w:line="360" w:lineRule="auto"/>
        <w:ind w:firstLine="440" w:firstLineChars="200"/>
        <w:jc w:val="left"/>
        <w:textAlignment w:val="auto"/>
        <w:outlineLvl w:val="9"/>
        <w:rPr>
          <w:rFonts w:ascii="Times New Roman" w:hAnsi="Times New Roman" w:eastAsia="宋体" w:cs="Times New Roman"/>
          <w:snapToGrid/>
          <w:color w:val="auto"/>
          <w:kern w:val="2"/>
          <w:szCs w:val="21"/>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snapToGrid/>
          <w:color w:val="auto"/>
          <w:kern w:val="2"/>
          <w:sz w:val="22"/>
          <w:szCs w:val="22"/>
          <w:highlight w:val="none"/>
          <w:lang w:val="en-US" w:eastAsia="zh-CN" w:bidi="ar-SA"/>
        </w:rPr>
        <w:t>提供供应商参加政府采购活动前三年内，在经营活动中没有重大违法记录【重大违法记录，是指供应商因违法经营受到刑事处罚或者责令停产停业、吊销许可证或者执照、较大数额罚款（较大数额是指标准高于200万元的罚款）等行政处罚】的书面声明；</w:t>
      </w:r>
      <w:r>
        <w:rPr>
          <w:rFonts w:ascii="Times New Roman" w:hAnsi="Times New Roman" w:eastAsia="宋体" w:cs="Times New Roman"/>
          <w:snapToGrid/>
          <w:color w:val="auto"/>
          <w:kern w:val="2"/>
          <w:szCs w:val="21"/>
          <w:highlight w:val="none"/>
          <w:lang w:val="en-US" w:eastAsia="zh-CN" w:bidi="ar-SA"/>
        </w:rPr>
        <w:br w:type="page"/>
      </w:r>
    </w:p>
    <w:p w14:paraId="6D1D4343">
      <w:pPr>
        <w:keepNext w:val="0"/>
        <w:keepLines w:val="0"/>
        <w:pageBreakBefore w:val="0"/>
        <w:widowControl/>
        <w:kinsoku/>
        <w:wordWrap w:val="0"/>
        <w:overflowPunct/>
        <w:topLinePunct w:val="0"/>
        <w:autoSpaceDE/>
        <w:autoSpaceDN/>
        <w:bidi w:val="0"/>
        <w:adjustRightInd/>
        <w:snapToGrid/>
        <w:spacing w:after="120" w:line="360" w:lineRule="auto"/>
        <w:jc w:val="left"/>
        <w:textAlignment w:val="auto"/>
        <w:outlineLvl w:val="2"/>
        <w:rPr>
          <w:rFonts w:ascii="宋体" w:hAnsi="宋体" w:eastAsia="宋体" w:cs="宋体"/>
          <w:b/>
          <w:snapToGrid/>
          <w:color w:val="auto"/>
          <w:kern w:val="2"/>
          <w:sz w:val="28"/>
          <w:szCs w:val="28"/>
          <w:highlight w:val="none"/>
          <w:lang w:val="en-US" w:eastAsia="zh-CN" w:bidi="ar-SA"/>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格式6：</w:t>
      </w:r>
    </w:p>
    <w:p w14:paraId="1E9A8D86">
      <w:pPr>
        <w:widowControl w:val="0"/>
        <w:tabs>
          <w:tab w:val="left" w:pos="750"/>
        </w:tabs>
        <w:spacing w:before="120" w:beforeLines="50" w:line="300" w:lineRule="auto"/>
        <w:ind w:firstLine="442" w:firstLineChars="200"/>
        <w:jc w:val="both"/>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t>法律、行政法规规定的其他条件：单位负责人为同一人或者存在直接控股、管理关系的不同供应商，不得参加同一合同项下的政府采购活动。（提供声明书）；</w:t>
      </w:r>
    </w:p>
    <w:p w14:paraId="2A0E0409">
      <w:pPr>
        <w:widowControl w:val="0"/>
        <w:tabs>
          <w:tab w:val="left" w:pos="750"/>
        </w:tabs>
        <w:spacing w:before="120" w:beforeLines="50" w:line="300" w:lineRule="auto"/>
        <w:ind w:firstLine="442" w:firstLineChars="200"/>
        <w:jc w:val="center"/>
        <w:rPr>
          <w:rFonts w:hint="eastAsia" w:ascii="宋体" w:hAnsi="宋体" w:eastAsia="宋体" w:cs="宋体"/>
          <w:b/>
          <w:color w:val="auto"/>
          <w:kern w:val="2"/>
          <w:sz w:val="22"/>
          <w:szCs w:val="22"/>
          <w:highlight w:val="none"/>
          <w:lang w:val="en-US" w:eastAsia="zh-CN" w:bidi="ar-SA"/>
        </w:rPr>
      </w:pPr>
      <w:r>
        <w:rPr>
          <w:rFonts w:hint="eastAsia" w:ascii="宋体" w:hAnsi="宋体" w:eastAsia="宋体" w:cs="宋体"/>
          <w:b/>
          <w:color w:val="auto"/>
          <w:kern w:val="2"/>
          <w:sz w:val="22"/>
          <w:szCs w:val="22"/>
          <w:highlight w:val="none"/>
          <w:lang w:val="en-US" w:eastAsia="zh-CN" w:bidi="ar-SA"/>
        </w:rPr>
        <w:t>书面声明</w:t>
      </w:r>
    </w:p>
    <w:p w14:paraId="7A0B54D8">
      <w:pPr>
        <w:keepNext w:val="0"/>
        <w:keepLines w:val="0"/>
        <w:pageBreakBefore w:val="0"/>
        <w:widowControl/>
        <w:kinsoku/>
        <w:wordWrap/>
        <w:overflowPunct/>
        <w:topLinePunct w:val="0"/>
        <w:autoSpaceDE/>
        <w:autoSpaceDN/>
        <w:bidi w:val="0"/>
        <w:adjustRightInd/>
        <w:snapToGrid/>
        <w:spacing w:after="313" w:afterLines="100" w:line="360" w:lineRule="auto"/>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致</w:t>
      </w:r>
      <w:r>
        <w:rPr>
          <w:rFonts w:hint="eastAsia" w:ascii="宋体" w:hAnsi="宋体" w:eastAsia="宋体" w:cs="宋体"/>
          <w:b/>
          <w:snapToGrid/>
          <w:color w:val="auto"/>
          <w:kern w:val="2"/>
          <w:sz w:val="22"/>
          <w:szCs w:val="22"/>
          <w:highlight w:val="none"/>
          <w:u w:val="single"/>
          <w:lang w:val="en-US" w:eastAsia="zh-CN" w:bidi="ar-SA"/>
        </w:rPr>
        <w:t xml:space="preserve">    （采购人）     </w:t>
      </w:r>
      <w:r>
        <w:rPr>
          <w:rFonts w:hint="eastAsia" w:ascii="宋体" w:hAnsi="宋体" w:eastAsia="宋体" w:cs="宋体"/>
          <w:b/>
          <w:snapToGrid/>
          <w:color w:val="auto"/>
          <w:kern w:val="2"/>
          <w:sz w:val="22"/>
          <w:szCs w:val="22"/>
          <w:highlight w:val="none"/>
          <w:lang w:val="en-US" w:eastAsia="zh-CN" w:bidi="ar-SA"/>
        </w:rPr>
        <w:t>：</w:t>
      </w:r>
    </w:p>
    <w:p w14:paraId="35265A2C">
      <w:pPr>
        <w:keepNext w:val="0"/>
        <w:keepLines w:val="0"/>
        <w:pageBreakBefore w:val="0"/>
        <w:widowControl/>
        <w:kinsoku/>
        <w:wordWrap/>
        <w:overflowPunct/>
        <w:topLinePunct w:val="0"/>
        <w:autoSpaceDE/>
        <w:autoSpaceDN/>
        <w:bidi w:val="0"/>
        <w:adjustRightInd/>
        <w:snapToGrid/>
        <w:spacing w:line="480" w:lineRule="auto"/>
        <w:ind w:firstLine="442" w:firstLineChars="200"/>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u w:val="none"/>
          <w:lang w:val="en-US" w:eastAsia="zh-CN" w:bidi="ar-SA"/>
        </w:rPr>
        <w:t>1、</w:t>
      </w:r>
      <w:r>
        <w:rPr>
          <w:rFonts w:hint="eastAsia" w:ascii="宋体" w:hAnsi="宋体" w:eastAsia="宋体" w:cs="宋体"/>
          <w:b w:val="0"/>
          <w:bCs w:val="0"/>
          <w:snapToGrid/>
          <w:color w:val="auto"/>
          <w:kern w:val="2"/>
          <w:sz w:val="22"/>
          <w:szCs w:val="22"/>
          <w:highlight w:val="none"/>
          <w:u w:val="single"/>
          <w:lang w:val="en-US" w:eastAsia="zh-CN" w:bidi="ar-SA"/>
        </w:rPr>
        <w:t xml:space="preserve"> </w:t>
      </w:r>
      <w:r>
        <w:rPr>
          <w:rFonts w:hint="eastAsia" w:ascii="宋体" w:hAnsi="宋体" w:eastAsia="宋体" w:cs="宋体"/>
          <w:b/>
          <w:bCs/>
          <w:snapToGrid/>
          <w:color w:val="auto"/>
          <w:kern w:val="2"/>
          <w:sz w:val="22"/>
          <w:szCs w:val="22"/>
          <w:highlight w:val="none"/>
          <w:u w:val="single"/>
          <w:lang w:val="en-US" w:eastAsia="zh-CN" w:bidi="ar-SA"/>
        </w:rPr>
        <w:t xml:space="preserve">                  （</w:t>
      </w:r>
      <w:r>
        <w:rPr>
          <w:rFonts w:hint="eastAsia" w:ascii="宋体" w:hAnsi="宋体" w:eastAsia="宋体" w:cs="宋体"/>
          <w:b/>
          <w:snapToGrid/>
          <w:color w:val="auto"/>
          <w:kern w:val="2"/>
          <w:sz w:val="22"/>
          <w:szCs w:val="22"/>
          <w:highlight w:val="none"/>
          <w:u w:val="single"/>
          <w:lang w:val="en-US" w:eastAsia="zh-CN" w:bidi="ar-SA"/>
        </w:rPr>
        <w:t>供应商</w:t>
      </w:r>
      <w:r>
        <w:rPr>
          <w:rFonts w:hint="eastAsia" w:ascii="宋体" w:hAnsi="宋体" w:eastAsia="宋体" w:cs="宋体"/>
          <w:b/>
          <w:bCs/>
          <w:snapToGrid/>
          <w:color w:val="auto"/>
          <w:kern w:val="2"/>
          <w:sz w:val="22"/>
          <w:szCs w:val="22"/>
          <w:highlight w:val="none"/>
          <w:u w:val="single"/>
          <w:lang w:val="en-US" w:eastAsia="zh-CN" w:bidi="ar-SA"/>
        </w:rPr>
        <w:t xml:space="preserve">名称）   </w:t>
      </w:r>
      <w:r>
        <w:rPr>
          <w:rFonts w:hint="eastAsia" w:ascii="宋体" w:hAnsi="宋体" w:eastAsia="宋体" w:cs="宋体"/>
          <w:b/>
          <w:bCs/>
          <w:snapToGrid/>
          <w:color w:val="auto"/>
          <w:kern w:val="2"/>
          <w:sz w:val="22"/>
          <w:szCs w:val="22"/>
          <w:highlight w:val="none"/>
          <w:u w:val="none"/>
          <w:lang w:val="en-US" w:eastAsia="zh-CN" w:bidi="ar-SA"/>
        </w:rPr>
        <w:t>参加本项目</w:t>
      </w:r>
      <w:r>
        <w:rPr>
          <w:rFonts w:hint="eastAsia" w:ascii="宋体" w:hAnsi="宋体" w:eastAsia="宋体" w:cs="宋体"/>
          <w:b/>
          <w:bCs/>
          <w:snapToGrid/>
          <w:color w:val="auto"/>
          <w:kern w:val="2"/>
          <w:sz w:val="22"/>
          <w:szCs w:val="22"/>
          <w:highlight w:val="none"/>
          <w:u w:val="single"/>
          <w:lang w:val="en-US" w:eastAsia="zh-CN" w:bidi="ar-SA"/>
        </w:rPr>
        <w:t xml:space="preserve">            </w:t>
      </w:r>
      <w:r>
        <w:rPr>
          <w:rFonts w:hint="eastAsia" w:ascii="宋体" w:hAnsi="宋体" w:eastAsia="宋体" w:cs="宋体"/>
          <w:b w:val="0"/>
          <w:bCs w:val="0"/>
          <w:snapToGrid/>
          <w:color w:val="auto"/>
          <w:kern w:val="2"/>
          <w:sz w:val="22"/>
          <w:szCs w:val="22"/>
          <w:highlight w:val="none"/>
          <w:u w:val="single"/>
          <w:lang w:val="en-US" w:eastAsia="zh-CN" w:bidi="ar-SA"/>
        </w:rPr>
        <w:t>（存在/</w:t>
      </w:r>
      <w:r>
        <w:rPr>
          <w:rFonts w:hint="eastAsia" w:ascii="宋体" w:hAnsi="宋体" w:eastAsia="宋体" w:cs="宋体"/>
          <w:b/>
          <w:bCs/>
          <w:snapToGrid/>
          <w:color w:val="auto"/>
          <w:kern w:val="2"/>
          <w:sz w:val="22"/>
          <w:szCs w:val="22"/>
          <w:highlight w:val="none"/>
          <w:u w:val="single"/>
          <w:lang w:val="en-US" w:eastAsia="zh-CN" w:bidi="ar-SA"/>
        </w:rPr>
        <w:t>不存在</w:t>
      </w:r>
      <w:r>
        <w:rPr>
          <w:rFonts w:hint="eastAsia" w:ascii="宋体" w:hAnsi="宋体" w:eastAsia="宋体" w:cs="宋体"/>
          <w:b w:val="0"/>
          <w:bCs w:val="0"/>
          <w:snapToGrid/>
          <w:color w:val="auto"/>
          <w:kern w:val="2"/>
          <w:sz w:val="22"/>
          <w:szCs w:val="22"/>
          <w:highlight w:val="none"/>
          <w:u w:val="single"/>
          <w:lang w:val="en-US" w:eastAsia="zh-CN" w:bidi="ar-SA"/>
        </w:rPr>
        <w:t>）</w:t>
      </w:r>
      <w:r>
        <w:rPr>
          <w:rFonts w:hint="eastAsia" w:ascii="宋体" w:hAnsi="宋体" w:eastAsia="宋体" w:cs="宋体"/>
          <w:b/>
          <w:bCs/>
          <w:snapToGrid/>
          <w:color w:val="auto"/>
          <w:kern w:val="2"/>
          <w:sz w:val="22"/>
          <w:szCs w:val="22"/>
          <w:highlight w:val="none"/>
          <w:lang w:val="en-US" w:eastAsia="zh-CN" w:bidi="ar-SA"/>
        </w:rPr>
        <w:t>单位负责人为同一人或者存在直接控股、管理关系的不同供应商，参加同一合同项下的政府采购活动的情形。</w:t>
      </w:r>
    </w:p>
    <w:p w14:paraId="011A075D">
      <w:pPr>
        <w:keepNext w:val="0"/>
        <w:keepLines w:val="0"/>
        <w:pageBreakBefore w:val="0"/>
        <w:widowControl/>
        <w:kinsoku/>
        <w:wordWrap/>
        <w:overflowPunct/>
        <w:topLinePunct w:val="0"/>
        <w:autoSpaceDE/>
        <w:autoSpaceDN/>
        <w:bidi w:val="0"/>
        <w:adjustRightInd/>
        <w:snapToGrid/>
        <w:spacing w:line="480" w:lineRule="auto"/>
        <w:ind w:firstLine="442" w:firstLineChars="200"/>
        <w:jc w:val="left"/>
        <w:textAlignment w:val="auto"/>
        <w:rPr>
          <w:rFonts w:hint="eastAsia" w:ascii="宋体" w:hAnsi="宋体" w:eastAsia="宋体" w:cs="宋体"/>
          <w:b/>
          <w:bCs/>
          <w:snapToGrid/>
          <w:color w:val="auto"/>
          <w:kern w:val="2"/>
          <w:sz w:val="22"/>
          <w:szCs w:val="22"/>
          <w:highlight w:val="none"/>
          <w:lang w:val="en-US" w:eastAsia="zh-CN" w:bidi="ar-SA"/>
        </w:rPr>
      </w:pPr>
    </w:p>
    <w:p w14:paraId="6EFF0EF0">
      <w:pPr>
        <w:widowControl w:val="0"/>
        <w:autoSpaceDE w:val="0"/>
        <w:autoSpaceDN w:val="0"/>
        <w:adjustRightInd w:val="0"/>
        <w:spacing w:line="500" w:lineRule="exact"/>
        <w:jc w:val="left"/>
        <w:rPr>
          <w:rFonts w:hint="eastAsia"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供应商（加盖公章）：</w:t>
      </w:r>
    </w:p>
    <w:p w14:paraId="32DD1F11">
      <w:pPr>
        <w:widowControl w:val="0"/>
        <w:autoSpaceDE w:val="0"/>
        <w:autoSpaceDN w:val="0"/>
        <w:adjustRightInd w:val="0"/>
        <w:spacing w:line="500" w:lineRule="exact"/>
        <w:jc w:val="left"/>
        <w:rPr>
          <w:rFonts w:hint="eastAsia"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法定代表人或委托代理人（签字或盖章）：</w:t>
      </w:r>
    </w:p>
    <w:p w14:paraId="5339AF5B">
      <w:pPr>
        <w:widowControl w:val="0"/>
        <w:autoSpaceDE w:val="0"/>
        <w:autoSpaceDN w:val="0"/>
        <w:adjustRightInd w:val="0"/>
        <w:spacing w:line="500" w:lineRule="exact"/>
        <w:jc w:val="left"/>
        <w:rPr>
          <w:rFonts w:hint="eastAsia" w:ascii="宋体" w:hAnsi="宋体" w:eastAsia="宋体" w:cs="宋体"/>
          <w:b/>
          <w:bCs/>
          <w:color w:val="auto"/>
          <w:kern w:val="0"/>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b/>
          <w:bCs/>
          <w:color w:val="auto"/>
          <w:kern w:val="0"/>
          <w:sz w:val="22"/>
          <w:szCs w:val="22"/>
          <w:highlight w:val="none"/>
          <w:lang w:val="en-US" w:eastAsia="zh-CN" w:bidi="ar-SA"/>
        </w:rPr>
        <w:t>日期：</w:t>
      </w:r>
    </w:p>
    <w:p w14:paraId="61995455">
      <w:pPr>
        <w:keepNext w:val="0"/>
        <w:keepLines w:val="0"/>
        <w:pageBreakBefore w:val="0"/>
        <w:widowControl/>
        <w:kinsoku/>
        <w:wordWrap w:val="0"/>
        <w:overflowPunct/>
        <w:topLinePunct w:val="0"/>
        <w:autoSpaceDE/>
        <w:autoSpaceDN/>
        <w:bidi w:val="0"/>
        <w:adjustRightInd/>
        <w:snapToGrid/>
        <w:spacing w:after="120" w:line="360" w:lineRule="auto"/>
        <w:jc w:val="left"/>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格式7：</w:t>
      </w:r>
    </w:p>
    <w:p w14:paraId="5514C93A">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2" w:firstLineChars="200"/>
        <w:jc w:val="left"/>
        <w:textAlignment w:val="auto"/>
        <w:rPr>
          <w:rFonts w:hint="default" w:ascii="宋体" w:hAnsi="宋体" w:eastAsia="宋体" w:cs="宋体"/>
          <w:b/>
          <w:bCs/>
          <w:snapToGrid/>
          <w:color w:val="auto"/>
          <w:kern w:val="2"/>
          <w:sz w:val="22"/>
          <w:szCs w:val="22"/>
          <w:highlight w:val="none"/>
          <w:lang w:val="en-US" w:eastAsia="zh-CN" w:bidi="ar-SA"/>
        </w:rPr>
      </w:pPr>
      <w:r>
        <w:rPr>
          <w:rFonts w:hint="eastAsia" w:ascii="宋体" w:hAnsi="Times New Roman" w:eastAsia="宋体" w:cs="Times New Roman"/>
          <w:b/>
          <w:bCs/>
          <w:color w:val="auto"/>
          <w:kern w:val="2"/>
          <w:sz w:val="22"/>
          <w:szCs w:val="21"/>
          <w:highlight w:val="none"/>
          <w:lang w:val="en-US" w:eastAsia="zh-CN" w:bidi="ar-SA"/>
        </w:rPr>
        <w:t>本项目的特定资格要求：</w:t>
      </w:r>
      <w:r>
        <w:rPr>
          <w:rFonts w:hint="eastAsia" w:ascii="宋体" w:hAnsi="Times New Roman" w:eastAsia="宋体" w:cs="Times New Roman"/>
          <w:b w:val="0"/>
          <w:bCs w:val="0"/>
          <w:color w:val="auto"/>
          <w:kern w:val="2"/>
          <w:sz w:val="22"/>
          <w:szCs w:val="21"/>
          <w:highlight w:val="none"/>
          <w:lang w:val="en-US" w:eastAsia="zh-CN" w:bidi="ar-SA"/>
        </w:rPr>
        <w:t>无</w:t>
      </w:r>
    </w:p>
    <w:p w14:paraId="05365D58">
      <w:pPr>
        <w:widowControl w:val="0"/>
        <w:kinsoku/>
        <w:autoSpaceDE/>
        <w:autoSpaceDN/>
        <w:adjustRightInd w:val="0"/>
        <w:snapToGrid w:val="0"/>
        <w:spacing w:after="160" w:line="360" w:lineRule="auto"/>
        <w:jc w:val="left"/>
        <w:textAlignment w:val="auto"/>
        <w:outlineLvl w:val="3"/>
        <w:rPr>
          <w:rFonts w:ascii="黑体" w:hAnsi="宋体" w:eastAsia="黑体" w:cs="Times New Roman"/>
          <w:snapToGrid/>
          <w:kern w:val="0"/>
          <w:sz w:val="24"/>
          <w:szCs w:val="20"/>
          <w:highlight w:val="none"/>
          <w:lang w:val="en-US" w:eastAsia="zh-CN" w:bidi="ar-SA"/>
        </w:rPr>
      </w:pPr>
      <w:r>
        <w:rPr>
          <w:rFonts w:hint="eastAsia" w:ascii="宋体" w:hAnsi="宋体" w:eastAsia="宋体" w:cs="宋体"/>
          <w:snapToGrid/>
          <w:color w:val="auto"/>
          <w:kern w:val="2"/>
          <w:sz w:val="36"/>
          <w:szCs w:val="36"/>
          <w:highlight w:val="none"/>
          <w:lang w:val="en-US" w:eastAsia="zh-CN" w:bidi="ar-SA"/>
        </w:rPr>
        <w:br w:type="page"/>
      </w:r>
      <w:bookmarkStart w:id="960" w:name="_Toc7710"/>
      <w:bookmarkStart w:id="961" w:name="_Toc10652"/>
      <w:r>
        <w:rPr>
          <w:rFonts w:hint="eastAsia" w:ascii="黑体" w:hAnsi="宋体" w:eastAsia="黑体" w:cs="Times New Roman"/>
          <w:snapToGrid/>
          <w:kern w:val="0"/>
          <w:sz w:val="24"/>
          <w:szCs w:val="20"/>
          <w:highlight w:val="none"/>
          <w:lang w:val="en-US" w:eastAsia="zh-CN" w:bidi="ar-SA"/>
        </w:rPr>
        <w:t>附表1：团队人员组成表</w:t>
      </w:r>
    </w:p>
    <w:tbl>
      <w:tblPr>
        <w:tblStyle w:val="7"/>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1813"/>
        <w:gridCol w:w="1520"/>
        <w:gridCol w:w="1894"/>
        <w:gridCol w:w="1551"/>
        <w:gridCol w:w="2122"/>
      </w:tblGrid>
      <w:tr w14:paraId="4386E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2C99D68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序号</w:t>
            </w:r>
          </w:p>
        </w:tc>
        <w:tc>
          <w:tcPr>
            <w:tcW w:w="1813" w:type="dxa"/>
            <w:noWrap w:val="0"/>
            <w:vAlign w:val="center"/>
          </w:tcPr>
          <w:p w14:paraId="5139E8E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姓名</w:t>
            </w:r>
          </w:p>
        </w:tc>
        <w:tc>
          <w:tcPr>
            <w:tcW w:w="1520" w:type="dxa"/>
            <w:noWrap w:val="0"/>
            <w:vAlign w:val="center"/>
          </w:tcPr>
          <w:p w14:paraId="531B720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年龄</w:t>
            </w:r>
          </w:p>
        </w:tc>
        <w:tc>
          <w:tcPr>
            <w:tcW w:w="1894" w:type="dxa"/>
            <w:noWrap w:val="0"/>
            <w:vAlign w:val="center"/>
          </w:tcPr>
          <w:p w14:paraId="7ABC1731">
            <w:pPr>
              <w:widowControl w:val="0"/>
              <w:kinsoku/>
              <w:autoSpaceDE/>
              <w:autoSpaceDN/>
              <w:adjustRightInd w:val="0"/>
              <w:snapToGrid w:val="0"/>
              <w:spacing w:after="160" w:line="360" w:lineRule="auto"/>
              <w:jc w:val="center"/>
              <w:textAlignment w:val="auto"/>
              <w:rPr>
                <w:rFonts w:hint="default"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学历</w:t>
            </w:r>
          </w:p>
        </w:tc>
        <w:tc>
          <w:tcPr>
            <w:tcW w:w="1551" w:type="dxa"/>
            <w:noWrap w:val="0"/>
            <w:vAlign w:val="center"/>
          </w:tcPr>
          <w:p w14:paraId="2AB9D234">
            <w:pPr>
              <w:widowControl w:val="0"/>
              <w:kinsoku/>
              <w:autoSpaceDE/>
              <w:autoSpaceDN/>
              <w:adjustRightInd w:val="0"/>
              <w:snapToGrid w:val="0"/>
              <w:spacing w:after="160" w:line="360" w:lineRule="auto"/>
              <w:jc w:val="center"/>
              <w:textAlignment w:val="auto"/>
              <w:rPr>
                <w:rFonts w:hint="default"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职务</w:t>
            </w:r>
          </w:p>
        </w:tc>
        <w:tc>
          <w:tcPr>
            <w:tcW w:w="2122" w:type="dxa"/>
            <w:noWrap w:val="0"/>
            <w:vAlign w:val="center"/>
          </w:tcPr>
          <w:p w14:paraId="6E8EC13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备注</w:t>
            </w:r>
          </w:p>
        </w:tc>
      </w:tr>
      <w:tr w14:paraId="3C1B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67B342CC">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3725D48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42BD553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7714731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7FF4867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332346C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218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70BE6A10">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446A241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197FE67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2D8FC9F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689F537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6B30925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1E2CA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07ACBA37">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04FA265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15A15AA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372B788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638AA72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5939587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48B1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7A0239DE">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33A9F06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57A062D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27E0120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0BEF031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683EE78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516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0219FE2A">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1C06FC3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37EFB5D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289E922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6816C20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3AF2085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4FD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3D40F2AF">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58FEA0E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69A4D5B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485FCF0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3B374C9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7E80ADE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C5A3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0283F6A7">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709870D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09E8010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44B16AB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5EBFF0E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0F4D9EB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295B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2CE00BED">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040095A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4AAE5D6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4879781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3E01321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5FBEE3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65A2D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7E172387">
            <w:pPr>
              <w:widowControl w:val="0"/>
              <w:kinsoku/>
              <w:autoSpaceDE/>
              <w:autoSpaceDN/>
              <w:adjustRightInd w:val="0"/>
              <w:snapToGrid w:val="0"/>
              <w:spacing w:after="160" w:line="360" w:lineRule="auto"/>
              <w:jc w:val="center"/>
              <w:textAlignment w:val="auto"/>
              <w:rPr>
                <w:rFonts w:hint="default"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w:t>
            </w:r>
          </w:p>
        </w:tc>
        <w:tc>
          <w:tcPr>
            <w:tcW w:w="1813" w:type="dxa"/>
            <w:noWrap w:val="0"/>
            <w:vAlign w:val="center"/>
          </w:tcPr>
          <w:p w14:paraId="4F46A53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70274FF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3ABA832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05FBCDE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5F3DFC8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B7FE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174C833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7153BC8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37E6132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5955C36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5C6BD11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384F66F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E11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2FC07EC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6B3C1E1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596CF9F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5CA2C33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49B055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0E6CB5F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671D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50FE8CA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3E6B1B1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35B871B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556546A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5A02E55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5FE990D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43FD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1B4AFB6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4C1D615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77B1F6B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3F1F10D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1D2E5A7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1EDA77A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1DD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4F04E58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0F9BA30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33C5AFE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32986F2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3BA067A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0E0A35B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60ECA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39D0EAB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36DC5CA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65949FA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20D6BF8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7515D7C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2EA9A3E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DC04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7BB0EAB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416BE98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5AB3A0D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1654AFA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0D45801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1CB10A7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5B67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0CC4CA3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5A38D44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2FC83DA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206A754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34962B7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5120442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31F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6" w:type="dxa"/>
            <w:noWrap w:val="0"/>
            <w:vAlign w:val="center"/>
          </w:tcPr>
          <w:p w14:paraId="7E9809A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39D842E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0307812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1FBC03D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6DF4AB6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32AE218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F8A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16" w:type="dxa"/>
            <w:noWrap w:val="0"/>
            <w:vAlign w:val="center"/>
          </w:tcPr>
          <w:p w14:paraId="0B5775A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13" w:type="dxa"/>
            <w:noWrap w:val="0"/>
            <w:vAlign w:val="center"/>
          </w:tcPr>
          <w:p w14:paraId="35C62F7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20" w:type="dxa"/>
            <w:noWrap w:val="0"/>
            <w:vAlign w:val="center"/>
          </w:tcPr>
          <w:p w14:paraId="59A9F01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894" w:type="dxa"/>
            <w:noWrap w:val="0"/>
            <w:vAlign w:val="center"/>
          </w:tcPr>
          <w:p w14:paraId="3803FCA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51" w:type="dxa"/>
            <w:noWrap w:val="0"/>
            <w:vAlign w:val="center"/>
          </w:tcPr>
          <w:p w14:paraId="7BAC4FC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122" w:type="dxa"/>
            <w:noWrap w:val="0"/>
            <w:vAlign w:val="center"/>
          </w:tcPr>
          <w:p w14:paraId="411DB60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bl>
    <w:p w14:paraId="06E76EC3">
      <w:pPr>
        <w:widowControl w:val="0"/>
        <w:kinsoku/>
        <w:autoSpaceDE/>
        <w:autoSpaceDN/>
        <w:adjustRightInd/>
        <w:snapToGrid/>
        <w:spacing w:line="600" w:lineRule="exact"/>
        <w:jc w:val="left"/>
        <w:textAlignment w:val="auto"/>
        <w:outlineLvl w:val="9"/>
        <w:rPr>
          <w:rFonts w:hint="default" w:ascii="Times New Roman" w:hAnsi="Times New Roman" w:eastAsia="宋体" w:cs="Times New Roman"/>
          <w:snapToGrid/>
          <w:kern w:val="2"/>
          <w:szCs w:val="20"/>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Times New Roman" w:hAnsi="Times New Roman" w:eastAsia="宋体" w:cs="Times New Roman"/>
          <w:snapToGrid/>
          <w:kern w:val="2"/>
          <w:szCs w:val="20"/>
          <w:highlight w:val="none"/>
          <w:lang w:val="en-US" w:eastAsia="zh-CN" w:bidi="ar-SA"/>
        </w:rPr>
        <w:t>附：身份证、学历证（如有）等资料</w:t>
      </w:r>
      <w:r>
        <w:rPr>
          <w:rFonts w:hint="eastAsia" w:ascii="宋体" w:hAnsi="宋体" w:eastAsia="宋体" w:cs="宋体"/>
          <w:snapToGrid/>
          <w:kern w:val="0"/>
          <w:sz w:val="22"/>
          <w:szCs w:val="22"/>
          <w:highlight w:val="none"/>
          <w:lang w:val="en-US" w:eastAsia="zh-CN" w:bidi="ar-SA"/>
        </w:rPr>
        <w:t>原件扫描件。</w:t>
      </w:r>
    </w:p>
    <w:p w14:paraId="38BF4F26">
      <w:pPr>
        <w:widowControl w:val="0"/>
        <w:kinsoku/>
        <w:autoSpaceDE/>
        <w:autoSpaceDN/>
        <w:adjustRightInd/>
        <w:snapToGrid/>
        <w:spacing w:line="600" w:lineRule="exact"/>
        <w:jc w:val="center"/>
        <w:textAlignment w:val="auto"/>
        <w:outlineLvl w:val="1"/>
        <w:rPr>
          <w:rFonts w:hint="eastAsia" w:ascii="黑体" w:hAnsi="黑体" w:eastAsia="黑体" w:cs="黑体"/>
          <w:b w:val="0"/>
          <w:bCs/>
          <w:snapToGrid/>
          <w:color w:val="auto"/>
          <w:kern w:val="2"/>
          <w:sz w:val="28"/>
          <w:szCs w:val="28"/>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黑体" w:hAnsi="黑体" w:eastAsia="黑体" w:cs="黑体"/>
          <w:b w:val="0"/>
          <w:bCs/>
          <w:snapToGrid/>
          <w:color w:val="auto"/>
          <w:kern w:val="2"/>
          <w:sz w:val="28"/>
          <w:szCs w:val="28"/>
          <w:highlight w:val="none"/>
          <w:lang w:val="en-US" w:eastAsia="zh-CN" w:bidi="ar-SA"/>
        </w:rPr>
        <w:t>二、报价部分</w:t>
      </w:r>
      <w:bookmarkEnd w:id="960"/>
      <w:bookmarkEnd w:id="961"/>
    </w:p>
    <w:p w14:paraId="1026B5DA">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w:t>
      </w:r>
    </w:p>
    <w:p w14:paraId="160A7A49">
      <w:pPr>
        <w:widowControl w:val="0"/>
        <w:kinsoku/>
        <w:autoSpaceDE/>
        <w:autoSpaceDN/>
        <w:adjustRightInd/>
        <w:snapToGrid/>
        <w:spacing w:line="240" w:lineRule="auto"/>
        <w:jc w:val="center"/>
        <w:textAlignment w:val="auto"/>
        <w:rPr>
          <w:rFonts w:ascii="Times New Roman" w:hAnsi="Times New Roman" w:eastAsia="宋体" w:cs="Times New Roman"/>
          <w:b/>
          <w:bCs/>
          <w:snapToGrid/>
          <w:color w:val="auto"/>
          <w:kern w:val="2"/>
          <w:sz w:val="28"/>
          <w:szCs w:val="36"/>
          <w:highlight w:val="none"/>
          <w:lang w:val="en-US" w:eastAsia="zh-CN" w:bidi="ar-SA"/>
        </w:rPr>
      </w:pPr>
      <w:r>
        <w:rPr>
          <w:rFonts w:hint="eastAsia" w:ascii="Times New Roman" w:hAnsi="Times New Roman" w:eastAsia="宋体" w:cs="Times New Roman"/>
          <w:b/>
          <w:bCs/>
          <w:snapToGrid/>
          <w:color w:val="auto"/>
          <w:kern w:val="2"/>
          <w:sz w:val="28"/>
          <w:szCs w:val="36"/>
          <w:highlight w:val="none"/>
          <w:lang w:val="en-US" w:eastAsia="zh-CN" w:bidi="ar-SA"/>
        </w:rPr>
        <w:t>报价一览表</w:t>
      </w:r>
    </w:p>
    <w:p w14:paraId="17C551D8">
      <w:pPr>
        <w:widowControl w:val="0"/>
        <w:kinsoku/>
        <w:autoSpaceDE w:val="0"/>
        <w:autoSpaceDN w:val="0"/>
        <w:adjustRightInd w:val="0"/>
        <w:snapToGrid/>
        <w:spacing w:line="240" w:lineRule="auto"/>
        <w:ind w:firstLine="442" w:firstLineChars="200"/>
        <w:jc w:val="left"/>
        <w:textAlignment w:val="auto"/>
        <w:rPr>
          <w:rFonts w:ascii="宋体" w:hAnsi="宋体" w:eastAsia="宋体" w:cs="宋体"/>
          <w:b/>
          <w:snapToGrid/>
          <w:color w:val="auto"/>
          <w:kern w:val="0"/>
          <w:sz w:val="22"/>
          <w:szCs w:val="22"/>
          <w:highlight w:val="none"/>
          <w:u w:val="single"/>
          <w:lang w:val="en-US" w:eastAsia="zh-CN" w:bidi="ar-SA"/>
        </w:rPr>
      </w:pPr>
      <w:r>
        <w:rPr>
          <w:rFonts w:hint="eastAsia" w:ascii="宋体" w:hAnsi="宋体" w:eastAsia="宋体" w:cs="宋体"/>
          <w:b/>
          <w:snapToGrid/>
          <w:color w:val="auto"/>
          <w:kern w:val="0"/>
          <w:sz w:val="22"/>
          <w:szCs w:val="22"/>
          <w:highlight w:val="none"/>
          <w:lang w:val="en-US" w:eastAsia="zh-CN" w:bidi="ar-SA"/>
        </w:rPr>
        <w:t>标段名称：</w:t>
      </w:r>
    </w:p>
    <w:p w14:paraId="215FA54B">
      <w:pPr>
        <w:widowControl w:val="0"/>
        <w:kinsoku/>
        <w:autoSpaceDE w:val="0"/>
        <w:autoSpaceDN w:val="0"/>
        <w:adjustRightInd w:val="0"/>
        <w:snapToGrid/>
        <w:spacing w:line="240" w:lineRule="auto"/>
        <w:ind w:firstLine="442" w:firstLineChars="200"/>
        <w:jc w:val="left"/>
        <w:textAlignment w:val="auto"/>
        <w:rPr>
          <w:rFonts w:ascii="宋体" w:hAnsi="宋体" w:eastAsia="宋体" w:cs="宋体"/>
          <w:b/>
          <w:snapToGrid/>
          <w:color w:val="auto"/>
          <w:kern w:val="0"/>
          <w:sz w:val="22"/>
          <w:szCs w:val="22"/>
          <w:highlight w:val="none"/>
          <w:lang w:val="en-US" w:eastAsia="zh-CN" w:bidi="ar-SA"/>
        </w:rPr>
      </w:pPr>
      <w:r>
        <w:rPr>
          <w:rFonts w:hint="eastAsia" w:ascii="宋体" w:hAnsi="宋体" w:eastAsia="宋体" w:cs="宋体"/>
          <w:b/>
          <w:snapToGrid/>
          <w:color w:val="auto"/>
          <w:kern w:val="0"/>
          <w:sz w:val="22"/>
          <w:szCs w:val="22"/>
          <w:highlight w:val="none"/>
          <w:lang w:val="en-US" w:eastAsia="zh-CN" w:bidi="ar-SA"/>
        </w:rPr>
        <w:t>标段编号：</w:t>
      </w:r>
    </w:p>
    <w:tbl>
      <w:tblPr>
        <w:tblStyle w:val="7"/>
        <w:tblW w:w="8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337"/>
      </w:tblGrid>
      <w:tr w14:paraId="2EF92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41A3865">
            <w:pPr>
              <w:widowControl w:val="0"/>
              <w:kinsoku/>
              <w:autoSpaceDE/>
              <w:autoSpaceDN/>
              <w:adjustRightInd/>
              <w:snapToGrid/>
              <w:spacing w:line="320" w:lineRule="exact"/>
              <w:jc w:val="center"/>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供应商名称</w:t>
            </w:r>
          </w:p>
        </w:tc>
        <w:tc>
          <w:tcPr>
            <w:tcW w:w="6337" w:type="dxa"/>
            <w:tcBorders>
              <w:top w:val="single" w:color="auto" w:sz="4" w:space="0"/>
              <w:left w:val="single" w:color="auto" w:sz="4" w:space="0"/>
              <w:bottom w:val="single" w:color="auto" w:sz="4" w:space="0"/>
              <w:right w:val="single" w:color="auto" w:sz="4" w:space="0"/>
            </w:tcBorders>
            <w:vAlign w:val="center"/>
          </w:tcPr>
          <w:p w14:paraId="01C1F30E">
            <w:pPr>
              <w:widowControl w:val="0"/>
              <w:kinsoku/>
              <w:autoSpaceDE/>
              <w:autoSpaceDN/>
              <w:adjustRightInd/>
              <w:snapToGrid/>
              <w:spacing w:line="360" w:lineRule="auto"/>
              <w:jc w:val="center"/>
              <w:textAlignment w:val="auto"/>
              <w:rPr>
                <w:rFonts w:ascii="宋体" w:hAnsi="宋体" w:eastAsia="宋体" w:cs="宋体"/>
                <w:snapToGrid/>
                <w:color w:val="auto"/>
                <w:kern w:val="2"/>
                <w:sz w:val="22"/>
                <w:szCs w:val="22"/>
                <w:highlight w:val="none"/>
                <w:lang w:val="en-US" w:eastAsia="zh-CN" w:bidi="ar-SA"/>
              </w:rPr>
            </w:pPr>
          </w:p>
        </w:tc>
      </w:tr>
      <w:tr w14:paraId="795E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28E062D0">
            <w:pPr>
              <w:widowControl w:val="0"/>
              <w:kinsoku/>
              <w:autoSpaceDE/>
              <w:autoSpaceDN/>
              <w:adjustRightInd/>
              <w:snapToGrid/>
              <w:spacing w:line="320" w:lineRule="exact"/>
              <w:jc w:val="center"/>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磋商报价（单位：元）</w:t>
            </w:r>
          </w:p>
        </w:tc>
        <w:tc>
          <w:tcPr>
            <w:tcW w:w="6337" w:type="dxa"/>
            <w:tcBorders>
              <w:top w:val="single" w:color="auto" w:sz="4" w:space="0"/>
              <w:left w:val="single" w:color="auto" w:sz="4" w:space="0"/>
              <w:bottom w:val="single" w:color="auto" w:sz="4" w:space="0"/>
              <w:right w:val="single" w:color="auto" w:sz="4" w:space="0"/>
            </w:tcBorders>
            <w:vAlign w:val="center"/>
          </w:tcPr>
          <w:p w14:paraId="6125E832">
            <w:pPr>
              <w:widowControl w:val="0"/>
              <w:kinsoku/>
              <w:autoSpaceDE/>
              <w:autoSpaceDN/>
              <w:adjustRightInd/>
              <w:snapToGrid/>
              <w:spacing w:line="360" w:lineRule="auto"/>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小写：¥</w:t>
            </w:r>
          </w:p>
          <w:p w14:paraId="4878D548">
            <w:pPr>
              <w:widowControl w:val="0"/>
              <w:kinsoku/>
              <w:autoSpaceDE/>
              <w:autoSpaceDN/>
              <w:adjustRightInd/>
              <w:snapToGrid/>
              <w:spacing w:line="360" w:lineRule="auto"/>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大写：人民币</w:t>
            </w:r>
          </w:p>
        </w:tc>
      </w:tr>
      <w:tr w14:paraId="738E7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36603F4A">
            <w:pPr>
              <w:widowControl w:val="0"/>
              <w:kinsoku/>
              <w:autoSpaceDE/>
              <w:autoSpaceDN/>
              <w:adjustRightInd/>
              <w:snapToGrid/>
              <w:spacing w:line="240" w:lineRule="auto"/>
              <w:jc w:val="center"/>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工期</w:t>
            </w:r>
          </w:p>
        </w:tc>
        <w:tc>
          <w:tcPr>
            <w:tcW w:w="6337" w:type="dxa"/>
            <w:tcBorders>
              <w:top w:val="single" w:color="auto" w:sz="4" w:space="0"/>
              <w:left w:val="single" w:color="auto" w:sz="4" w:space="0"/>
              <w:bottom w:val="single" w:color="auto" w:sz="4" w:space="0"/>
              <w:right w:val="single" w:color="auto" w:sz="4" w:space="0"/>
            </w:tcBorders>
            <w:vAlign w:val="center"/>
          </w:tcPr>
          <w:p w14:paraId="46B5F86B">
            <w:pPr>
              <w:widowControl w:val="0"/>
              <w:kinsoku/>
              <w:autoSpaceDE/>
              <w:autoSpaceDN/>
              <w:adjustRightInd/>
              <w:snapToGrid/>
              <w:spacing w:line="360" w:lineRule="auto"/>
              <w:jc w:val="both"/>
              <w:textAlignment w:val="auto"/>
              <w:rPr>
                <w:rFonts w:ascii="宋体" w:hAnsi="宋体" w:eastAsia="宋体" w:cs="宋体"/>
                <w:snapToGrid/>
                <w:color w:val="auto"/>
                <w:kern w:val="2"/>
                <w:sz w:val="22"/>
                <w:szCs w:val="22"/>
                <w:highlight w:val="none"/>
                <w:lang w:val="en-US" w:eastAsia="zh-CN" w:bidi="ar-SA"/>
              </w:rPr>
            </w:pPr>
          </w:p>
        </w:tc>
      </w:tr>
      <w:tr w14:paraId="0CBBE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70AF4AFE">
            <w:pPr>
              <w:widowControl w:val="0"/>
              <w:kinsoku/>
              <w:autoSpaceDE/>
              <w:autoSpaceDN/>
              <w:adjustRightInd/>
              <w:snapToGrid/>
              <w:spacing w:line="240" w:lineRule="auto"/>
              <w:jc w:val="center"/>
              <w:textAlignment w:val="auto"/>
              <w:rPr>
                <w:rFonts w:hint="default"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质量标准</w:t>
            </w:r>
          </w:p>
        </w:tc>
        <w:tc>
          <w:tcPr>
            <w:tcW w:w="6337" w:type="dxa"/>
            <w:tcBorders>
              <w:top w:val="single" w:color="auto" w:sz="4" w:space="0"/>
              <w:left w:val="single" w:color="auto" w:sz="4" w:space="0"/>
              <w:bottom w:val="single" w:color="auto" w:sz="4" w:space="0"/>
              <w:right w:val="single" w:color="auto" w:sz="4" w:space="0"/>
            </w:tcBorders>
            <w:vAlign w:val="center"/>
          </w:tcPr>
          <w:p w14:paraId="3ADFFD10">
            <w:pPr>
              <w:widowControl w:val="0"/>
              <w:kinsoku/>
              <w:autoSpaceDE/>
              <w:autoSpaceDN/>
              <w:adjustRightInd/>
              <w:snapToGrid/>
              <w:spacing w:line="360" w:lineRule="auto"/>
              <w:jc w:val="both"/>
              <w:textAlignment w:val="auto"/>
              <w:rPr>
                <w:rFonts w:ascii="宋体" w:hAnsi="宋体" w:eastAsia="宋体" w:cs="宋体"/>
                <w:snapToGrid/>
                <w:color w:val="auto"/>
                <w:kern w:val="2"/>
                <w:sz w:val="22"/>
                <w:szCs w:val="22"/>
                <w:highlight w:val="none"/>
                <w:lang w:val="en-US" w:eastAsia="zh-CN" w:bidi="ar-SA"/>
              </w:rPr>
            </w:pPr>
          </w:p>
        </w:tc>
      </w:tr>
      <w:tr w14:paraId="395F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8805" w:type="dxa"/>
            <w:gridSpan w:val="2"/>
            <w:tcBorders>
              <w:top w:val="single" w:color="auto" w:sz="4" w:space="0"/>
              <w:left w:val="single" w:color="auto" w:sz="4" w:space="0"/>
              <w:bottom w:val="single" w:color="auto" w:sz="4" w:space="0"/>
              <w:right w:val="single" w:color="auto" w:sz="4" w:space="0"/>
            </w:tcBorders>
            <w:vAlign w:val="center"/>
          </w:tcPr>
          <w:p w14:paraId="65C86FEE">
            <w:pPr>
              <w:widowControl w:val="0"/>
              <w:kinsoku/>
              <w:autoSpaceDE/>
              <w:autoSpaceDN/>
              <w:adjustRightInd/>
              <w:snapToGrid/>
              <w:spacing w:line="360" w:lineRule="auto"/>
              <w:jc w:val="left"/>
              <w:textAlignment w:val="auto"/>
              <w:rPr>
                <w:rFonts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备 注</w:t>
            </w:r>
          </w:p>
        </w:tc>
      </w:tr>
    </w:tbl>
    <w:p w14:paraId="62E7D4B8">
      <w:pPr>
        <w:widowControl w:val="0"/>
        <w:autoSpaceDE w:val="0"/>
        <w:autoSpaceDN w:val="0"/>
        <w:adjustRightInd w:val="0"/>
        <w:jc w:val="left"/>
        <w:rPr>
          <w:rFonts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注：</w:t>
      </w:r>
    </w:p>
    <w:p w14:paraId="25582524">
      <w:pPr>
        <w:widowControl w:val="0"/>
        <w:kinsoku/>
        <w:autoSpaceDE/>
        <w:autoSpaceDN/>
        <w:adjustRightInd/>
        <w:snapToGrid/>
        <w:spacing w:line="360" w:lineRule="auto"/>
        <w:ind w:firstLine="2" w:firstLineChars="1"/>
        <w:jc w:val="left"/>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备注：此表应放在响应文件封面后第一页。</w:t>
      </w:r>
    </w:p>
    <w:p w14:paraId="0DBE2C7C">
      <w:pPr>
        <w:widowControl w:val="0"/>
        <w:kinsoku/>
        <w:autoSpaceDE/>
        <w:autoSpaceDN/>
        <w:adjustRightInd/>
        <w:snapToGrid/>
        <w:spacing w:line="360" w:lineRule="auto"/>
        <w:ind w:firstLine="2" w:firstLineChars="1"/>
        <w:jc w:val="left"/>
        <w:textAlignment w:val="auto"/>
        <w:rPr>
          <w:rFonts w:ascii="宋体" w:hAnsi="宋体" w:eastAsia="宋体" w:cs="宋体"/>
          <w:snapToGrid/>
          <w:color w:val="auto"/>
          <w:kern w:val="2"/>
          <w:sz w:val="22"/>
          <w:szCs w:val="22"/>
          <w:highlight w:val="none"/>
          <w:lang w:val="en-US" w:eastAsia="zh-CN" w:bidi="ar-SA"/>
        </w:rPr>
      </w:pPr>
    </w:p>
    <w:p w14:paraId="068A4CC8">
      <w:pPr>
        <w:widowControl w:val="0"/>
        <w:kinsoku/>
        <w:autoSpaceDE/>
        <w:autoSpaceDN/>
        <w:adjustRightInd/>
        <w:snapToGrid/>
        <w:spacing w:line="360" w:lineRule="auto"/>
        <w:ind w:firstLine="2" w:firstLineChars="1"/>
        <w:jc w:val="left"/>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供应商：（加盖公章）</w:t>
      </w:r>
    </w:p>
    <w:p w14:paraId="3580E053">
      <w:pPr>
        <w:widowControl w:val="0"/>
        <w:kinsoku/>
        <w:autoSpaceDE/>
        <w:autoSpaceDN/>
        <w:adjustRightInd/>
        <w:snapToGrid/>
        <w:spacing w:line="360" w:lineRule="auto"/>
        <w:ind w:firstLine="2" w:firstLineChars="1"/>
        <w:jc w:val="left"/>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法定代表人或委托代理人：（签字或盖章）</w:t>
      </w:r>
    </w:p>
    <w:p w14:paraId="58F4D314">
      <w:pPr>
        <w:widowControl w:val="0"/>
        <w:kinsoku/>
        <w:autoSpaceDE/>
        <w:autoSpaceDN/>
        <w:adjustRightInd/>
        <w:snapToGrid/>
        <w:spacing w:line="360" w:lineRule="auto"/>
        <w:ind w:firstLine="2" w:firstLineChars="1"/>
        <w:jc w:val="left"/>
        <w:textAlignment w:val="auto"/>
        <w:rPr>
          <w:rFonts w:hint="eastAsia" w:ascii="宋体" w:hAnsi="宋体" w:eastAsia="宋体" w:cs="宋体"/>
          <w:snapToGrid/>
          <w:color w:val="auto"/>
          <w:kern w:val="2"/>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snapToGrid/>
          <w:color w:val="auto"/>
          <w:kern w:val="2"/>
          <w:sz w:val="22"/>
          <w:szCs w:val="22"/>
          <w:highlight w:val="none"/>
          <w:lang w:val="en-US" w:eastAsia="zh-CN" w:bidi="ar-SA"/>
        </w:rPr>
        <w:t>日期：</w:t>
      </w:r>
    </w:p>
    <w:p w14:paraId="113E0EA3">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default"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bookmarkStart w:id="962" w:name="_Toc21634"/>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格式2：</w:t>
      </w:r>
    </w:p>
    <w:p w14:paraId="25EE67DA">
      <w:pPr>
        <w:widowControl w:val="0"/>
        <w:kinsoku/>
        <w:autoSpaceDE/>
        <w:autoSpaceDN/>
        <w:adjustRightInd w:val="0"/>
        <w:snapToGrid w:val="0"/>
        <w:spacing w:after="160" w:line="259" w:lineRule="auto"/>
        <w:jc w:val="center"/>
        <w:textAlignment w:val="auto"/>
        <w:outlineLvl w:val="9"/>
        <w:rPr>
          <w:rFonts w:ascii="宋体" w:hAnsi="宋体" w:eastAsia="宋体" w:cs="Times New Roman"/>
          <w:snapToGrid/>
          <w:kern w:val="0"/>
          <w:szCs w:val="21"/>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已标价工程量清单</w:t>
      </w:r>
      <w:bookmarkEnd w:id="962"/>
    </w:p>
    <w:p w14:paraId="7AC3A71C">
      <w:pPr>
        <w:widowControl w:val="0"/>
        <w:kinsoku/>
        <w:autoSpaceDE/>
        <w:autoSpaceDN/>
        <w:adjustRightInd w:val="0"/>
        <w:snapToGrid w:val="0"/>
        <w:spacing w:after="160" w:line="360" w:lineRule="auto"/>
        <w:jc w:val="center"/>
        <w:textAlignment w:val="auto"/>
        <w:outlineLvl w:val="9"/>
        <w:rPr>
          <w:rFonts w:hint="eastAsia" w:ascii="宋体" w:hAnsi="宋体" w:eastAsia="宋体" w:cs="仿宋"/>
          <w:snapToGrid/>
          <w:kern w:val="2"/>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仿宋"/>
          <w:snapToGrid/>
          <w:kern w:val="2"/>
          <w:sz w:val="22"/>
          <w:szCs w:val="22"/>
          <w:highlight w:val="none"/>
          <w:lang w:val="en-US" w:eastAsia="zh-CN" w:bidi="ar-SA"/>
        </w:rPr>
        <w:t>供应商应该按照第五章“采购需求”中工程量清单的</w:t>
      </w:r>
      <w:r>
        <w:rPr>
          <w:rFonts w:hint="eastAsia" w:ascii="宋体" w:hAnsi="宋体" w:eastAsia="宋体" w:cs="仿宋"/>
          <w:b/>
          <w:bCs/>
          <w:snapToGrid/>
          <w:kern w:val="2"/>
          <w:sz w:val="22"/>
          <w:szCs w:val="22"/>
          <w:highlight w:val="none"/>
          <w:lang w:val="en-US" w:eastAsia="zh-CN" w:bidi="ar-SA"/>
        </w:rPr>
        <w:t>格式</w:t>
      </w:r>
      <w:r>
        <w:rPr>
          <w:rFonts w:hint="eastAsia" w:ascii="宋体" w:hAnsi="宋体" w:eastAsia="宋体" w:cs="仿宋"/>
          <w:snapToGrid/>
          <w:kern w:val="2"/>
          <w:sz w:val="22"/>
          <w:szCs w:val="22"/>
          <w:highlight w:val="none"/>
          <w:lang w:val="en-US" w:eastAsia="zh-CN" w:bidi="ar-SA"/>
        </w:rPr>
        <w:t>要求逐项填报工程量清单。</w:t>
      </w:r>
    </w:p>
    <w:p w14:paraId="45010845">
      <w:pPr>
        <w:widowControl w:val="0"/>
        <w:kinsoku/>
        <w:autoSpaceDE/>
        <w:autoSpaceDN/>
        <w:adjustRightInd/>
        <w:snapToGrid/>
        <w:spacing w:line="600" w:lineRule="exact"/>
        <w:jc w:val="center"/>
        <w:textAlignment w:val="auto"/>
        <w:outlineLvl w:val="1"/>
        <w:rPr>
          <w:rFonts w:hint="eastAsia" w:ascii="黑体" w:hAnsi="黑体" w:eastAsia="黑体" w:cs="黑体"/>
          <w:b w:val="0"/>
          <w:bCs/>
          <w:snapToGrid/>
          <w:color w:val="auto"/>
          <w:kern w:val="2"/>
          <w:sz w:val="28"/>
          <w:szCs w:val="28"/>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bookmarkStart w:id="963" w:name="_Toc1314"/>
      <w:bookmarkStart w:id="964" w:name="_Toc1140"/>
      <w:r>
        <w:rPr>
          <w:rFonts w:hint="eastAsia" w:ascii="黑体" w:hAnsi="黑体" w:eastAsia="黑体" w:cs="黑体"/>
          <w:b w:val="0"/>
          <w:bCs/>
          <w:snapToGrid/>
          <w:color w:val="auto"/>
          <w:kern w:val="2"/>
          <w:sz w:val="28"/>
          <w:szCs w:val="28"/>
          <w:highlight w:val="none"/>
          <w:lang w:val="en-US" w:eastAsia="zh-CN" w:bidi="ar-SA"/>
        </w:rPr>
        <w:t>三、技术和商务部分</w:t>
      </w:r>
      <w:bookmarkEnd w:id="963"/>
      <w:bookmarkEnd w:id="964"/>
    </w:p>
    <w:p w14:paraId="6A1F3B38">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default"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w:t>
      </w:r>
    </w:p>
    <w:p w14:paraId="317DFF2F">
      <w:pPr>
        <w:widowControl w:val="0"/>
        <w:kinsoku/>
        <w:autoSpaceDE/>
        <w:autoSpaceDN/>
        <w:adjustRightInd w:val="0"/>
        <w:snapToGrid w:val="0"/>
        <w:spacing w:after="160" w:line="360" w:lineRule="auto"/>
        <w:jc w:val="center"/>
        <w:textAlignment w:val="auto"/>
        <w:outlineLvl w:val="9"/>
        <w:rPr>
          <w:rFonts w:ascii="黑体" w:hAnsi="宋体" w:eastAsia="黑体" w:cs="Times New Roman"/>
          <w:snapToGrid/>
          <w:kern w:val="0"/>
          <w:sz w:val="28"/>
          <w:szCs w:val="28"/>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磋商申请函</w:t>
      </w:r>
    </w:p>
    <w:p w14:paraId="34DFC930">
      <w:pPr>
        <w:widowControl w:val="0"/>
        <w:kinsoku/>
        <w:autoSpaceDE/>
        <w:autoSpaceDN/>
        <w:adjustRightInd w:val="0"/>
        <w:snapToGrid w:val="0"/>
        <w:spacing w:after="160" w:line="360" w:lineRule="auto"/>
        <w:jc w:val="left"/>
        <w:textAlignment w:val="auto"/>
        <w:outlineLvl w:val="9"/>
        <w:rPr>
          <w:rFonts w:ascii="宋体" w:hAnsi="宋体" w:eastAsia="宋体" w:cs="Times New Roman"/>
          <w:snapToGrid/>
          <w:kern w:val="0"/>
          <w:sz w:val="22"/>
          <w:szCs w:val="22"/>
          <w:highlight w:val="none"/>
          <w:u w:val="none"/>
          <w:lang w:val="en-US" w:eastAsia="zh-CN" w:bidi="ar-SA"/>
        </w:rPr>
      </w:pPr>
      <w:r>
        <w:rPr>
          <w:rFonts w:ascii="宋体" w:hAnsi="宋体" w:eastAsia="宋体" w:cs="Times New Roman"/>
          <w:snapToGrid/>
          <w:kern w:val="0"/>
          <w:sz w:val="22"/>
          <w:szCs w:val="22"/>
          <w:highlight w:val="none"/>
          <w:u w:val="none"/>
          <w:lang w:val="en-US" w:eastAsia="zh-CN" w:bidi="ar-SA"/>
        </w:rPr>
        <w:t>__________________</w:t>
      </w:r>
      <w:r>
        <w:rPr>
          <w:rFonts w:hint="eastAsia" w:ascii="宋体" w:hAnsi="宋体" w:eastAsia="宋体" w:cs="Times New Roman"/>
          <w:snapToGrid/>
          <w:kern w:val="0"/>
          <w:sz w:val="22"/>
          <w:szCs w:val="22"/>
          <w:highlight w:val="none"/>
          <w:u w:val="none"/>
          <w:lang w:val="en-US" w:eastAsia="zh-CN" w:bidi="ar-SA"/>
        </w:rPr>
        <w:t>（采购人名称）：</w:t>
      </w:r>
    </w:p>
    <w:p w14:paraId="09A54CE8">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1．我方已仔细研究了</w:t>
      </w:r>
      <w:r>
        <w:rPr>
          <w:rFonts w:ascii="宋体" w:hAnsi="宋体" w:eastAsia="宋体" w:cs="Times New Roman"/>
          <w:snapToGrid/>
          <w:kern w:val="0"/>
          <w:sz w:val="22"/>
          <w:szCs w:val="22"/>
          <w:highlight w:val="none"/>
          <w:u w:val="none"/>
          <w:lang w:val="en-US" w:eastAsia="zh-CN" w:bidi="ar-SA"/>
        </w:rPr>
        <w:t>_______________</w:t>
      </w:r>
      <w:r>
        <w:rPr>
          <w:rFonts w:hint="eastAsia" w:ascii="宋体" w:hAnsi="宋体" w:eastAsia="宋体" w:cs="Times New Roman"/>
          <w:snapToGrid/>
          <w:kern w:val="0"/>
          <w:sz w:val="22"/>
          <w:szCs w:val="22"/>
          <w:highlight w:val="none"/>
          <w:u w:val="none"/>
          <w:lang w:val="en-US" w:eastAsia="zh-CN" w:bidi="ar-SA"/>
        </w:rPr>
        <w:t>（项目名称）名称竞争性磋商文件的全部内容，</w:t>
      </w:r>
      <w:r>
        <w:rPr>
          <w:rFonts w:hint="eastAsia" w:ascii="宋体" w:hAnsi="宋体" w:eastAsia="宋体" w:cs="宋体"/>
          <w:b/>
          <w:snapToGrid/>
          <w:kern w:val="0"/>
          <w:sz w:val="22"/>
          <w:szCs w:val="22"/>
          <w:highlight w:val="none"/>
          <w:u w:val="none"/>
          <w:lang w:val="en-US" w:eastAsia="zh-CN" w:bidi="ar-SA"/>
        </w:rPr>
        <w:t>愿意以</w:t>
      </w:r>
      <w:r>
        <w:rPr>
          <w:rFonts w:ascii="宋体" w:hAnsi="宋体" w:eastAsia="宋体" w:cs="Times New Roman"/>
          <w:snapToGrid/>
          <w:kern w:val="0"/>
          <w:sz w:val="22"/>
          <w:szCs w:val="22"/>
          <w:highlight w:val="none"/>
          <w:u w:val="none"/>
          <w:lang w:val="en-US" w:eastAsia="zh-CN" w:bidi="ar-SA"/>
        </w:rPr>
        <w:t>_________</w:t>
      </w:r>
      <w:r>
        <w:rPr>
          <w:rFonts w:hint="eastAsia" w:ascii="宋体" w:hAnsi="宋体" w:eastAsia="宋体" w:cs="宋体"/>
          <w:b/>
          <w:snapToGrid/>
          <w:kern w:val="0"/>
          <w:sz w:val="22"/>
          <w:szCs w:val="22"/>
          <w:highlight w:val="none"/>
          <w:u w:val="none"/>
          <w:lang w:val="en-US" w:eastAsia="zh-CN" w:bidi="ar-SA"/>
        </w:rPr>
        <w:t>元为本工程磋商报价</w:t>
      </w:r>
      <w:r>
        <w:rPr>
          <w:rFonts w:hint="eastAsia" w:ascii="宋体" w:hAnsi="宋体" w:eastAsia="宋体" w:cs="Times New Roman"/>
          <w:snapToGrid/>
          <w:kern w:val="0"/>
          <w:sz w:val="22"/>
          <w:szCs w:val="22"/>
          <w:highlight w:val="none"/>
          <w:u w:val="none"/>
          <w:lang w:val="en-US" w:eastAsia="zh-CN" w:bidi="ar-SA"/>
        </w:rPr>
        <w:t>，工期</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日历天，按合同约定实施和完成承包工程，修补工程中的任何缺陷，工程质量达到</w:t>
      </w:r>
      <w:r>
        <w:rPr>
          <w:rFonts w:ascii="宋体" w:hAnsi="宋体" w:eastAsia="宋体" w:cs="Times New Roman"/>
          <w:snapToGrid/>
          <w:kern w:val="0"/>
          <w:sz w:val="22"/>
          <w:szCs w:val="22"/>
          <w:highlight w:val="none"/>
          <w:u w:val="none"/>
          <w:lang w:val="en-US" w:eastAsia="zh-CN" w:bidi="ar-SA"/>
        </w:rPr>
        <w:t>_________</w:t>
      </w:r>
      <w:r>
        <w:rPr>
          <w:rFonts w:hint="eastAsia" w:ascii="宋体" w:hAnsi="宋体" w:eastAsia="宋体" w:cs="Times New Roman"/>
          <w:snapToGrid/>
          <w:kern w:val="0"/>
          <w:sz w:val="22"/>
          <w:szCs w:val="22"/>
          <w:highlight w:val="none"/>
          <w:u w:val="none"/>
          <w:lang w:val="en-US" w:eastAsia="zh-CN" w:bidi="ar-SA"/>
        </w:rPr>
        <w:t>。</w:t>
      </w:r>
    </w:p>
    <w:p w14:paraId="4CD00A0A">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2．我方承诺在投标有效期内不修改、补充、替代或者撤回响应文件。</w:t>
      </w:r>
    </w:p>
    <w:p w14:paraId="1C632C8A">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3．如我方中标：</w:t>
      </w:r>
    </w:p>
    <w:p w14:paraId="5280510E">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（1）我方承诺在收到成交通知书后，在成交通知书规定的期限内，与你方按照竞争性磋商文件和我方的响应文件签订合同。</w:t>
      </w:r>
    </w:p>
    <w:p w14:paraId="108BF5E3">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（2）随同本磋商申请函递交的投标函附录属于合同文件的组成部分。</w:t>
      </w:r>
    </w:p>
    <w:p w14:paraId="58086B52">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（3）我方承诺按照竞争性磋商文件规定向你方递交履约担保。</w:t>
      </w:r>
    </w:p>
    <w:p w14:paraId="6FF7E1D2">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（4）我方承诺在合同约定的期限内完成并移交全部合同工程。</w:t>
      </w:r>
    </w:p>
    <w:p w14:paraId="5998DF1F">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（5）我方承诺不因施工组织设计方案发生变更而增加工程造价。</w:t>
      </w:r>
    </w:p>
    <w:p w14:paraId="68BFCA7B">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5.我方在此声明，所递交的响应文件及有关资料内容完整、真实和准确。</w:t>
      </w:r>
    </w:p>
    <w:p w14:paraId="0D474FCC">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lang w:val="en-US" w:eastAsia="zh-CN" w:bidi="ar-SA"/>
        </w:rPr>
        <w:t>6</w:t>
      </w:r>
      <w:r>
        <w:rPr>
          <w:rFonts w:hint="eastAsia" w:ascii="宋体" w:hAnsi="宋体" w:eastAsia="宋体" w:cs="Times New Roman"/>
          <w:snapToGrid/>
          <w:kern w:val="0"/>
          <w:sz w:val="22"/>
          <w:szCs w:val="22"/>
          <w:highlight w:val="none"/>
          <w:u w:val="none"/>
          <w:lang w:val="en-US" w:eastAsia="zh-CN" w:bidi="ar-SA"/>
        </w:rPr>
        <w:t>．</w:t>
      </w:r>
      <w:r>
        <w:rPr>
          <w:rFonts w:ascii="宋体" w:hAnsi="宋体" w:eastAsia="宋体" w:cs="Times New Roman"/>
          <w:snapToGrid/>
          <w:kern w:val="0"/>
          <w:sz w:val="22"/>
          <w:szCs w:val="22"/>
          <w:highlight w:val="none"/>
          <w:u w:val="none"/>
          <w:lang w:val="en-US" w:eastAsia="zh-CN" w:bidi="ar-SA"/>
        </w:rPr>
        <w:t>_______________________________</w:t>
      </w:r>
      <w:r>
        <w:rPr>
          <w:rFonts w:hint="eastAsia" w:ascii="宋体" w:hAnsi="宋体" w:eastAsia="宋体" w:cs="Times New Roman"/>
          <w:snapToGrid/>
          <w:kern w:val="0"/>
          <w:sz w:val="22"/>
          <w:szCs w:val="22"/>
          <w:highlight w:val="none"/>
          <w:u w:val="none"/>
          <w:lang w:val="en-US" w:eastAsia="zh-CN" w:bidi="ar-SA"/>
        </w:rPr>
        <w:t>（其他补充说明）。</w:t>
      </w:r>
    </w:p>
    <w:p w14:paraId="406BE55C">
      <w:pPr>
        <w:widowControl w:val="0"/>
        <w:kinsoku/>
        <w:autoSpaceDE/>
        <w:autoSpaceDN/>
        <w:adjustRightInd w:val="0"/>
        <w:snapToGrid w:val="0"/>
        <w:spacing w:after="160" w:line="360" w:lineRule="auto"/>
        <w:ind w:firstLine="4400" w:firstLineChars="2000"/>
        <w:jc w:val="left"/>
        <w:textAlignment w:val="auto"/>
        <w:outlineLvl w:val="9"/>
        <w:rPr>
          <w:rFonts w:hint="eastAsia" w:ascii="宋体" w:hAnsi="宋体" w:eastAsia="宋体" w:cs="Times New Roman"/>
          <w:snapToGrid/>
          <w:kern w:val="0"/>
          <w:sz w:val="22"/>
          <w:szCs w:val="22"/>
          <w:highlight w:val="none"/>
          <w:u w:val="none"/>
          <w:lang w:val="en-US" w:eastAsia="zh-CN" w:bidi="ar-SA"/>
        </w:rPr>
      </w:pPr>
    </w:p>
    <w:p w14:paraId="0917FA71">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hint="default" w:ascii="宋体" w:hAnsi="宋体" w:eastAsia="宋体" w:cs="Times New Roman"/>
          <w:snapToGrid/>
          <w:kern w:val="0"/>
          <w:sz w:val="22"/>
          <w:szCs w:val="22"/>
          <w:highlight w:val="none"/>
          <w:u w:val="single"/>
          <w:lang w:val="en-US" w:eastAsia="zh-CN" w:bidi="ar-SA"/>
        </w:rPr>
      </w:pPr>
      <w:r>
        <w:rPr>
          <w:rFonts w:hint="eastAsia" w:ascii="宋体" w:hAnsi="宋体" w:eastAsia="宋体" w:cs="Times New Roman"/>
          <w:snapToGrid/>
          <w:kern w:val="0"/>
          <w:sz w:val="22"/>
          <w:szCs w:val="22"/>
          <w:highlight w:val="none"/>
          <w:u w:val="none"/>
          <w:lang w:val="en-US" w:eastAsia="zh-CN" w:bidi="ar-SA"/>
        </w:rPr>
        <w:t>供应商（</w:t>
      </w:r>
      <w:r>
        <w:rPr>
          <w:rFonts w:hint="eastAsia" w:ascii="宋体" w:hAnsi="宋体" w:eastAsia="宋体" w:cs="Times New Roman"/>
          <w:snapToGrid w:val="0"/>
          <w:kern w:val="0"/>
          <w:sz w:val="22"/>
          <w:szCs w:val="22"/>
          <w:lang w:val="zh-CN" w:eastAsia="zh-CN" w:bidi="ar-SA"/>
        </w:rPr>
        <w:t>加盖公章</w:t>
      </w:r>
      <w:r>
        <w:rPr>
          <w:rFonts w:hint="eastAsia" w:ascii="宋体" w:hAnsi="宋体" w:eastAsia="宋体" w:cs="Times New Roman"/>
          <w:snapToGrid/>
          <w:kern w:val="0"/>
          <w:sz w:val="22"/>
          <w:szCs w:val="22"/>
          <w:highlight w:val="none"/>
          <w:lang w:val="en-US" w:eastAsia="zh-CN" w:bidi="ar-SA"/>
        </w:rPr>
        <w:t>）</w:t>
      </w:r>
      <w:r>
        <w:rPr>
          <w:rFonts w:hint="eastAsia" w:ascii="宋体" w:hAnsi="宋体" w:eastAsia="宋体" w:cs="Times New Roman"/>
          <w:snapToGrid/>
          <w:kern w:val="0"/>
          <w:sz w:val="22"/>
          <w:szCs w:val="22"/>
          <w:highlight w:val="none"/>
          <w:u w:val="none"/>
          <w:lang w:val="en-US" w:eastAsia="zh-CN" w:bidi="ar-SA"/>
        </w:rPr>
        <w:t xml:space="preserve">： </w:t>
      </w:r>
      <w:r>
        <w:rPr>
          <w:rFonts w:hint="eastAsia" w:ascii="宋体" w:hAnsi="宋体" w:eastAsia="宋体" w:cs="Times New Roman"/>
          <w:snapToGrid/>
          <w:kern w:val="0"/>
          <w:sz w:val="22"/>
          <w:szCs w:val="22"/>
          <w:highlight w:val="none"/>
          <w:u w:val="single"/>
          <w:lang w:val="en-US" w:eastAsia="zh-CN" w:bidi="ar-SA"/>
        </w:rPr>
        <w:t xml:space="preserve">                         </w:t>
      </w:r>
    </w:p>
    <w:p w14:paraId="2F2EB103">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法定代表人（签字或盖章）：</w:t>
      </w:r>
      <w:r>
        <w:rPr>
          <w:rFonts w:hint="eastAsia" w:ascii="宋体" w:hAnsi="宋体" w:eastAsia="宋体" w:cs="Times New Roman"/>
          <w:snapToGrid/>
          <w:kern w:val="0"/>
          <w:sz w:val="22"/>
          <w:szCs w:val="22"/>
          <w:highlight w:val="none"/>
          <w:u w:val="single"/>
          <w:lang w:val="en-US" w:eastAsia="zh-CN" w:bidi="ar-SA"/>
        </w:rPr>
        <w:t xml:space="preserve">                         </w:t>
      </w:r>
    </w:p>
    <w:p w14:paraId="6A903CC9">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地址：</w:t>
      </w:r>
      <w:r>
        <w:rPr>
          <w:rFonts w:hint="eastAsia" w:ascii="宋体" w:hAnsi="宋体" w:eastAsia="宋体" w:cs="Times New Roman"/>
          <w:snapToGrid/>
          <w:kern w:val="0"/>
          <w:sz w:val="22"/>
          <w:szCs w:val="22"/>
          <w:highlight w:val="none"/>
          <w:u w:val="single"/>
          <w:lang w:val="en-US" w:eastAsia="zh-CN" w:bidi="ar-SA"/>
        </w:rPr>
        <w:t xml:space="preserve">                              </w:t>
      </w:r>
    </w:p>
    <w:p w14:paraId="514B5D1F">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网址：</w:t>
      </w:r>
      <w:r>
        <w:rPr>
          <w:rFonts w:hint="eastAsia" w:ascii="宋体" w:hAnsi="宋体" w:eastAsia="宋体" w:cs="Times New Roman"/>
          <w:snapToGrid/>
          <w:kern w:val="0"/>
          <w:sz w:val="22"/>
          <w:szCs w:val="22"/>
          <w:highlight w:val="none"/>
          <w:u w:val="single"/>
          <w:lang w:val="en-US" w:eastAsia="zh-CN" w:bidi="ar-SA"/>
        </w:rPr>
        <w:t xml:space="preserve">                              </w:t>
      </w:r>
    </w:p>
    <w:p w14:paraId="7CCB190C">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电话：</w:t>
      </w:r>
      <w:r>
        <w:rPr>
          <w:rFonts w:hint="eastAsia" w:ascii="宋体" w:hAnsi="宋体" w:eastAsia="宋体" w:cs="Times New Roman"/>
          <w:snapToGrid/>
          <w:kern w:val="0"/>
          <w:sz w:val="22"/>
          <w:szCs w:val="22"/>
          <w:highlight w:val="none"/>
          <w:u w:val="single"/>
          <w:lang w:val="en-US" w:eastAsia="zh-CN" w:bidi="ar-SA"/>
        </w:rPr>
        <w:t xml:space="preserve">                              </w:t>
      </w:r>
    </w:p>
    <w:p w14:paraId="1AD188FB">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传真：</w:t>
      </w:r>
      <w:r>
        <w:rPr>
          <w:rFonts w:hint="eastAsia" w:ascii="宋体" w:hAnsi="宋体" w:eastAsia="宋体" w:cs="Times New Roman"/>
          <w:snapToGrid/>
          <w:kern w:val="0"/>
          <w:sz w:val="22"/>
          <w:szCs w:val="22"/>
          <w:highlight w:val="none"/>
          <w:u w:val="single"/>
          <w:lang w:val="en-US" w:eastAsia="zh-CN" w:bidi="ar-SA"/>
        </w:rPr>
        <w:t xml:space="preserve">                              </w:t>
      </w:r>
    </w:p>
    <w:p w14:paraId="5549894B">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hint="eastAsia"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邮政编码：</w:t>
      </w:r>
      <w:r>
        <w:rPr>
          <w:rFonts w:hint="eastAsia" w:ascii="宋体" w:hAnsi="宋体" w:eastAsia="宋体" w:cs="Times New Roman"/>
          <w:snapToGrid/>
          <w:kern w:val="0"/>
          <w:sz w:val="22"/>
          <w:szCs w:val="22"/>
          <w:highlight w:val="none"/>
          <w:u w:val="single"/>
          <w:lang w:val="en-US" w:eastAsia="zh-CN" w:bidi="ar-SA"/>
        </w:rPr>
        <w:t xml:space="preserve">                          </w:t>
      </w:r>
    </w:p>
    <w:p w14:paraId="5F124110">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hint="eastAsia" w:ascii="宋体" w:hAnsi="宋体" w:eastAsia="宋体" w:cs="Times New Roman"/>
          <w:snapToGrid/>
          <w:kern w:val="0"/>
          <w:sz w:val="22"/>
          <w:szCs w:val="22"/>
          <w:highlight w:val="none"/>
          <w:u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Times New Roman"/>
          <w:snapToGrid/>
          <w:kern w:val="0"/>
          <w:sz w:val="22"/>
          <w:szCs w:val="22"/>
          <w:highlight w:val="none"/>
          <w:u w:val="none"/>
          <w:lang w:val="en-US" w:eastAsia="zh-CN" w:bidi="ar-SA"/>
        </w:rPr>
        <w:t>日期：</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年</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月</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日</w:t>
      </w:r>
    </w:p>
    <w:p w14:paraId="2F0DEB7B">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格式2：</w:t>
      </w:r>
    </w:p>
    <w:p w14:paraId="2FB57A06">
      <w:pPr>
        <w:widowControl w:val="0"/>
        <w:kinsoku/>
        <w:autoSpaceDE/>
        <w:autoSpaceDN/>
        <w:adjustRightInd w:val="0"/>
        <w:snapToGrid w:val="0"/>
        <w:spacing w:after="160" w:line="360" w:lineRule="auto"/>
        <w:jc w:val="center"/>
        <w:textAlignment w:val="auto"/>
        <w:outlineLvl w:val="9"/>
        <w:rPr>
          <w:rFonts w:ascii="黑体" w:hAnsi="宋体" w:eastAsia="黑体" w:cs="Times New Roman"/>
          <w:snapToGrid/>
          <w:kern w:val="0"/>
          <w:sz w:val="28"/>
          <w:szCs w:val="28"/>
          <w:highlight w:val="none"/>
          <w:lang w:val="en-US" w:eastAsia="zh-CN" w:bidi="ar-SA"/>
        </w:rPr>
      </w:pPr>
      <w:r>
        <w:rPr>
          <w:rFonts w:hint="eastAsia" w:ascii="黑体" w:hAnsi="宋体" w:eastAsia="黑体" w:cs="Times New Roman"/>
          <w:snapToGrid/>
          <w:kern w:val="0"/>
          <w:sz w:val="28"/>
          <w:szCs w:val="28"/>
          <w:highlight w:val="none"/>
          <w:lang w:val="en-US" w:eastAsia="zh-CN" w:bidi="ar-SA"/>
        </w:rPr>
        <w:t>法定代表人身份证明</w:t>
      </w:r>
    </w:p>
    <w:p w14:paraId="5E997961">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供应商：</w:t>
      </w:r>
      <w:r>
        <w:rPr>
          <w:rFonts w:ascii="宋体" w:hAnsi="宋体" w:eastAsia="宋体" w:cs="Times New Roman"/>
          <w:snapToGrid/>
          <w:kern w:val="0"/>
          <w:sz w:val="22"/>
          <w:szCs w:val="22"/>
          <w:highlight w:val="none"/>
          <w:u w:val="none"/>
          <w:lang w:val="en-US" w:eastAsia="zh-CN" w:bidi="ar-SA"/>
        </w:rPr>
        <w:t>_____________________________________</w:t>
      </w:r>
    </w:p>
    <w:p w14:paraId="12EAE630">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单位性质：</w:t>
      </w:r>
      <w:r>
        <w:rPr>
          <w:rFonts w:ascii="宋体" w:hAnsi="宋体" w:eastAsia="宋体" w:cs="Times New Roman"/>
          <w:snapToGrid/>
          <w:kern w:val="0"/>
          <w:sz w:val="22"/>
          <w:szCs w:val="22"/>
          <w:highlight w:val="none"/>
          <w:u w:val="none"/>
          <w:lang w:val="en-US" w:eastAsia="zh-CN" w:bidi="ar-SA"/>
        </w:rPr>
        <w:t>___________________________________</w:t>
      </w:r>
    </w:p>
    <w:p w14:paraId="0744F4B9">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地址：</w:t>
      </w:r>
      <w:r>
        <w:rPr>
          <w:rFonts w:ascii="宋体" w:hAnsi="宋体" w:eastAsia="宋体" w:cs="Times New Roman"/>
          <w:snapToGrid/>
          <w:kern w:val="0"/>
          <w:sz w:val="22"/>
          <w:szCs w:val="22"/>
          <w:highlight w:val="none"/>
          <w:u w:val="none"/>
          <w:lang w:val="en-US" w:eastAsia="zh-CN" w:bidi="ar-SA"/>
        </w:rPr>
        <w:t>_______________________________________</w:t>
      </w:r>
    </w:p>
    <w:p w14:paraId="14783173">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成立时间：</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年</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月</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日</w:t>
      </w:r>
    </w:p>
    <w:p w14:paraId="3125991C">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经营期限：</w:t>
      </w:r>
      <w:r>
        <w:rPr>
          <w:rFonts w:ascii="宋体" w:hAnsi="宋体" w:eastAsia="宋体" w:cs="Times New Roman"/>
          <w:snapToGrid/>
          <w:kern w:val="0"/>
          <w:sz w:val="22"/>
          <w:szCs w:val="22"/>
          <w:highlight w:val="none"/>
          <w:u w:val="none"/>
          <w:lang w:val="en-US" w:eastAsia="zh-CN" w:bidi="ar-SA"/>
        </w:rPr>
        <w:t>____________________________________</w:t>
      </w:r>
    </w:p>
    <w:p w14:paraId="470B01E3">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姓名：</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性别：</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年龄：</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职务：</w:t>
      </w:r>
      <w:r>
        <w:rPr>
          <w:rFonts w:ascii="宋体" w:hAnsi="宋体" w:eastAsia="宋体" w:cs="Times New Roman"/>
          <w:snapToGrid/>
          <w:kern w:val="0"/>
          <w:sz w:val="22"/>
          <w:szCs w:val="22"/>
          <w:highlight w:val="none"/>
          <w:u w:val="none"/>
          <w:lang w:val="en-US" w:eastAsia="zh-CN" w:bidi="ar-SA"/>
        </w:rPr>
        <w:t>________</w:t>
      </w:r>
    </w:p>
    <w:p w14:paraId="31272441">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系</w:t>
      </w:r>
      <w:r>
        <w:rPr>
          <w:rFonts w:ascii="宋体" w:hAnsi="宋体" w:eastAsia="宋体" w:cs="Times New Roman"/>
          <w:snapToGrid/>
          <w:kern w:val="0"/>
          <w:sz w:val="22"/>
          <w:szCs w:val="22"/>
          <w:highlight w:val="none"/>
          <w:u w:val="none"/>
          <w:lang w:val="en-US" w:eastAsia="zh-CN" w:bidi="ar-SA"/>
        </w:rPr>
        <w:t>_________________________</w:t>
      </w:r>
      <w:r>
        <w:rPr>
          <w:rFonts w:hint="eastAsia" w:ascii="宋体" w:hAnsi="宋体" w:eastAsia="宋体" w:cs="Times New Roman"/>
          <w:snapToGrid/>
          <w:kern w:val="0"/>
          <w:sz w:val="22"/>
          <w:szCs w:val="22"/>
          <w:highlight w:val="none"/>
          <w:u w:val="none"/>
          <w:lang w:val="en-US" w:eastAsia="zh-CN" w:bidi="ar-SA"/>
        </w:rPr>
        <w:t>（供应商名称）的法定代表人。</w:t>
      </w:r>
    </w:p>
    <w:p w14:paraId="3B73B615">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特此证明。</w:t>
      </w:r>
    </w:p>
    <w:p w14:paraId="3E77E074">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p>
    <w:p w14:paraId="26B68C87">
      <w:pPr>
        <w:keepNext w:val="0"/>
        <w:keepLines w:val="0"/>
        <w:pageBreakBefore w:val="0"/>
        <w:widowControl w:val="0"/>
        <w:kinsoku/>
        <w:wordWrap/>
        <w:overflowPunct/>
        <w:topLinePunct w:val="0"/>
        <w:autoSpaceDE/>
        <w:autoSpaceDN/>
        <w:bidi w:val="0"/>
        <w:adjustRightInd w:val="0"/>
        <w:snapToGrid w:val="0"/>
        <w:spacing w:after="160" w:line="360" w:lineRule="auto"/>
        <w:ind w:firstLine="2200" w:firstLineChars="100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u w:val="none"/>
          <w:lang w:val="en-US" w:eastAsia="zh-CN" w:bidi="ar-SA"/>
        </w:rPr>
        <w:t>供应商：______________（</w:t>
      </w:r>
      <w:r>
        <w:rPr>
          <w:rFonts w:hint="eastAsia" w:ascii="宋体" w:hAnsi="宋体" w:eastAsia="宋体" w:cs="Times New Roman"/>
          <w:snapToGrid w:val="0"/>
          <w:kern w:val="0"/>
          <w:sz w:val="22"/>
          <w:szCs w:val="22"/>
          <w:lang w:val="zh-CN" w:eastAsia="zh-CN" w:bidi="ar-SA"/>
        </w:rPr>
        <w:t>加盖公章</w:t>
      </w:r>
      <w:r>
        <w:rPr>
          <w:rFonts w:hint="eastAsia" w:ascii="宋体" w:hAnsi="宋体" w:eastAsia="宋体" w:cs="Times New Roman"/>
          <w:snapToGrid/>
          <w:kern w:val="0"/>
          <w:sz w:val="22"/>
          <w:szCs w:val="22"/>
          <w:highlight w:val="none"/>
          <w:lang w:val="en-US" w:eastAsia="zh-CN" w:bidi="ar-SA"/>
        </w:rPr>
        <w:t>）</w:t>
      </w:r>
    </w:p>
    <w:p w14:paraId="48DD5EDE">
      <w:pPr>
        <w:keepNext w:val="0"/>
        <w:keepLines w:val="0"/>
        <w:pageBreakBefore w:val="0"/>
        <w:widowControl w:val="0"/>
        <w:kinsoku/>
        <w:wordWrap/>
        <w:overflowPunct/>
        <w:topLinePunct w:val="0"/>
        <w:autoSpaceDE/>
        <w:autoSpaceDN/>
        <w:bidi w:val="0"/>
        <w:adjustRightInd w:val="0"/>
        <w:snapToGrid w:val="0"/>
        <w:spacing w:after="160" w:line="360" w:lineRule="auto"/>
        <w:ind w:firstLine="2200" w:firstLineChars="1000"/>
        <w:jc w:val="left"/>
        <w:textAlignment w:val="auto"/>
        <w:rPr>
          <w:rFonts w:ascii="宋体" w:hAnsi="宋体" w:eastAsia="宋体" w:cs="Times New Roman"/>
          <w:snapToGrid/>
          <w:kern w:val="0"/>
          <w:sz w:val="22"/>
          <w:szCs w:val="22"/>
          <w:highlight w:val="none"/>
          <w:u w:val="none"/>
          <w:lang w:val="en-US" w:eastAsia="zh-CN" w:bidi="ar-SA"/>
        </w:rPr>
      </w:pPr>
      <w:r>
        <w:rPr>
          <w:rFonts w:ascii="宋体" w:hAnsi="宋体" w:eastAsia="宋体" w:cs="Times New Roman"/>
          <w:snapToGrid/>
          <w:kern w:val="0"/>
          <w:sz w:val="22"/>
          <w:szCs w:val="22"/>
          <w:highlight w:val="none"/>
          <w:u w:val="none"/>
          <w:lang w:val="en-US" w:eastAsia="zh-CN" w:bidi="ar-SA"/>
        </w:rPr>
        <w:t>_______</w:t>
      </w:r>
      <w:r>
        <w:rPr>
          <w:rFonts w:hint="eastAsia" w:ascii="宋体" w:hAnsi="宋体" w:eastAsia="宋体" w:cs="Times New Roman"/>
          <w:snapToGrid/>
          <w:kern w:val="0"/>
          <w:sz w:val="22"/>
          <w:szCs w:val="22"/>
          <w:highlight w:val="none"/>
          <w:u w:val="none"/>
          <w:lang w:val="en-US" w:eastAsia="zh-CN" w:bidi="ar-SA"/>
        </w:rPr>
        <w:t>年</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月</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日</w:t>
      </w:r>
    </w:p>
    <w:p w14:paraId="37E6C88D">
      <w:pPr>
        <w:widowControl w:val="0"/>
        <w:kinsoku/>
        <w:autoSpaceDE/>
        <w:autoSpaceDN/>
        <w:adjustRightInd w:val="0"/>
        <w:snapToGrid w:val="0"/>
        <w:spacing w:after="160" w:line="259" w:lineRule="auto"/>
        <w:jc w:val="both"/>
        <w:textAlignment w:val="auto"/>
        <w:outlineLvl w:val="9"/>
        <w:rPr>
          <w:rFonts w:ascii="Times New Roman" w:hAnsi="Times New Roman" w:eastAsia="宋体" w:cs="Times New Roman"/>
          <w:snapToGrid/>
          <w:kern w:val="2"/>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注：1.附法定代表人身份证扫描件。</w:t>
      </w:r>
    </w:p>
    <w:p w14:paraId="45160A78">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9"/>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sectPr>
          <w:pgSz w:w="11906" w:h="16838"/>
          <w:pgMar w:top="1417" w:right="1587" w:bottom="1417" w:left="1587" w:header="851" w:footer="992" w:gutter="0"/>
          <w:pgNumType w:fmt="decimal"/>
          <w:cols w:space="425" w:num="1"/>
          <w:docGrid w:type="lines" w:linePitch="312" w:charSpace="0"/>
        </w:sectPr>
      </w:pPr>
    </w:p>
    <w:p w14:paraId="11E2A01E">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格式3：</w:t>
      </w:r>
    </w:p>
    <w:p w14:paraId="0005DBB3">
      <w:pPr>
        <w:widowControl w:val="0"/>
        <w:kinsoku/>
        <w:autoSpaceDE/>
        <w:autoSpaceDN/>
        <w:adjustRightInd w:val="0"/>
        <w:snapToGrid w:val="0"/>
        <w:spacing w:after="160" w:line="259" w:lineRule="auto"/>
        <w:jc w:val="center"/>
        <w:textAlignment w:val="auto"/>
        <w:outlineLvl w:val="9"/>
        <w:rPr>
          <w:rFonts w:ascii="黑体" w:hAnsi="宋体" w:eastAsia="黑体" w:cs="Times New Roman"/>
          <w:snapToGrid/>
          <w:kern w:val="0"/>
          <w:sz w:val="28"/>
          <w:szCs w:val="28"/>
          <w:highlight w:val="none"/>
          <w:lang w:val="en-US" w:eastAsia="zh-CN" w:bidi="ar-SA"/>
        </w:rPr>
      </w:pPr>
      <w:r>
        <w:rPr>
          <w:rFonts w:hint="eastAsia" w:ascii="黑体" w:hAnsi="宋体" w:eastAsia="黑体" w:cs="Times New Roman"/>
          <w:snapToGrid/>
          <w:kern w:val="0"/>
          <w:sz w:val="28"/>
          <w:szCs w:val="28"/>
          <w:highlight w:val="none"/>
          <w:lang w:val="en-US" w:eastAsia="zh-CN" w:bidi="ar-SA"/>
        </w:rPr>
        <w:t>授权委托书</w:t>
      </w:r>
    </w:p>
    <w:p w14:paraId="221518F4">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本人</w:t>
      </w:r>
      <w:r>
        <w:rPr>
          <w:rFonts w:ascii="宋体" w:hAnsi="宋体" w:eastAsia="宋体" w:cs="Times New Roman"/>
          <w:snapToGrid/>
          <w:kern w:val="0"/>
          <w:sz w:val="22"/>
          <w:szCs w:val="22"/>
          <w:highlight w:val="none"/>
          <w:u w:val="none"/>
          <w:lang w:val="en-US" w:eastAsia="zh-CN" w:bidi="ar-SA"/>
        </w:rPr>
        <w:t>_________</w:t>
      </w:r>
      <w:r>
        <w:rPr>
          <w:rFonts w:hint="eastAsia" w:ascii="宋体" w:hAnsi="宋体" w:eastAsia="宋体" w:cs="Times New Roman"/>
          <w:snapToGrid/>
          <w:kern w:val="0"/>
          <w:sz w:val="22"/>
          <w:szCs w:val="22"/>
          <w:highlight w:val="none"/>
          <w:u w:val="none"/>
          <w:lang w:val="en-US" w:eastAsia="zh-CN" w:bidi="ar-SA"/>
        </w:rPr>
        <w:t>（姓名）系</w:t>
      </w:r>
      <w:r>
        <w:rPr>
          <w:rFonts w:ascii="宋体" w:hAnsi="宋体" w:eastAsia="宋体" w:cs="Times New Roman"/>
          <w:snapToGrid/>
          <w:kern w:val="0"/>
          <w:sz w:val="22"/>
          <w:szCs w:val="22"/>
          <w:highlight w:val="none"/>
          <w:u w:val="none"/>
          <w:lang w:val="en-US" w:eastAsia="zh-CN" w:bidi="ar-SA"/>
        </w:rPr>
        <w:t>______________________</w:t>
      </w:r>
      <w:r>
        <w:rPr>
          <w:rFonts w:hint="eastAsia" w:ascii="宋体" w:hAnsi="宋体" w:eastAsia="宋体" w:cs="Times New Roman"/>
          <w:snapToGrid/>
          <w:kern w:val="0"/>
          <w:sz w:val="22"/>
          <w:szCs w:val="22"/>
          <w:highlight w:val="none"/>
          <w:u w:val="none"/>
          <w:lang w:val="en-US" w:eastAsia="zh-CN" w:bidi="ar-SA"/>
        </w:rPr>
        <w:t>（供应商名称）的法定代表人，现委托</w:t>
      </w:r>
      <w:r>
        <w:rPr>
          <w:rFonts w:ascii="宋体" w:hAnsi="宋体" w:eastAsia="宋体" w:cs="Times New Roman"/>
          <w:snapToGrid/>
          <w:kern w:val="0"/>
          <w:sz w:val="22"/>
          <w:szCs w:val="22"/>
          <w:highlight w:val="none"/>
          <w:u w:val="none"/>
          <w:lang w:val="en-US" w:eastAsia="zh-CN" w:bidi="ar-SA"/>
        </w:rPr>
        <w:t>_________</w:t>
      </w:r>
      <w:r>
        <w:rPr>
          <w:rFonts w:hint="eastAsia" w:ascii="宋体" w:hAnsi="宋体" w:eastAsia="宋体" w:cs="Times New Roman"/>
          <w:snapToGrid/>
          <w:kern w:val="0"/>
          <w:sz w:val="22"/>
          <w:szCs w:val="22"/>
          <w:highlight w:val="none"/>
          <w:u w:val="none"/>
          <w:lang w:val="en-US" w:eastAsia="zh-CN" w:bidi="ar-SA"/>
        </w:rPr>
        <w:t>（姓名）为我方代理人。代理人根据授权，以我方名义签署、澄清、说明、补正、递交、撤回、修改</w:t>
      </w:r>
      <w:r>
        <w:rPr>
          <w:rFonts w:ascii="宋体" w:hAnsi="宋体" w:eastAsia="宋体" w:cs="Times New Roman"/>
          <w:snapToGrid/>
          <w:kern w:val="0"/>
          <w:sz w:val="22"/>
          <w:szCs w:val="22"/>
          <w:highlight w:val="none"/>
          <w:u w:val="none"/>
          <w:lang w:val="en-US" w:eastAsia="zh-CN" w:bidi="ar-SA"/>
        </w:rPr>
        <w:t>_____________________</w:t>
      </w:r>
      <w:r>
        <w:rPr>
          <w:rFonts w:hint="eastAsia" w:ascii="宋体" w:hAnsi="宋体" w:eastAsia="宋体" w:cs="Times New Roman"/>
          <w:snapToGrid/>
          <w:kern w:val="0"/>
          <w:sz w:val="22"/>
          <w:szCs w:val="22"/>
          <w:highlight w:val="none"/>
          <w:u w:val="none"/>
          <w:lang w:val="en-US" w:eastAsia="zh-CN" w:bidi="ar-SA"/>
        </w:rPr>
        <w:t>（项目名称）投标文件、签订合同和处理有关事宜，其法律后果由我方承担。</w:t>
      </w:r>
    </w:p>
    <w:p w14:paraId="610D25F3">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委托期限：</w:t>
      </w:r>
      <w:r>
        <w:rPr>
          <w:rFonts w:ascii="宋体" w:hAnsi="宋体" w:eastAsia="宋体" w:cs="Times New Roman"/>
          <w:snapToGrid/>
          <w:kern w:val="0"/>
          <w:sz w:val="22"/>
          <w:szCs w:val="22"/>
          <w:highlight w:val="none"/>
          <w:u w:val="none"/>
          <w:lang w:val="en-US" w:eastAsia="zh-CN" w:bidi="ar-SA"/>
        </w:rPr>
        <w:t>_________________________________</w:t>
      </w:r>
      <w:r>
        <w:rPr>
          <w:rFonts w:hint="eastAsia" w:ascii="宋体" w:hAnsi="宋体" w:eastAsia="宋体" w:cs="Times New Roman"/>
          <w:snapToGrid/>
          <w:kern w:val="0"/>
          <w:sz w:val="22"/>
          <w:szCs w:val="22"/>
          <w:highlight w:val="none"/>
          <w:u w:val="none"/>
          <w:lang w:val="en-US" w:eastAsia="zh-CN" w:bidi="ar-SA"/>
        </w:rPr>
        <w:t>。</w:t>
      </w:r>
    </w:p>
    <w:p w14:paraId="6ACAA05D">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代理人无转委托权。</w:t>
      </w:r>
    </w:p>
    <w:p w14:paraId="095DF8D6">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附：法定代表人身份证明</w:t>
      </w:r>
    </w:p>
    <w:p w14:paraId="5D4B790A">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hint="eastAsia" w:ascii="宋体" w:hAnsi="宋体" w:eastAsia="宋体" w:cs="Times New Roman"/>
          <w:snapToGrid/>
          <w:kern w:val="0"/>
          <w:sz w:val="22"/>
          <w:szCs w:val="22"/>
          <w:highlight w:val="none"/>
          <w:u w:val="none"/>
          <w:lang w:val="en-US" w:eastAsia="zh-CN" w:bidi="ar-SA"/>
        </w:rPr>
      </w:pPr>
    </w:p>
    <w:p w14:paraId="2FD75E84">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供应商名称：</w:t>
      </w:r>
      <w:r>
        <w:rPr>
          <w:rFonts w:ascii="宋体" w:hAnsi="宋体" w:eastAsia="宋体" w:cs="Times New Roman"/>
          <w:snapToGrid/>
          <w:kern w:val="0"/>
          <w:sz w:val="22"/>
          <w:szCs w:val="22"/>
          <w:highlight w:val="none"/>
          <w:u w:val="none"/>
          <w:lang w:val="en-US" w:eastAsia="zh-CN" w:bidi="ar-SA"/>
        </w:rPr>
        <w:t>___________________</w:t>
      </w:r>
      <w:r>
        <w:rPr>
          <w:rFonts w:hint="eastAsia" w:ascii="宋体" w:hAnsi="宋体" w:eastAsia="宋体" w:cs="Times New Roman"/>
          <w:snapToGrid/>
          <w:kern w:val="0"/>
          <w:sz w:val="22"/>
          <w:szCs w:val="22"/>
          <w:highlight w:val="none"/>
          <w:u w:val="none"/>
          <w:lang w:val="en-US" w:eastAsia="zh-CN" w:bidi="ar-SA"/>
        </w:rPr>
        <w:t>（</w:t>
      </w:r>
      <w:r>
        <w:rPr>
          <w:rFonts w:hint="eastAsia" w:ascii="宋体" w:hAnsi="宋体" w:eastAsia="宋体" w:cs="Times New Roman"/>
          <w:snapToGrid w:val="0"/>
          <w:kern w:val="0"/>
          <w:sz w:val="22"/>
          <w:szCs w:val="22"/>
          <w:lang w:val="zh-CN" w:eastAsia="zh-CN" w:bidi="ar-SA"/>
        </w:rPr>
        <w:t>加盖公章</w:t>
      </w:r>
      <w:r>
        <w:rPr>
          <w:rFonts w:hint="eastAsia" w:ascii="宋体" w:hAnsi="宋体" w:eastAsia="宋体" w:cs="Times New Roman"/>
          <w:snapToGrid/>
          <w:kern w:val="0"/>
          <w:sz w:val="22"/>
          <w:szCs w:val="22"/>
          <w:highlight w:val="none"/>
          <w:u w:val="none"/>
          <w:lang w:val="en-US" w:eastAsia="zh-CN" w:bidi="ar-SA"/>
        </w:rPr>
        <w:t>）</w:t>
      </w:r>
    </w:p>
    <w:p w14:paraId="1300598C">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法定代表人：</w:t>
      </w:r>
      <w:r>
        <w:rPr>
          <w:rFonts w:ascii="宋体" w:hAnsi="宋体" w:eastAsia="宋体" w:cs="Times New Roman"/>
          <w:snapToGrid/>
          <w:kern w:val="0"/>
          <w:sz w:val="22"/>
          <w:szCs w:val="22"/>
          <w:highlight w:val="none"/>
          <w:u w:val="none"/>
          <w:lang w:val="en-US" w:eastAsia="zh-CN" w:bidi="ar-SA"/>
        </w:rPr>
        <w:t>__________________</w:t>
      </w:r>
      <w:r>
        <w:rPr>
          <w:rFonts w:hint="eastAsia" w:ascii="宋体" w:hAnsi="宋体" w:eastAsia="宋体" w:cs="Times New Roman"/>
          <w:snapToGrid/>
          <w:kern w:val="0"/>
          <w:sz w:val="22"/>
          <w:szCs w:val="22"/>
          <w:highlight w:val="none"/>
          <w:u w:val="none"/>
          <w:lang w:val="en-US" w:eastAsia="zh-CN" w:bidi="ar-SA"/>
        </w:rPr>
        <w:t>_（签字或盖章）</w:t>
      </w:r>
    </w:p>
    <w:p w14:paraId="3DB5C0A9">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身份证号码：</w:t>
      </w:r>
      <w:r>
        <w:rPr>
          <w:rFonts w:ascii="宋体" w:hAnsi="宋体" w:eastAsia="宋体" w:cs="Times New Roman"/>
          <w:snapToGrid/>
          <w:kern w:val="0"/>
          <w:sz w:val="22"/>
          <w:szCs w:val="22"/>
          <w:highlight w:val="none"/>
          <w:u w:val="none"/>
          <w:lang w:val="en-US" w:eastAsia="zh-CN" w:bidi="ar-SA"/>
        </w:rPr>
        <w:t>______________________________</w:t>
      </w:r>
    </w:p>
    <w:p w14:paraId="65C28644">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委托代理人：</w:t>
      </w:r>
      <w:r>
        <w:rPr>
          <w:rFonts w:ascii="宋体" w:hAnsi="宋体" w:eastAsia="宋体" w:cs="Times New Roman"/>
          <w:snapToGrid/>
          <w:kern w:val="0"/>
          <w:sz w:val="22"/>
          <w:szCs w:val="22"/>
          <w:highlight w:val="none"/>
          <w:u w:val="none"/>
          <w:lang w:val="en-US" w:eastAsia="zh-CN" w:bidi="ar-SA"/>
        </w:rPr>
        <w:t>____________________</w:t>
      </w:r>
      <w:r>
        <w:rPr>
          <w:rFonts w:hint="eastAsia" w:ascii="宋体" w:hAnsi="宋体" w:eastAsia="宋体" w:cs="Times New Roman"/>
          <w:snapToGrid/>
          <w:kern w:val="0"/>
          <w:sz w:val="22"/>
          <w:szCs w:val="22"/>
          <w:highlight w:val="none"/>
          <w:u w:val="none"/>
          <w:lang w:val="en-US" w:eastAsia="zh-CN" w:bidi="ar-SA"/>
        </w:rPr>
        <w:t>（签字）</w:t>
      </w:r>
    </w:p>
    <w:p w14:paraId="6C97F226">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身份证号码：</w:t>
      </w:r>
      <w:r>
        <w:rPr>
          <w:rFonts w:ascii="宋体" w:hAnsi="宋体" w:eastAsia="宋体" w:cs="Times New Roman"/>
          <w:snapToGrid/>
          <w:kern w:val="0"/>
          <w:sz w:val="22"/>
          <w:szCs w:val="22"/>
          <w:highlight w:val="none"/>
          <w:u w:val="none"/>
          <w:lang w:val="en-US" w:eastAsia="zh-CN" w:bidi="ar-SA"/>
        </w:rPr>
        <w:t>_______________________________</w:t>
      </w:r>
    </w:p>
    <w:p w14:paraId="55B629AE">
      <w:pPr>
        <w:widowControl w:val="0"/>
        <w:kinsoku/>
        <w:autoSpaceDE/>
        <w:autoSpaceDN/>
        <w:adjustRightInd w:val="0"/>
        <w:snapToGrid w:val="0"/>
        <w:spacing w:after="160" w:line="360" w:lineRule="auto"/>
        <w:ind w:firstLine="5500" w:firstLineChars="2500"/>
        <w:jc w:val="left"/>
        <w:textAlignment w:val="auto"/>
        <w:rPr>
          <w:rFonts w:ascii="宋体" w:hAnsi="宋体" w:eastAsia="宋体" w:cs="Times New Roman"/>
          <w:snapToGrid/>
          <w:kern w:val="0"/>
          <w:sz w:val="22"/>
          <w:szCs w:val="22"/>
          <w:highlight w:val="none"/>
          <w:u w:val="none"/>
          <w:lang w:val="en-US" w:eastAsia="zh-CN" w:bidi="ar-SA"/>
        </w:rPr>
      </w:pPr>
    </w:p>
    <w:p w14:paraId="0E7FCE0E">
      <w:pPr>
        <w:widowControl w:val="0"/>
        <w:kinsoku/>
        <w:autoSpaceDE/>
        <w:autoSpaceDN/>
        <w:adjustRightInd w:val="0"/>
        <w:snapToGrid w:val="0"/>
        <w:spacing w:after="160" w:line="360" w:lineRule="auto"/>
        <w:ind w:firstLine="4620" w:firstLineChars="21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日期：</w:t>
      </w:r>
      <w:r>
        <w:rPr>
          <w:rFonts w:ascii="宋体" w:hAnsi="宋体" w:eastAsia="宋体" w:cs="Times New Roman"/>
          <w:snapToGrid/>
          <w:kern w:val="0"/>
          <w:sz w:val="22"/>
          <w:szCs w:val="22"/>
          <w:highlight w:val="none"/>
          <w:u w:val="none"/>
          <w:lang w:val="en-US" w:eastAsia="zh-CN" w:bidi="ar-SA"/>
        </w:rPr>
        <w:t>_______</w:t>
      </w:r>
      <w:r>
        <w:rPr>
          <w:rFonts w:hint="eastAsia" w:ascii="宋体" w:hAnsi="宋体" w:eastAsia="宋体" w:cs="Times New Roman"/>
          <w:snapToGrid/>
          <w:kern w:val="0"/>
          <w:sz w:val="22"/>
          <w:szCs w:val="22"/>
          <w:highlight w:val="none"/>
          <w:u w:val="none"/>
          <w:lang w:val="en-US" w:eastAsia="zh-CN" w:bidi="ar-SA"/>
        </w:rPr>
        <w:t>年</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月</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日</w:t>
      </w:r>
    </w:p>
    <w:p w14:paraId="18C588D6">
      <w:pPr>
        <w:keepNext w:val="0"/>
        <w:keepLines w:val="0"/>
        <w:pageBreakBefore w:val="0"/>
        <w:widowControl w:val="0"/>
        <w:kinsoku/>
        <w:wordWrap/>
        <w:overflowPunct/>
        <w:topLinePunct w:val="0"/>
        <w:autoSpaceDE/>
        <w:autoSpaceDN/>
        <w:bidi w:val="0"/>
        <w:adjustRightInd w:val="0"/>
        <w:snapToGrid w:val="0"/>
        <w:spacing w:after="160" w:line="240" w:lineRule="auto"/>
        <w:jc w:val="left"/>
        <w:textAlignment w:val="auto"/>
        <w:outlineLvl w:val="9"/>
        <w:rPr>
          <w:rFonts w:hint="eastAsia" w:ascii="宋体" w:hAnsi="宋体" w:eastAsia="宋体" w:cs="Times New Roman"/>
          <w:snapToGrid/>
          <w:kern w:val="0"/>
          <w:sz w:val="22"/>
          <w:szCs w:val="22"/>
          <w:highlight w:val="none"/>
          <w:u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Times New Roman"/>
          <w:snapToGrid/>
          <w:kern w:val="0"/>
          <w:sz w:val="22"/>
          <w:szCs w:val="22"/>
          <w:highlight w:val="none"/>
          <w:lang w:val="en-US" w:eastAsia="zh-CN" w:bidi="ar-SA"/>
        </w:rPr>
        <w:t>注：1.以联合体形式投标的，本授权委托书应由联合体牵头人的法定代表人按上述规定进行签章。</w:t>
      </w:r>
    </w:p>
    <w:p w14:paraId="09BF9E8D">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格式4：</w:t>
      </w:r>
    </w:p>
    <w:p w14:paraId="15EBD5AE">
      <w:pPr>
        <w:widowControl w:val="0"/>
        <w:kinsoku/>
        <w:autoSpaceDE/>
        <w:autoSpaceDN/>
        <w:adjustRightInd w:val="0"/>
        <w:snapToGrid w:val="0"/>
        <w:spacing w:after="160" w:line="259" w:lineRule="auto"/>
        <w:jc w:val="center"/>
        <w:textAlignment w:val="auto"/>
        <w:outlineLvl w:val="9"/>
        <w:rPr>
          <w:rFonts w:hint="eastAsia" w:ascii="黑体" w:hAnsi="宋体" w:eastAsia="黑体" w:cs="Times New Roman"/>
          <w:snapToGrid/>
          <w:kern w:val="0"/>
          <w:sz w:val="28"/>
          <w:szCs w:val="28"/>
          <w:highlight w:val="none"/>
          <w:lang w:val="en-US" w:eastAsia="zh-CN" w:bidi="ar-SA"/>
        </w:rPr>
      </w:pPr>
      <w:r>
        <w:rPr>
          <w:rFonts w:hint="eastAsia" w:ascii="黑体" w:hAnsi="宋体" w:eastAsia="黑体" w:cs="Times New Roman"/>
          <w:snapToGrid/>
          <w:kern w:val="0"/>
          <w:sz w:val="28"/>
          <w:szCs w:val="28"/>
          <w:highlight w:val="none"/>
          <w:lang w:val="en-US" w:eastAsia="zh-CN" w:bidi="ar-SA"/>
        </w:rPr>
        <w:t>商务要求偏离表</w:t>
      </w:r>
    </w:p>
    <w:p w14:paraId="6DD41AE0">
      <w:pPr>
        <w:widowControl w:val="0"/>
        <w:kinsoku/>
        <w:autoSpaceDE/>
        <w:autoSpaceDN/>
        <w:adjustRightInd/>
        <w:snapToGrid/>
        <w:spacing w:line="360" w:lineRule="auto"/>
        <w:ind w:firstLine="440" w:firstLineChars="200"/>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供应商应逐条对应</w:t>
      </w:r>
      <w:r>
        <w:rPr>
          <w:rFonts w:hint="eastAsia" w:ascii="宋体" w:hAnsi="宋体" w:eastAsia="宋体" w:cs="宋体"/>
          <w:b/>
          <w:bCs/>
          <w:snapToGrid/>
          <w:color w:val="auto"/>
          <w:kern w:val="2"/>
          <w:sz w:val="22"/>
          <w:szCs w:val="22"/>
          <w:highlight w:val="none"/>
          <w:lang w:val="en-US" w:eastAsia="zh-CN" w:bidi="ar-SA"/>
        </w:rPr>
        <w:t>竞争性磋商文件第五章《采购需求》</w:t>
      </w:r>
      <w:r>
        <w:rPr>
          <w:rFonts w:hint="eastAsia" w:ascii="宋体" w:hAnsi="宋体" w:eastAsia="宋体" w:cs="宋体"/>
          <w:b w:val="0"/>
          <w:bCs w:val="0"/>
          <w:snapToGrid/>
          <w:color w:val="auto"/>
          <w:kern w:val="2"/>
          <w:sz w:val="22"/>
          <w:szCs w:val="22"/>
          <w:highlight w:val="none"/>
          <w:lang w:val="en-US" w:eastAsia="zh-CN" w:bidi="ar-SA"/>
        </w:rPr>
        <w:t>中</w:t>
      </w:r>
      <w:r>
        <w:rPr>
          <w:rFonts w:hint="eastAsia" w:ascii="宋体" w:hAnsi="宋体" w:eastAsia="宋体" w:cs="宋体"/>
          <w:snapToGrid/>
          <w:color w:val="auto"/>
          <w:kern w:val="2"/>
          <w:sz w:val="22"/>
          <w:szCs w:val="22"/>
          <w:highlight w:val="none"/>
          <w:lang w:val="en-US" w:eastAsia="zh-CN" w:bidi="ar-SA"/>
        </w:rPr>
        <w:t>包括工期、建设地点、质量要求等内容，并根据实际响应情况如实填写本表格。</w:t>
      </w:r>
    </w:p>
    <w:p w14:paraId="1F43B9CC">
      <w:pPr>
        <w:widowControl w:val="0"/>
        <w:kinsoku/>
        <w:autoSpaceDE/>
        <w:autoSpaceDN/>
        <w:adjustRightInd/>
        <w:snapToGrid/>
        <w:spacing w:line="240" w:lineRule="auto"/>
        <w:jc w:val="both"/>
        <w:textAlignment w:val="auto"/>
        <w:rPr>
          <w:rFonts w:hint="eastAsia" w:ascii="Times New Roman" w:hAnsi="宋体" w:eastAsia="宋体" w:cs="Times New Roman"/>
          <w:b w:val="0"/>
          <w:bCs/>
          <w:snapToGrid/>
          <w:color w:val="auto"/>
          <w:kern w:val="2"/>
          <w:sz w:val="22"/>
          <w:szCs w:val="22"/>
          <w:highlight w:val="none"/>
          <w:lang w:val="en-US" w:eastAsia="zh-CN" w:bidi="ar-SA"/>
        </w:rPr>
      </w:pPr>
    </w:p>
    <w:p w14:paraId="576FA217">
      <w:pPr>
        <w:widowControl w:val="0"/>
        <w:kinsoku/>
        <w:autoSpaceDE/>
        <w:autoSpaceDN/>
        <w:adjustRightInd/>
        <w:snapToGrid/>
        <w:spacing w:line="240" w:lineRule="auto"/>
        <w:jc w:val="both"/>
        <w:textAlignment w:val="auto"/>
        <w:rPr>
          <w:rFonts w:ascii="Times New Roman" w:hAnsi="宋体" w:eastAsia="宋体" w:cs="Times New Roman"/>
          <w:b w:val="0"/>
          <w:bCs/>
          <w:snapToGrid/>
          <w:color w:val="auto"/>
          <w:kern w:val="2"/>
          <w:sz w:val="22"/>
          <w:szCs w:val="22"/>
          <w:highlight w:val="none"/>
          <w:lang w:val="en-US" w:eastAsia="zh-CN" w:bidi="ar-SA"/>
        </w:rPr>
      </w:pPr>
      <w:r>
        <w:rPr>
          <w:rFonts w:hint="eastAsia" w:ascii="Times New Roman" w:hAnsi="宋体" w:eastAsia="宋体" w:cs="Times New Roman"/>
          <w:b w:val="0"/>
          <w:bCs/>
          <w:snapToGrid/>
          <w:color w:val="auto"/>
          <w:kern w:val="2"/>
          <w:sz w:val="22"/>
          <w:szCs w:val="22"/>
          <w:highlight w:val="none"/>
          <w:lang w:val="en-US" w:eastAsia="zh-CN" w:bidi="ar-SA"/>
        </w:rPr>
        <w:t xml:space="preserve">项目名称：     </w:t>
      </w:r>
    </w:p>
    <w:p w14:paraId="79CDE128">
      <w:pPr>
        <w:widowControl w:val="0"/>
        <w:kinsoku/>
        <w:autoSpaceDE/>
        <w:autoSpaceDN/>
        <w:adjustRightInd/>
        <w:snapToGrid/>
        <w:spacing w:line="240" w:lineRule="auto"/>
        <w:jc w:val="both"/>
        <w:textAlignment w:val="auto"/>
        <w:rPr>
          <w:rFonts w:ascii="Times New Roman" w:hAnsi="宋体" w:eastAsia="宋体" w:cs="Times New Roman"/>
          <w:b w:val="0"/>
          <w:bCs/>
          <w:snapToGrid/>
          <w:color w:val="auto"/>
          <w:kern w:val="2"/>
          <w:sz w:val="22"/>
          <w:szCs w:val="22"/>
          <w:highlight w:val="none"/>
          <w:lang w:val="en-US" w:eastAsia="zh-CN" w:bidi="ar-SA"/>
        </w:rPr>
      </w:pPr>
      <w:r>
        <w:rPr>
          <w:rFonts w:hint="eastAsia" w:ascii="Times New Roman" w:hAnsi="宋体" w:eastAsia="宋体" w:cs="Times New Roman"/>
          <w:b w:val="0"/>
          <w:bCs/>
          <w:snapToGrid/>
          <w:color w:val="auto"/>
          <w:kern w:val="2"/>
          <w:sz w:val="22"/>
          <w:szCs w:val="22"/>
          <w:highlight w:val="none"/>
          <w:lang w:val="en-US" w:eastAsia="zh-CN" w:bidi="ar-SA"/>
        </w:rPr>
        <w:t>项目编号：</w:t>
      </w:r>
    </w:p>
    <w:tbl>
      <w:tblPr>
        <w:tblStyle w:val="7"/>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3543"/>
        <w:gridCol w:w="3119"/>
        <w:gridCol w:w="2048"/>
      </w:tblGrid>
      <w:tr w14:paraId="0D5A8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01" w:type="dxa"/>
            <w:vAlign w:val="center"/>
          </w:tcPr>
          <w:p w14:paraId="715A4CDF">
            <w:pPr>
              <w:widowControl w:val="0"/>
              <w:autoSpaceDE w:val="0"/>
              <w:autoSpaceDN w:val="0"/>
              <w:adjustRightInd w:val="0"/>
              <w:jc w:val="center"/>
              <w:rPr>
                <w:rFonts w:ascii="宋体" w:hAnsi="宋体" w:eastAsia="宋体" w:cs="Times New Roman"/>
                <w:b/>
                <w:color w:val="auto"/>
                <w:kern w:val="0"/>
                <w:sz w:val="22"/>
                <w:szCs w:val="22"/>
                <w:highlight w:val="none"/>
                <w:lang w:val="en-US" w:eastAsia="zh-CN" w:bidi="ar-SA"/>
              </w:rPr>
            </w:pPr>
            <w:r>
              <w:rPr>
                <w:rFonts w:hint="eastAsia" w:ascii="宋体" w:hAnsi="宋体" w:eastAsia="宋体" w:cs="Times New Roman"/>
                <w:b/>
                <w:color w:val="auto"/>
                <w:kern w:val="0"/>
                <w:sz w:val="22"/>
                <w:szCs w:val="22"/>
                <w:highlight w:val="none"/>
                <w:lang w:val="en-US" w:eastAsia="zh-CN" w:bidi="ar-SA"/>
              </w:rPr>
              <w:t>序号</w:t>
            </w:r>
          </w:p>
        </w:tc>
        <w:tc>
          <w:tcPr>
            <w:tcW w:w="3543" w:type="dxa"/>
            <w:vAlign w:val="center"/>
          </w:tcPr>
          <w:p w14:paraId="2CDD60B8">
            <w:pPr>
              <w:widowControl w:val="0"/>
              <w:autoSpaceDE w:val="0"/>
              <w:autoSpaceDN w:val="0"/>
              <w:adjustRightInd w:val="0"/>
              <w:jc w:val="center"/>
              <w:rPr>
                <w:rFonts w:ascii="宋体" w:hAnsi="宋体" w:eastAsia="宋体" w:cs="Times New Roman"/>
                <w:b/>
                <w:color w:val="auto"/>
                <w:kern w:val="0"/>
                <w:sz w:val="22"/>
                <w:szCs w:val="22"/>
                <w:highlight w:val="none"/>
                <w:lang w:val="en-US" w:eastAsia="zh-CN" w:bidi="ar-SA"/>
              </w:rPr>
            </w:pPr>
            <w:r>
              <w:rPr>
                <w:rFonts w:hint="eastAsia" w:ascii="宋体" w:hAnsi="宋体" w:eastAsia="宋体" w:cs="Times New Roman"/>
                <w:b/>
                <w:color w:val="auto"/>
                <w:kern w:val="0"/>
                <w:sz w:val="22"/>
                <w:szCs w:val="22"/>
                <w:highlight w:val="none"/>
                <w:lang w:val="en-US" w:eastAsia="zh-CN" w:bidi="ar-SA"/>
              </w:rPr>
              <w:t>竞争性磋商文件商务要求</w:t>
            </w:r>
          </w:p>
        </w:tc>
        <w:tc>
          <w:tcPr>
            <w:tcW w:w="3119" w:type="dxa"/>
            <w:vAlign w:val="center"/>
          </w:tcPr>
          <w:p w14:paraId="72B666CF">
            <w:pPr>
              <w:widowControl w:val="0"/>
              <w:autoSpaceDE w:val="0"/>
              <w:autoSpaceDN w:val="0"/>
              <w:adjustRightInd w:val="0"/>
              <w:jc w:val="center"/>
              <w:rPr>
                <w:rFonts w:ascii="宋体" w:hAnsi="宋体" w:eastAsia="宋体" w:cs="Times New Roman"/>
                <w:b/>
                <w:color w:val="auto"/>
                <w:kern w:val="0"/>
                <w:sz w:val="22"/>
                <w:szCs w:val="22"/>
                <w:highlight w:val="none"/>
                <w:lang w:val="en-US" w:eastAsia="zh-CN" w:bidi="ar-SA"/>
              </w:rPr>
            </w:pPr>
            <w:r>
              <w:rPr>
                <w:rFonts w:hint="eastAsia" w:ascii="宋体" w:hAnsi="宋体" w:eastAsia="宋体" w:cs="Times New Roman"/>
                <w:b/>
                <w:color w:val="auto"/>
                <w:kern w:val="0"/>
                <w:sz w:val="22"/>
                <w:szCs w:val="22"/>
                <w:highlight w:val="none"/>
                <w:lang w:val="en-US" w:eastAsia="zh-CN" w:bidi="ar-SA"/>
              </w:rPr>
              <w:t>响应文件响应情况</w:t>
            </w:r>
          </w:p>
        </w:tc>
        <w:tc>
          <w:tcPr>
            <w:tcW w:w="2048" w:type="dxa"/>
            <w:vAlign w:val="center"/>
          </w:tcPr>
          <w:p w14:paraId="52AABBAE">
            <w:pPr>
              <w:widowControl w:val="0"/>
              <w:autoSpaceDE w:val="0"/>
              <w:autoSpaceDN w:val="0"/>
              <w:adjustRightInd w:val="0"/>
              <w:jc w:val="center"/>
              <w:rPr>
                <w:rFonts w:ascii="宋体" w:hAnsi="宋体" w:eastAsia="宋体" w:cs="Times New Roman"/>
                <w:b/>
                <w:color w:val="auto"/>
                <w:kern w:val="0"/>
                <w:sz w:val="22"/>
                <w:szCs w:val="22"/>
                <w:highlight w:val="none"/>
                <w:lang w:val="en-US" w:eastAsia="zh-CN" w:bidi="ar-SA"/>
              </w:rPr>
            </w:pPr>
            <w:r>
              <w:rPr>
                <w:rFonts w:hint="eastAsia" w:ascii="宋体" w:hAnsi="宋体" w:eastAsia="宋体" w:cs="Times New Roman"/>
                <w:b/>
                <w:color w:val="auto"/>
                <w:kern w:val="0"/>
                <w:sz w:val="22"/>
                <w:szCs w:val="22"/>
                <w:highlight w:val="none"/>
                <w:lang w:val="en-US" w:eastAsia="zh-CN" w:bidi="ar-SA"/>
              </w:rPr>
              <w:t>偏离</w:t>
            </w:r>
          </w:p>
        </w:tc>
      </w:tr>
      <w:tr w14:paraId="0405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01" w:type="dxa"/>
          </w:tcPr>
          <w:p w14:paraId="5F4E2E8F">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543" w:type="dxa"/>
          </w:tcPr>
          <w:p w14:paraId="6365BD62">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119" w:type="dxa"/>
          </w:tcPr>
          <w:p w14:paraId="62FA74C9">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2048" w:type="dxa"/>
          </w:tcPr>
          <w:p w14:paraId="77B3FCBD">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r>
      <w:tr w14:paraId="6B96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01" w:type="dxa"/>
          </w:tcPr>
          <w:p w14:paraId="66072612">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543" w:type="dxa"/>
          </w:tcPr>
          <w:p w14:paraId="63AB141A">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119" w:type="dxa"/>
          </w:tcPr>
          <w:p w14:paraId="2914CEF8">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2048" w:type="dxa"/>
          </w:tcPr>
          <w:p w14:paraId="57E2D917">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r>
      <w:tr w14:paraId="45FFA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01" w:type="dxa"/>
          </w:tcPr>
          <w:p w14:paraId="542B80FA">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543" w:type="dxa"/>
          </w:tcPr>
          <w:p w14:paraId="730EA65A">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119" w:type="dxa"/>
          </w:tcPr>
          <w:p w14:paraId="0AC83586">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2048" w:type="dxa"/>
          </w:tcPr>
          <w:p w14:paraId="430E9104">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r>
    </w:tbl>
    <w:p w14:paraId="200367DD">
      <w:pPr>
        <w:widowControl w:val="0"/>
        <w:autoSpaceDE w:val="0"/>
        <w:autoSpaceDN w:val="0"/>
        <w:adjustRightInd w:val="0"/>
        <w:spacing w:line="360" w:lineRule="auto"/>
        <w:jc w:val="left"/>
        <w:rPr>
          <w:rFonts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注：</w:t>
      </w:r>
    </w:p>
    <w:p w14:paraId="5D673295">
      <w:pPr>
        <w:widowControl w:val="0"/>
        <w:autoSpaceDE w:val="0"/>
        <w:autoSpaceDN w:val="0"/>
        <w:adjustRightInd w:val="0"/>
        <w:spacing w:line="360" w:lineRule="auto"/>
        <w:jc w:val="left"/>
        <w:rPr>
          <w:rFonts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1.</w:t>
      </w:r>
      <w:r>
        <w:rPr>
          <w:rFonts w:hint="eastAsia" w:ascii="宋体" w:hAnsi="宋体" w:eastAsia="宋体" w:cs="宋体"/>
          <w:bCs/>
          <w:color w:val="auto"/>
          <w:kern w:val="0"/>
          <w:sz w:val="22"/>
          <w:szCs w:val="22"/>
          <w:highlight w:val="none"/>
          <w:lang w:val="en-US" w:eastAsia="zh-CN" w:bidi="ar-SA"/>
        </w:rPr>
        <w:t>供应商根据竞争性磋商文件第五章《采购需求》的要求作出全面、真实的反映，技术规范、要求逐条对应答复，</w:t>
      </w:r>
      <w:r>
        <w:rPr>
          <w:rFonts w:hint="eastAsia" w:ascii="宋体" w:hAnsi="宋体" w:eastAsia="宋体" w:cs="宋体"/>
          <w:color w:val="auto"/>
          <w:kern w:val="0"/>
          <w:sz w:val="22"/>
          <w:szCs w:val="22"/>
          <w:highlight w:val="none"/>
          <w:lang w:val="en-US" w:eastAsia="zh-CN" w:bidi="ar-SA"/>
        </w:rPr>
        <w:t>并在“响应文件响应情况”一列中写明详细情况</w:t>
      </w:r>
      <w:r>
        <w:rPr>
          <w:rFonts w:hint="eastAsia" w:ascii="宋体" w:hAnsi="宋体" w:eastAsia="宋体" w:cs="宋体"/>
          <w:bCs/>
          <w:color w:val="auto"/>
          <w:kern w:val="0"/>
          <w:sz w:val="22"/>
          <w:szCs w:val="22"/>
          <w:highlight w:val="none"/>
          <w:lang w:val="en-US" w:eastAsia="zh-CN" w:bidi="ar-SA"/>
        </w:rPr>
        <w:t>，诸如“已知”、“理解”、“满足”或“同意”等非明确的答复是不可接受的。响应文件应以中文应答（英文文本或缩略语需提供中文翻译或注释）。供应商除如实填写商务要求偏离表外，响应文件中提供最新的证明材料。</w:t>
      </w:r>
    </w:p>
    <w:p w14:paraId="7EDD5353">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bCs/>
          <w:snapToGrid/>
          <w:color w:val="auto"/>
          <w:kern w:val="2"/>
          <w:sz w:val="22"/>
          <w:szCs w:val="22"/>
          <w:highlight w:val="none"/>
          <w:lang w:val="en-US" w:eastAsia="zh-CN" w:bidi="ar-SA"/>
        </w:rPr>
        <w:t>2.</w:t>
      </w:r>
      <w:r>
        <w:rPr>
          <w:rFonts w:hint="eastAsia" w:ascii="宋体" w:hAnsi="宋体" w:eastAsia="宋体" w:cs="宋体"/>
          <w:snapToGrid/>
          <w:color w:val="auto"/>
          <w:kern w:val="2"/>
          <w:sz w:val="22"/>
          <w:szCs w:val="22"/>
          <w:highlight w:val="none"/>
          <w:lang w:val="en-US" w:eastAsia="zh-CN" w:bidi="ar-SA"/>
        </w:rPr>
        <w:t>表格中“偏离”一列，供应商只能如实填写“正偏离”、“负偏离”或“无偏离”。凡响应情况高于竞争性磋商文件要求的，按“正偏离”填写；低于竞争性磋商文件要求的，按“负偏离”填写；满足竞争性磋商文件要求的，按“无偏离”填写。</w:t>
      </w:r>
    </w:p>
    <w:p w14:paraId="2455F12D">
      <w:pPr>
        <w:keepNext w:val="0"/>
        <w:keepLines w:val="0"/>
        <w:pageBreakBefore w:val="0"/>
        <w:widowControl w:val="0"/>
        <w:kinsoku/>
        <w:wordWrap/>
        <w:overflowPunct/>
        <w:topLinePunct w:val="0"/>
        <w:autoSpaceDE/>
        <w:autoSpaceDN/>
        <w:bidi w:val="0"/>
        <w:adjustRightInd w:val="0"/>
        <w:snapToGrid w:val="0"/>
        <w:spacing w:after="160" w:line="240" w:lineRule="auto"/>
        <w:jc w:val="left"/>
        <w:textAlignment w:val="auto"/>
        <w:outlineLvl w:val="9"/>
        <w:rPr>
          <w:rFonts w:hint="eastAsia" w:ascii="宋体" w:hAnsi="宋体" w:eastAsia="宋体" w:cs="Times New Roman"/>
          <w:snapToGrid/>
          <w:kern w:val="0"/>
          <w:sz w:val="24"/>
          <w:szCs w:val="24"/>
          <w:highlight w:val="none"/>
          <w:u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3202FA09">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bookmarkStart w:id="965" w:name="_Toc19275"/>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格式5：</w:t>
      </w:r>
    </w:p>
    <w:bookmarkEnd w:id="965"/>
    <w:p w14:paraId="19E0ACCB">
      <w:pPr>
        <w:widowControl w:val="0"/>
        <w:kinsoku/>
        <w:autoSpaceDE/>
        <w:autoSpaceDN/>
        <w:adjustRightInd/>
        <w:snapToGrid/>
        <w:spacing w:line="360" w:lineRule="auto"/>
        <w:jc w:val="center"/>
        <w:textAlignment w:val="auto"/>
        <w:rPr>
          <w:rFonts w:ascii="宋体" w:hAnsi="Times New Roman" w:eastAsia="宋体" w:cs="Times New Roman"/>
          <w:b/>
          <w:bCs/>
          <w:snapToGrid/>
          <w:color w:val="auto"/>
          <w:kern w:val="2"/>
          <w:sz w:val="32"/>
          <w:szCs w:val="32"/>
          <w:highlight w:val="none"/>
          <w:lang w:val="en-US" w:eastAsia="zh-CN" w:bidi="ar-SA"/>
        </w:rPr>
      </w:pPr>
      <w:r>
        <w:rPr>
          <w:rFonts w:hint="eastAsia" w:ascii="宋体" w:hAnsi="Times New Roman" w:eastAsia="宋体" w:cs="Times New Roman"/>
          <w:b/>
          <w:bCs/>
          <w:snapToGrid/>
          <w:color w:val="auto"/>
          <w:kern w:val="2"/>
          <w:sz w:val="32"/>
          <w:szCs w:val="32"/>
          <w:highlight w:val="none"/>
          <w:lang w:val="en-US" w:eastAsia="zh-CN" w:bidi="ar-SA"/>
        </w:rPr>
        <w:t>业绩列表</w:t>
      </w:r>
    </w:p>
    <w:p w14:paraId="102B419D">
      <w:pPr>
        <w:widowControl w:val="0"/>
        <w:kinsoku/>
        <w:autoSpaceDE/>
        <w:autoSpaceDN/>
        <w:adjustRightInd/>
        <w:snapToGrid/>
        <w:spacing w:line="240" w:lineRule="auto"/>
        <w:jc w:val="both"/>
        <w:textAlignment w:val="auto"/>
        <w:rPr>
          <w:rFonts w:ascii="宋体" w:hAnsi="宋体" w:eastAsia="宋体" w:cs="Times New Roman"/>
          <w:snapToGrid/>
          <w:color w:val="auto"/>
          <w:kern w:val="2"/>
          <w:szCs w:val="24"/>
          <w:highlight w:val="none"/>
          <w:lang w:val="en-US" w:eastAsia="zh-CN" w:bidi="ar-SA"/>
        </w:rPr>
      </w:pPr>
    </w:p>
    <w:tbl>
      <w:tblPr>
        <w:tblStyle w:val="7"/>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48"/>
        <w:gridCol w:w="1624"/>
        <w:gridCol w:w="1741"/>
        <w:gridCol w:w="1071"/>
        <w:gridCol w:w="1324"/>
        <w:gridCol w:w="1159"/>
        <w:gridCol w:w="1110"/>
      </w:tblGrid>
      <w:tr w14:paraId="7A9B6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23" w:hRule="atLeast"/>
          <w:jc w:val="center"/>
        </w:trPr>
        <w:tc>
          <w:tcPr>
            <w:tcW w:w="948" w:type="dxa"/>
            <w:vAlign w:val="center"/>
          </w:tcPr>
          <w:p w14:paraId="6C008D96">
            <w:pPr>
              <w:widowControl w:val="0"/>
              <w:kinsoku/>
              <w:autoSpaceDE/>
              <w:autoSpaceDN/>
              <w:adjustRightInd/>
              <w:snapToGrid/>
              <w:spacing w:line="360" w:lineRule="auto"/>
              <w:jc w:val="center"/>
              <w:textAlignment w:val="auto"/>
              <w:rPr>
                <w:rFonts w:ascii="宋体" w:hAnsi="宋体" w:eastAsia="宋体" w:cs="Times New Roman"/>
                <w:snapToGrid/>
                <w:color w:val="auto"/>
                <w:kern w:val="2"/>
                <w:sz w:val="22"/>
                <w:szCs w:val="22"/>
                <w:highlight w:val="none"/>
                <w:lang w:val="en-US" w:eastAsia="zh-CN" w:bidi="ar-SA"/>
              </w:rPr>
            </w:pPr>
            <w:r>
              <w:rPr>
                <w:rFonts w:ascii="宋体" w:hAnsi="宋体" w:eastAsia="宋体" w:cs="Times New Roman"/>
                <w:snapToGrid/>
                <w:color w:val="auto"/>
                <w:kern w:val="2"/>
                <w:sz w:val="22"/>
                <w:szCs w:val="22"/>
                <w:highlight w:val="none"/>
                <w:lang w:val="en-US" w:eastAsia="zh-CN" w:bidi="ar-SA"/>
              </w:rPr>
              <w:t>序号</w:t>
            </w:r>
          </w:p>
        </w:tc>
        <w:tc>
          <w:tcPr>
            <w:tcW w:w="1624" w:type="dxa"/>
            <w:vAlign w:val="center"/>
          </w:tcPr>
          <w:p w14:paraId="7D4C21DD">
            <w:pPr>
              <w:widowControl w:val="0"/>
              <w:kinsoku/>
              <w:autoSpaceDE/>
              <w:autoSpaceDN/>
              <w:adjustRightInd/>
              <w:snapToGrid/>
              <w:spacing w:line="360" w:lineRule="auto"/>
              <w:jc w:val="center"/>
              <w:textAlignment w:val="auto"/>
              <w:rPr>
                <w:rFonts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项目名称</w:t>
            </w:r>
          </w:p>
        </w:tc>
        <w:tc>
          <w:tcPr>
            <w:tcW w:w="1741" w:type="dxa"/>
            <w:vAlign w:val="center"/>
          </w:tcPr>
          <w:p w14:paraId="1FB79F27">
            <w:pPr>
              <w:widowControl w:val="0"/>
              <w:kinsoku/>
              <w:autoSpaceDE/>
              <w:autoSpaceDN/>
              <w:adjustRightInd/>
              <w:snapToGrid/>
              <w:spacing w:line="360" w:lineRule="auto"/>
              <w:jc w:val="center"/>
              <w:textAlignment w:val="auto"/>
              <w:rPr>
                <w:rFonts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采购人</w:t>
            </w:r>
          </w:p>
        </w:tc>
        <w:tc>
          <w:tcPr>
            <w:tcW w:w="1071" w:type="dxa"/>
            <w:vAlign w:val="center"/>
          </w:tcPr>
          <w:p w14:paraId="31E6787F">
            <w:pPr>
              <w:widowControl w:val="0"/>
              <w:kinsoku/>
              <w:autoSpaceDE/>
              <w:autoSpaceDN/>
              <w:adjustRightInd/>
              <w:snapToGrid/>
              <w:spacing w:line="360" w:lineRule="auto"/>
              <w:jc w:val="center"/>
              <w:textAlignment w:val="auto"/>
              <w:rPr>
                <w:rFonts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金额</w:t>
            </w:r>
          </w:p>
        </w:tc>
        <w:tc>
          <w:tcPr>
            <w:tcW w:w="1324" w:type="dxa"/>
            <w:vAlign w:val="center"/>
          </w:tcPr>
          <w:p w14:paraId="08905C81">
            <w:pPr>
              <w:widowControl w:val="0"/>
              <w:kinsoku/>
              <w:autoSpaceDE/>
              <w:autoSpaceDN/>
              <w:adjustRightInd/>
              <w:snapToGrid/>
              <w:spacing w:line="360" w:lineRule="auto"/>
              <w:jc w:val="center"/>
              <w:textAlignment w:val="auto"/>
              <w:rPr>
                <w:rFonts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联系人</w:t>
            </w:r>
          </w:p>
        </w:tc>
        <w:tc>
          <w:tcPr>
            <w:tcW w:w="1159" w:type="dxa"/>
            <w:vAlign w:val="center"/>
          </w:tcPr>
          <w:p w14:paraId="77410AB3">
            <w:pPr>
              <w:widowControl w:val="0"/>
              <w:kinsoku/>
              <w:autoSpaceDE/>
              <w:autoSpaceDN/>
              <w:adjustRightInd/>
              <w:snapToGrid/>
              <w:spacing w:line="360" w:lineRule="auto"/>
              <w:jc w:val="center"/>
              <w:textAlignment w:val="auto"/>
              <w:rPr>
                <w:rFonts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电话</w:t>
            </w:r>
          </w:p>
        </w:tc>
        <w:tc>
          <w:tcPr>
            <w:tcW w:w="1110" w:type="dxa"/>
            <w:vAlign w:val="center"/>
          </w:tcPr>
          <w:p w14:paraId="19D62FF0">
            <w:pPr>
              <w:widowControl w:val="0"/>
              <w:kinsoku/>
              <w:autoSpaceDE/>
              <w:autoSpaceDN/>
              <w:adjustRightInd/>
              <w:snapToGrid/>
              <w:spacing w:line="360" w:lineRule="auto"/>
              <w:jc w:val="center"/>
              <w:textAlignment w:val="auto"/>
              <w:rPr>
                <w:rFonts w:ascii="宋体" w:hAnsi="宋体" w:eastAsia="宋体" w:cs="Times New Roman"/>
                <w:snapToGrid/>
                <w:color w:val="auto"/>
                <w:kern w:val="2"/>
                <w:sz w:val="22"/>
                <w:szCs w:val="22"/>
                <w:highlight w:val="none"/>
                <w:lang w:val="en-US" w:eastAsia="zh-CN" w:bidi="ar-SA"/>
              </w:rPr>
            </w:pPr>
            <w:r>
              <w:rPr>
                <w:rFonts w:ascii="宋体" w:hAnsi="宋体" w:eastAsia="宋体" w:cs="Times New Roman"/>
                <w:snapToGrid/>
                <w:color w:val="auto"/>
                <w:kern w:val="2"/>
                <w:sz w:val="22"/>
                <w:szCs w:val="22"/>
                <w:highlight w:val="none"/>
                <w:lang w:val="en-US" w:eastAsia="zh-CN" w:bidi="ar-SA"/>
              </w:rPr>
              <w:t>备注</w:t>
            </w:r>
          </w:p>
        </w:tc>
      </w:tr>
      <w:tr w14:paraId="2D449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23" w:hRule="atLeast"/>
          <w:jc w:val="center"/>
        </w:trPr>
        <w:tc>
          <w:tcPr>
            <w:tcW w:w="948" w:type="dxa"/>
          </w:tcPr>
          <w:p w14:paraId="562E7E8F">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624" w:type="dxa"/>
          </w:tcPr>
          <w:p w14:paraId="035B8268">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741" w:type="dxa"/>
          </w:tcPr>
          <w:p w14:paraId="4482C6AC">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071" w:type="dxa"/>
          </w:tcPr>
          <w:p w14:paraId="3912DDAE">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324" w:type="dxa"/>
          </w:tcPr>
          <w:p w14:paraId="7078CE32">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159" w:type="dxa"/>
          </w:tcPr>
          <w:p w14:paraId="5EC9139D">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110" w:type="dxa"/>
          </w:tcPr>
          <w:p w14:paraId="69D63466">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r>
      <w:tr w14:paraId="33D8E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23" w:hRule="atLeast"/>
          <w:jc w:val="center"/>
        </w:trPr>
        <w:tc>
          <w:tcPr>
            <w:tcW w:w="948" w:type="dxa"/>
          </w:tcPr>
          <w:p w14:paraId="0E07CCBA">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624" w:type="dxa"/>
          </w:tcPr>
          <w:p w14:paraId="46A88B51">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741" w:type="dxa"/>
          </w:tcPr>
          <w:p w14:paraId="7B1A00DF">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071" w:type="dxa"/>
          </w:tcPr>
          <w:p w14:paraId="35790A91">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324" w:type="dxa"/>
          </w:tcPr>
          <w:p w14:paraId="77D4067E">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159" w:type="dxa"/>
          </w:tcPr>
          <w:p w14:paraId="6EC49824">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110" w:type="dxa"/>
          </w:tcPr>
          <w:p w14:paraId="675827BB">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r>
      <w:tr w14:paraId="3762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68" w:hRule="atLeast"/>
          <w:jc w:val="center"/>
        </w:trPr>
        <w:tc>
          <w:tcPr>
            <w:tcW w:w="948" w:type="dxa"/>
          </w:tcPr>
          <w:p w14:paraId="70021E7A">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624" w:type="dxa"/>
          </w:tcPr>
          <w:p w14:paraId="79DB7DCC">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741" w:type="dxa"/>
          </w:tcPr>
          <w:p w14:paraId="3F5114F7">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071" w:type="dxa"/>
          </w:tcPr>
          <w:p w14:paraId="15D383C1">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324" w:type="dxa"/>
          </w:tcPr>
          <w:p w14:paraId="528D4A5C">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159" w:type="dxa"/>
          </w:tcPr>
          <w:p w14:paraId="256E9ECB">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c>
          <w:tcPr>
            <w:tcW w:w="1110" w:type="dxa"/>
          </w:tcPr>
          <w:p w14:paraId="75E16B8A">
            <w:pPr>
              <w:widowControl w:val="0"/>
              <w:kinsoku/>
              <w:autoSpaceDE/>
              <w:autoSpaceDN/>
              <w:adjustRightInd/>
              <w:snapToGrid/>
              <w:spacing w:line="360" w:lineRule="auto"/>
              <w:jc w:val="both"/>
              <w:textAlignment w:val="auto"/>
              <w:rPr>
                <w:rFonts w:ascii="宋体" w:hAnsi="宋体" w:eastAsia="宋体" w:cs="Times New Roman"/>
                <w:snapToGrid/>
                <w:color w:val="auto"/>
                <w:kern w:val="2"/>
                <w:szCs w:val="21"/>
                <w:highlight w:val="none"/>
                <w:lang w:val="en-US" w:eastAsia="zh-CN" w:bidi="ar-SA"/>
              </w:rPr>
            </w:pPr>
          </w:p>
        </w:tc>
      </w:tr>
    </w:tbl>
    <w:p w14:paraId="00F2C581">
      <w:pPr>
        <w:widowControl w:val="0"/>
        <w:kinsoku/>
        <w:autoSpaceDE/>
        <w:autoSpaceDN/>
        <w:adjustRightInd/>
        <w:snapToGrid/>
        <w:spacing w:line="240" w:lineRule="auto"/>
        <w:jc w:val="both"/>
        <w:textAlignment w:val="auto"/>
        <w:rPr>
          <w:rFonts w:ascii="Times New Roman" w:hAnsi="宋体" w:eastAsia="宋体" w:cs="Times New Roman"/>
          <w:snapToGrid/>
          <w:color w:val="auto"/>
          <w:kern w:val="2"/>
          <w:szCs w:val="21"/>
          <w:highlight w:val="none"/>
          <w:lang w:val="en-US" w:eastAsia="zh-CN" w:bidi="ar-SA"/>
        </w:rPr>
      </w:pPr>
    </w:p>
    <w:p w14:paraId="226DEAF8">
      <w:pPr>
        <w:widowControl w:val="0"/>
        <w:kinsoku/>
        <w:autoSpaceDE/>
        <w:autoSpaceDN/>
        <w:adjustRightInd w:val="0"/>
        <w:snapToGrid w:val="0"/>
        <w:spacing w:after="160" w:line="360" w:lineRule="auto"/>
        <w:ind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注：1.需提供合同协议书。</w:t>
      </w:r>
    </w:p>
    <w:p w14:paraId="52E10DE1">
      <w:pPr>
        <w:widowControl w:val="0"/>
        <w:kinsoku/>
        <w:autoSpaceDE/>
        <w:autoSpaceDN/>
        <w:adjustRightInd w:val="0"/>
        <w:snapToGrid w:val="0"/>
        <w:spacing w:after="160" w:line="360" w:lineRule="auto"/>
        <w:ind w:firstLine="880" w:firstLineChars="4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2.以联合体形式投标的，联合体各方均应提供。</w:t>
      </w:r>
    </w:p>
    <w:p w14:paraId="34D1CD8A">
      <w:pPr>
        <w:keepNext w:val="0"/>
        <w:keepLines w:val="0"/>
        <w:pageBreakBefore w:val="0"/>
        <w:widowControl w:val="0"/>
        <w:kinsoku/>
        <w:wordWrap/>
        <w:overflowPunct/>
        <w:topLinePunct w:val="0"/>
        <w:autoSpaceDE/>
        <w:autoSpaceDN/>
        <w:bidi w:val="0"/>
        <w:adjustRightInd w:val="0"/>
        <w:snapToGrid w:val="0"/>
        <w:spacing w:after="160" w:line="240" w:lineRule="auto"/>
        <w:jc w:val="left"/>
        <w:textAlignment w:val="auto"/>
        <w:outlineLvl w:val="9"/>
        <w:rPr>
          <w:rFonts w:hint="eastAsia" w:ascii="宋体" w:hAnsi="宋体" w:eastAsia="宋体" w:cs="Times New Roman"/>
          <w:snapToGrid/>
          <w:kern w:val="0"/>
          <w:sz w:val="24"/>
          <w:szCs w:val="24"/>
          <w:highlight w:val="none"/>
          <w:u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75374EAF">
      <w:pPr>
        <w:widowControl w:val="0"/>
        <w:kinsoku/>
        <w:autoSpaceDE/>
        <w:autoSpaceDN/>
        <w:adjustRightInd w:val="0"/>
        <w:snapToGrid w:val="0"/>
        <w:spacing w:after="160" w:line="259" w:lineRule="auto"/>
        <w:jc w:val="both"/>
        <w:textAlignment w:val="auto"/>
        <w:outlineLvl w:val="2"/>
        <w:rPr>
          <w:rFonts w:hint="default"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格式6：</w:t>
      </w:r>
    </w:p>
    <w:p w14:paraId="7D82E4A8">
      <w:pPr>
        <w:widowControl w:val="0"/>
        <w:kinsoku/>
        <w:autoSpaceDE/>
        <w:autoSpaceDN/>
        <w:adjustRightInd w:val="0"/>
        <w:snapToGrid w:val="0"/>
        <w:spacing w:after="160" w:line="259" w:lineRule="auto"/>
        <w:jc w:val="center"/>
        <w:textAlignment w:val="auto"/>
        <w:outlineLvl w:val="9"/>
        <w:rPr>
          <w:rFonts w:hint="default" w:ascii="黑体" w:hAnsi="Times New Roman" w:eastAsia="黑体" w:cs="Times New Roman"/>
          <w:snapToGrid/>
          <w:kern w:val="0"/>
          <w:sz w:val="28"/>
          <w:szCs w:val="20"/>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供应商</w:t>
      </w:r>
      <w:r>
        <w:rPr>
          <w:rFonts w:ascii="黑体" w:hAnsi="Times New Roman" w:eastAsia="黑体" w:cs="Times New Roman"/>
          <w:snapToGrid/>
          <w:kern w:val="0"/>
          <w:sz w:val="28"/>
          <w:szCs w:val="20"/>
          <w:highlight w:val="none"/>
          <w:lang w:val="en-US" w:eastAsia="zh-CN" w:bidi="ar-SA"/>
        </w:rPr>
        <w:t>基本情况表</w:t>
      </w:r>
    </w:p>
    <w:tbl>
      <w:tblPr>
        <w:tblStyle w:val="7"/>
        <w:tblW w:w="917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290"/>
        <w:gridCol w:w="895"/>
        <w:gridCol w:w="2506"/>
      </w:tblGrid>
      <w:tr w14:paraId="3CAFD2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2772" w:type="dxa"/>
            <w:gridSpan w:val="2"/>
            <w:tcBorders>
              <w:top w:val="single" w:color="auto" w:sz="12" w:space="0"/>
              <w:left w:val="single" w:color="auto" w:sz="12" w:space="0"/>
              <w:bottom w:val="single" w:color="auto" w:sz="6" w:space="0"/>
              <w:right w:val="single" w:color="auto" w:sz="4" w:space="0"/>
            </w:tcBorders>
            <w:vAlign w:val="center"/>
          </w:tcPr>
          <w:p w14:paraId="4D88BF38">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公司名称</w:t>
            </w:r>
          </w:p>
        </w:tc>
        <w:tc>
          <w:tcPr>
            <w:tcW w:w="6407" w:type="dxa"/>
            <w:gridSpan w:val="4"/>
            <w:tcBorders>
              <w:top w:val="single" w:color="auto" w:sz="12" w:space="0"/>
              <w:left w:val="single" w:color="auto" w:sz="4" w:space="0"/>
              <w:bottom w:val="single" w:color="auto" w:sz="6" w:space="0"/>
              <w:right w:val="single" w:color="auto" w:sz="12" w:space="0"/>
            </w:tcBorders>
            <w:vAlign w:val="center"/>
          </w:tcPr>
          <w:p w14:paraId="083C3F50">
            <w:pPr>
              <w:widowControl/>
              <w:kinsoku/>
              <w:autoSpaceDE/>
              <w:autoSpaceDN/>
              <w:adjustRightInd/>
              <w:snapToGrid/>
              <w:spacing w:line="240" w:lineRule="auto"/>
              <w:jc w:val="left"/>
              <w:textAlignment w:val="auto"/>
              <w:rPr>
                <w:rFonts w:ascii="宋体" w:hAnsi="宋体" w:eastAsia="宋体" w:cs="宋体"/>
                <w:snapToGrid/>
                <w:color w:val="auto"/>
                <w:kern w:val="2"/>
                <w:szCs w:val="21"/>
                <w:highlight w:val="none"/>
                <w:lang w:val="en-US" w:eastAsia="zh-CN" w:bidi="ar-SA"/>
              </w:rPr>
            </w:pPr>
          </w:p>
        </w:tc>
      </w:tr>
      <w:tr w14:paraId="6174ED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2772" w:type="dxa"/>
            <w:gridSpan w:val="2"/>
            <w:tcBorders>
              <w:top w:val="single" w:color="auto" w:sz="6" w:space="0"/>
              <w:left w:val="single" w:color="auto" w:sz="12" w:space="0"/>
              <w:bottom w:val="single" w:color="auto" w:sz="6" w:space="0"/>
              <w:right w:val="single" w:color="auto" w:sz="4" w:space="0"/>
            </w:tcBorders>
            <w:vAlign w:val="center"/>
          </w:tcPr>
          <w:p w14:paraId="094B7909">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公司地址</w:t>
            </w:r>
          </w:p>
        </w:tc>
        <w:tc>
          <w:tcPr>
            <w:tcW w:w="6407" w:type="dxa"/>
            <w:gridSpan w:val="4"/>
            <w:tcBorders>
              <w:top w:val="single" w:color="auto" w:sz="6" w:space="0"/>
              <w:left w:val="single" w:color="auto" w:sz="4" w:space="0"/>
              <w:bottom w:val="single" w:color="auto" w:sz="6" w:space="0"/>
              <w:right w:val="single" w:color="auto" w:sz="12" w:space="0"/>
            </w:tcBorders>
            <w:vAlign w:val="center"/>
          </w:tcPr>
          <w:p w14:paraId="568F82FA">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r>
      <w:tr w14:paraId="1122F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2772" w:type="dxa"/>
            <w:gridSpan w:val="2"/>
            <w:tcBorders>
              <w:top w:val="single" w:color="auto" w:sz="6" w:space="0"/>
              <w:left w:val="single" w:color="auto" w:sz="12" w:space="0"/>
              <w:bottom w:val="single" w:color="auto" w:sz="6" w:space="0"/>
              <w:right w:val="single" w:color="auto" w:sz="4" w:space="0"/>
            </w:tcBorders>
            <w:vAlign w:val="center"/>
          </w:tcPr>
          <w:p w14:paraId="198E3244">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公司性质</w:t>
            </w:r>
          </w:p>
        </w:tc>
        <w:tc>
          <w:tcPr>
            <w:tcW w:w="1716" w:type="dxa"/>
            <w:tcBorders>
              <w:top w:val="single" w:color="auto" w:sz="6" w:space="0"/>
              <w:left w:val="single" w:color="auto" w:sz="4" w:space="0"/>
              <w:bottom w:val="single" w:color="auto" w:sz="6" w:space="0"/>
              <w:right w:val="single" w:color="auto" w:sz="4" w:space="0"/>
            </w:tcBorders>
            <w:vAlign w:val="center"/>
          </w:tcPr>
          <w:p w14:paraId="080B2029">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c>
          <w:tcPr>
            <w:tcW w:w="2185" w:type="dxa"/>
            <w:gridSpan w:val="2"/>
            <w:tcBorders>
              <w:top w:val="single" w:color="auto" w:sz="6" w:space="0"/>
              <w:left w:val="single" w:color="auto" w:sz="4" w:space="0"/>
              <w:bottom w:val="single" w:color="auto" w:sz="6" w:space="0"/>
              <w:right w:val="single" w:color="auto" w:sz="4" w:space="0"/>
            </w:tcBorders>
            <w:vAlign w:val="center"/>
          </w:tcPr>
          <w:p w14:paraId="7196A308">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公司类型</w:t>
            </w:r>
          </w:p>
        </w:tc>
        <w:tc>
          <w:tcPr>
            <w:tcW w:w="2506" w:type="dxa"/>
            <w:tcBorders>
              <w:top w:val="single" w:color="auto" w:sz="6" w:space="0"/>
              <w:left w:val="single" w:color="auto" w:sz="4" w:space="0"/>
              <w:bottom w:val="single" w:color="auto" w:sz="6" w:space="0"/>
              <w:right w:val="single" w:color="auto" w:sz="12" w:space="0"/>
            </w:tcBorders>
            <w:vAlign w:val="center"/>
          </w:tcPr>
          <w:p w14:paraId="58C278DC">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r>
      <w:tr w14:paraId="3EAF0A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2772" w:type="dxa"/>
            <w:gridSpan w:val="2"/>
            <w:tcBorders>
              <w:top w:val="single" w:color="auto" w:sz="6" w:space="0"/>
              <w:left w:val="single" w:color="auto" w:sz="12" w:space="0"/>
              <w:bottom w:val="single" w:color="auto" w:sz="6" w:space="0"/>
              <w:right w:val="single" w:color="auto" w:sz="6" w:space="0"/>
            </w:tcBorders>
            <w:vAlign w:val="center"/>
          </w:tcPr>
          <w:p w14:paraId="33B3C409">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法定代表人</w:t>
            </w:r>
          </w:p>
        </w:tc>
        <w:tc>
          <w:tcPr>
            <w:tcW w:w="1716" w:type="dxa"/>
            <w:tcBorders>
              <w:top w:val="single" w:color="auto" w:sz="6" w:space="0"/>
              <w:left w:val="single" w:color="auto" w:sz="6" w:space="0"/>
              <w:bottom w:val="single" w:color="auto" w:sz="6" w:space="0"/>
              <w:right w:val="single" w:color="auto" w:sz="6" w:space="0"/>
            </w:tcBorders>
            <w:vAlign w:val="center"/>
          </w:tcPr>
          <w:p w14:paraId="716298E7">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c>
          <w:tcPr>
            <w:tcW w:w="2185" w:type="dxa"/>
            <w:gridSpan w:val="2"/>
            <w:tcBorders>
              <w:top w:val="single" w:color="auto" w:sz="6" w:space="0"/>
              <w:left w:val="single" w:color="auto" w:sz="6" w:space="0"/>
              <w:bottom w:val="single" w:color="auto" w:sz="6" w:space="0"/>
              <w:right w:val="single" w:color="auto" w:sz="4" w:space="0"/>
            </w:tcBorders>
            <w:vAlign w:val="center"/>
          </w:tcPr>
          <w:p w14:paraId="4710B1EA">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注册资金</w:t>
            </w:r>
          </w:p>
        </w:tc>
        <w:tc>
          <w:tcPr>
            <w:tcW w:w="2506" w:type="dxa"/>
            <w:tcBorders>
              <w:top w:val="single" w:color="auto" w:sz="6" w:space="0"/>
              <w:left w:val="single" w:color="auto" w:sz="4" w:space="0"/>
              <w:bottom w:val="single" w:color="auto" w:sz="6" w:space="0"/>
              <w:right w:val="single" w:color="auto" w:sz="12" w:space="0"/>
            </w:tcBorders>
            <w:vAlign w:val="center"/>
          </w:tcPr>
          <w:p w14:paraId="7E5F1323">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r>
      <w:tr w14:paraId="23F5B7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2772" w:type="dxa"/>
            <w:gridSpan w:val="2"/>
            <w:vMerge w:val="restart"/>
            <w:tcBorders>
              <w:top w:val="single" w:color="auto" w:sz="6" w:space="0"/>
              <w:left w:val="single" w:color="auto" w:sz="12" w:space="0"/>
              <w:bottom w:val="single" w:color="auto" w:sz="6" w:space="0"/>
              <w:right w:val="single" w:color="auto" w:sz="6" w:space="0"/>
            </w:tcBorders>
            <w:vAlign w:val="center"/>
          </w:tcPr>
          <w:p w14:paraId="2F2F4900">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注册日期</w:t>
            </w:r>
          </w:p>
        </w:tc>
        <w:tc>
          <w:tcPr>
            <w:tcW w:w="1716" w:type="dxa"/>
            <w:vMerge w:val="restart"/>
            <w:tcBorders>
              <w:top w:val="single" w:color="auto" w:sz="6" w:space="0"/>
              <w:left w:val="single" w:color="auto" w:sz="6" w:space="0"/>
              <w:bottom w:val="single" w:color="auto" w:sz="6" w:space="0"/>
              <w:right w:val="single" w:color="auto" w:sz="6" w:space="0"/>
            </w:tcBorders>
            <w:vAlign w:val="center"/>
          </w:tcPr>
          <w:p w14:paraId="34E7EF84">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c>
          <w:tcPr>
            <w:tcW w:w="2185" w:type="dxa"/>
            <w:gridSpan w:val="2"/>
            <w:tcBorders>
              <w:top w:val="single" w:color="auto" w:sz="6" w:space="0"/>
              <w:left w:val="single" w:color="auto" w:sz="6" w:space="0"/>
              <w:bottom w:val="single" w:color="auto" w:sz="4" w:space="0"/>
              <w:right w:val="single" w:color="auto" w:sz="6" w:space="0"/>
            </w:tcBorders>
            <w:vAlign w:val="center"/>
          </w:tcPr>
          <w:p w14:paraId="4D64C318">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开户银行</w:t>
            </w:r>
          </w:p>
        </w:tc>
        <w:tc>
          <w:tcPr>
            <w:tcW w:w="2506" w:type="dxa"/>
            <w:tcBorders>
              <w:top w:val="single" w:color="auto" w:sz="6" w:space="0"/>
              <w:left w:val="single" w:color="auto" w:sz="6" w:space="0"/>
              <w:bottom w:val="single" w:color="auto" w:sz="4" w:space="0"/>
              <w:right w:val="single" w:color="auto" w:sz="12" w:space="0"/>
            </w:tcBorders>
            <w:vAlign w:val="center"/>
          </w:tcPr>
          <w:p w14:paraId="61A3CC9C">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r>
      <w:tr w14:paraId="7A88BA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2772" w:type="dxa"/>
            <w:gridSpan w:val="2"/>
            <w:vMerge w:val="continue"/>
            <w:tcBorders>
              <w:top w:val="single" w:color="auto" w:sz="6" w:space="0"/>
              <w:left w:val="single" w:color="auto" w:sz="12" w:space="0"/>
              <w:bottom w:val="single" w:color="auto" w:sz="6" w:space="0"/>
              <w:right w:val="single" w:color="auto" w:sz="6" w:space="0"/>
            </w:tcBorders>
            <w:vAlign w:val="center"/>
          </w:tcPr>
          <w:p w14:paraId="01B7E480">
            <w:pPr>
              <w:widowControl/>
              <w:kinsoku/>
              <w:autoSpaceDE/>
              <w:autoSpaceDN/>
              <w:adjustRightInd/>
              <w:snapToGrid/>
              <w:spacing w:line="240" w:lineRule="auto"/>
              <w:jc w:val="left"/>
              <w:textAlignment w:val="auto"/>
              <w:rPr>
                <w:rFonts w:ascii="宋体" w:hAnsi="宋体" w:eastAsia="宋体" w:cs="宋体"/>
                <w:snapToGrid/>
                <w:color w:val="auto"/>
                <w:kern w:val="2"/>
                <w:szCs w:val="21"/>
                <w:highlight w:val="none"/>
                <w:lang w:val="en-US" w:eastAsia="zh-CN" w:bidi="ar-SA"/>
              </w:rPr>
            </w:pPr>
          </w:p>
        </w:tc>
        <w:tc>
          <w:tcPr>
            <w:tcW w:w="1716" w:type="dxa"/>
            <w:vMerge w:val="continue"/>
            <w:tcBorders>
              <w:top w:val="single" w:color="auto" w:sz="6" w:space="0"/>
              <w:left w:val="single" w:color="auto" w:sz="6" w:space="0"/>
              <w:bottom w:val="single" w:color="auto" w:sz="6" w:space="0"/>
              <w:right w:val="single" w:color="auto" w:sz="6" w:space="0"/>
            </w:tcBorders>
            <w:vAlign w:val="center"/>
          </w:tcPr>
          <w:p w14:paraId="257EF796">
            <w:pPr>
              <w:widowControl/>
              <w:kinsoku/>
              <w:autoSpaceDE/>
              <w:autoSpaceDN/>
              <w:adjustRightInd/>
              <w:snapToGrid/>
              <w:spacing w:line="240" w:lineRule="auto"/>
              <w:jc w:val="left"/>
              <w:textAlignment w:val="auto"/>
              <w:rPr>
                <w:rFonts w:ascii="宋体" w:hAnsi="宋体" w:eastAsia="宋体" w:cs="宋体"/>
                <w:snapToGrid/>
                <w:color w:val="auto"/>
                <w:kern w:val="2"/>
                <w:szCs w:val="21"/>
                <w:highlight w:val="none"/>
                <w:lang w:val="en-US" w:eastAsia="zh-CN" w:bidi="ar-SA"/>
              </w:rPr>
            </w:pPr>
          </w:p>
        </w:tc>
        <w:tc>
          <w:tcPr>
            <w:tcW w:w="2185" w:type="dxa"/>
            <w:gridSpan w:val="2"/>
            <w:tcBorders>
              <w:top w:val="single" w:color="auto" w:sz="4" w:space="0"/>
              <w:left w:val="single" w:color="auto" w:sz="6" w:space="0"/>
              <w:bottom w:val="single" w:color="auto" w:sz="6" w:space="0"/>
              <w:right w:val="single" w:color="auto" w:sz="6" w:space="0"/>
            </w:tcBorders>
            <w:vAlign w:val="center"/>
          </w:tcPr>
          <w:p w14:paraId="69687886">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开户基本账号</w:t>
            </w:r>
          </w:p>
        </w:tc>
        <w:tc>
          <w:tcPr>
            <w:tcW w:w="2506" w:type="dxa"/>
            <w:tcBorders>
              <w:top w:val="single" w:color="auto" w:sz="4" w:space="0"/>
              <w:left w:val="single" w:color="auto" w:sz="6" w:space="0"/>
              <w:bottom w:val="single" w:color="auto" w:sz="6" w:space="0"/>
              <w:right w:val="single" w:color="auto" w:sz="12" w:space="0"/>
            </w:tcBorders>
            <w:vAlign w:val="center"/>
          </w:tcPr>
          <w:p w14:paraId="0583C08B">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r>
      <w:tr w14:paraId="5D7999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2772" w:type="dxa"/>
            <w:gridSpan w:val="2"/>
            <w:vMerge w:val="restart"/>
            <w:tcBorders>
              <w:top w:val="single" w:color="auto" w:sz="6" w:space="0"/>
              <w:left w:val="single" w:color="auto" w:sz="12" w:space="0"/>
              <w:bottom w:val="single" w:color="auto" w:sz="6" w:space="0"/>
              <w:right w:val="single" w:color="auto" w:sz="6" w:space="0"/>
            </w:tcBorders>
            <w:vAlign w:val="center"/>
          </w:tcPr>
          <w:p w14:paraId="59815B3E">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联系人</w:t>
            </w:r>
          </w:p>
        </w:tc>
        <w:tc>
          <w:tcPr>
            <w:tcW w:w="1716" w:type="dxa"/>
            <w:vMerge w:val="restart"/>
            <w:tcBorders>
              <w:top w:val="single" w:color="auto" w:sz="6" w:space="0"/>
              <w:left w:val="single" w:color="auto" w:sz="6" w:space="0"/>
              <w:bottom w:val="single" w:color="auto" w:sz="6" w:space="0"/>
              <w:right w:val="single" w:color="auto" w:sz="6" w:space="0"/>
            </w:tcBorders>
            <w:vAlign w:val="center"/>
          </w:tcPr>
          <w:p w14:paraId="5F549828">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c>
          <w:tcPr>
            <w:tcW w:w="1290" w:type="dxa"/>
            <w:vMerge w:val="restart"/>
            <w:tcBorders>
              <w:top w:val="single" w:color="auto" w:sz="6" w:space="0"/>
              <w:left w:val="single" w:color="auto" w:sz="6" w:space="0"/>
              <w:bottom w:val="single" w:color="auto" w:sz="6" w:space="0"/>
              <w:right w:val="single" w:color="auto" w:sz="6" w:space="0"/>
            </w:tcBorders>
            <w:vAlign w:val="center"/>
          </w:tcPr>
          <w:p w14:paraId="3FD9E79D">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联系电话</w:t>
            </w:r>
          </w:p>
        </w:tc>
        <w:tc>
          <w:tcPr>
            <w:tcW w:w="895" w:type="dxa"/>
            <w:tcBorders>
              <w:top w:val="single" w:color="auto" w:sz="6" w:space="0"/>
              <w:left w:val="single" w:color="auto" w:sz="6" w:space="0"/>
              <w:bottom w:val="single" w:color="auto" w:sz="6" w:space="0"/>
              <w:right w:val="single" w:color="auto" w:sz="6" w:space="0"/>
            </w:tcBorders>
            <w:vAlign w:val="center"/>
          </w:tcPr>
          <w:p w14:paraId="10C23F65">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手机</w:t>
            </w:r>
          </w:p>
        </w:tc>
        <w:tc>
          <w:tcPr>
            <w:tcW w:w="2506" w:type="dxa"/>
            <w:tcBorders>
              <w:top w:val="single" w:color="auto" w:sz="6" w:space="0"/>
              <w:left w:val="single" w:color="auto" w:sz="6" w:space="0"/>
              <w:bottom w:val="single" w:color="auto" w:sz="6" w:space="0"/>
              <w:right w:val="single" w:color="auto" w:sz="12" w:space="0"/>
            </w:tcBorders>
            <w:vAlign w:val="center"/>
          </w:tcPr>
          <w:p w14:paraId="4F78D0A7">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r>
      <w:tr w14:paraId="671D0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2772" w:type="dxa"/>
            <w:gridSpan w:val="2"/>
            <w:vMerge w:val="continue"/>
            <w:tcBorders>
              <w:top w:val="single" w:color="auto" w:sz="6" w:space="0"/>
              <w:left w:val="single" w:color="auto" w:sz="12" w:space="0"/>
              <w:bottom w:val="single" w:color="auto" w:sz="6" w:space="0"/>
              <w:right w:val="single" w:color="auto" w:sz="6" w:space="0"/>
            </w:tcBorders>
            <w:vAlign w:val="center"/>
          </w:tcPr>
          <w:p w14:paraId="52894AFF">
            <w:pPr>
              <w:widowControl/>
              <w:kinsoku/>
              <w:autoSpaceDE/>
              <w:autoSpaceDN/>
              <w:adjustRightInd/>
              <w:snapToGrid/>
              <w:spacing w:line="240" w:lineRule="auto"/>
              <w:jc w:val="left"/>
              <w:textAlignment w:val="auto"/>
              <w:rPr>
                <w:rFonts w:ascii="宋体" w:hAnsi="宋体" w:eastAsia="宋体" w:cs="宋体"/>
                <w:snapToGrid/>
                <w:color w:val="auto"/>
                <w:kern w:val="2"/>
                <w:szCs w:val="21"/>
                <w:highlight w:val="none"/>
                <w:lang w:val="en-US" w:eastAsia="zh-CN" w:bidi="ar-SA"/>
              </w:rPr>
            </w:pPr>
          </w:p>
        </w:tc>
        <w:tc>
          <w:tcPr>
            <w:tcW w:w="1716" w:type="dxa"/>
            <w:vMerge w:val="continue"/>
            <w:tcBorders>
              <w:top w:val="single" w:color="auto" w:sz="6" w:space="0"/>
              <w:left w:val="single" w:color="auto" w:sz="6" w:space="0"/>
              <w:bottom w:val="single" w:color="auto" w:sz="6" w:space="0"/>
              <w:right w:val="single" w:color="auto" w:sz="6" w:space="0"/>
            </w:tcBorders>
            <w:vAlign w:val="center"/>
          </w:tcPr>
          <w:p w14:paraId="4A0AF0F0">
            <w:pPr>
              <w:widowControl/>
              <w:kinsoku/>
              <w:autoSpaceDE/>
              <w:autoSpaceDN/>
              <w:adjustRightInd/>
              <w:snapToGrid/>
              <w:spacing w:line="240" w:lineRule="auto"/>
              <w:jc w:val="left"/>
              <w:textAlignment w:val="auto"/>
              <w:rPr>
                <w:rFonts w:ascii="宋体" w:hAnsi="宋体" w:eastAsia="宋体" w:cs="宋体"/>
                <w:snapToGrid/>
                <w:color w:val="auto"/>
                <w:kern w:val="2"/>
                <w:szCs w:val="21"/>
                <w:highlight w:val="none"/>
                <w:lang w:val="en-US" w:eastAsia="zh-CN" w:bidi="ar-SA"/>
              </w:rPr>
            </w:pPr>
          </w:p>
        </w:tc>
        <w:tc>
          <w:tcPr>
            <w:tcW w:w="1290" w:type="dxa"/>
            <w:vMerge w:val="continue"/>
            <w:tcBorders>
              <w:top w:val="single" w:color="auto" w:sz="6" w:space="0"/>
              <w:left w:val="single" w:color="auto" w:sz="6" w:space="0"/>
              <w:bottom w:val="single" w:color="auto" w:sz="6" w:space="0"/>
              <w:right w:val="single" w:color="auto" w:sz="6" w:space="0"/>
            </w:tcBorders>
            <w:vAlign w:val="center"/>
          </w:tcPr>
          <w:p w14:paraId="3EF2F162">
            <w:pPr>
              <w:widowControl/>
              <w:kinsoku/>
              <w:autoSpaceDE/>
              <w:autoSpaceDN/>
              <w:adjustRightInd/>
              <w:snapToGrid/>
              <w:spacing w:line="240" w:lineRule="auto"/>
              <w:jc w:val="left"/>
              <w:textAlignment w:val="auto"/>
              <w:rPr>
                <w:rFonts w:ascii="宋体" w:hAnsi="宋体" w:eastAsia="宋体" w:cs="宋体"/>
                <w:snapToGrid/>
                <w:color w:val="auto"/>
                <w:kern w:val="2"/>
                <w:szCs w:val="21"/>
                <w:highlight w:val="none"/>
                <w:lang w:val="en-US" w:eastAsia="zh-CN" w:bidi="ar-SA"/>
              </w:rPr>
            </w:pPr>
          </w:p>
        </w:tc>
        <w:tc>
          <w:tcPr>
            <w:tcW w:w="895" w:type="dxa"/>
            <w:tcBorders>
              <w:top w:val="single" w:color="auto" w:sz="6" w:space="0"/>
              <w:left w:val="single" w:color="auto" w:sz="6" w:space="0"/>
              <w:bottom w:val="single" w:color="auto" w:sz="6" w:space="0"/>
              <w:right w:val="single" w:color="auto" w:sz="6" w:space="0"/>
            </w:tcBorders>
            <w:vAlign w:val="center"/>
          </w:tcPr>
          <w:p w14:paraId="34407CA8">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固话</w:t>
            </w:r>
          </w:p>
        </w:tc>
        <w:tc>
          <w:tcPr>
            <w:tcW w:w="2506" w:type="dxa"/>
            <w:tcBorders>
              <w:top w:val="single" w:color="auto" w:sz="6" w:space="0"/>
              <w:left w:val="single" w:color="auto" w:sz="6" w:space="0"/>
              <w:bottom w:val="single" w:color="auto" w:sz="6" w:space="0"/>
              <w:right w:val="single" w:color="auto" w:sz="12" w:space="0"/>
            </w:tcBorders>
            <w:vAlign w:val="center"/>
          </w:tcPr>
          <w:p w14:paraId="4C6454F4">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r>
      <w:tr w14:paraId="3CFB0F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2772" w:type="dxa"/>
            <w:gridSpan w:val="2"/>
            <w:tcBorders>
              <w:top w:val="single" w:color="auto" w:sz="6" w:space="0"/>
              <w:left w:val="single" w:color="auto" w:sz="12" w:space="0"/>
              <w:bottom w:val="single" w:color="auto" w:sz="6" w:space="0"/>
              <w:right w:val="single" w:color="auto" w:sz="6" w:space="0"/>
            </w:tcBorders>
            <w:vAlign w:val="center"/>
          </w:tcPr>
          <w:p w14:paraId="2DE744EB">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联系传真</w:t>
            </w:r>
          </w:p>
        </w:tc>
        <w:tc>
          <w:tcPr>
            <w:tcW w:w="1716" w:type="dxa"/>
            <w:tcBorders>
              <w:top w:val="single" w:color="auto" w:sz="6" w:space="0"/>
              <w:left w:val="single" w:color="auto" w:sz="6" w:space="0"/>
              <w:bottom w:val="single" w:color="auto" w:sz="6" w:space="0"/>
              <w:right w:val="single" w:color="auto" w:sz="6" w:space="0"/>
            </w:tcBorders>
            <w:vAlign w:val="center"/>
          </w:tcPr>
          <w:p w14:paraId="5511F22D">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c>
          <w:tcPr>
            <w:tcW w:w="2185" w:type="dxa"/>
            <w:gridSpan w:val="2"/>
            <w:tcBorders>
              <w:top w:val="single" w:color="auto" w:sz="6" w:space="0"/>
              <w:left w:val="single" w:color="auto" w:sz="6" w:space="0"/>
              <w:bottom w:val="single" w:color="auto" w:sz="6" w:space="0"/>
              <w:right w:val="single" w:color="auto" w:sz="6" w:space="0"/>
            </w:tcBorders>
            <w:vAlign w:val="center"/>
          </w:tcPr>
          <w:p w14:paraId="773A752C">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联系邮箱</w:t>
            </w:r>
          </w:p>
        </w:tc>
        <w:tc>
          <w:tcPr>
            <w:tcW w:w="2506" w:type="dxa"/>
            <w:tcBorders>
              <w:top w:val="single" w:color="auto" w:sz="6" w:space="0"/>
              <w:left w:val="single" w:color="auto" w:sz="6" w:space="0"/>
              <w:bottom w:val="single" w:color="auto" w:sz="6" w:space="0"/>
              <w:right w:val="single" w:color="auto" w:sz="12" w:space="0"/>
            </w:tcBorders>
            <w:vAlign w:val="center"/>
          </w:tcPr>
          <w:p w14:paraId="1F1D4E34">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r>
      <w:tr w14:paraId="579628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3" w:hRule="atLeast"/>
          <w:jc w:val="center"/>
        </w:trPr>
        <w:tc>
          <w:tcPr>
            <w:tcW w:w="2772" w:type="dxa"/>
            <w:gridSpan w:val="2"/>
            <w:tcBorders>
              <w:top w:val="single" w:color="auto" w:sz="6" w:space="0"/>
              <w:left w:val="single" w:color="auto" w:sz="12" w:space="0"/>
              <w:bottom w:val="single" w:color="auto" w:sz="6" w:space="0"/>
              <w:right w:val="single" w:color="auto" w:sz="6" w:space="0"/>
            </w:tcBorders>
            <w:vAlign w:val="center"/>
          </w:tcPr>
          <w:p w14:paraId="7508ABBD">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经营范围</w:t>
            </w:r>
          </w:p>
        </w:tc>
        <w:tc>
          <w:tcPr>
            <w:tcW w:w="6407" w:type="dxa"/>
            <w:gridSpan w:val="4"/>
            <w:tcBorders>
              <w:top w:val="single" w:color="auto" w:sz="6" w:space="0"/>
              <w:left w:val="single" w:color="auto" w:sz="6" w:space="0"/>
              <w:bottom w:val="single" w:color="auto" w:sz="6" w:space="0"/>
              <w:right w:val="single" w:color="auto" w:sz="12" w:space="0"/>
            </w:tcBorders>
            <w:vAlign w:val="center"/>
          </w:tcPr>
          <w:p w14:paraId="08BD7CEE">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r>
      <w:tr w14:paraId="4017DF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2772" w:type="dxa"/>
            <w:gridSpan w:val="2"/>
            <w:tcBorders>
              <w:top w:val="single" w:color="auto" w:sz="6" w:space="0"/>
              <w:left w:val="single" w:color="auto" w:sz="12" w:space="0"/>
              <w:bottom w:val="single" w:color="auto" w:sz="6" w:space="0"/>
              <w:right w:val="single" w:color="auto" w:sz="6" w:space="0"/>
            </w:tcBorders>
            <w:vAlign w:val="center"/>
          </w:tcPr>
          <w:p w14:paraId="2209193C">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公司管理体系认证</w:t>
            </w:r>
          </w:p>
        </w:tc>
        <w:tc>
          <w:tcPr>
            <w:tcW w:w="6407" w:type="dxa"/>
            <w:gridSpan w:val="4"/>
            <w:tcBorders>
              <w:top w:val="single" w:color="auto" w:sz="6" w:space="0"/>
              <w:left w:val="single" w:color="auto" w:sz="6" w:space="0"/>
              <w:bottom w:val="single" w:color="auto" w:sz="6" w:space="0"/>
              <w:right w:val="single" w:color="auto" w:sz="12" w:space="0"/>
            </w:tcBorders>
            <w:vAlign w:val="center"/>
          </w:tcPr>
          <w:p w14:paraId="1C89BC45">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（质量、职业、环境管理体系）</w:t>
            </w:r>
          </w:p>
        </w:tc>
      </w:tr>
      <w:tr w14:paraId="39F48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34" w:hRule="atLeast"/>
          <w:jc w:val="center"/>
        </w:trPr>
        <w:tc>
          <w:tcPr>
            <w:tcW w:w="9179" w:type="dxa"/>
            <w:gridSpan w:val="6"/>
            <w:tcBorders>
              <w:top w:val="single" w:color="auto" w:sz="6" w:space="0"/>
              <w:left w:val="single" w:color="auto" w:sz="12" w:space="0"/>
              <w:bottom w:val="single" w:color="auto" w:sz="6" w:space="0"/>
              <w:right w:val="single" w:color="auto" w:sz="12" w:space="0"/>
            </w:tcBorders>
            <w:vAlign w:val="center"/>
          </w:tcPr>
          <w:p w14:paraId="197909D6">
            <w:pPr>
              <w:widowControl/>
              <w:kinsoku/>
              <w:autoSpaceDE/>
              <w:autoSpaceDN/>
              <w:adjustRightInd/>
              <w:snapToGrid/>
              <w:spacing w:line="240" w:lineRule="auto"/>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如：公司资质、经销商（生产、经营许可证、产品认证）、其它资质。</w:t>
            </w:r>
          </w:p>
        </w:tc>
      </w:tr>
      <w:tr w14:paraId="17799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1367" w:type="dxa"/>
            <w:tcBorders>
              <w:top w:val="single" w:color="auto" w:sz="6" w:space="0"/>
              <w:left w:val="single" w:color="auto" w:sz="12" w:space="0"/>
              <w:bottom w:val="single" w:color="auto" w:sz="12" w:space="0"/>
              <w:right w:val="single" w:color="auto" w:sz="6" w:space="0"/>
            </w:tcBorders>
            <w:vAlign w:val="center"/>
          </w:tcPr>
          <w:p w14:paraId="76147A90">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备注</w:t>
            </w:r>
          </w:p>
        </w:tc>
        <w:tc>
          <w:tcPr>
            <w:tcW w:w="7812" w:type="dxa"/>
            <w:gridSpan w:val="5"/>
            <w:tcBorders>
              <w:top w:val="single" w:color="auto" w:sz="6" w:space="0"/>
              <w:left w:val="single" w:color="auto" w:sz="6" w:space="0"/>
              <w:bottom w:val="single" w:color="auto" w:sz="12" w:space="0"/>
              <w:right w:val="single" w:color="auto" w:sz="12" w:space="0"/>
            </w:tcBorders>
            <w:vAlign w:val="center"/>
          </w:tcPr>
          <w:p w14:paraId="52DEFB88">
            <w:pPr>
              <w:widowControl/>
              <w:kinsoku/>
              <w:autoSpaceDE/>
              <w:autoSpaceDN/>
              <w:adjustRightInd/>
              <w:snapToGrid/>
              <w:spacing w:line="240" w:lineRule="auto"/>
              <w:jc w:val="center"/>
              <w:textAlignment w:val="auto"/>
              <w:rPr>
                <w:rFonts w:ascii="宋体" w:hAnsi="宋体" w:eastAsia="宋体" w:cs="宋体"/>
                <w:snapToGrid/>
                <w:color w:val="auto"/>
                <w:kern w:val="2"/>
                <w:szCs w:val="21"/>
                <w:highlight w:val="none"/>
                <w:lang w:val="en-US" w:eastAsia="zh-CN" w:bidi="ar-SA"/>
              </w:rPr>
            </w:pPr>
          </w:p>
        </w:tc>
      </w:tr>
    </w:tbl>
    <w:p w14:paraId="13A74C53">
      <w:pPr>
        <w:widowControl w:val="0"/>
        <w:kinsoku/>
        <w:autoSpaceDE/>
        <w:autoSpaceDN/>
        <w:adjustRightInd w:val="0"/>
        <w:snapToGrid w:val="0"/>
        <w:spacing w:after="160" w:line="259" w:lineRule="auto"/>
        <w:jc w:val="both"/>
        <w:textAlignment w:val="auto"/>
        <w:outlineLvl w:val="9"/>
        <w:rPr>
          <w:rFonts w:hint="eastAsia" w:ascii="仿宋" w:hAnsi="仿宋" w:eastAsia="仿宋" w:cs="Times New Roman"/>
          <w:snapToGrid/>
          <w:kern w:val="0"/>
          <w:sz w:val="24"/>
          <w:szCs w:val="24"/>
          <w:highlight w:val="none"/>
          <w:lang w:val="en-US" w:eastAsia="zh-CN" w:bidi="ar-SA"/>
        </w:rPr>
        <w:sectPr>
          <w:pgSz w:w="11906" w:h="16838"/>
          <w:pgMar w:top="1440" w:right="1800" w:bottom="1440" w:left="1800" w:header="851" w:footer="992" w:gutter="0"/>
          <w:pgNumType w:fmt="decimal"/>
          <w:cols w:space="425" w:num="1"/>
          <w:docGrid w:type="lines" w:linePitch="312" w:charSpace="0"/>
        </w:sectPr>
      </w:pPr>
      <w:r>
        <w:rPr>
          <w:rFonts w:ascii="仿宋" w:hAnsi="仿宋" w:eastAsia="仿宋" w:cs="Times New Roman"/>
          <w:snapToGrid/>
          <w:kern w:val="0"/>
          <w:sz w:val="24"/>
          <w:szCs w:val="24"/>
          <w:highlight w:val="none"/>
          <w:lang w:val="en-US" w:eastAsia="zh-CN" w:bidi="ar-SA"/>
        </w:rPr>
        <w:t>注：</w:t>
      </w:r>
      <w:r>
        <w:rPr>
          <w:rFonts w:hint="eastAsia" w:ascii="仿宋" w:hAnsi="仿宋" w:eastAsia="仿宋" w:cs="Times New Roman"/>
          <w:snapToGrid/>
          <w:kern w:val="0"/>
          <w:sz w:val="24"/>
          <w:szCs w:val="24"/>
          <w:highlight w:val="none"/>
          <w:lang w:val="en-US" w:eastAsia="zh-CN" w:bidi="ar-SA"/>
        </w:rPr>
        <w:t>1.供应商</w:t>
      </w:r>
      <w:r>
        <w:rPr>
          <w:rFonts w:ascii="仿宋" w:hAnsi="仿宋" w:eastAsia="仿宋" w:cs="Times New Roman"/>
          <w:snapToGrid/>
          <w:kern w:val="0"/>
          <w:sz w:val="24"/>
          <w:szCs w:val="24"/>
          <w:highlight w:val="none"/>
          <w:lang w:val="en-US" w:eastAsia="zh-CN" w:bidi="ar-SA"/>
        </w:rPr>
        <w:t>基本情况表应附</w:t>
      </w:r>
      <w:r>
        <w:rPr>
          <w:rFonts w:hint="eastAsia" w:ascii="仿宋" w:hAnsi="仿宋" w:eastAsia="仿宋" w:cs="Times New Roman"/>
          <w:snapToGrid/>
          <w:kern w:val="0"/>
          <w:sz w:val="24"/>
          <w:szCs w:val="24"/>
          <w:highlight w:val="none"/>
          <w:lang w:val="en-US" w:eastAsia="zh-CN" w:bidi="ar-SA"/>
        </w:rPr>
        <w:t>有效营业执照等</w:t>
      </w:r>
      <w:r>
        <w:rPr>
          <w:rFonts w:ascii="仿宋" w:hAnsi="仿宋" w:eastAsia="仿宋" w:cs="Times New Roman"/>
          <w:snapToGrid/>
          <w:kern w:val="0"/>
          <w:sz w:val="24"/>
          <w:szCs w:val="24"/>
          <w:highlight w:val="none"/>
          <w:lang w:val="en-US" w:eastAsia="zh-CN" w:bidi="ar-SA"/>
        </w:rPr>
        <w:t>材料</w:t>
      </w:r>
      <w:r>
        <w:rPr>
          <w:rFonts w:hint="eastAsia" w:ascii="仿宋" w:hAnsi="仿宋" w:eastAsia="仿宋" w:cs="Times New Roman"/>
          <w:snapToGrid/>
          <w:kern w:val="0"/>
          <w:sz w:val="24"/>
          <w:szCs w:val="24"/>
          <w:highlight w:val="none"/>
          <w:lang w:val="en-US" w:eastAsia="zh-CN" w:bidi="ar-SA"/>
        </w:rPr>
        <w:t>。</w:t>
      </w:r>
    </w:p>
    <w:p w14:paraId="179F171A">
      <w:pPr>
        <w:widowControl w:val="0"/>
        <w:kinsoku/>
        <w:autoSpaceDE/>
        <w:autoSpaceDN/>
        <w:adjustRightInd w:val="0"/>
        <w:snapToGrid w:val="0"/>
        <w:spacing w:after="160" w:line="259"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格式7：</w:t>
      </w:r>
    </w:p>
    <w:p w14:paraId="78D832F4">
      <w:pPr>
        <w:widowControl w:val="0"/>
        <w:kinsoku/>
        <w:autoSpaceDE w:val="0"/>
        <w:autoSpaceDN w:val="0"/>
        <w:adjustRightInd w:val="0"/>
        <w:snapToGrid/>
        <w:spacing w:line="360" w:lineRule="auto"/>
        <w:jc w:val="center"/>
        <w:textAlignment w:val="auto"/>
        <w:rPr>
          <w:rFonts w:ascii="宋体" w:hAnsi="宋体" w:eastAsia="宋体" w:cs="宋体"/>
          <w:b/>
          <w:bCs/>
          <w:snapToGrid/>
          <w:color w:val="auto"/>
          <w:kern w:val="2"/>
          <w:sz w:val="36"/>
          <w:szCs w:val="36"/>
          <w:highlight w:val="none"/>
          <w:lang w:val="en-US" w:eastAsia="zh-CN" w:bidi="ar-SA"/>
        </w:rPr>
      </w:pPr>
      <w:r>
        <w:rPr>
          <w:rFonts w:hint="eastAsia" w:ascii="宋体" w:hAnsi="宋体" w:eastAsia="宋体" w:cs="宋体"/>
          <w:b/>
          <w:bCs/>
          <w:snapToGrid/>
          <w:color w:val="auto"/>
          <w:kern w:val="2"/>
          <w:sz w:val="36"/>
          <w:szCs w:val="36"/>
          <w:highlight w:val="none"/>
          <w:lang w:val="en-US" w:eastAsia="zh-CN" w:bidi="ar-SA"/>
        </w:rPr>
        <w:t>中小企业声明函（工程）</w:t>
      </w:r>
    </w:p>
    <w:p w14:paraId="3E0965F3">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本公司（联合体）郑重声明，根据《政府采购促进中小企业发展管理办法》（财库（2020）46号）的规定，本公司（联合体）</w:t>
      </w:r>
      <w:r>
        <w:rPr>
          <w:rFonts w:hint="eastAsia" w:ascii="宋体" w:hAnsi="宋体" w:eastAsia="宋体" w:cs="宋体"/>
          <w:i w:val="0"/>
          <w:iCs w:val="0"/>
          <w:snapToGrid/>
          <w:color w:val="auto"/>
          <w:kern w:val="0"/>
          <w:sz w:val="22"/>
          <w:szCs w:val="22"/>
          <w:highlight w:val="none"/>
          <w:lang w:val="en-US" w:eastAsia="zh-CN" w:bidi="ar-SA"/>
        </w:rPr>
        <w:t>参加</w:t>
      </w:r>
      <w:r>
        <w:rPr>
          <w:rFonts w:hint="eastAsia" w:ascii="宋体" w:hAnsi="宋体" w:eastAsia="宋体" w:cs="宋体"/>
          <w:i w:val="0"/>
          <w:iCs w:val="0"/>
          <w:snapToGrid/>
          <w:color w:val="auto"/>
          <w:kern w:val="0"/>
          <w:sz w:val="22"/>
          <w:szCs w:val="22"/>
          <w:highlight w:val="none"/>
          <w:u w:val="single"/>
          <w:lang w:val="en-US" w:eastAsia="zh-CN" w:bidi="ar-SA"/>
        </w:rPr>
        <w:t>（单位名称）</w:t>
      </w:r>
      <w:r>
        <w:rPr>
          <w:rFonts w:hint="eastAsia" w:ascii="宋体" w:hAnsi="宋体" w:eastAsia="宋体" w:cs="宋体"/>
          <w:i w:val="0"/>
          <w:iCs w:val="0"/>
          <w:snapToGrid/>
          <w:color w:val="auto"/>
          <w:kern w:val="0"/>
          <w:sz w:val="22"/>
          <w:szCs w:val="22"/>
          <w:highlight w:val="none"/>
          <w:lang w:val="en-US" w:eastAsia="zh-CN" w:bidi="ar-SA"/>
        </w:rPr>
        <w:t>的</w:t>
      </w:r>
      <w:r>
        <w:rPr>
          <w:rFonts w:hint="eastAsia" w:ascii="宋体" w:hAnsi="宋体" w:eastAsia="宋体" w:cs="宋体"/>
          <w:i w:val="0"/>
          <w:iCs w:val="0"/>
          <w:snapToGrid/>
          <w:color w:val="auto"/>
          <w:kern w:val="0"/>
          <w:sz w:val="22"/>
          <w:szCs w:val="22"/>
          <w:highlight w:val="none"/>
          <w:u w:val="single"/>
          <w:lang w:val="en-US" w:eastAsia="zh-CN" w:bidi="ar-SA"/>
        </w:rPr>
        <w:t>（项目名称）</w:t>
      </w:r>
      <w:r>
        <w:rPr>
          <w:rFonts w:hint="eastAsia" w:ascii="宋体" w:hAnsi="宋体" w:eastAsia="宋体" w:cs="宋体"/>
          <w:i w:val="0"/>
          <w:iCs w:val="0"/>
          <w:snapToGrid/>
          <w:color w:val="auto"/>
          <w:kern w:val="0"/>
          <w:sz w:val="22"/>
          <w:szCs w:val="22"/>
          <w:highlight w:val="none"/>
          <w:lang w:val="en-US" w:eastAsia="zh-CN" w:bidi="ar-SA"/>
        </w:rPr>
        <w:t>采购活动，工程的施工单位全部为</w:t>
      </w:r>
      <w:r>
        <w:rPr>
          <w:rFonts w:hint="eastAsia" w:ascii="宋体" w:hAnsi="宋体" w:eastAsia="宋体" w:cs="宋体"/>
          <w:snapToGrid/>
          <w:color w:val="auto"/>
          <w:kern w:val="0"/>
          <w:sz w:val="22"/>
          <w:szCs w:val="22"/>
          <w:highlight w:val="none"/>
          <w:lang w:val="en-US" w:eastAsia="zh-CN" w:bidi="ar-SA"/>
        </w:rPr>
        <w:t>符合政策要求的中小企业。相关企业（含联合体中的中小企业、签订分包意向协议的中小企业）的具体情况如下：</w:t>
      </w:r>
    </w:p>
    <w:p w14:paraId="5306EC06">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u w:val="single"/>
          <w:lang w:val="en-US" w:eastAsia="zh-CN" w:bidi="ar-SA"/>
        </w:rPr>
        <w:t xml:space="preserve">（标的名称） </w:t>
      </w:r>
      <w:r>
        <w:rPr>
          <w:rFonts w:hint="eastAsia" w:ascii="宋体" w:hAnsi="宋体" w:eastAsia="宋体" w:cs="宋体"/>
          <w:snapToGrid/>
          <w:color w:val="auto"/>
          <w:kern w:val="0"/>
          <w:sz w:val="22"/>
          <w:szCs w:val="22"/>
          <w:highlight w:val="none"/>
          <w:lang w:val="en-US" w:eastAsia="zh-CN" w:bidi="ar-SA"/>
        </w:rPr>
        <w:t>，属于</w:t>
      </w:r>
      <w:r>
        <w:rPr>
          <w:rFonts w:hint="eastAsia" w:ascii="宋体" w:hAnsi="宋体" w:eastAsia="宋体" w:cs="宋体"/>
          <w:snapToGrid/>
          <w:color w:val="auto"/>
          <w:kern w:val="0"/>
          <w:sz w:val="22"/>
          <w:szCs w:val="22"/>
          <w:highlight w:val="none"/>
          <w:u w:val="single"/>
          <w:lang w:val="en-US" w:eastAsia="zh-CN" w:bidi="ar-SA"/>
        </w:rPr>
        <w:t xml:space="preserve">        </w:t>
      </w:r>
      <w:r>
        <w:rPr>
          <w:rFonts w:hint="eastAsia" w:ascii="宋体" w:hAnsi="宋体" w:eastAsia="宋体" w:cs="宋体"/>
          <w:snapToGrid/>
          <w:color w:val="auto"/>
          <w:kern w:val="0"/>
          <w:sz w:val="22"/>
          <w:szCs w:val="22"/>
          <w:highlight w:val="none"/>
          <w:lang w:val="en-US" w:eastAsia="zh-CN" w:bidi="ar-SA"/>
        </w:rPr>
        <w:t>行业；承建（承接）企业为</w:t>
      </w:r>
      <w:r>
        <w:rPr>
          <w:rFonts w:hint="eastAsia" w:ascii="宋体" w:hAnsi="宋体" w:eastAsia="宋体" w:cs="宋体"/>
          <w:snapToGrid/>
          <w:color w:val="auto"/>
          <w:kern w:val="0"/>
          <w:sz w:val="22"/>
          <w:szCs w:val="22"/>
          <w:highlight w:val="none"/>
          <w:u w:val="single"/>
          <w:lang w:val="en-US" w:eastAsia="zh-CN" w:bidi="ar-SA"/>
        </w:rPr>
        <w:t>（请填写：企业名称）</w:t>
      </w:r>
      <w:r>
        <w:rPr>
          <w:rFonts w:hint="eastAsia" w:ascii="宋体" w:hAnsi="宋体" w:eastAsia="宋体" w:cs="宋体"/>
          <w:snapToGrid/>
          <w:color w:val="auto"/>
          <w:kern w:val="0"/>
          <w:sz w:val="22"/>
          <w:szCs w:val="22"/>
          <w:highlight w:val="none"/>
          <w:lang w:val="en-US" w:eastAsia="zh-CN" w:bidi="ar-SA"/>
        </w:rPr>
        <w:t>，从业人员_____人，营业收入为_____万元，资产总额为_____万元</w:t>
      </w:r>
      <w:r>
        <w:rPr>
          <w:rFonts w:hint="eastAsia" w:ascii="宋体" w:hAnsi="宋体" w:eastAsia="宋体" w:cs="宋体"/>
          <w:snapToGrid/>
          <w:color w:val="auto"/>
          <w:kern w:val="0"/>
          <w:sz w:val="22"/>
          <w:szCs w:val="22"/>
          <w:highlight w:val="none"/>
          <w:vertAlign w:val="superscript"/>
          <w:lang w:val="en-US" w:eastAsia="zh-CN" w:bidi="ar-SA"/>
        </w:rPr>
        <w:t>1</w:t>
      </w:r>
      <w:r>
        <w:rPr>
          <w:rFonts w:hint="eastAsia" w:ascii="宋体" w:hAnsi="宋体" w:eastAsia="宋体" w:cs="宋体"/>
          <w:snapToGrid/>
          <w:color w:val="auto"/>
          <w:kern w:val="0"/>
          <w:sz w:val="22"/>
          <w:szCs w:val="22"/>
          <w:highlight w:val="none"/>
          <w:lang w:val="en-US" w:eastAsia="zh-CN" w:bidi="ar-SA"/>
        </w:rPr>
        <w:t>，属于</w:t>
      </w:r>
      <w:r>
        <w:rPr>
          <w:rFonts w:hint="eastAsia" w:ascii="宋体" w:hAnsi="宋体" w:eastAsia="宋体" w:cs="宋体"/>
          <w:snapToGrid/>
          <w:color w:val="auto"/>
          <w:kern w:val="0"/>
          <w:sz w:val="22"/>
          <w:szCs w:val="22"/>
          <w:highlight w:val="none"/>
          <w:u w:val="single"/>
          <w:lang w:val="en-US" w:eastAsia="zh-CN" w:bidi="ar-SA"/>
        </w:rPr>
        <w:t>（请填写：中型企业、小型企业、微型企业）</w:t>
      </w:r>
      <w:r>
        <w:rPr>
          <w:rFonts w:hint="eastAsia" w:ascii="宋体" w:hAnsi="宋体" w:eastAsia="宋体" w:cs="宋体"/>
          <w:snapToGrid/>
          <w:color w:val="auto"/>
          <w:kern w:val="0"/>
          <w:sz w:val="22"/>
          <w:szCs w:val="22"/>
          <w:highlight w:val="none"/>
          <w:lang w:val="en-US" w:eastAsia="zh-CN" w:bidi="ar-SA"/>
        </w:rPr>
        <w:t>；</w:t>
      </w:r>
    </w:p>
    <w:p w14:paraId="780CDEE5">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u w:val="single"/>
          <w:lang w:val="en-US" w:eastAsia="zh-CN" w:bidi="ar-SA"/>
        </w:rPr>
        <w:t xml:space="preserve">（标的名称） </w:t>
      </w:r>
      <w:r>
        <w:rPr>
          <w:rFonts w:hint="eastAsia" w:ascii="宋体" w:hAnsi="宋体" w:eastAsia="宋体" w:cs="宋体"/>
          <w:snapToGrid/>
          <w:color w:val="auto"/>
          <w:kern w:val="0"/>
          <w:sz w:val="22"/>
          <w:szCs w:val="22"/>
          <w:highlight w:val="none"/>
          <w:lang w:val="en-US" w:eastAsia="zh-CN" w:bidi="ar-SA"/>
        </w:rPr>
        <w:t>，属于</w:t>
      </w:r>
      <w:r>
        <w:rPr>
          <w:rFonts w:hint="eastAsia" w:ascii="宋体" w:hAnsi="宋体" w:eastAsia="宋体" w:cs="宋体"/>
          <w:snapToGrid/>
          <w:color w:val="auto"/>
          <w:kern w:val="0"/>
          <w:sz w:val="22"/>
          <w:szCs w:val="22"/>
          <w:highlight w:val="none"/>
          <w:u w:val="single"/>
          <w:lang w:val="en-US" w:eastAsia="zh-CN" w:bidi="ar-SA"/>
        </w:rPr>
        <w:t>（建筑业）</w:t>
      </w:r>
      <w:r>
        <w:rPr>
          <w:rFonts w:hint="eastAsia" w:ascii="宋体" w:hAnsi="宋体" w:eastAsia="宋体" w:cs="宋体"/>
          <w:snapToGrid/>
          <w:color w:val="auto"/>
          <w:kern w:val="0"/>
          <w:sz w:val="22"/>
          <w:szCs w:val="22"/>
          <w:highlight w:val="none"/>
          <w:lang w:val="en-US" w:eastAsia="zh-CN" w:bidi="ar-SA"/>
        </w:rPr>
        <w:t>行业；承建（承接）企业为</w:t>
      </w:r>
      <w:r>
        <w:rPr>
          <w:rFonts w:hint="eastAsia" w:ascii="宋体" w:hAnsi="宋体" w:eastAsia="宋体" w:cs="宋体"/>
          <w:snapToGrid/>
          <w:color w:val="auto"/>
          <w:kern w:val="0"/>
          <w:sz w:val="22"/>
          <w:szCs w:val="22"/>
          <w:highlight w:val="none"/>
          <w:u w:val="single"/>
          <w:lang w:val="en-US" w:eastAsia="zh-CN" w:bidi="ar-SA"/>
        </w:rPr>
        <w:t>（请填写：企业名称）</w:t>
      </w:r>
      <w:r>
        <w:rPr>
          <w:rFonts w:hint="eastAsia" w:ascii="宋体" w:hAnsi="宋体" w:eastAsia="宋体" w:cs="宋体"/>
          <w:snapToGrid/>
          <w:color w:val="auto"/>
          <w:kern w:val="0"/>
          <w:sz w:val="22"/>
          <w:szCs w:val="22"/>
          <w:highlight w:val="none"/>
          <w:lang w:val="en-US" w:eastAsia="zh-CN" w:bidi="ar-SA"/>
        </w:rPr>
        <w:t>，从业人员_____人，营业收入为_____万元，资产总额为_____万元</w:t>
      </w:r>
      <w:r>
        <w:rPr>
          <w:rFonts w:hint="eastAsia" w:ascii="宋体" w:hAnsi="宋体" w:eastAsia="宋体" w:cs="宋体"/>
          <w:snapToGrid/>
          <w:color w:val="auto"/>
          <w:kern w:val="0"/>
          <w:sz w:val="22"/>
          <w:szCs w:val="22"/>
          <w:highlight w:val="none"/>
          <w:vertAlign w:val="superscript"/>
          <w:lang w:val="en-US" w:eastAsia="zh-CN" w:bidi="ar-SA"/>
        </w:rPr>
        <w:t>1</w:t>
      </w:r>
      <w:r>
        <w:rPr>
          <w:rFonts w:hint="eastAsia" w:ascii="宋体" w:hAnsi="宋体" w:eastAsia="宋体" w:cs="宋体"/>
          <w:snapToGrid/>
          <w:color w:val="auto"/>
          <w:kern w:val="0"/>
          <w:sz w:val="22"/>
          <w:szCs w:val="22"/>
          <w:highlight w:val="none"/>
          <w:lang w:val="en-US" w:eastAsia="zh-CN" w:bidi="ar-SA"/>
        </w:rPr>
        <w:t>，属于</w:t>
      </w:r>
      <w:r>
        <w:rPr>
          <w:rFonts w:hint="eastAsia" w:ascii="宋体" w:hAnsi="宋体" w:eastAsia="宋体" w:cs="宋体"/>
          <w:snapToGrid/>
          <w:color w:val="auto"/>
          <w:kern w:val="0"/>
          <w:sz w:val="22"/>
          <w:szCs w:val="22"/>
          <w:highlight w:val="none"/>
          <w:u w:val="single"/>
          <w:lang w:val="en-US" w:eastAsia="zh-CN" w:bidi="ar-SA"/>
        </w:rPr>
        <w:t>（请填写：中型企业、小型企业、微型企业）</w:t>
      </w:r>
      <w:r>
        <w:rPr>
          <w:rFonts w:hint="eastAsia" w:ascii="宋体" w:hAnsi="宋体" w:eastAsia="宋体" w:cs="宋体"/>
          <w:snapToGrid/>
          <w:color w:val="auto"/>
          <w:kern w:val="0"/>
          <w:sz w:val="22"/>
          <w:szCs w:val="22"/>
          <w:highlight w:val="none"/>
          <w:lang w:val="en-US" w:eastAsia="zh-CN" w:bidi="ar-SA"/>
        </w:rPr>
        <w:t>；</w:t>
      </w:r>
    </w:p>
    <w:p w14:paraId="3354262A">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w:t>
      </w:r>
    </w:p>
    <w:p w14:paraId="5498C5A3">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以上企业，不属于大企业的分支机构，不存在控股股东为大企业的情形，也不存在与大企业的负责人为同一人的情形。</w:t>
      </w:r>
    </w:p>
    <w:p w14:paraId="18885034">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本企业对上述声明内容的真实性负责。如有虚假，将依法承担相应责任。　　</w:t>
      </w:r>
    </w:p>
    <w:p w14:paraId="1CA82878">
      <w:pPr>
        <w:kinsoku/>
        <w:autoSpaceDE/>
        <w:autoSpaceDN/>
        <w:adjustRightInd/>
        <w:snapToGrid/>
        <w:spacing w:line="480" w:lineRule="auto"/>
        <w:ind w:firstLine="4840" w:firstLineChars="2200"/>
        <w:jc w:val="left"/>
        <w:textAlignment w:val="auto"/>
        <w:rPr>
          <w:rFonts w:hint="eastAsia" w:ascii="宋体" w:hAnsi="宋体" w:eastAsia="宋体" w:cs="宋体"/>
          <w:snapToGrid/>
          <w:color w:val="auto"/>
          <w:kern w:val="0"/>
          <w:sz w:val="22"/>
          <w:szCs w:val="22"/>
          <w:highlight w:val="none"/>
          <w:lang w:val="en-US" w:eastAsia="zh-CN" w:bidi="ar-SA"/>
        </w:rPr>
      </w:pPr>
    </w:p>
    <w:p w14:paraId="4440DEAE">
      <w:pPr>
        <w:kinsoku/>
        <w:autoSpaceDE/>
        <w:autoSpaceDN/>
        <w:adjustRightInd/>
        <w:snapToGrid/>
        <w:spacing w:line="480" w:lineRule="auto"/>
        <w:ind w:firstLine="4840" w:firstLineChars="2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企业名称（签章）：</w:t>
      </w:r>
    </w:p>
    <w:p w14:paraId="0FD02BF1">
      <w:pPr>
        <w:kinsoku/>
        <w:autoSpaceDE/>
        <w:autoSpaceDN/>
        <w:adjustRightInd/>
        <w:snapToGrid/>
        <w:spacing w:line="480" w:lineRule="auto"/>
        <w:ind w:firstLine="4840" w:firstLineChars="2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日期：</w:t>
      </w:r>
    </w:p>
    <w:p w14:paraId="5EBD6B97">
      <w:pPr>
        <w:kinsoku/>
        <w:autoSpaceDE/>
        <w:autoSpaceDN/>
        <w:adjustRightInd/>
        <w:snapToGrid w:val="0"/>
        <w:spacing w:line="360" w:lineRule="auto"/>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注：①本项目所采购标的所属行业为：</w:t>
      </w:r>
      <w:r>
        <w:rPr>
          <w:rFonts w:hint="eastAsia" w:ascii="宋体" w:hAnsi="宋体" w:eastAsia="宋体" w:cs="宋体"/>
          <w:snapToGrid/>
          <w:color w:val="auto"/>
          <w:kern w:val="0"/>
          <w:sz w:val="22"/>
          <w:szCs w:val="22"/>
          <w:highlight w:val="none"/>
          <w:lang w:val="en-US" w:eastAsia="zh-Hans" w:bidi="ar-SA"/>
        </w:rPr>
        <w:t>建筑</w:t>
      </w:r>
      <w:r>
        <w:rPr>
          <w:rFonts w:hint="eastAsia" w:ascii="宋体" w:hAnsi="宋体" w:eastAsia="宋体" w:cs="宋体"/>
          <w:snapToGrid/>
          <w:color w:val="auto"/>
          <w:kern w:val="0"/>
          <w:sz w:val="22"/>
          <w:szCs w:val="22"/>
          <w:highlight w:val="none"/>
          <w:lang w:val="en-US" w:eastAsia="zh-CN" w:bidi="ar-SA"/>
        </w:rPr>
        <w:t>业。</w:t>
      </w:r>
    </w:p>
    <w:p w14:paraId="181B0FE3">
      <w:pPr>
        <w:kinsoku/>
        <w:autoSpaceDE/>
        <w:autoSpaceDN/>
        <w:adjustRightInd/>
        <w:snapToGrid w:val="0"/>
        <w:spacing w:line="360" w:lineRule="auto"/>
        <w:ind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②从业人员、营业收入、资产总额填报上一年度数据，无上一年度数据的新成立企业可不填报。</w:t>
      </w:r>
    </w:p>
    <w:p w14:paraId="103BCC38">
      <w:pPr>
        <w:kinsoku/>
        <w:autoSpaceDE/>
        <w:autoSpaceDN/>
        <w:adjustRightInd/>
        <w:snapToGrid w:val="0"/>
        <w:spacing w:line="360" w:lineRule="auto"/>
        <w:ind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③供应商符合《政府采购促进中小企业发展管理办法》（财库﹝2020﹞46号）的规定，如实填写出具“中小企业声明函”，按第六章 磋商程序和方法的规定执行</w:t>
      </w:r>
    </w:p>
    <w:p w14:paraId="70ED9466">
      <w:pPr>
        <w:kinsoku/>
        <w:autoSpaceDE/>
        <w:autoSpaceDN/>
        <w:adjustRightInd/>
        <w:snapToGrid w:val="0"/>
        <w:spacing w:line="360" w:lineRule="auto"/>
        <w:ind w:firstLine="440" w:firstLineChars="200"/>
        <w:jc w:val="left"/>
        <w:textAlignment w:val="auto"/>
        <w:outlineLvl w:val="9"/>
        <w:rPr>
          <w:rFonts w:hint="eastAsia" w:ascii="宋体" w:hAnsi="宋体" w:eastAsia="宋体" w:cs="宋体"/>
          <w:snapToGrid/>
          <w:color w:val="auto"/>
          <w:kern w:val="0"/>
          <w:sz w:val="22"/>
          <w:szCs w:val="22"/>
          <w:highlight w:val="none"/>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napToGrid/>
          <w:color w:val="auto"/>
          <w:kern w:val="0"/>
          <w:sz w:val="22"/>
          <w:szCs w:val="22"/>
          <w:highlight w:val="none"/>
          <w:lang w:val="en-US" w:eastAsia="zh-CN" w:bidi="ar-SA"/>
        </w:rPr>
        <w:t>④采购代理机构在随中标、成交结果同时公告其《中小企业声明函》，接受社会监督。供应商提供的《中小企业声明函》与事实不符的，按照《中国人民共和国政府采购法》等国家有规定追究相应责任。</w:t>
      </w:r>
    </w:p>
    <w:p w14:paraId="79C90093">
      <w:pPr>
        <w:kinsoku/>
        <w:autoSpaceDE/>
        <w:autoSpaceDN/>
        <w:adjustRightInd/>
        <w:snapToGrid w:val="0"/>
        <w:spacing w:line="360" w:lineRule="auto"/>
        <w:jc w:val="left"/>
        <w:textAlignment w:val="auto"/>
        <w:outlineLvl w:val="2"/>
        <w:rPr>
          <w:rFonts w:ascii="宋体" w:hAnsi="宋体" w:eastAsia="宋体" w:cs="宋体"/>
          <w:b/>
          <w:bCs/>
          <w:color w:val="auto"/>
          <w:kern w:val="2"/>
          <w:sz w:val="32"/>
          <w:szCs w:val="32"/>
          <w:highlight w:val="none"/>
          <w:lang w:val="en-US" w:eastAsia="zh-CN" w:bidi="ar-SA"/>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格式8：</w:t>
      </w:r>
    </w:p>
    <w:p w14:paraId="39B0165F">
      <w:pPr>
        <w:keepNext/>
        <w:keepLines/>
        <w:widowControl/>
        <w:numPr>
          <w:ilvl w:val="2"/>
          <w:numId w:val="0"/>
        </w:numPr>
        <w:tabs>
          <w:tab w:val="left" w:pos="432"/>
          <w:tab w:val="left" w:pos="720"/>
        </w:tabs>
        <w:kinsoku/>
        <w:autoSpaceDE/>
        <w:autoSpaceDN/>
        <w:adjustRightInd/>
        <w:snapToGrid/>
        <w:spacing w:before="120" w:after="120" w:line="416" w:lineRule="auto"/>
        <w:ind w:left="720" w:hanging="720"/>
        <w:jc w:val="center"/>
        <w:textAlignment w:val="auto"/>
        <w:outlineLvl w:val="9"/>
        <w:rPr>
          <w:rFonts w:hint="eastAsia" w:ascii="黑体" w:hAnsi="黑体" w:eastAsia="黑体" w:cs="黑体"/>
          <w:b/>
          <w:snapToGrid/>
          <w:color w:val="auto"/>
          <w:kern w:val="2"/>
          <w:sz w:val="28"/>
          <w:szCs w:val="28"/>
          <w:highlight w:val="none"/>
          <w:lang w:val="en-US" w:eastAsia="zh-CN" w:bidi="ar-SA"/>
        </w:rPr>
      </w:pPr>
      <w:r>
        <w:rPr>
          <w:rFonts w:hint="eastAsia" w:ascii="黑体" w:hAnsi="黑体" w:eastAsia="黑体" w:cs="黑体"/>
          <w:b/>
          <w:snapToGrid/>
          <w:color w:val="auto"/>
          <w:kern w:val="2"/>
          <w:sz w:val="28"/>
          <w:szCs w:val="28"/>
          <w:highlight w:val="none"/>
          <w:lang w:val="en-US" w:eastAsia="zh-CN" w:bidi="ar-SA"/>
        </w:rPr>
        <w:t>监狱企业证明文件（如有）</w:t>
      </w:r>
    </w:p>
    <w:p w14:paraId="32F347C3">
      <w:pPr>
        <w:widowControl w:val="0"/>
        <w:kinsoku/>
        <w:autoSpaceDE/>
        <w:autoSpaceDN/>
        <w:adjustRightInd/>
        <w:snapToGrid/>
        <w:spacing w:line="360" w:lineRule="auto"/>
        <w:ind w:firstLine="480" w:firstLineChars="200"/>
        <w:jc w:val="left"/>
        <w:textAlignment w:val="auto"/>
        <w:rPr>
          <w:rFonts w:ascii="宋体" w:hAnsi="宋体" w:eastAsia="宋体" w:cs="Times New Roman"/>
          <w:snapToGrid/>
          <w:color w:val="auto"/>
          <w:kern w:val="2"/>
          <w:sz w:val="24"/>
          <w:szCs w:val="20"/>
          <w:highlight w:val="yellow"/>
          <w:lang w:val="en-US" w:eastAsia="zh-CN" w:bidi="ar-SA"/>
        </w:rPr>
      </w:pPr>
    </w:p>
    <w:p w14:paraId="784BC7DE">
      <w:pPr>
        <w:widowControl w:val="0"/>
        <w:kinsoku/>
        <w:autoSpaceDE/>
        <w:autoSpaceDN/>
        <w:adjustRightInd/>
        <w:snapToGrid/>
        <w:spacing w:line="360" w:lineRule="auto"/>
        <w:ind w:firstLine="440" w:firstLineChars="200"/>
        <w:jc w:val="left"/>
        <w:textAlignment w:val="auto"/>
        <w:rPr>
          <w:rFonts w:ascii="宋体" w:hAnsi="宋体" w:eastAsia="宋体" w:cs="Times New Roman"/>
          <w:snapToGrid/>
          <w:color w:val="auto"/>
          <w:kern w:val="2"/>
          <w:sz w:val="22"/>
          <w:szCs w:val="18"/>
          <w:highlight w:val="none"/>
          <w:lang w:val="en-US" w:eastAsia="zh-CN" w:bidi="ar-SA"/>
        </w:rPr>
      </w:pPr>
      <w:r>
        <w:rPr>
          <w:rFonts w:hint="eastAsia" w:ascii="宋体" w:hAnsi="宋体" w:eastAsia="宋体" w:cs="Times New Roman"/>
          <w:snapToGrid/>
          <w:color w:val="auto"/>
          <w:kern w:val="2"/>
          <w:sz w:val="22"/>
          <w:szCs w:val="18"/>
          <w:highlight w:val="none"/>
          <w:lang w:val="en-US" w:eastAsia="zh-CN" w:bidi="ar-SA"/>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2F8A32">
      <w:pPr>
        <w:widowControl w:val="0"/>
        <w:kinsoku/>
        <w:autoSpaceDE/>
        <w:autoSpaceDN/>
        <w:adjustRightInd/>
        <w:snapToGrid/>
        <w:spacing w:line="400" w:lineRule="exact"/>
        <w:ind w:firstLine="440" w:firstLineChars="200"/>
        <w:jc w:val="both"/>
        <w:textAlignment w:val="auto"/>
        <w:rPr>
          <w:rFonts w:ascii="宋体" w:hAnsi="宋体" w:eastAsia="宋体" w:cs="Times New Roman"/>
          <w:snapToGrid/>
          <w:color w:val="auto"/>
          <w:kern w:val="2"/>
          <w:sz w:val="22"/>
          <w:szCs w:val="18"/>
          <w:highlight w:val="none"/>
          <w:lang w:val="en-US" w:eastAsia="zh-CN" w:bidi="ar-SA"/>
        </w:rPr>
      </w:pPr>
      <w:r>
        <w:rPr>
          <w:rFonts w:hint="eastAsia" w:ascii="宋体" w:hAnsi="宋体" w:eastAsia="宋体" w:cs="Times New Roman"/>
          <w:snapToGrid/>
          <w:color w:val="auto"/>
          <w:kern w:val="2"/>
          <w:sz w:val="22"/>
          <w:szCs w:val="18"/>
          <w:highlight w:val="none"/>
          <w:lang w:val="en-US" w:eastAsia="zh-CN" w:bidi="ar-SA"/>
        </w:rPr>
        <w:t>监狱企业参加政府采购活动时，应当提供由省级以上监狱管理局、戒毒管理局（含新疆生产建设兵团）出具的属于监狱企业的证明文件。</w:t>
      </w:r>
    </w:p>
    <w:p w14:paraId="781E9EA5">
      <w:pPr>
        <w:widowControl w:val="0"/>
        <w:kinsoku/>
        <w:autoSpaceDE/>
        <w:autoSpaceDN/>
        <w:adjustRightInd/>
        <w:snapToGrid/>
        <w:spacing w:line="240" w:lineRule="auto"/>
        <w:jc w:val="both"/>
        <w:textAlignment w:val="auto"/>
        <w:rPr>
          <w:rFonts w:ascii="@MS PMincho" w:hAnsi="@MS PMincho" w:eastAsia="等线" w:cs="@MS PMincho"/>
          <w:snapToGrid/>
          <w:color w:val="auto"/>
          <w:kern w:val="2"/>
          <w:sz w:val="22"/>
          <w:szCs w:val="18"/>
          <w:highlight w:val="none"/>
          <w:lang w:val="en-US" w:eastAsia="zh-CN" w:bidi="ar-SA"/>
        </w:rPr>
      </w:pPr>
    </w:p>
    <w:p w14:paraId="6E18F004">
      <w:pPr>
        <w:widowControl w:val="0"/>
        <w:kinsoku/>
        <w:autoSpaceDE/>
        <w:autoSpaceDN/>
        <w:adjustRightInd/>
        <w:snapToGrid/>
        <w:spacing w:line="240" w:lineRule="auto"/>
        <w:jc w:val="both"/>
        <w:textAlignment w:val="auto"/>
        <w:rPr>
          <w:rFonts w:ascii="@MS PMincho" w:hAnsi="@MS PMincho" w:eastAsia="等线" w:cs="@MS PMincho"/>
          <w:snapToGrid/>
          <w:color w:val="auto"/>
          <w:kern w:val="2"/>
          <w:sz w:val="22"/>
          <w:szCs w:val="18"/>
          <w:highlight w:val="none"/>
          <w:lang w:val="en-US" w:eastAsia="zh-CN" w:bidi="ar-SA"/>
        </w:rPr>
      </w:pPr>
    </w:p>
    <w:p w14:paraId="3A36BF08">
      <w:pPr>
        <w:widowControl w:val="0"/>
        <w:kinsoku/>
        <w:autoSpaceDE/>
        <w:autoSpaceDN/>
        <w:adjustRightInd/>
        <w:snapToGrid/>
        <w:spacing w:line="240" w:lineRule="auto"/>
        <w:jc w:val="both"/>
        <w:textAlignment w:val="auto"/>
        <w:rPr>
          <w:rFonts w:ascii="@MS PMincho" w:hAnsi="@MS PMincho" w:eastAsia="等线" w:cs="@MS PMincho"/>
          <w:snapToGrid/>
          <w:color w:val="auto"/>
          <w:kern w:val="2"/>
          <w:sz w:val="22"/>
          <w:szCs w:val="18"/>
          <w:highlight w:val="none"/>
          <w:lang w:val="en-US" w:eastAsia="zh-CN" w:bidi="ar-SA"/>
        </w:rPr>
      </w:pPr>
    </w:p>
    <w:p w14:paraId="65399EC6">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注：1.符合条件的监狱企业在参加政府采购活动时，应当按《财政部 司法部关于政府采购支持监狱企业发展有关问题的通知》（财库〔2014〕68号）提供规定的《监狱企业证明文件》，并对提供的证明文件真实性负责。</w:t>
      </w:r>
    </w:p>
    <w:p w14:paraId="678DA6F9">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2.成交人为监狱企业的，其《监狱企业证明文件》将随成交结果同时公告，接受社会监督。</w:t>
      </w:r>
    </w:p>
    <w:p w14:paraId="349E821A">
      <w:pPr>
        <w:widowControl/>
        <w:shd w:val="clear" w:color="auto" w:fill="FFFFFF"/>
        <w:kinsoku/>
        <w:autoSpaceDE/>
        <w:autoSpaceDN/>
        <w:adjustRightInd/>
        <w:snapToGrid/>
        <w:spacing w:line="360" w:lineRule="auto"/>
        <w:ind w:firstLine="480"/>
        <w:jc w:val="left"/>
        <w:textAlignment w:val="auto"/>
        <w:rPr>
          <w:rFonts w:ascii="宋体" w:hAnsi="宋体" w:eastAsia="宋体" w:cs="宋体"/>
          <w:b/>
          <w:snapToGrid/>
          <w:color w:val="auto"/>
          <w:kern w:val="2"/>
          <w:szCs w:val="21"/>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3.如不是监狱企业，则无需提供或填写。</w:t>
      </w:r>
      <w:r>
        <w:rPr>
          <w:rFonts w:hint="eastAsia" w:ascii="宋体" w:hAnsi="宋体" w:eastAsia="宋体" w:cs="宋体"/>
          <w:b/>
          <w:snapToGrid/>
          <w:color w:val="auto"/>
          <w:kern w:val="2"/>
          <w:szCs w:val="21"/>
          <w:highlight w:val="none"/>
          <w:lang w:val="en-US" w:eastAsia="zh-CN" w:bidi="ar-SA"/>
        </w:rPr>
        <w:br w:type="page"/>
      </w:r>
    </w:p>
    <w:p w14:paraId="68AADA22">
      <w:pPr>
        <w:keepNext/>
        <w:keepLines/>
        <w:widowControl w:val="0"/>
        <w:spacing w:before="120" w:after="120" w:line="360" w:lineRule="auto"/>
        <w:jc w:val="both"/>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格式9：</w:t>
      </w:r>
    </w:p>
    <w:p w14:paraId="035E3157">
      <w:pPr>
        <w:keepNext/>
        <w:keepLines/>
        <w:widowControl/>
        <w:numPr>
          <w:ilvl w:val="2"/>
          <w:numId w:val="0"/>
        </w:numPr>
        <w:tabs>
          <w:tab w:val="left" w:pos="432"/>
          <w:tab w:val="left" w:pos="720"/>
        </w:tabs>
        <w:kinsoku/>
        <w:autoSpaceDE/>
        <w:autoSpaceDN/>
        <w:adjustRightInd/>
        <w:snapToGrid/>
        <w:spacing w:before="120" w:after="120" w:line="416" w:lineRule="auto"/>
        <w:ind w:left="720" w:hanging="720"/>
        <w:jc w:val="center"/>
        <w:textAlignment w:val="auto"/>
        <w:outlineLvl w:val="9"/>
        <w:rPr>
          <w:rFonts w:hint="eastAsia" w:ascii="黑体" w:hAnsi="黑体" w:eastAsia="黑体" w:cs="黑体"/>
          <w:b/>
          <w:snapToGrid/>
          <w:color w:val="auto"/>
          <w:kern w:val="2"/>
          <w:sz w:val="28"/>
          <w:szCs w:val="28"/>
          <w:highlight w:val="none"/>
          <w:lang w:val="en-US" w:eastAsia="zh-CN" w:bidi="ar-SA"/>
        </w:rPr>
      </w:pPr>
      <w:r>
        <w:rPr>
          <w:rFonts w:hint="eastAsia" w:ascii="黑体" w:hAnsi="黑体" w:eastAsia="黑体" w:cs="黑体"/>
          <w:b/>
          <w:snapToGrid/>
          <w:color w:val="auto"/>
          <w:kern w:val="2"/>
          <w:sz w:val="28"/>
          <w:szCs w:val="28"/>
          <w:highlight w:val="none"/>
          <w:lang w:val="en-US" w:eastAsia="zh-CN" w:bidi="ar-SA"/>
        </w:rPr>
        <w:t>残疾人福利性单位声明函（如有）</w:t>
      </w:r>
    </w:p>
    <w:p w14:paraId="021C3183">
      <w:pPr>
        <w:widowControl w:val="0"/>
        <w:kinsoku/>
        <w:autoSpaceDE/>
        <w:autoSpaceDN/>
        <w:adjustRightInd/>
        <w:snapToGrid/>
        <w:spacing w:line="400" w:lineRule="exact"/>
        <w:jc w:val="center"/>
        <w:textAlignment w:val="auto"/>
        <w:rPr>
          <w:rFonts w:ascii="宋体" w:hAnsi="宋体" w:eastAsia="宋体" w:cs="宋体"/>
          <w:b/>
          <w:bCs/>
          <w:snapToGrid/>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 xml:space="preserve"> </w:t>
      </w:r>
      <w:r>
        <w:rPr>
          <w:rFonts w:hint="eastAsia" w:ascii="宋体" w:hAnsi="宋体" w:eastAsia="宋体" w:cs="宋体"/>
          <w:b/>
          <w:bCs/>
          <w:snapToGrid/>
          <w:color w:val="auto"/>
          <w:kern w:val="2"/>
          <w:sz w:val="22"/>
          <w:szCs w:val="22"/>
          <w:highlight w:val="none"/>
          <w:lang w:val="en-US" w:eastAsia="zh-CN" w:bidi="ar-SA"/>
        </w:rPr>
        <w:t>《残疾人福利性单位声明函》（原件。符合《三部门联合发布关于促进残疾人就业政府采购政策的通知》（财库〔2017〕141号）价格扣减条件的投标人须提交）</w:t>
      </w:r>
    </w:p>
    <w:p w14:paraId="4DD56D80">
      <w:pPr>
        <w:widowControl w:val="0"/>
        <w:kinsoku/>
        <w:autoSpaceDE/>
        <w:autoSpaceDN/>
        <w:adjustRightInd/>
        <w:snapToGrid/>
        <w:spacing w:before="156" w:beforeLines="50" w:after="156" w:afterLines="50" w:line="500" w:lineRule="exact"/>
        <w:ind w:firstLine="440" w:firstLineChars="200"/>
        <w:jc w:val="center"/>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残疾人福利性单位声明函（若是）</w:t>
      </w:r>
    </w:p>
    <w:p w14:paraId="5036656A">
      <w:pPr>
        <w:widowControl w:val="0"/>
        <w:kinsoku/>
        <w:autoSpaceDE/>
        <w:autoSpaceDN/>
        <w:adjustRightInd/>
        <w:snapToGrid/>
        <w:spacing w:line="360" w:lineRule="auto"/>
        <w:ind w:firstLine="440" w:firstLineChars="200"/>
        <w:jc w:val="both"/>
        <w:textAlignment w:val="auto"/>
        <w:rPr>
          <w:rFonts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 w:val="0"/>
          <w:bCs/>
          <w:snapToGrid/>
          <w:color w:val="auto"/>
          <w:kern w:val="2"/>
          <w:sz w:val="22"/>
          <w:szCs w:val="22"/>
          <w:highlight w:val="none"/>
          <w:u w:val="single"/>
          <w:lang w:val="en-US" w:eastAsia="zh-CN" w:bidi="ar-SA"/>
        </w:rPr>
        <w:t xml:space="preserve">            </w:t>
      </w:r>
      <w:r>
        <w:rPr>
          <w:rFonts w:hint="eastAsia" w:ascii="宋体" w:hAnsi="宋体" w:eastAsia="宋体" w:cs="宋体"/>
          <w:b w:val="0"/>
          <w:bCs/>
          <w:snapToGrid/>
          <w:color w:val="auto"/>
          <w:kern w:val="2"/>
          <w:sz w:val="22"/>
          <w:szCs w:val="22"/>
          <w:highlight w:val="none"/>
          <w:lang w:val="en-US" w:eastAsia="zh-CN" w:bidi="ar-SA"/>
        </w:rPr>
        <w:t>单位的</w:t>
      </w:r>
      <w:r>
        <w:rPr>
          <w:rFonts w:hint="eastAsia" w:ascii="宋体" w:hAnsi="宋体" w:eastAsia="宋体" w:cs="宋体"/>
          <w:b w:val="0"/>
          <w:bCs/>
          <w:snapToGrid/>
          <w:color w:val="auto"/>
          <w:kern w:val="2"/>
          <w:sz w:val="22"/>
          <w:szCs w:val="22"/>
          <w:highlight w:val="none"/>
          <w:u w:val="single"/>
          <w:lang w:val="en-US" w:eastAsia="zh-CN" w:bidi="ar-SA"/>
        </w:rPr>
        <w:t xml:space="preserve">                 </w:t>
      </w:r>
      <w:r>
        <w:rPr>
          <w:rFonts w:hint="eastAsia" w:ascii="宋体" w:hAnsi="宋体" w:eastAsia="宋体" w:cs="宋体"/>
          <w:b w:val="0"/>
          <w:bCs/>
          <w:snapToGrid/>
          <w:color w:val="auto"/>
          <w:kern w:val="2"/>
          <w:sz w:val="22"/>
          <w:szCs w:val="22"/>
          <w:highlight w:val="none"/>
          <w:lang w:val="en-US" w:eastAsia="zh-CN" w:bidi="ar-SA"/>
        </w:rPr>
        <w:t>项目采购活动提供本单位制造的货物（由本单位承担工程/提供服务），或者提供其他残疾人福利性单位制造的货物（不包括使用非残疾人福利性单位注册商标的货物）。</w:t>
      </w:r>
    </w:p>
    <w:p w14:paraId="6AF78F18">
      <w:pPr>
        <w:widowControl w:val="0"/>
        <w:kinsoku/>
        <w:autoSpaceDE/>
        <w:autoSpaceDN/>
        <w:adjustRightInd/>
        <w:snapToGrid/>
        <w:spacing w:line="360" w:lineRule="auto"/>
        <w:ind w:firstLine="440" w:firstLineChars="200"/>
        <w:jc w:val="both"/>
        <w:textAlignment w:val="auto"/>
        <w:rPr>
          <w:rFonts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本单位对上述声明的真实性负责。如有虚假，将依法承担相应责任。</w:t>
      </w:r>
    </w:p>
    <w:p w14:paraId="04838718">
      <w:pPr>
        <w:keepNext/>
        <w:keepLines/>
        <w:widowControl w:val="0"/>
        <w:numPr>
          <w:ilvl w:val="0"/>
          <w:numId w:val="0"/>
        </w:numPr>
        <w:kinsoku/>
        <w:autoSpaceDE/>
        <w:autoSpaceDN/>
        <w:adjustRightInd w:val="0"/>
        <w:snapToGrid/>
        <w:spacing w:before="120" w:line="360" w:lineRule="auto"/>
        <w:ind w:leftChars="0"/>
        <w:jc w:val="both"/>
        <w:textAlignment w:val="baseline"/>
        <w:outlineLvl w:val="9"/>
        <w:rPr>
          <w:rFonts w:ascii="宋体" w:hAnsi="宋体" w:eastAsia="黑体" w:cs="宋体"/>
          <w:b/>
          <w:snapToGrid/>
          <w:color w:val="auto"/>
          <w:kern w:val="44"/>
          <w:sz w:val="22"/>
          <w:szCs w:val="22"/>
          <w:highlight w:val="none"/>
          <w:lang w:val="en-US" w:eastAsia="zh-CN" w:bidi="ar-SA"/>
        </w:rPr>
      </w:pPr>
    </w:p>
    <w:p w14:paraId="54084038">
      <w:pPr>
        <w:widowControl w:val="0"/>
        <w:kinsoku/>
        <w:autoSpaceDE/>
        <w:autoSpaceDN/>
        <w:adjustRightInd/>
        <w:snapToGrid/>
        <w:spacing w:line="240" w:lineRule="auto"/>
        <w:jc w:val="both"/>
        <w:textAlignment w:val="auto"/>
        <w:rPr>
          <w:rFonts w:ascii="Times New Roman" w:hAnsi="Times New Roman" w:eastAsia="宋体" w:cs="Times New Roman"/>
          <w:snapToGrid/>
          <w:color w:val="auto"/>
          <w:kern w:val="2"/>
          <w:sz w:val="22"/>
          <w:szCs w:val="22"/>
          <w:highlight w:val="none"/>
          <w:lang w:val="en-US" w:eastAsia="zh-CN" w:bidi="ar-SA"/>
        </w:rPr>
      </w:pPr>
    </w:p>
    <w:p w14:paraId="70968BB7">
      <w:pPr>
        <w:widowControl w:val="0"/>
        <w:kinsoku/>
        <w:autoSpaceDE/>
        <w:autoSpaceDN/>
        <w:adjustRightInd/>
        <w:snapToGrid/>
        <w:spacing w:line="360" w:lineRule="auto"/>
        <w:ind w:firstLine="440" w:firstLineChars="200"/>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（电子签章）</w:t>
      </w:r>
    </w:p>
    <w:p w14:paraId="54E28809">
      <w:pPr>
        <w:widowControl w:val="0"/>
        <w:kinsoku/>
        <w:autoSpaceDE/>
        <w:autoSpaceDN/>
        <w:adjustRightInd/>
        <w:snapToGrid/>
        <w:spacing w:line="360" w:lineRule="auto"/>
        <w:ind w:firstLine="440" w:firstLineChars="200"/>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法定代表人或其委托代理人：</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（电子签章或签字）</w:t>
      </w:r>
    </w:p>
    <w:p w14:paraId="39FC90E8">
      <w:pPr>
        <w:widowControl w:val="0"/>
        <w:kinsoku/>
        <w:autoSpaceDE/>
        <w:autoSpaceDN/>
        <w:adjustRightInd/>
        <w:snapToGrid/>
        <w:spacing w:line="360" w:lineRule="auto"/>
        <w:ind w:firstLine="440" w:firstLineChars="200"/>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日期：</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年</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月</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日</w:t>
      </w:r>
    </w:p>
    <w:p w14:paraId="123446CE">
      <w:pPr>
        <w:widowControl w:val="0"/>
        <w:kinsoku/>
        <w:autoSpaceDE/>
        <w:autoSpaceDN/>
        <w:adjustRightInd/>
        <w:snapToGrid/>
        <w:spacing w:line="360" w:lineRule="auto"/>
        <w:ind w:firstLine="442" w:firstLineChars="200"/>
        <w:jc w:val="both"/>
        <w:textAlignment w:val="auto"/>
        <w:rPr>
          <w:rFonts w:ascii="宋体" w:hAnsi="宋体" w:eastAsia="宋体" w:cs="宋体"/>
          <w:b/>
          <w:snapToGrid/>
          <w:color w:val="auto"/>
          <w:kern w:val="2"/>
          <w:sz w:val="22"/>
          <w:szCs w:val="22"/>
          <w:highlight w:val="none"/>
          <w:lang w:val="en-US" w:eastAsia="zh-CN" w:bidi="ar-SA"/>
        </w:rPr>
      </w:pPr>
    </w:p>
    <w:p w14:paraId="6DCD2FF5">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注：一、享受政府采购支持政策的残疾人福利性单位应当同时满足以下条件：</w:t>
      </w:r>
    </w:p>
    <w:p w14:paraId="7237FAF4">
      <w:pPr>
        <w:widowControl/>
        <w:numPr>
          <w:ilvl w:val="0"/>
          <w:numId w:val="4"/>
        </w:numPr>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安置的残疾人占本单位在职职工人数的比例不低于25%（含25%），并且安置的残疾人人数不少于10人（含10人）；</w:t>
      </w:r>
    </w:p>
    <w:p w14:paraId="00F03414">
      <w:pPr>
        <w:widowControl/>
        <w:numPr>
          <w:ilvl w:val="0"/>
          <w:numId w:val="0"/>
        </w:numPr>
        <w:shd w:val="clear" w:color="auto" w:fill="FFFFFF"/>
        <w:kinsoku/>
        <w:autoSpaceDE/>
        <w:autoSpaceDN/>
        <w:adjustRightInd/>
        <w:snapToGrid/>
        <w:spacing w:line="360" w:lineRule="auto"/>
        <w:ind w:firstLine="442" w:firstLineChars="20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（二）依法与安置的每位残疾人签订了一年以上（含一年）的劳动合同或服务协议；</w:t>
      </w:r>
    </w:p>
    <w:p w14:paraId="27453A20">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（三）为安置的每位残疾人按月足额缴纳了基本养老保险、基本医疗保险、失业保险、工伤保险和生育保险等社会保险费；</w:t>
      </w:r>
    </w:p>
    <w:p w14:paraId="7B3513B3">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（四）通过银行等金融机构向安置的每位残疾人，按月支付了不低于单位所在区县适用的经省级人民政府批准的月最低工资标准的工资；</w:t>
      </w:r>
    </w:p>
    <w:p w14:paraId="3F60F1E2">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（五）提供本单位制造的货物、承担的工程或者服务（以下简称产品），或者提供其他残疾人福利性单位制造的货物（不包括使用非残疾人福利性单位注册商标的货物）。</w:t>
      </w:r>
    </w:p>
    <w:p w14:paraId="4B9BC9B9">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9CDAE4C">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二、符合条件的残疾人福利性单位在参加政府采购活动时，应当按《三部门联合发布关于促进残疾人就业政府采购政策的通知》（财库〔2017〕141号）提供规定的《残疾人福利性单位声明函》，并对声明的真实性负责。</w:t>
      </w:r>
    </w:p>
    <w:p w14:paraId="74091663">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三、成交人为残疾人福利性单位的，其《残疾人福利性单位声明函》将随中标结果同时公告，接受社会监督。成交人提供的《残疾人福利性单位声明函》与事实不符的，依照《政府采购法》第七十七条第一款的规定追究法律责任。</w:t>
      </w:r>
    </w:p>
    <w:p w14:paraId="0DCEE989">
      <w:pPr>
        <w:keepNext w:val="0"/>
        <w:keepLines w:val="0"/>
        <w:pageBreakBefore w:val="0"/>
        <w:widowControl w:val="0"/>
        <w:kinsoku/>
        <w:wordWrap/>
        <w:overflowPunct/>
        <w:topLinePunct w:val="0"/>
        <w:autoSpaceDE/>
        <w:autoSpaceDN/>
        <w:bidi w:val="0"/>
        <w:adjustRightInd/>
        <w:snapToGrid/>
        <w:spacing w:line="480" w:lineRule="exact"/>
        <w:ind w:firstLine="442" w:firstLineChars="200"/>
        <w:textAlignment w:val="auto"/>
        <w:outlineLvl w:val="9"/>
        <w:rPr>
          <w:rFonts w:hint="eastAsia" w:ascii="宋体" w:hAnsi="宋体" w:eastAsia="宋体" w:cs="宋体"/>
          <w:color w:val="auto"/>
          <w:sz w:val="22"/>
          <w:szCs w:val="22"/>
          <w:highlight w:val="none"/>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snapToGrid/>
          <w:color w:val="auto"/>
          <w:kern w:val="0"/>
          <w:sz w:val="22"/>
          <w:szCs w:val="22"/>
          <w:highlight w:val="none"/>
          <w:lang w:val="en-US" w:eastAsia="zh-CN" w:bidi="ar-SA"/>
        </w:rPr>
        <w:t>四、如不是</w:t>
      </w:r>
      <w:r>
        <w:rPr>
          <w:rFonts w:hint="eastAsia" w:ascii="宋体" w:hAnsi="宋体" w:eastAsia="宋体" w:cs="宋体"/>
          <w:b/>
          <w:bCs/>
          <w:snapToGrid/>
          <w:color w:val="auto"/>
          <w:kern w:val="2"/>
          <w:sz w:val="22"/>
          <w:szCs w:val="22"/>
          <w:highlight w:val="none"/>
          <w:lang w:val="en-US" w:eastAsia="zh-CN" w:bidi="ar-SA"/>
        </w:rPr>
        <w:t>残疾人福利性单位，则无需提供或填写。</w:t>
      </w:r>
    </w:p>
    <w:p w14:paraId="21FC8A9A">
      <w:pPr>
        <w:widowControl w:val="0"/>
        <w:kinsoku/>
        <w:autoSpaceDE/>
        <w:autoSpaceDN/>
        <w:adjustRightInd w:val="0"/>
        <w:snapToGrid w:val="0"/>
        <w:spacing w:after="160" w:line="259"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格式10：</w:t>
      </w:r>
      <w:bookmarkStart w:id="966" w:name="_Toc7147"/>
      <w:bookmarkStart w:id="967" w:name="_Toc30028"/>
      <w:bookmarkStart w:id="968" w:name="_Toc17"/>
    </w:p>
    <w:bookmarkEnd w:id="966"/>
    <w:bookmarkEnd w:id="967"/>
    <w:bookmarkEnd w:id="968"/>
    <w:p w14:paraId="13CD9628">
      <w:pPr>
        <w:widowControl w:val="0"/>
        <w:kinsoku/>
        <w:autoSpaceDE/>
        <w:autoSpaceDN/>
        <w:adjustRightInd/>
        <w:snapToGrid/>
        <w:spacing w:line="360" w:lineRule="auto"/>
        <w:jc w:val="center"/>
        <w:textAlignment w:val="auto"/>
        <w:rPr>
          <w:rFonts w:hint="eastAsia" w:ascii="宋体" w:hAnsi="Times New Roman" w:eastAsia="宋体" w:cs="Times New Roman"/>
          <w:b/>
          <w:bCs/>
          <w:snapToGrid/>
          <w:color w:val="auto"/>
          <w:kern w:val="2"/>
          <w:sz w:val="32"/>
          <w:szCs w:val="32"/>
          <w:highlight w:val="none"/>
          <w:lang w:val="en-US" w:eastAsia="zh-CN" w:bidi="ar-SA"/>
        </w:rPr>
      </w:pPr>
      <w:r>
        <w:rPr>
          <w:rFonts w:hint="eastAsia" w:ascii="宋体" w:hAnsi="Times New Roman" w:eastAsia="宋体" w:cs="Times New Roman"/>
          <w:b/>
          <w:bCs/>
          <w:snapToGrid/>
          <w:color w:val="auto"/>
          <w:kern w:val="2"/>
          <w:sz w:val="32"/>
          <w:szCs w:val="32"/>
          <w:highlight w:val="none"/>
          <w:lang w:val="en-US" w:eastAsia="zh-CN" w:bidi="ar-SA"/>
        </w:rPr>
        <w:t>施工方案</w:t>
      </w:r>
    </w:p>
    <w:p w14:paraId="17F076B9">
      <w:pPr>
        <w:widowControl w:val="0"/>
        <w:kinsoku/>
        <w:autoSpaceDE/>
        <w:autoSpaceDN/>
        <w:adjustRightInd/>
        <w:snapToGrid/>
        <w:spacing w:line="360" w:lineRule="auto"/>
        <w:jc w:val="center"/>
        <w:textAlignment w:val="auto"/>
        <w:rPr>
          <w:rFonts w:ascii="宋体" w:hAnsi="宋体" w:eastAsia="宋体" w:cs="宋体"/>
          <w:snapToGrid/>
          <w:color w:val="auto"/>
          <w:kern w:val="2"/>
          <w:sz w:val="22"/>
          <w:szCs w:val="21"/>
          <w:highlight w:val="none"/>
          <w:lang w:val="en-US" w:eastAsia="zh-CN" w:bidi="ar-SA"/>
        </w:rPr>
      </w:pPr>
      <w:r>
        <w:rPr>
          <w:rFonts w:hint="eastAsia" w:ascii="宋体" w:hAnsi="宋体" w:eastAsia="宋体" w:cs="宋体"/>
          <w:snapToGrid/>
          <w:color w:val="auto"/>
          <w:kern w:val="2"/>
          <w:sz w:val="22"/>
          <w:szCs w:val="21"/>
          <w:highlight w:val="none"/>
          <w:lang w:val="en-US" w:eastAsia="zh-CN" w:bidi="ar-SA"/>
        </w:rPr>
        <w:t>（由供应商根据项目需求编写）</w:t>
      </w:r>
    </w:p>
    <w:p w14:paraId="496A7B7D">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5C29558B">
      <w:pPr>
        <w:widowControl w:val="0"/>
        <w:kinsoku/>
        <w:autoSpaceDE/>
        <w:autoSpaceDN/>
        <w:adjustRightInd/>
        <w:snapToGrid/>
        <w:spacing w:line="360" w:lineRule="auto"/>
        <w:ind w:firstLine="2" w:firstLineChars="1"/>
        <w:jc w:val="both"/>
        <w:textAlignment w:val="auto"/>
        <w:rPr>
          <w:rFonts w:hint="eastAsia" w:ascii="宋体" w:hAnsi="宋体" w:eastAsia="宋体" w:cs="宋体"/>
          <w:snapToGrid/>
          <w:color w:val="auto"/>
          <w:kern w:val="2"/>
          <w:szCs w:val="21"/>
          <w:highlight w:val="none"/>
          <w:lang w:val="en-US" w:eastAsia="zh-CN" w:bidi="ar-SA"/>
        </w:rPr>
      </w:pPr>
    </w:p>
    <w:p w14:paraId="529B5AD4">
      <w:pPr>
        <w:widowControl w:val="0"/>
        <w:kinsoku/>
        <w:autoSpaceDE/>
        <w:autoSpaceDN/>
        <w:adjustRightInd/>
        <w:snapToGrid/>
        <w:spacing w:line="360" w:lineRule="auto"/>
        <w:ind w:firstLine="2" w:firstLineChars="1"/>
        <w:jc w:val="both"/>
        <w:textAlignment w:val="auto"/>
        <w:rPr>
          <w:rFonts w:hint="eastAsia" w:ascii="宋体" w:hAnsi="宋体" w:eastAsia="宋体" w:cs="宋体"/>
          <w:snapToGrid/>
          <w:color w:val="auto"/>
          <w:kern w:val="2"/>
          <w:szCs w:val="21"/>
          <w:highlight w:val="none"/>
          <w:lang w:val="en-US" w:eastAsia="zh-CN" w:bidi="ar-SA"/>
        </w:rPr>
      </w:pPr>
    </w:p>
    <w:p w14:paraId="39DEF6A9">
      <w:pPr>
        <w:widowControl w:val="0"/>
        <w:kinsoku/>
        <w:autoSpaceDE/>
        <w:autoSpaceDN/>
        <w:adjustRightInd/>
        <w:snapToGrid/>
        <w:spacing w:line="360" w:lineRule="auto"/>
        <w:ind w:firstLine="2" w:firstLineChars="1"/>
        <w:jc w:val="both"/>
        <w:textAlignment w:val="auto"/>
        <w:rPr>
          <w:rFonts w:hint="eastAsia" w:ascii="宋体" w:hAnsi="宋体" w:eastAsia="宋体" w:cs="宋体"/>
          <w:snapToGrid/>
          <w:color w:val="auto"/>
          <w:kern w:val="2"/>
          <w:szCs w:val="21"/>
          <w:highlight w:val="none"/>
          <w:lang w:val="en-US" w:eastAsia="zh-CN" w:bidi="ar-SA"/>
        </w:rPr>
      </w:pPr>
    </w:p>
    <w:p w14:paraId="0BF0E9C3">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供应商：（加盖公章）</w:t>
      </w:r>
    </w:p>
    <w:p w14:paraId="0675E135">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法定代表人或其委托代理人：（签字或盖章）</w:t>
      </w:r>
    </w:p>
    <w:p w14:paraId="38CE3CC3">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年月日</w:t>
      </w:r>
    </w:p>
    <w:p w14:paraId="2B483B24">
      <w:pPr>
        <w:widowControl w:val="0"/>
        <w:kinsoku/>
        <w:autoSpaceDE/>
        <w:autoSpaceDN/>
        <w:adjustRightInd w:val="0"/>
        <w:snapToGrid w:val="0"/>
        <w:spacing w:after="160" w:line="259"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sectPr>
          <w:pgSz w:w="11906" w:h="16838"/>
          <w:pgMar w:top="1417" w:right="1587" w:bottom="1417" w:left="1587" w:header="851" w:footer="992" w:gutter="0"/>
          <w:pgNumType w:fmt="decimal"/>
          <w:cols w:space="425" w:num="1"/>
          <w:docGrid w:type="lines" w:linePitch="312" w:charSpace="0"/>
        </w:sectPr>
      </w:pPr>
    </w:p>
    <w:p w14:paraId="1F7C3D55">
      <w:pPr>
        <w:widowControl w:val="0"/>
        <w:kinsoku/>
        <w:autoSpaceDE/>
        <w:autoSpaceDN/>
        <w:adjustRightInd w:val="0"/>
        <w:snapToGrid w:val="0"/>
        <w:spacing w:after="160" w:line="259" w:lineRule="auto"/>
        <w:jc w:val="both"/>
        <w:textAlignment w:val="auto"/>
        <w:outlineLvl w:val="2"/>
        <w:rPr>
          <w:rFonts w:hint="default"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格式11：</w:t>
      </w:r>
    </w:p>
    <w:p w14:paraId="6B0B0EF7">
      <w:pPr>
        <w:widowControl w:val="0"/>
        <w:kinsoku/>
        <w:autoSpaceDE/>
        <w:autoSpaceDN/>
        <w:adjustRightInd/>
        <w:snapToGrid/>
        <w:spacing w:line="360" w:lineRule="auto"/>
        <w:jc w:val="center"/>
        <w:textAlignment w:val="auto"/>
        <w:rPr>
          <w:rFonts w:ascii="宋体" w:hAnsi="Times New Roman" w:eastAsia="宋体" w:cs="Times New Roman"/>
          <w:b/>
          <w:bCs/>
          <w:snapToGrid/>
          <w:color w:val="auto"/>
          <w:kern w:val="2"/>
          <w:sz w:val="32"/>
          <w:szCs w:val="32"/>
          <w:highlight w:val="none"/>
          <w:lang w:val="en-US" w:eastAsia="zh-CN" w:bidi="ar-SA"/>
        </w:rPr>
      </w:pPr>
      <w:r>
        <w:rPr>
          <w:rFonts w:hint="eastAsia" w:ascii="宋体" w:hAnsi="Times New Roman" w:eastAsia="宋体" w:cs="Times New Roman"/>
          <w:b/>
          <w:bCs/>
          <w:snapToGrid/>
          <w:color w:val="auto"/>
          <w:kern w:val="2"/>
          <w:sz w:val="32"/>
          <w:szCs w:val="32"/>
          <w:highlight w:val="none"/>
          <w:lang w:val="en-US" w:eastAsia="zh-CN" w:bidi="ar-SA"/>
        </w:rPr>
        <w:t>质量承诺及质量保证措施</w:t>
      </w:r>
    </w:p>
    <w:p w14:paraId="608C1820">
      <w:pPr>
        <w:widowControl w:val="0"/>
        <w:kinsoku/>
        <w:autoSpaceDE/>
        <w:autoSpaceDN/>
        <w:adjustRightInd/>
        <w:snapToGrid/>
        <w:spacing w:line="360" w:lineRule="auto"/>
        <w:jc w:val="center"/>
        <w:textAlignment w:val="auto"/>
        <w:rPr>
          <w:rFonts w:ascii="宋体" w:hAnsi="宋体" w:eastAsia="宋体" w:cs="宋体"/>
          <w:snapToGrid/>
          <w:color w:val="auto"/>
          <w:kern w:val="2"/>
          <w:sz w:val="22"/>
          <w:szCs w:val="21"/>
          <w:highlight w:val="none"/>
          <w:lang w:val="en-US" w:eastAsia="zh-CN" w:bidi="ar-SA"/>
        </w:rPr>
      </w:pPr>
      <w:r>
        <w:rPr>
          <w:rFonts w:hint="eastAsia" w:ascii="宋体" w:hAnsi="宋体" w:eastAsia="宋体" w:cs="宋体"/>
          <w:snapToGrid/>
          <w:color w:val="auto"/>
          <w:kern w:val="2"/>
          <w:sz w:val="22"/>
          <w:szCs w:val="21"/>
          <w:highlight w:val="none"/>
          <w:lang w:val="en-US" w:eastAsia="zh-CN" w:bidi="ar-SA"/>
        </w:rPr>
        <w:t>（由供应商根据项目需求编写）</w:t>
      </w:r>
    </w:p>
    <w:p w14:paraId="1C4C1D33">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091303AC">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2183124F">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439F0632">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4AF09692">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01EF8B9F">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31F92A3B">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301C2E94">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供应商：（加盖公章）</w:t>
      </w:r>
    </w:p>
    <w:p w14:paraId="044B9AC7">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法定代表人或其委托代理人：（签字或盖章）</w:t>
      </w:r>
    </w:p>
    <w:p w14:paraId="626EAE68">
      <w:pPr>
        <w:widowControl/>
        <w:kinsoku/>
        <w:autoSpaceDE/>
        <w:autoSpaceDN/>
        <w:adjustRightInd/>
        <w:snapToGrid/>
        <w:spacing w:line="440" w:lineRule="exact"/>
        <w:jc w:val="left"/>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Cs w:val="21"/>
          <w:highlight w:val="none"/>
          <w:lang w:val="en-US" w:eastAsia="zh-CN" w:bidi="ar-SA"/>
        </w:rPr>
        <w:t>年月日</w:t>
      </w:r>
    </w:p>
    <w:p w14:paraId="033181D8">
      <w:pPr>
        <w:widowControl w:val="0"/>
        <w:kinsoku/>
        <w:autoSpaceDE/>
        <w:autoSpaceDN/>
        <w:adjustRightInd w:val="0"/>
        <w:snapToGrid w:val="0"/>
        <w:spacing w:after="160" w:line="360" w:lineRule="auto"/>
        <w:jc w:val="left"/>
        <w:textAlignment w:val="auto"/>
        <w:outlineLvl w:val="9"/>
        <w:rPr>
          <w:rFonts w:hint="eastAsia" w:ascii="宋体" w:hAnsi="宋体" w:eastAsia="宋体" w:cs="Times New Roman"/>
          <w:snapToGrid/>
          <w:kern w:val="0"/>
          <w:szCs w:val="21"/>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50DA8856">
      <w:pPr>
        <w:widowControl w:val="0"/>
        <w:kinsoku/>
        <w:autoSpaceDE/>
        <w:autoSpaceDN/>
        <w:adjustRightInd w:val="0"/>
        <w:snapToGrid w:val="0"/>
        <w:spacing w:after="160" w:line="259" w:lineRule="auto"/>
        <w:jc w:val="both"/>
        <w:textAlignment w:val="auto"/>
        <w:outlineLvl w:val="2"/>
        <w:rPr>
          <w:rFonts w:hint="default"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bookmarkStart w:id="969" w:name="_Toc19847"/>
      <w:bookmarkStart w:id="970" w:name="_Toc21309"/>
      <w:bookmarkStart w:id="971" w:name="_Toc86124091"/>
      <w:bookmarkStart w:id="972" w:name="_Toc29537"/>
      <w:bookmarkStart w:id="973" w:name="_Toc192"/>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格式12：</w:t>
      </w:r>
    </w:p>
    <w:p w14:paraId="3350815D">
      <w:pPr>
        <w:widowControl w:val="0"/>
        <w:kinsoku/>
        <w:autoSpaceDE/>
        <w:autoSpaceDN/>
        <w:adjustRightInd/>
        <w:snapToGrid/>
        <w:spacing w:line="360" w:lineRule="auto"/>
        <w:jc w:val="center"/>
        <w:textAlignment w:val="auto"/>
        <w:rPr>
          <w:rFonts w:ascii="宋体" w:hAnsi="Times New Roman" w:eastAsia="宋体" w:cs="Times New Roman"/>
          <w:b/>
          <w:bCs/>
          <w:snapToGrid/>
          <w:color w:val="auto"/>
          <w:kern w:val="2"/>
          <w:sz w:val="32"/>
          <w:szCs w:val="32"/>
          <w:highlight w:val="none"/>
          <w:lang w:val="en-US" w:eastAsia="zh-CN" w:bidi="ar-SA"/>
        </w:rPr>
      </w:pPr>
      <w:r>
        <w:rPr>
          <w:rFonts w:hint="eastAsia" w:ascii="宋体" w:hAnsi="Times New Roman" w:eastAsia="宋体" w:cs="Times New Roman"/>
          <w:b/>
          <w:bCs/>
          <w:snapToGrid/>
          <w:color w:val="auto"/>
          <w:kern w:val="2"/>
          <w:sz w:val="32"/>
          <w:szCs w:val="32"/>
          <w:highlight w:val="none"/>
          <w:lang w:val="en-US" w:eastAsia="zh-CN" w:bidi="ar-SA"/>
        </w:rPr>
        <w:t>工期承诺及保证措施</w:t>
      </w:r>
    </w:p>
    <w:p w14:paraId="7C2B5B99">
      <w:pPr>
        <w:widowControl w:val="0"/>
        <w:kinsoku/>
        <w:autoSpaceDE/>
        <w:autoSpaceDN/>
        <w:adjustRightInd/>
        <w:snapToGrid/>
        <w:spacing w:line="360" w:lineRule="auto"/>
        <w:jc w:val="center"/>
        <w:textAlignment w:val="auto"/>
        <w:rPr>
          <w:rFonts w:ascii="宋体" w:hAnsi="宋体" w:eastAsia="宋体" w:cs="宋体"/>
          <w:snapToGrid/>
          <w:color w:val="auto"/>
          <w:kern w:val="2"/>
          <w:sz w:val="22"/>
          <w:szCs w:val="21"/>
          <w:highlight w:val="none"/>
          <w:lang w:val="en-US" w:eastAsia="zh-CN" w:bidi="ar-SA"/>
        </w:rPr>
      </w:pPr>
      <w:r>
        <w:rPr>
          <w:rFonts w:hint="eastAsia" w:ascii="宋体" w:hAnsi="宋体" w:eastAsia="宋体" w:cs="宋体"/>
          <w:snapToGrid/>
          <w:color w:val="auto"/>
          <w:kern w:val="2"/>
          <w:sz w:val="22"/>
          <w:szCs w:val="21"/>
          <w:highlight w:val="none"/>
          <w:lang w:val="en-US" w:eastAsia="zh-CN" w:bidi="ar-SA"/>
        </w:rPr>
        <w:t>（由供应商根据项目需求编写）</w:t>
      </w:r>
    </w:p>
    <w:p w14:paraId="23DF6183">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5DBE408D">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4E3C2A4B">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5B7ADC93">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69E606BD">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49E3941C">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354454A5">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748CFF62">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供应商：（加盖公章）</w:t>
      </w:r>
    </w:p>
    <w:p w14:paraId="09A72A52">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法定代表人或其委托代理人：（签字或盖章）</w:t>
      </w:r>
    </w:p>
    <w:p w14:paraId="223EBCC6">
      <w:pPr>
        <w:widowControl/>
        <w:kinsoku/>
        <w:autoSpaceDE/>
        <w:autoSpaceDN/>
        <w:adjustRightInd/>
        <w:snapToGrid/>
        <w:spacing w:line="440" w:lineRule="exact"/>
        <w:jc w:val="left"/>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Cs w:val="21"/>
          <w:highlight w:val="none"/>
          <w:lang w:val="en-US" w:eastAsia="zh-CN" w:bidi="ar-SA"/>
        </w:rPr>
        <w:t>年月日</w:t>
      </w:r>
    </w:p>
    <w:p w14:paraId="6ABFC488">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sectPr>
          <w:pgSz w:w="11906" w:h="16838"/>
          <w:pgMar w:top="1440" w:right="1800" w:bottom="1440" w:left="1800" w:header="851" w:footer="992" w:gutter="0"/>
          <w:pgNumType w:fmt="decimal"/>
          <w:cols w:space="425" w:num="1"/>
          <w:docGrid w:type="lines" w:linePitch="312" w:charSpace="0"/>
        </w:sectPr>
      </w:pPr>
    </w:p>
    <w:p w14:paraId="0A3A1AA2">
      <w:pPr>
        <w:widowControl w:val="0"/>
        <w:kinsoku/>
        <w:autoSpaceDE/>
        <w:autoSpaceDN/>
        <w:adjustRightInd w:val="0"/>
        <w:snapToGrid w:val="0"/>
        <w:spacing w:after="160" w:line="259" w:lineRule="auto"/>
        <w:jc w:val="both"/>
        <w:textAlignment w:val="auto"/>
        <w:outlineLvl w:val="2"/>
        <w:rPr>
          <w:rFonts w:hint="default"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格式13：</w:t>
      </w:r>
    </w:p>
    <w:p w14:paraId="309CA5AB">
      <w:pPr>
        <w:widowControl w:val="0"/>
        <w:kinsoku/>
        <w:autoSpaceDE/>
        <w:autoSpaceDN/>
        <w:adjustRightInd/>
        <w:snapToGrid/>
        <w:spacing w:line="360" w:lineRule="auto"/>
        <w:jc w:val="center"/>
        <w:textAlignment w:val="auto"/>
        <w:rPr>
          <w:rFonts w:ascii="宋体" w:hAnsi="Times New Roman" w:eastAsia="宋体" w:cs="Times New Roman"/>
          <w:b/>
          <w:bCs/>
          <w:snapToGrid/>
          <w:color w:val="auto"/>
          <w:kern w:val="2"/>
          <w:sz w:val="32"/>
          <w:szCs w:val="32"/>
          <w:highlight w:val="none"/>
          <w:lang w:val="en-US" w:eastAsia="zh-CN" w:bidi="ar-SA"/>
        </w:rPr>
      </w:pPr>
      <w:r>
        <w:rPr>
          <w:rFonts w:hint="eastAsia" w:ascii="宋体" w:hAnsi="Times New Roman" w:eastAsia="宋体" w:cs="Times New Roman"/>
          <w:b/>
          <w:bCs/>
          <w:snapToGrid/>
          <w:color w:val="auto"/>
          <w:kern w:val="2"/>
          <w:sz w:val="32"/>
          <w:szCs w:val="32"/>
          <w:highlight w:val="none"/>
          <w:lang w:val="en-US" w:eastAsia="zh-CN" w:bidi="ar-SA"/>
        </w:rPr>
        <w:t>项目管理人员配置</w:t>
      </w:r>
    </w:p>
    <w:p w14:paraId="29AE6F8C">
      <w:pPr>
        <w:widowControl w:val="0"/>
        <w:kinsoku/>
        <w:autoSpaceDE/>
        <w:autoSpaceDN/>
        <w:adjustRightInd/>
        <w:snapToGrid/>
        <w:spacing w:line="360" w:lineRule="auto"/>
        <w:jc w:val="center"/>
        <w:textAlignment w:val="auto"/>
        <w:rPr>
          <w:rFonts w:ascii="宋体" w:hAnsi="宋体" w:eastAsia="宋体" w:cs="宋体"/>
          <w:snapToGrid/>
          <w:color w:val="auto"/>
          <w:kern w:val="2"/>
          <w:sz w:val="22"/>
          <w:szCs w:val="21"/>
          <w:highlight w:val="none"/>
          <w:lang w:val="en-US" w:eastAsia="zh-CN" w:bidi="ar-SA"/>
        </w:rPr>
      </w:pPr>
      <w:r>
        <w:rPr>
          <w:rFonts w:hint="eastAsia" w:ascii="宋体" w:hAnsi="宋体" w:eastAsia="宋体" w:cs="宋体"/>
          <w:snapToGrid/>
          <w:color w:val="auto"/>
          <w:kern w:val="2"/>
          <w:sz w:val="22"/>
          <w:szCs w:val="21"/>
          <w:highlight w:val="none"/>
          <w:lang w:val="en-US" w:eastAsia="zh-CN" w:bidi="ar-SA"/>
        </w:rPr>
        <w:t>（由供应商根据项目需求编写）</w:t>
      </w:r>
    </w:p>
    <w:p w14:paraId="1F0C41A8">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343744C7">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6D3F2AF0">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32A5F143">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22E67D4C">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4B933F93">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55E88C6E">
      <w:pPr>
        <w:widowControl w:val="0"/>
        <w:kinsoku/>
        <w:autoSpaceDE/>
        <w:autoSpaceDN/>
        <w:adjustRightInd/>
        <w:snapToGrid/>
        <w:spacing w:line="360" w:lineRule="auto"/>
        <w:jc w:val="both"/>
        <w:textAlignment w:val="auto"/>
        <w:rPr>
          <w:rFonts w:ascii="宋体" w:hAnsi="宋体" w:eastAsia="宋体" w:cs="宋体"/>
          <w:snapToGrid/>
          <w:color w:val="auto"/>
          <w:kern w:val="2"/>
          <w:szCs w:val="24"/>
          <w:highlight w:val="none"/>
          <w:lang w:val="en-US" w:eastAsia="zh-CN" w:bidi="ar-SA"/>
        </w:rPr>
      </w:pPr>
    </w:p>
    <w:p w14:paraId="66D441BB">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供应商：（加盖公章）</w:t>
      </w:r>
    </w:p>
    <w:p w14:paraId="24D7A81A">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法定代表人或其委托代理人：（签字或盖章）</w:t>
      </w:r>
    </w:p>
    <w:p w14:paraId="1D22EB27">
      <w:pPr>
        <w:widowControl/>
        <w:kinsoku/>
        <w:autoSpaceDE/>
        <w:autoSpaceDN/>
        <w:adjustRightInd/>
        <w:snapToGrid/>
        <w:spacing w:line="440" w:lineRule="exact"/>
        <w:jc w:val="left"/>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Cs w:val="21"/>
          <w:highlight w:val="none"/>
          <w:lang w:val="en-US" w:eastAsia="zh-CN" w:bidi="ar-SA"/>
        </w:rPr>
        <w:t>年月日</w:t>
      </w:r>
    </w:p>
    <w:p w14:paraId="5A83DE16">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sectPr>
          <w:pgSz w:w="11906" w:h="16838"/>
          <w:pgMar w:top="1440" w:right="1800" w:bottom="1440" w:left="1800" w:header="851" w:footer="992" w:gutter="0"/>
          <w:pgNumType w:fmt="decimal"/>
          <w:cols w:space="425" w:num="1"/>
          <w:docGrid w:type="lines" w:linePitch="312" w:charSpace="0"/>
        </w:sectPr>
      </w:pPr>
    </w:p>
    <w:p w14:paraId="1E88FD2A">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 xml:space="preserve">第五章  </w:t>
      </w:r>
      <w:bookmarkEnd w:id="969"/>
      <w:bookmarkEnd w:id="970"/>
      <w:bookmarkEnd w:id="971"/>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采购需求</w:t>
      </w:r>
      <w:bookmarkEnd w:id="972"/>
      <w:bookmarkEnd w:id="973"/>
    </w:p>
    <w:p w14:paraId="5DC31FCF">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default" w:ascii="宋体" w:hAnsi="宋体" w:eastAsia="宋体" w:cs="宋体"/>
          <w:b/>
          <w:bCs/>
          <w:snapToGrid/>
          <w:color w:val="auto"/>
          <w:kern w:val="2"/>
          <w:sz w:val="24"/>
          <w:szCs w:val="24"/>
          <w:highlight w:val="none"/>
          <w:lang w:val="en-US" w:eastAsia="zh-CN" w:bidi="ar-SA"/>
        </w:rPr>
      </w:pPr>
      <w:bookmarkStart w:id="974" w:name="_Toc12920"/>
      <w:bookmarkStart w:id="975" w:name="_Toc29068"/>
      <w:r>
        <w:rPr>
          <w:rFonts w:hint="eastAsia" w:ascii="宋体" w:hAnsi="宋体" w:eastAsia="宋体" w:cs="宋体"/>
          <w:b/>
          <w:bCs/>
          <w:snapToGrid/>
          <w:color w:val="auto"/>
          <w:kern w:val="2"/>
          <w:sz w:val="24"/>
          <w:szCs w:val="24"/>
          <w:highlight w:val="none"/>
          <w:lang w:val="en-US" w:eastAsia="zh-CN" w:bidi="ar-SA"/>
        </w:rPr>
        <w:t>一、项目基本内容：</w:t>
      </w:r>
      <w:bookmarkEnd w:id="974"/>
      <w:bookmarkEnd w:id="975"/>
    </w:p>
    <w:p w14:paraId="24F5A604">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1.项目名称：</w:t>
      </w:r>
      <w:r>
        <w:rPr>
          <w:rFonts w:hint="eastAsia" w:ascii="宋体" w:hAnsi="宋体" w:eastAsia="宋体" w:cs="宋体"/>
          <w:b w:val="0"/>
          <w:bCs w:val="0"/>
          <w:snapToGrid/>
          <w:color w:val="auto"/>
          <w:kern w:val="0"/>
          <w:sz w:val="22"/>
          <w:szCs w:val="22"/>
          <w:highlight w:val="none"/>
          <w:vertAlign w:val="baseline"/>
          <w:lang w:val="zh-CN" w:eastAsia="zh-CN" w:bidi="ar-SA"/>
        </w:rPr>
        <w:t>耿马县2024年小型水库维修养护工程</w:t>
      </w:r>
      <w:r>
        <w:rPr>
          <w:rFonts w:hint="eastAsia" w:ascii="宋体" w:hAnsi="宋体" w:eastAsia="宋体" w:cs="宋体"/>
          <w:b w:val="0"/>
          <w:bCs w:val="0"/>
          <w:snapToGrid/>
          <w:color w:val="auto"/>
          <w:kern w:val="0"/>
          <w:sz w:val="22"/>
          <w:szCs w:val="22"/>
          <w:highlight w:val="none"/>
          <w:vertAlign w:val="baseline"/>
          <w:lang w:val="en-US" w:eastAsia="zh-CN" w:bidi="ar-SA"/>
        </w:rPr>
        <w:t>第三标段</w:t>
      </w:r>
      <w:r>
        <w:rPr>
          <w:rFonts w:hint="eastAsia" w:ascii="宋体" w:hAnsi="宋体" w:eastAsia="宋体" w:cs="宋体"/>
          <w:snapToGrid/>
          <w:color w:val="auto"/>
          <w:kern w:val="2"/>
          <w:sz w:val="22"/>
          <w:szCs w:val="22"/>
          <w:highlight w:val="none"/>
          <w:lang w:val="en-US" w:eastAsia="zh-CN" w:bidi="ar-SA"/>
        </w:rPr>
        <w:t>；</w:t>
      </w:r>
    </w:p>
    <w:p w14:paraId="1BA13B8F">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2.采购方式：竞争性磋商；</w:t>
      </w:r>
    </w:p>
    <w:p w14:paraId="1D20A5DC">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3.预算金额：71104.25元</w:t>
      </w:r>
    </w:p>
    <w:p w14:paraId="3DB7E151">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4.最高限价：71104.25元</w:t>
      </w:r>
    </w:p>
    <w:p w14:paraId="26DFAF37">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5.建设规模：耿马县2024年小型水库维修养护工程均为水库工程，分别为者卖水库、场部水库、箐门口水库、大浪坝水库、华侨五队二坝水库、坝卡水库、大路脚水库。7座水库包括小（一）型水库3座，小（二）型水库4座。根据《防洪标准》（GB50201-2014）及《水利水电工程等级划分及洪水标准》（SL252-2017）规定：小（一）型水库工程，工程等别为Ⅳ等其主要建筑物级别为4级，次要建筑物为5级，临时建筑物为5级防洪标准采用山区的规定确定设计洪水重现期标准为P-30年一遇（0.33%）。校核洪水重现期标准为P=即300年一遇（0.33%）永久性泄水建筑物消能防冲设计洪水标准为P=5%（20年遇）；小（二）型水库工程，工程等别为V等，其主要建筑物级别为5级，次要建筑物为5级，临时建筑物为5级。防洪标准采用山区的规定确定设计洪水重现期标准为P=20年一</w:t>
      </w:r>
      <w:r>
        <w:rPr>
          <w:rFonts w:hint="eastAsia" w:ascii="宋体" w:hAnsi="宋体" w:eastAsia="宋体" w:cs="宋体"/>
          <w:sz w:val="22"/>
          <w:szCs w:val="22"/>
          <w:highlight w:val="none"/>
          <w:lang w:val="en-US" w:eastAsia="zh-CN" w:bidi="zh-CN"/>
        </w:rPr>
        <w:t>遇（5%）校核洪水重现期标准为P=即200年一遇（0.5%）。永久性泄水建筑物消能防冲设计洪水标准为P=10%（10年一遇）。</w:t>
      </w:r>
    </w:p>
    <w:p w14:paraId="04783255">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6.建设内容：</w:t>
      </w:r>
    </w:p>
    <w:p w14:paraId="52E72E28">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水库安全运行管护工程：印制水库安全知识宣传册、水库运行管理规定告知书、安全警示牌、大坝安全责任公示牌。</w:t>
      </w:r>
    </w:p>
    <w:p w14:paraId="63B94901">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napToGrid/>
          <w:color w:val="auto"/>
          <w:kern w:val="0"/>
          <w:sz w:val="22"/>
          <w:szCs w:val="22"/>
          <w:highlight w:val="none"/>
          <w:lang w:val="en-US" w:eastAsia="zh-CN" w:bidi="ar-SA"/>
        </w:rPr>
        <w:t>7.</w:t>
      </w:r>
      <w:r>
        <w:rPr>
          <w:rFonts w:hint="eastAsia" w:ascii="宋体" w:hAnsi="宋体" w:eastAsia="宋体" w:cs="宋体"/>
          <w:sz w:val="22"/>
          <w:szCs w:val="22"/>
          <w:highlight w:val="none"/>
          <w:lang w:val="en-US" w:eastAsia="zh-CN" w:bidi="zh-CN"/>
        </w:rPr>
        <w:t>采购范围：</w:t>
      </w:r>
      <w:r>
        <w:rPr>
          <w:rFonts w:hint="eastAsia" w:ascii="宋体" w:hAnsi="宋体" w:eastAsia="宋体" w:cs="宋体"/>
          <w:color w:val="auto"/>
          <w:kern w:val="0"/>
          <w:sz w:val="22"/>
          <w:szCs w:val="22"/>
          <w:highlight w:val="none"/>
          <w:lang w:val="en-US" w:eastAsia="zh-CN"/>
        </w:rPr>
        <w:t>完成</w:t>
      </w:r>
      <w:r>
        <w:rPr>
          <w:rFonts w:hint="eastAsia" w:ascii="宋体" w:hAnsi="宋体" w:eastAsia="宋体" w:cs="宋体"/>
          <w:sz w:val="22"/>
          <w:szCs w:val="22"/>
          <w:highlight w:val="none"/>
          <w:lang w:val="zh-CN" w:eastAsia="zh-CN" w:bidi="zh-CN"/>
        </w:rPr>
        <w:t>耿马县2024年小型水库维修养护工程</w:t>
      </w:r>
      <w:r>
        <w:rPr>
          <w:rFonts w:hint="eastAsia" w:ascii="宋体" w:hAnsi="宋体" w:eastAsia="宋体" w:cs="宋体"/>
          <w:sz w:val="22"/>
          <w:szCs w:val="22"/>
          <w:highlight w:val="none"/>
          <w:lang w:val="en-US" w:eastAsia="zh-CN" w:bidi="zh-CN"/>
        </w:rPr>
        <w:t>第三标段</w:t>
      </w:r>
      <w:r>
        <w:rPr>
          <w:rFonts w:hint="eastAsia" w:ascii="宋体" w:hAnsi="宋体" w:eastAsia="宋体" w:cs="宋体"/>
          <w:b w:val="0"/>
          <w:bCs w:val="0"/>
          <w:color w:val="auto"/>
          <w:kern w:val="0"/>
          <w:sz w:val="22"/>
          <w:szCs w:val="22"/>
          <w:highlight w:val="none"/>
          <w:vertAlign w:val="baseline"/>
          <w:lang w:val="en-US" w:eastAsia="zh-CN"/>
        </w:rPr>
        <w:t>的全部建设内容，包含</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水库安全运行管护工程，</w:t>
      </w:r>
      <w:r>
        <w:rPr>
          <w:rFonts w:hint="eastAsia" w:ascii="宋体" w:hAnsi="宋体" w:eastAsia="宋体" w:cs="宋体"/>
          <w:b w:val="0"/>
          <w:bCs w:val="0"/>
          <w:color w:val="auto"/>
          <w:kern w:val="0"/>
          <w:sz w:val="22"/>
          <w:szCs w:val="22"/>
          <w:highlight w:val="none"/>
          <w:vertAlign w:val="baseline"/>
          <w:lang w:val="en-US" w:eastAsia="zh-CN"/>
        </w:rPr>
        <w:t>具体内容详见招标工程量清单。</w:t>
      </w:r>
    </w:p>
    <w:p w14:paraId="28D2C5DC">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8.工期：90日历天。</w:t>
      </w:r>
    </w:p>
    <w:p w14:paraId="57208847">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9.建设地点：项目位于耿马县境内</w:t>
      </w:r>
      <w:r>
        <w:rPr>
          <w:rFonts w:hint="eastAsia" w:ascii="宋体" w:hAnsi="宋体" w:eastAsia="宋体" w:cs="宋体"/>
          <w:snapToGrid/>
          <w:color w:val="auto"/>
          <w:kern w:val="0"/>
          <w:sz w:val="22"/>
          <w:szCs w:val="22"/>
          <w:highlight w:val="none"/>
          <w:lang w:val="en-US" w:eastAsia="zh-CN" w:bidi="ar-SA"/>
        </w:rPr>
        <w:t>。</w:t>
      </w:r>
    </w:p>
    <w:p w14:paraId="3F989C57">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default"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10.质量要求：按现行的国家及水利行业相关法律法规、规范及相关技术要求，一次性验收合格，且根据水利行业相关要求实行质量终身责任制。</w:t>
      </w:r>
    </w:p>
    <w:p w14:paraId="492B6C40">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11.本项目（否）接受联合体竞标。</w:t>
      </w:r>
    </w:p>
    <w:p w14:paraId="256410FE">
      <w:pPr>
        <w:keepNext/>
        <w:widowControl w:val="0"/>
        <w:autoSpaceDE w:val="0"/>
        <w:autoSpaceDN w:val="0"/>
        <w:adjustRightInd w:val="0"/>
        <w:jc w:val="center"/>
        <w:outlineLvl w:val="9"/>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p>
    <w:p w14:paraId="0B197560">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宋体" w:hAnsi="宋体" w:eastAsia="宋体" w:cs="宋体"/>
          <w:b/>
          <w:bCs/>
          <w:snapToGrid/>
          <w:color w:val="auto"/>
          <w:kern w:val="2"/>
          <w:sz w:val="24"/>
          <w:szCs w:val="24"/>
          <w:highlight w:val="none"/>
          <w:lang w:val="en-US" w:eastAsia="zh-CN" w:bidi="ar-SA"/>
        </w:rPr>
      </w:pPr>
      <w:bookmarkStart w:id="976" w:name="_Toc2467"/>
      <w:bookmarkStart w:id="977" w:name="_Toc15498"/>
      <w:r>
        <w:rPr>
          <w:rFonts w:hint="eastAsia" w:ascii="宋体" w:hAnsi="宋体" w:eastAsia="宋体" w:cs="宋体"/>
          <w:b/>
          <w:bCs/>
          <w:snapToGrid/>
          <w:color w:val="auto"/>
          <w:kern w:val="2"/>
          <w:sz w:val="24"/>
          <w:szCs w:val="24"/>
          <w:highlight w:val="none"/>
          <w:lang w:val="en-US" w:eastAsia="zh-CN" w:bidi="ar-SA"/>
        </w:rPr>
        <w:t>二、招标工程量清单及编制说明</w:t>
      </w:r>
      <w:bookmarkEnd w:id="976"/>
      <w:bookmarkEnd w:id="977"/>
    </w:p>
    <w:p w14:paraId="10E815E6">
      <w:pPr>
        <w:ind w:firstLine="440" w:firstLineChars="200"/>
        <w:rPr>
          <w:rFonts w:hint="eastAsia" w:ascii="宋体" w:hAnsi="宋体" w:eastAsia="宋体" w:cs="宋体"/>
          <w:b w:val="0"/>
          <w:bCs w:val="0"/>
          <w:snapToGrid/>
          <w:color w:val="auto"/>
          <w:kern w:val="2"/>
          <w:sz w:val="22"/>
          <w:szCs w:val="22"/>
          <w:highlight w:val="none"/>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val="0"/>
          <w:bCs w:val="0"/>
          <w:snapToGrid/>
          <w:color w:val="auto"/>
          <w:kern w:val="2"/>
          <w:sz w:val="22"/>
          <w:szCs w:val="22"/>
          <w:highlight w:val="none"/>
          <w:lang w:val="en-US" w:eastAsia="zh-CN" w:bidi="ar-SA"/>
        </w:rPr>
        <w:t>另附。</w:t>
      </w:r>
    </w:p>
    <w:p w14:paraId="15DF26C7">
      <w:pPr>
        <w:keepNext/>
        <w:keepLines/>
        <w:widowControl w:val="0"/>
        <w:numPr>
          <w:ilvl w:val="0"/>
          <w:numId w:val="0"/>
        </w:numPr>
        <w:spacing w:before="0" w:after="0" w:line="360" w:lineRule="auto"/>
        <w:jc w:val="center"/>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bookmarkStart w:id="978" w:name="_Toc26618"/>
      <w:bookmarkStart w:id="979" w:name="_Toc134284779"/>
      <w:bookmarkStart w:id="980" w:name="_Toc134284748"/>
      <w:bookmarkStart w:id="981" w:name="_Toc18307"/>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 xml:space="preserve">第六章  </w:t>
      </w:r>
      <w:bookmarkEnd w:id="978"/>
      <w:bookmarkEnd w:id="979"/>
      <w:bookmarkEnd w:id="980"/>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磋商程序和方法</w:t>
      </w:r>
      <w:bookmarkEnd w:id="981"/>
    </w:p>
    <w:p w14:paraId="2AED0B6E">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982" w:name="_Toc134284780"/>
      <w:bookmarkStart w:id="983" w:name="_Toc28028"/>
      <w:bookmarkStart w:id="984" w:name="_Toc134284749"/>
      <w:bookmarkStart w:id="985" w:name="_Toc75729752"/>
      <w:bookmarkStart w:id="986" w:name="_Toc4202"/>
      <w:r>
        <w:rPr>
          <w:rFonts w:hint="eastAsia" w:ascii="宋体" w:hAnsi="宋体" w:eastAsia="宋体" w:cs="宋体"/>
          <w:b/>
          <w:color w:val="auto"/>
          <w:kern w:val="2"/>
          <w:sz w:val="22"/>
          <w:szCs w:val="22"/>
          <w:highlight w:val="none"/>
          <w:lang w:val="en-US" w:eastAsia="zh-CN" w:bidi="ar-SA"/>
        </w:rPr>
        <w:t>一、磋商小组</w:t>
      </w:r>
      <w:bookmarkEnd w:id="982"/>
      <w:bookmarkEnd w:id="983"/>
      <w:bookmarkEnd w:id="984"/>
      <w:bookmarkEnd w:id="985"/>
      <w:bookmarkEnd w:id="986"/>
    </w:p>
    <w:p w14:paraId="040AE71F">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 本次磋商采购项目依法组建磋商小组；</w:t>
      </w:r>
    </w:p>
    <w:p w14:paraId="32A89896">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 磋商原则：依照“公平、公正、科学、合法、保密”原则；</w:t>
      </w:r>
    </w:p>
    <w:p w14:paraId="6F67C6E6">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1.3 磋商小组在磋商中，不得透露磋商的相关信息。磋商文件有实质性变动的，磋商小组将告知所有参加磋商的磋商申请人。</w:t>
      </w:r>
    </w:p>
    <w:p w14:paraId="02EFEA11">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 为有助于报价文件的审查、评价和比较，磋商小组可对磋商申请人进行技术质疑、询问，磋商申请人在要求的时限内给予澄清或答疑。</w:t>
      </w:r>
    </w:p>
    <w:p w14:paraId="0ECECCB3">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987" w:name="_Toc134284781"/>
      <w:bookmarkStart w:id="988" w:name="_Toc75729753"/>
      <w:bookmarkStart w:id="989" w:name="_Toc7702"/>
      <w:bookmarkStart w:id="990" w:name="_Toc134284750"/>
      <w:bookmarkStart w:id="991" w:name="_Toc8078"/>
      <w:r>
        <w:rPr>
          <w:rFonts w:hint="eastAsia" w:ascii="宋体" w:hAnsi="宋体" w:eastAsia="宋体" w:cs="宋体"/>
          <w:b/>
          <w:color w:val="auto"/>
          <w:kern w:val="2"/>
          <w:sz w:val="22"/>
          <w:szCs w:val="22"/>
          <w:highlight w:val="none"/>
          <w:lang w:val="en-US" w:eastAsia="zh-CN" w:bidi="ar-SA"/>
        </w:rPr>
        <w:t>二、磋商程序</w:t>
      </w:r>
      <w:bookmarkEnd w:id="987"/>
      <w:bookmarkEnd w:id="988"/>
      <w:bookmarkEnd w:id="989"/>
      <w:bookmarkEnd w:id="990"/>
      <w:bookmarkEnd w:id="991"/>
    </w:p>
    <w:p w14:paraId="51323059">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2.1 磋商会将于竞争性磋商文件规定的时间进行，磋商小组成员和采购人的代表出席，按随机抽取的方式和顺序与各磋商申请人逐一进行磋商；</w:t>
      </w:r>
    </w:p>
    <w:p w14:paraId="4FF795F5">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2.2 磋商会开始时，由磋商代理机构的工作人员对磋商文件的密封标记情况及磋商申请人的资格、资质进行检查，确认无误后作为有效磋商响应文件当众启封、参加磋商会的磋商申请人代表应签名报到以证明其出席。</w:t>
      </w:r>
      <w:bookmarkStart w:id="992" w:name="_Toc17009857"/>
    </w:p>
    <w:p w14:paraId="1712F5C1">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2.3 各磋商申请人经过磋商，按最初磋商的顺序有一次最终报价的机会。</w:t>
      </w:r>
    </w:p>
    <w:p w14:paraId="445F13EC">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 有以下情形之一者，将作为无效磋商响应文件处理：</w:t>
      </w:r>
    </w:p>
    <w:p w14:paraId="62368AA1">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2.4.1 磋商响应文件逾期送达的；</w:t>
      </w:r>
    </w:p>
    <w:p w14:paraId="09C75AE7">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2.4.2 磋商响应文件未按竞争性磋商文件要求密封的；</w:t>
      </w:r>
    </w:p>
    <w:p w14:paraId="2FF0858D">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2.4.3 没有在“报价一览表”中明确初次报价的；</w:t>
      </w:r>
    </w:p>
    <w:p w14:paraId="62CA0699">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2.4.4 磋商响应文件未按竞争性磋商文件要求加盖法定代表人印章或法定代表人未签名的；</w:t>
      </w:r>
    </w:p>
    <w:p w14:paraId="644D6778">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2.4.5 原则上磋商响应文件未按规定的格式、内容和要求填写的；</w:t>
      </w:r>
    </w:p>
    <w:p w14:paraId="0296427B">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2.4.6 磋商响应文件书写潦草、字迹模糊不清难以辨认的；</w:t>
      </w:r>
    </w:p>
    <w:p w14:paraId="5C243868">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2.4.7 未按竞争性磋商文件要求提供法人或者其他组织的营业执照等证明文件复印件（需加盖公章）的；</w:t>
      </w:r>
    </w:p>
    <w:p w14:paraId="63E45725">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2.4.8 法人委托代理人参加磋商会，但无法人代表授权委托书的。</w:t>
      </w:r>
    </w:p>
    <w:p w14:paraId="5655950C">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2.5 澄清</w:t>
      </w:r>
      <w:bookmarkEnd w:id="992"/>
      <w:r>
        <w:rPr>
          <w:rFonts w:hint="eastAsia" w:ascii="宋体" w:hAnsi="宋体" w:eastAsia="宋体" w:cs="宋体"/>
          <w:snapToGrid/>
          <w:color w:val="auto"/>
          <w:kern w:val="2"/>
          <w:sz w:val="22"/>
          <w:szCs w:val="22"/>
          <w:highlight w:val="none"/>
          <w:lang w:val="en-US" w:eastAsia="zh-CN" w:bidi="ar-SA"/>
        </w:rPr>
        <w:t>：磋商会开始后，磋商小组认为有利于磋商，可随时请磋商申请人对其磋商响应文件中的某些内容予以澄清。澄清的要求和答复都应以书面形式记录，并由磋商申请人法定代表人或委托代理人签字或盖章，作为磋商响应文件的组成部分。</w:t>
      </w:r>
    </w:p>
    <w:p w14:paraId="4DA1FDC2">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2.6 所有磋商响应文件不符合竞争性磋商要求或超过预算时，磋商小组可否决所有磋商响应文件并不做任何解释。</w:t>
      </w:r>
    </w:p>
    <w:p w14:paraId="2BB5542C">
      <w:pPr>
        <w:keepNext/>
        <w:keepLines/>
        <w:widowControl w:val="0"/>
        <w:spacing w:before="0" w:after="0" w:line="360" w:lineRule="auto"/>
        <w:jc w:val="both"/>
        <w:outlineLvl w:val="1"/>
        <w:rPr>
          <w:rFonts w:hint="eastAsia" w:ascii="宋体" w:hAnsi="宋体" w:eastAsia="宋体" w:cs="宋体"/>
          <w:b/>
          <w:color w:val="auto"/>
          <w:kern w:val="2"/>
          <w:sz w:val="22"/>
          <w:szCs w:val="22"/>
          <w:highlight w:val="none"/>
          <w:lang w:val="en-US" w:eastAsia="zh-CN" w:bidi="ar-SA"/>
        </w:rPr>
      </w:pPr>
      <w:bookmarkStart w:id="993" w:name="_Toc134284783"/>
      <w:bookmarkStart w:id="994" w:name="_Toc75729755"/>
      <w:bookmarkStart w:id="995" w:name="_Toc29523"/>
      <w:bookmarkStart w:id="996" w:name="_Toc29032"/>
      <w:bookmarkStart w:id="997" w:name="_Toc134284752"/>
      <w:r>
        <w:rPr>
          <w:rFonts w:hint="eastAsia" w:ascii="宋体" w:hAnsi="宋体" w:eastAsia="宋体" w:cs="宋体"/>
          <w:b/>
          <w:color w:val="auto"/>
          <w:kern w:val="2"/>
          <w:sz w:val="22"/>
          <w:szCs w:val="22"/>
          <w:highlight w:val="none"/>
          <w:lang w:val="en-US" w:eastAsia="zh-CN" w:bidi="ar-SA"/>
        </w:rPr>
        <w:t>四、</w:t>
      </w:r>
      <w:bookmarkStart w:id="998" w:name="_Toc17009861"/>
      <w:bookmarkStart w:id="999" w:name="_Toc153009368"/>
      <w:r>
        <w:rPr>
          <w:rFonts w:hint="eastAsia" w:ascii="宋体" w:hAnsi="宋体" w:eastAsia="宋体" w:cs="宋体"/>
          <w:b/>
          <w:color w:val="auto"/>
          <w:kern w:val="2"/>
          <w:sz w:val="22"/>
          <w:szCs w:val="22"/>
          <w:highlight w:val="none"/>
          <w:lang w:val="en-US" w:eastAsia="zh-CN" w:bidi="ar-SA"/>
        </w:rPr>
        <w:t>授予合同</w:t>
      </w:r>
      <w:bookmarkEnd w:id="993"/>
      <w:bookmarkEnd w:id="994"/>
      <w:bookmarkEnd w:id="995"/>
      <w:bookmarkEnd w:id="996"/>
      <w:bookmarkEnd w:id="997"/>
    </w:p>
    <w:p w14:paraId="784DB8C1">
      <w:pPr>
        <w:widowControl w:val="0"/>
        <w:kinsoku/>
        <w:autoSpaceDE/>
        <w:autoSpaceDN/>
        <w:adjustRightInd/>
        <w:snapToGrid/>
        <w:spacing w:line="360" w:lineRule="auto"/>
        <w:ind w:firstLine="542"/>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4.1 成交通知</w:t>
      </w:r>
      <w:bookmarkEnd w:id="998"/>
      <w:bookmarkEnd w:id="999"/>
    </w:p>
    <w:p w14:paraId="0664C4D6">
      <w:pPr>
        <w:widowControl w:val="0"/>
        <w:kinsoku/>
        <w:autoSpaceDE/>
        <w:autoSpaceDN/>
        <w:adjustRightInd/>
        <w:snapToGrid/>
        <w:spacing w:line="360" w:lineRule="auto"/>
        <w:ind w:firstLine="538"/>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4.1.1 确定成交后，代理机构根据《成交意见书》在2个工作日发布成交结果，并签发《成交通知书》。</w:t>
      </w:r>
    </w:p>
    <w:p w14:paraId="00BCB9B6">
      <w:pPr>
        <w:widowControl w:val="0"/>
        <w:kinsoku/>
        <w:autoSpaceDE/>
        <w:autoSpaceDN/>
        <w:adjustRightInd/>
        <w:snapToGrid/>
        <w:spacing w:line="360" w:lineRule="auto"/>
        <w:ind w:firstLine="538"/>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4.1.2对未成交的磋商申请人不予解释未能成交的原因。</w:t>
      </w:r>
    </w:p>
    <w:p w14:paraId="3E27BB21">
      <w:pPr>
        <w:widowControl w:val="0"/>
        <w:kinsoku/>
        <w:autoSpaceDE/>
        <w:autoSpaceDN/>
        <w:adjustRightInd/>
        <w:snapToGrid/>
        <w:spacing w:line="360" w:lineRule="auto"/>
        <w:ind w:firstLine="540"/>
        <w:jc w:val="both"/>
        <w:textAlignment w:val="auto"/>
        <w:rPr>
          <w:rFonts w:hint="eastAsia" w:ascii="宋体" w:hAnsi="宋体" w:eastAsia="宋体" w:cs="宋体"/>
          <w:b/>
          <w:snapToGrid/>
          <w:color w:val="auto"/>
          <w:kern w:val="2"/>
          <w:sz w:val="22"/>
          <w:szCs w:val="22"/>
          <w:highlight w:val="none"/>
          <w:lang w:val="en-US" w:eastAsia="zh-CN" w:bidi="ar-SA"/>
        </w:rPr>
      </w:pPr>
      <w:bookmarkStart w:id="1000" w:name="_Toc153009369"/>
      <w:bookmarkStart w:id="1001" w:name="_Toc17009862"/>
      <w:r>
        <w:rPr>
          <w:rFonts w:hint="eastAsia" w:ascii="宋体" w:hAnsi="宋体" w:eastAsia="宋体" w:cs="宋体"/>
          <w:b/>
          <w:snapToGrid/>
          <w:color w:val="auto"/>
          <w:kern w:val="2"/>
          <w:sz w:val="22"/>
          <w:szCs w:val="22"/>
          <w:highlight w:val="none"/>
          <w:lang w:val="en-US" w:eastAsia="zh-CN" w:bidi="ar-SA"/>
        </w:rPr>
        <w:t>4.2 签订合同</w:t>
      </w:r>
      <w:bookmarkEnd w:id="1000"/>
      <w:bookmarkEnd w:id="1001"/>
    </w:p>
    <w:p w14:paraId="4296BCEF">
      <w:pPr>
        <w:widowControl w:val="0"/>
        <w:kinsoku/>
        <w:autoSpaceDE/>
        <w:autoSpaceDN/>
        <w:adjustRightInd/>
        <w:snapToGrid/>
        <w:spacing w:line="360" w:lineRule="auto"/>
        <w:ind w:firstLine="538"/>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4.2.1 成交单位按《成交通知书》指定的时间、地点与采购人签订合同。</w:t>
      </w:r>
    </w:p>
    <w:p w14:paraId="0390C74D">
      <w:pPr>
        <w:widowControl w:val="0"/>
        <w:kinsoku/>
        <w:autoSpaceDE/>
        <w:autoSpaceDN/>
        <w:adjustRightInd/>
        <w:snapToGrid/>
        <w:spacing w:line="360" w:lineRule="auto"/>
        <w:ind w:firstLine="540"/>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4.2.2 竞争性磋商文件、磋商申请人的磋商响应文件及其澄清文件、成交通知书，均作为签订合同内容的依据。</w:t>
      </w:r>
    </w:p>
    <w:p w14:paraId="78D4457E">
      <w:pPr>
        <w:widowControl w:val="0"/>
        <w:kinsoku/>
        <w:autoSpaceDE/>
        <w:autoSpaceDN/>
        <w:adjustRightInd/>
        <w:snapToGrid/>
        <w:spacing w:line="360" w:lineRule="auto"/>
        <w:ind w:firstLine="482"/>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4.2.3 在《成交通知书》发出后，如有需要，采购人将尽快对成交磋商申请人进行实地考察，以便细化合同相关内容。</w:t>
      </w:r>
    </w:p>
    <w:p w14:paraId="72307088">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002" w:name="_Toc30792"/>
      <w:bookmarkStart w:id="1003" w:name="_Toc134284782"/>
      <w:bookmarkStart w:id="1004" w:name="_Toc75729754"/>
      <w:bookmarkStart w:id="1005" w:name="_Toc134284751"/>
      <w:bookmarkStart w:id="1006" w:name="_Toc25869"/>
      <w:r>
        <w:rPr>
          <w:rFonts w:hint="eastAsia" w:ascii="宋体" w:hAnsi="宋体" w:eastAsia="宋体" w:cs="宋体"/>
          <w:b/>
          <w:color w:val="auto"/>
          <w:kern w:val="2"/>
          <w:sz w:val="22"/>
          <w:szCs w:val="22"/>
          <w:highlight w:val="none"/>
          <w:lang w:val="en-US" w:eastAsia="zh-CN" w:bidi="ar-SA"/>
        </w:rPr>
        <w:t>三、磋商方法</w:t>
      </w:r>
      <w:bookmarkEnd w:id="1002"/>
      <w:bookmarkEnd w:id="1003"/>
      <w:bookmarkEnd w:id="1004"/>
      <w:bookmarkEnd w:id="1005"/>
      <w:bookmarkEnd w:id="1006"/>
    </w:p>
    <w:p w14:paraId="3D667856">
      <w:pPr>
        <w:pageBreakBefore w:val="0"/>
        <w:widowControl w:val="0"/>
        <w:kinsoku/>
        <w:wordWrap/>
        <w:overflowPunct/>
        <w:topLinePunct w:val="0"/>
        <w:autoSpaceDE/>
        <w:autoSpaceDN/>
        <w:bidi w:val="0"/>
        <w:adjustRightInd/>
        <w:snapToGrid/>
        <w:spacing w:line="480" w:lineRule="exact"/>
        <w:ind w:firstLine="442" w:firstLineChars="200"/>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3.1磋商方法</w:t>
      </w:r>
    </w:p>
    <w:p w14:paraId="027A6A63">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本次磋商采用综合评分法，是指响应文件满足磋商文件全部实质性要求，且按照磋商因素的量化指标磋商得分最高的磋商申请人为成交候选磋商申请人的磋商方法。</w:t>
      </w:r>
    </w:p>
    <w:p w14:paraId="69150CC3">
      <w:pPr>
        <w:pageBreakBefore w:val="0"/>
        <w:widowControl w:val="0"/>
        <w:kinsoku/>
        <w:wordWrap/>
        <w:overflowPunct/>
        <w:topLinePunct w:val="0"/>
        <w:autoSpaceDE/>
        <w:autoSpaceDN/>
        <w:bidi w:val="0"/>
        <w:adjustRightInd/>
        <w:snapToGrid/>
        <w:spacing w:line="480" w:lineRule="exact"/>
        <w:ind w:firstLine="442" w:firstLineChars="200"/>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3.2磋商原则</w:t>
      </w:r>
    </w:p>
    <w:p w14:paraId="67A5255A">
      <w:pPr>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本次磋商遵循公开透明、公平竞争、公正和诚实信用的原则。磋商小组成员按照客观、公正、审慎的原则，根据磋商文件规定的磋商程序、磋商方法和磋商标准进行独立磋商。未实质性响应磋商文件的响应文件按无效响应处理，并告知提交响应文件的磋商申请人。</w:t>
      </w:r>
    </w:p>
    <w:p w14:paraId="20A34D3D">
      <w:pPr>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磋商小组应当根据综合评分情况，按照磋商得分由高到低顺序推荐3名以上成交候选磋商申请人，并编写磋商报告。磋商得分相同的，按照最后报价由低到高的顺序推荐。磋商得分且最后报价相同的，按照技术指标优劣顺序推荐。</w:t>
      </w:r>
    </w:p>
    <w:p w14:paraId="6562B584">
      <w:pPr>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磋商报告应当由磋商小组全体人员签字认可。磋商小组成员对磋商报告有异议的，磋商小组按照少数服从多数的原则推荐成交候选磋商申请人，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14:paraId="0EB02380">
      <w:pPr>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zh-CN" w:eastAsia="zh-CN" w:bidi="ar-SA"/>
        </w:rPr>
      </w:pPr>
      <w:r>
        <w:rPr>
          <w:rFonts w:hint="eastAsia" w:ascii="宋体" w:hAnsi="宋体" w:eastAsia="宋体" w:cs="宋体"/>
          <w:snapToGrid/>
          <w:color w:val="auto"/>
          <w:kern w:val="2"/>
          <w:sz w:val="22"/>
          <w:szCs w:val="22"/>
          <w:highlight w:val="none"/>
          <w:lang w:val="en-US" w:eastAsia="zh-CN" w:bidi="ar-SA"/>
        </w:rPr>
        <w:t>（4）</w:t>
      </w:r>
      <w:r>
        <w:rPr>
          <w:rFonts w:hint="eastAsia" w:ascii="宋体" w:hAnsi="宋体" w:eastAsia="宋体" w:cs="宋体"/>
          <w:snapToGrid/>
          <w:color w:val="auto"/>
          <w:kern w:val="2"/>
          <w:sz w:val="22"/>
          <w:szCs w:val="22"/>
          <w:highlight w:val="none"/>
          <w:lang w:val="zh-CN" w:eastAsia="zh-CN" w:bidi="ar-SA"/>
        </w:rPr>
        <w:t>磋商小组由采购人代表和磋商专家组成，其中磋商专家人数不得少于磋商小组成员总数的2/3。</w:t>
      </w:r>
    </w:p>
    <w:p w14:paraId="0FD9DBE2">
      <w:pPr>
        <w:pageBreakBefore w:val="0"/>
        <w:widowControl w:val="0"/>
        <w:kinsoku/>
        <w:wordWrap/>
        <w:overflowPunct/>
        <w:topLinePunct w:val="0"/>
        <w:autoSpaceDE/>
        <w:autoSpaceDN/>
        <w:bidi w:val="0"/>
        <w:adjustRightInd/>
        <w:snapToGrid/>
        <w:spacing w:line="480" w:lineRule="exact"/>
        <w:ind w:firstLine="442" w:firstLineChars="200"/>
        <w:jc w:val="both"/>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3.3磋商标准</w:t>
      </w:r>
    </w:p>
    <w:p w14:paraId="3CEE2333">
      <w:pPr>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磋商小组成员按照客观、公正、谨慎的原则，根据磋商文件规定的磋商程序、磋商方法和磋商标准进行独立磋商。根据排名先后确定成交候选磋商申请人。</w:t>
      </w:r>
    </w:p>
    <w:p w14:paraId="1947ACA5">
      <w:pPr>
        <w:pageBreakBefore w:val="0"/>
        <w:widowControl w:val="0"/>
        <w:kinsoku/>
        <w:wordWrap/>
        <w:overflowPunct/>
        <w:topLinePunct w:val="0"/>
        <w:autoSpaceDE/>
        <w:autoSpaceDN/>
        <w:bidi w:val="0"/>
        <w:adjustRightInd/>
        <w:snapToGrid/>
        <w:spacing w:line="480" w:lineRule="exact"/>
        <w:ind w:firstLine="442"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磋商程序</w:t>
      </w:r>
      <w:r>
        <w:rPr>
          <w:rFonts w:hint="eastAsia" w:ascii="宋体" w:hAnsi="宋体" w:eastAsia="宋体" w:cs="宋体"/>
          <w:snapToGrid/>
          <w:color w:val="auto"/>
          <w:kern w:val="2"/>
          <w:sz w:val="22"/>
          <w:szCs w:val="22"/>
          <w:highlight w:val="none"/>
          <w:lang w:val="en-US" w:eastAsia="zh-CN" w:bidi="ar-SA"/>
        </w:rPr>
        <w:t>：</w:t>
      </w:r>
      <w:r>
        <w:rPr>
          <w:rFonts w:hint="eastAsia" w:ascii="宋体" w:hAnsi="宋体" w:eastAsia="宋体" w:cs="宋体"/>
          <w:snapToGrid/>
          <w:color w:val="auto"/>
          <w:kern w:val="2"/>
          <w:sz w:val="22"/>
          <w:szCs w:val="22"/>
          <w:highlight w:val="none"/>
          <w:lang w:val="en-US" w:eastAsia="zh-CN" w:bidi="en-US"/>
        </w:rPr>
        <w:t>资格</w:t>
      </w:r>
      <w:r>
        <w:rPr>
          <w:rFonts w:hint="eastAsia" w:ascii="宋体" w:hAnsi="宋体" w:eastAsia="宋体" w:cs="宋体"/>
          <w:snapToGrid w:val="0"/>
          <w:color w:val="auto"/>
          <w:kern w:val="0"/>
          <w:sz w:val="22"/>
          <w:szCs w:val="22"/>
          <w:highlight w:val="none"/>
          <w:lang w:val="en-US" w:eastAsia="zh-CN" w:bidi="ar-SA"/>
        </w:rPr>
        <w:t>评审</w:t>
      </w:r>
      <w:r>
        <w:rPr>
          <w:rFonts w:hint="eastAsia" w:ascii="宋体" w:hAnsi="宋体" w:eastAsia="宋体" w:cs="宋体"/>
          <w:snapToGrid/>
          <w:color w:val="auto"/>
          <w:kern w:val="2"/>
          <w:sz w:val="22"/>
          <w:szCs w:val="22"/>
          <w:highlight w:val="none"/>
          <w:lang w:val="en-US" w:eastAsia="zh-CN" w:bidi="ar-SA"/>
        </w:rPr>
        <w:t>→符合性评审→详细评审→磋商→磋商申请人最终报价→综合磋商→评审报告。</w:t>
      </w:r>
      <w:bookmarkStart w:id="1007" w:name="_Toc6647"/>
    </w:p>
    <w:bookmarkEnd w:id="1007"/>
    <w:p w14:paraId="14388CE0">
      <w:pPr>
        <w:widowControl w:val="0"/>
        <w:kinsoku/>
        <w:autoSpaceDE/>
        <w:autoSpaceDN/>
        <w:adjustRightInd/>
        <w:snapToGrid/>
        <w:spacing w:line="360" w:lineRule="auto"/>
        <w:ind w:firstLine="480"/>
        <w:jc w:val="both"/>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（一）资格审查、符合性审查</w:t>
      </w:r>
    </w:p>
    <w:tbl>
      <w:tblPr>
        <w:tblStyle w:val="7"/>
        <w:tblW w:w="9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153"/>
        <w:gridCol w:w="1701"/>
        <w:gridCol w:w="6066"/>
      </w:tblGrid>
      <w:tr w14:paraId="2428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100" w:type="dxa"/>
            <w:gridSpan w:val="2"/>
            <w:vAlign w:val="center"/>
          </w:tcPr>
          <w:p w14:paraId="3FB558FF">
            <w:pPr>
              <w:widowControl w:val="0"/>
              <w:kinsoku/>
              <w:autoSpaceDE/>
              <w:autoSpaceDN/>
              <w:adjustRightInd/>
              <w:snapToGrid/>
              <w:spacing w:line="460" w:lineRule="exact"/>
              <w:jc w:val="center"/>
              <w:textAlignment w:val="auto"/>
              <w:rPr>
                <w:rFonts w:ascii="宋体" w:hAnsi="宋体" w:eastAsia="宋体" w:cs="宋体"/>
                <w:b/>
                <w:snapToGrid/>
                <w:color w:val="auto"/>
                <w:kern w:val="2"/>
                <w:szCs w:val="21"/>
                <w:highlight w:val="none"/>
                <w:lang w:val="en-US" w:eastAsia="zh-CN" w:bidi="ar-SA"/>
              </w:rPr>
            </w:pPr>
            <w:r>
              <w:rPr>
                <w:rFonts w:hint="eastAsia" w:ascii="宋体" w:hAnsi="宋体" w:eastAsia="宋体" w:cs="宋体"/>
                <w:b/>
                <w:snapToGrid/>
                <w:color w:val="auto"/>
                <w:kern w:val="2"/>
                <w:szCs w:val="21"/>
                <w:highlight w:val="none"/>
                <w:lang w:val="en-US" w:eastAsia="zh-CN" w:bidi="ar-SA"/>
              </w:rPr>
              <w:t>条款号</w:t>
            </w:r>
          </w:p>
        </w:tc>
        <w:tc>
          <w:tcPr>
            <w:tcW w:w="1701" w:type="dxa"/>
            <w:vAlign w:val="center"/>
          </w:tcPr>
          <w:p w14:paraId="04E3B639">
            <w:pPr>
              <w:widowControl w:val="0"/>
              <w:kinsoku/>
              <w:autoSpaceDE/>
              <w:autoSpaceDN/>
              <w:adjustRightInd/>
              <w:snapToGrid/>
              <w:spacing w:line="460" w:lineRule="exact"/>
              <w:jc w:val="center"/>
              <w:textAlignment w:val="auto"/>
              <w:rPr>
                <w:rFonts w:ascii="宋体" w:hAnsi="宋体" w:eastAsia="宋体" w:cs="宋体"/>
                <w:b/>
                <w:snapToGrid/>
                <w:color w:val="auto"/>
                <w:kern w:val="2"/>
                <w:szCs w:val="21"/>
                <w:highlight w:val="none"/>
                <w:lang w:val="en-US" w:eastAsia="zh-CN" w:bidi="ar-SA"/>
              </w:rPr>
            </w:pPr>
            <w:r>
              <w:rPr>
                <w:rFonts w:hint="eastAsia" w:ascii="宋体" w:hAnsi="宋体" w:eastAsia="宋体" w:cs="宋体"/>
                <w:b/>
                <w:snapToGrid/>
                <w:color w:val="auto"/>
                <w:kern w:val="2"/>
                <w:szCs w:val="21"/>
                <w:highlight w:val="none"/>
                <w:lang w:val="en-US" w:eastAsia="zh-CN" w:bidi="ar-SA"/>
              </w:rPr>
              <w:t>审 查 内 容</w:t>
            </w:r>
          </w:p>
        </w:tc>
        <w:tc>
          <w:tcPr>
            <w:tcW w:w="6066" w:type="dxa"/>
            <w:vAlign w:val="center"/>
          </w:tcPr>
          <w:p w14:paraId="6AA90A91">
            <w:pPr>
              <w:widowControl w:val="0"/>
              <w:kinsoku/>
              <w:autoSpaceDE/>
              <w:autoSpaceDN/>
              <w:adjustRightInd/>
              <w:snapToGrid/>
              <w:spacing w:line="460" w:lineRule="exact"/>
              <w:jc w:val="center"/>
              <w:textAlignment w:val="auto"/>
              <w:rPr>
                <w:rFonts w:ascii="宋体" w:hAnsi="宋体" w:eastAsia="宋体" w:cs="宋体"/>
                <w:b/>
                <w:snapToGrid/>
                <w:color w:val="auto"/>
                <w:kern w:val="2"/>
                <w:szCs w:val="21"/>
                <w:highlight w:val="none"/>
                <w:lang w:val="en-US" w:eastAsia="zh-CN" w:bidi="ar-SA"/>
              </w:rPr>
            </w:pPr>
            <w:r>
              <w:rPr>
                <w:rFonts w:hint="eastAsia" w:ascii="宋体" w:hAnsi="宋体" w:eastAsia="宋体" w:cs="宋体"/>
                <w:b/>
                <w:snapToGrid/>
                <w:color w:val="auto"/>
                <w:kern w:val="2"/>
                <w:szCs w:val="21"/>
                <w:highlight w:val="none"/>
                <w:lang w:val="en-US" w:eastAsia="zh-CN" w:bidi="ar-SA"/>
              </w:rPr>
              <w:t>审 查 标 准</w:t>
            </w:r>
          </w:p>
        </w:tc>
      </w:tr>
      <w:tr w14:paraId="617D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Align w:val="center"/>
          </w:tcPr>
          <w:p w14:paraId="7A2F9C83">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1</w:t>
            </w:r>
          </w:p>
        </w:tc>
        <w:tc>
          <w:tcPr>
            <w:tcW w:w="1153" w:type="dxa"/>
            <w:vAlign w:val="center"/>
          </w:tcPr>
          <w:p w14:paraId="2F91DA59">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资格审查标准</w:t>
            </w:r>
          </w:p>
        </w:tc>
        <w:tc>
          <w:tcPr>
            <w:tcW w:w="1701" w:type="dxa"/>
            <w:vAlign w:val="center"/>
          </w:tcPr>
          <w:p w14:paraId="562E4BD2">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资格条件</w:t>
            </w:r>
          </w:p>
        </w:tc>
        <w:tc>
          <w:tcPr>
            <w:tcW w:w="6066" w:type="dxa"/>
            <w:vAlign w:val="center"/>
          </w:tcPr>
          <w:p w14:paraId="0AB33E72">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符合第二章“供应商须知”第</w:t>
            </w:r>
            <w:r>
              <w:rPr>
                <w:rFonts w:hint="eastAsia" w:ascii="宋体" w:hAnsi="宋体" w:eastAsia="宋体" w:cs="宋体"/>
                <w:snapToGrid/>
                <w:color w:val="auto"/>
                <w:kern w:val="2"/>
                <w:szCs w:val="21"/>
                <w:highlight w:val="none"/>
                <w:lang w:val="en-US" w:eastAsia="zh-CN" w:bidi="ar-SA"/>
              </w:rPr>
              <w:t>4.1</w:t>
            </w:r>
            <w:r>
              <w:rPr>
                <w:rFonts w:hint="eastAsia" w:ascii="Times New Roman" w:hAnsi="宋体" w:eastAsia="宋体" w:cs="Times New Roman"/>
                <w:snapToGrid/>
                <w:color w:val="auto"/>
                <w:kern w:val="2"/>
                <w:szCs w:val="21"/>
                <w:highlight w:val="none"/>
                <w:lang w:val="en-US" w:eastAsia="zh-CN" w:bidi="ar-SA"/>
              </w:rPr>
              <w:t>项规定</w:t>
            </w:r>
          </w:p>
        </w:tc>
      </w:tr>
      <w:tr w14:paraId="430F6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restart"/>
            <w:vAlign w:val="center"/>
          </w:tcPr>
          <w:p w14:paraId="645413FC">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2</w:t>
            </w:r>
          </w:p>
        </w:tc>
        <w:tc>
          <w:tcPr>
            <w:tcW w:w="1153" w:type="dxa"/>
            <w:vMerge w:val="restart"/>
            <w:vAlign w:val="center"/>
          </w:tcPr>
          <w:p w14:paraId="7D243A80">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符合性审查标准</w:t>
            </w:r>
          </w:p>
        </w:tc>
        <w:tc>
          <w:tcPr>
            <w:tcW w:w="1701" w:type="dxa"/>
            <w:vAlign w:val="center"/>
          </w:tcPr>
          <w:p w14:paraId="24043769">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响应文件有效期</w:t>
            </w:r>
          </w:p>
        </w:tc>
        <w:tc>
          <w:tcPr>
            <w:tcW w:w="6066" w:type="dxa"/>
            <w:vAlign w:val="center"/>
          </w:tcPr>
          <w:p w14:paraId="646FA4AF">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符合第二章“供应商须知”第17.1项规定</w:t>
            </w:r>
          </w:p>
        </w:tc>
      </w:tr>
      <w:tr w14:paraId="492ED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1EF78E99">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3060DD8F">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5C3FE842">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磋商保证金</w:t>
            </w:r>
          </w:p>
        </w:tc>
        <w:tc>
          <w:tcPr>
            <w:tcW w:w="6066" w:type="dxa"/>
            <w:vAlign w:val="center"/>
          </w:tcPr>
          <w:p w14:paraId="158BC099">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符合第二章“供应商须知”第18.1项规定</w:t>
            </w:r>
          </w:p>
        </w:tc>
      </w:tr>
      <w:tr w14:paraId="1A391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50C114D7">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75A2C78C">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492925F8">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磋商申请函</w:t>
            </w:r>
          </w:p>
        </w:tc>
        <w:tc>
          <w:tcPr>
            <w:tcW w:w="6066" w:type="dxa"/>
            <w:vAlign w:val="center"/>
          </w:tcPr>
          <w:p w14:paraId="3C5250F4">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符合第四章《响应文件格式》中规定的格式及内容，有法定代表人或其委托代理人签字或盖章，并加盖公章；</w:t>
            </w:r>
          </w:p>
        </w:tc>
      </w:tr>
      <w:tr w14:paraId="64B9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496369C9">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7DE6AA63">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1A109792">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法定代表人身份证明书</w:t>
            </w:r>
          </w:p>
        </w:tc>
        <w:tc>
          <w:tcPr>
            <w:tcW w:w="6066" w:type="dxa"/>
            <w:vAlign w:val="center"/>
          </w:tcPr>
          <w:p w14:paraId="156C3E88">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符合第四章《响应文件格式》中规定的格式及内容，并加盖公章</w:t>
            </w:r>
            <w:r>
              <w:rPr>
                <w:rFonts w:ascii="Times New Roman" w:hAnsi="宋体" w:eastAsia="宋体" w:cs="Times New Roman"/>
                <w:snapToGrid/>
                <w:color w:val="auto"/>
                <w:kern w:val="2"/>
                <w:szCs w:val="21"/>
                <w:highlight w:val="none"/>
                <w:lang w:val="en-US" w:eastAsia="zh-CN" w:bidi="ar-SA"/>
              </w:rPr>
              <w:t>。</w:t>
            </w:r>
          </w:p>
        </w:tc>
      </w:tr>
      <w:tr w14:paraId="64DD5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563EC5AC">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5A8776E4">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77C12493">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法定代表人授权委托书</w:t>
            </w:r>
          </w:p>
        </w:tc>
        <w:tc>
          <w:tcPr>
            <w:tcW w:w="6066" w:type="dxa"/>
            <w:vAlign w:val="center"/>
          </w:tcPr>
          <w:p w14:paraId="2F035BBD">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符合第四章“响应文件格式”中规定的格式及内容，有法定代表人电子签名或电子签章及委托代理人签字或盖章，并加盖公章</w:t>
            </w:r>
            <w:r>
              <w:rPr>
                <w:rFonts w:ascii="Times New Roman" w:hAnsi="宋体" w:eastAsia="宋体" w:cs="Times New Roman"/>
                <w:snapToGrid/>
                <w:color w:val="auto"/>
                <w:kern w:val="2"/>
                <w:szCs w:val="21"/>
                <w:highlight w:val="none"/>
                <w:lang w:val="en-US" w:eastAsia="zh-CN" w:bidi="ar-SA"/>
              </w:rPr>
              <w:t>。</w:t>
            </w:r>
          </w:p>
        </w:tc>
      </w:tr>
      <w:tr w14:paraId="44005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4CE39E64">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5380DAE1">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3F0AC1E4">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供应商具备参加政府采购活动条件承诺书</w:t>
            </w:r>
          </w:p>
        </w:tc>
        <w:tc>
          <w:tcPr>
            <w:tcW w:w="6066" w:type="dxa"/>
            <w:vAlign w:val="center"/>
          </w:tcPr>
          <w:p w14:paraId="693E84A3">
            <w:pPr>
              <w:widowControl w:val="0"/>
              <w:kinsoku/>
              <w:autoSpaceDE/>
              <w:autoSpaceDN/>
              <w:adjustRightInd/>
              <w:snapToGrid/>
              <w:spacing w:line="460" w:lineRule="exact"/>
              <w:jc w:val="left"/>
              <w:textAlignment w:val="auto"/>
              <w:rPr>
                <w:rFonts w:hint="eastAsia" w:ascii="Times New Roman" w:hAnsi="宋体" w:eastAsia="宋体" w:cs="Times New Roman"/>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符合《政府采购法》第二十二条规定</w:t>
            </w:r>
          </w:p>
        </w:tc>
      </w:tr>
      <w:tr w14:paraId="4E373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4A6219B7">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1A956A87">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475A6879">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4"/>
                <w:highlight w:val="none"/>
                <w:lang w:val="en-US" w:eastAsia="zh-CN" w:bidi="ar-SA"/>
              </w:rPr>
              <w:t>响应文件格式</w:t>
            </w:r>
          </w:p>
        </w:tc>
        <w:tc>
          <w:tcPr>
            <w:tcW w:w="6066" w:type="dxa"/>
            <w:vAlign w:val="center"/>
          </w:tcPr>
          <w:p w14:paraId="29E1AC69">
            <w:pPr>
              <w:widowControl w:val="0"/>
              <w:kinsoku/>
              <w:autoSpaceDE/>
              <w:autoSpaceDN/>
              <w:adjustRightInd/>
              <w:snapToGrid/>
              <w:spacing w:line="460" w:lineRule="exact"/>
              <w:jc w:val="left"/>
              <w:textAlignment w:val="auto"/>
              <w:rPr>
                <w:rFonts w:hint="eastAsia" w:ascii="Times New Roman" w:hAnsi="宋体" w:eastAsia="宋体" w:cs="Times New Roman"/>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符合第四章《响应文件格式》中规定的格式及内容</w:t>
            </w:r>
          </w:p>
        </w:tc>
      </w:tr>
      <w:tr w14:paraId="6FFB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vMerge w:val="continue"/>
            <w:vAlign w:val="center"/>
          </w:tcPr>
          <w:p w14:paraId="414B242B">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0B98433E">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00325779">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最后报价</w:t>
            </w:r>
          </w:p>
        </w:tc>
        <w:tc>
          <w:tcPr>
            <w:tcW w:w="6066" w:type="dxa"/>
            <w:vAlign w:val="center"/>
          </w:tcPr>
          <w:p w14:paraId="556CBB2B">
            <w:pPr>
              <w:widowControl w:val="0"/>
              <w:kinsoku/>
              <w:autoSpaceDE/>
              <w:autoSpaceDN/>
              <w:adjustRightInd/>
              <w:snapToGrid/>
              <w:spacing w:line="460" w:lineRule="exact"/>
              <w:jc w:val="left"/>
              <w:textAlignment w:val="auto"/>
              <w:rPr>
                <w:rFonts w:hint="eastAsia" w:ascii="Times New Roman" w:hAnsi="宋体" w:eastAsia="宋体" w:cs="Times New Roman"/>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最后磋商报价未超过最高限价。</w:t>
            </w:r>
          </w:p>
        </w:tc>
      </w:tr>
      <w:tr w14:paraId="67323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vMerge w:val="continue"/>
            <w:vAlign w:val="center"/>
          </w:tcPr>
          <w:p w14:paraId="37705DF9">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1F18046B">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6518EF7E">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其它实质性要求</w:t>
            </w:r>
          </w:p>
        </w:tc>
        <w:tc>
          <w:tcPr>
            <w:tcW w:w="6066" w:type="dxa"/>
            <w:vAlign w:val="center"/>
          </w:tcPr>
          <w:p w14:paraId="42342992">
            <w:pPr>
              <w:widowControl w:val="0"/>
              <w:kinsoku/>
              <w:autoSpaceDE/>
              <w:autoSpaceDN/>
              <w:adjustRightInd/>
              <w:snapToGrid/>
              <w:spacing w:line="460" w:lineRule="exact"/>
              <w:jc w:val="left"/>
              <w:textAlignment w:val="auto"/>
              <w:rPr>
                <w:rFonts w:hint="eastAsia" w:ascii="Times New Roman" w:hAnsi="宋体" w:eastAsia="宋体" w:cs="Times New Roman"/>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1、实质性响应磋商文件中标注▲的条款。</w:t>
            </w:r>
          </w:p>
          <w:p w14:paraId="2B4BC2DF">
            <w:pPr>
              <w:widowControl w:val="0"/>
              <w:kinsoku/>
              <w:autoSpaceDE/>
              <w:autoSpaceDN/>
              <w:adjustRightInd/>
              <w:snapToGrid/>
              <w:spacing w:line="460" w:lineRule="exact"/>
              <w:jc w:val="left"/>
              <w:textAlignment w:val="auto"/>
              <w:rPr>
                <w:rFonts w:hint="eastAsia" w:ascii="Times New Roman" w:hAnsi="宋体" w:eastAsia="宋体" w:cs="Times New Roman"/>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2、竞争性磋商文件第五章《采购需求》中标注“▲”号条款有1项以上（含1项）为负偏离，响应文件按无效响应处理。</w:t>
            </w:r>
          </w:p>
        </w:tc>
      </w:tr>
      <w:tr w14:paraId="5E22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vAlign w:val="center"/>
          </w:tcPr>
          <w:p w14:paraId="5EDA96F5">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3</w:t>
            </w:r>
          </w:p>
        </w:tc>
        <w:tc>
          <w:tcPr>
            <w:tcW w:w="1153" w:type="dxa"/>
            <w:vAlign w:val="center"/>
          </w:tcPr>
          <w:p w14:paraId="0A855470">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磋商</w:t>
            </w:r>
          </w:p>
        </w:tc>
        <w:tc>
          <w:tcPr>
            <w:tcW w:w="7767" w:type="dxa"/>
            <w:gridSpan w:val="2"/>
            <w:vAlign w:val="center"/>
          </w:tcPr>
          <w:p w14:paraId="73BDC9C7">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磋商小组所有成员集中与通过实质性要求审查的单一供应商分别进行磋商，磋商结束后，磋商小组将要求所有继续参加磋商的供应商在规定时间内提交最后报价，磋商小组根据各供应商最后报价、响应文件及澄清等，按“</w:t>
            </w:r>
            <w:r>
              <w:rPr>
                <w:rFonts w:hint="eastAsia" w:ascii="宋体" w:hAnsi="宋体" w:eastAsia="宋体" w:cs="宋体"/>
                <w:b/>
                <w:snapToGrid/>
                <w:color w:val="auto"/>
                <w:kern w:val="2"/>
                <w:szCs w:val="21"/>
                <w:highlight w:val="none"/>
                <w:lang w:val="en-US" w:eastAsia="zh-CN" w:bidi="ar-SA"/>
              </w:rPr>
              <w:t>磋商程序和方法</w:t>
            </w:r>
            <w:r>
              <w:rPr>
                <w:rFonts w:hint="eastAsia" w:ascii="宋体" w:hAnsi="宋体" w:eastAsia="宋体" w:cs="宋体"/>
                <w:snapToGrid/>
                <w:color w:val="auto"/>
                <w:kern w:val="2"/>
                <w:szCs w:val="21"/>
                <w:highlight w:val="none"/>
                <w:lang w:val="en-US" w:eastAsia="zh-CN" w:bidi="ar-SA"/>
              </w:rPr>
              <w:t>”中的规定推荐成交候选人。</w:t>
            </w:r>
          </w:p>
        </w:tc>
      </w:tr>
    </w:tbl>
    <w:p w14:paraId="50D82A88">
      <w:pPr>
        <w:widowControl w:val="0"/>
        <w:kinsoku/>
        <w:autoSpaceDE/>
        <w:autoSpaceDN/>
        <w:adjustRightInd/>
        <w:snapToGrid/>
        <w:spacing w:line="360" w:lineRule="auto"/>
        <w:ind w:firstLine="221" w:firstLineChars="100"/>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（二）详细评审</w:t>
      </w:r>
    </w:p>
    <w:p w14:paraId="0F06930D">
      <w:pPr>
        <w:widowControl/>
        <w:kinsoku/>
        <w:autoSpaceDE/>
        <w:autoSpaceDN/>
        <w:adjustRightInd/>
        <w:snapToGrid/>
        <w:spacing w:line="360" w:lineRule="auto"/>
        <w:ind w:firstLine="48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按以下公式计算出各磋商申请人的总得分，推荐成交候选人按总得分由高到低顺序排列；总得分相同的，按最终报价由低到高顺序排列；总得分且最终报价相同的，磋商响应文件满足竞争性磋商文件全部实质性要求，且按照磋商因素的量化指标磋商得分最高的磋商申请人为排名第一的成交候选人。</w:t>
      </w:r>
    </w:p>
    <w:p w14:paraId="3E814F4D">
      <w:pPr>
        <w:widowControl/>
        <w:kinsoku/>
        <w:autoSpaceDE/>
        <w:autoSpaceDN/>
        <w:adjustRightInd/>
        <w:snapToGrid/>
        <w:spacing w:line="360" w:lineRule="auto"/>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磋商总得分=F1＋F2</w:t>
      </w:r>
    </w:p>
    <w:p w14:paraId="622F98B2">
      <w:pPr>
        <w:widowControl/>
        <w:kinsoku/>
        <w:autoSpaceDE/>
        <w:autoSpaceDN/>
        <w:adjustRightInd/>
        <w:snapToGrid/>
        <w:spacing w:line="360" w:lineRule="auto"/>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F1、F2分别为各项评分因素的汇总得分；</w:t>
      </w:r>
    </w:p>
    <w:tbl>
      <w:tblPr>
        <w:tblStyle w:val="7"/>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309"/>
        <w:gridCol w:w="917"/>
        <w:gridCol w:w="6310"/>
      </w:tblGrid>
      <w:tr w14:paraId="2186D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705" w:type="dxa"/>
            <w:vAlign w:val="center"/>
          </w:tcPr>
          <w:p w14:paraId="063267D1">
            <w:pPr>
              <w:widowControl w:val="0"/>
              <w:kinsoku/>
              <w:autoSpaceDE/>
              <w:autoSpaceDN/>
              <w:adjustRightInd/>
              <w:snapToGrid/>
              <w:spacing w:line="360" w:lineRule="auto"/>
              <w:jc w:val="center"/>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序号</w:t>
            </w:r>
          </w:p>
        </w:tc>
        <w:tc>
          <w:tcPr>
            <w:tcW w:w="1309" w:type="dxa"/>
            <w:vAlign w:val="center"/>
          </w:tcPr>
          <w:p w14:paraId="48FAA6D7">
            <w:pPr>
              <w:widowControl w:val="0"/>
              <w:kinsoku/>
              <w:autoSpaceDE/>
              <w:autoSpaceDN/>
              <w:adjustRightInd/>
              <w:snapToGrid/>
              <w:spacing w:line="360" w:lineRule="auto"/>
              <w:jc w:val="center"/>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评审项目</w:t>
            </w:r>
          </w:p>
        </w:tc>
        <w:tc>
          <w:tcPr>
            <w:tcW w:w="917" w:type="dxa"/>
            <w:vAlign w:val="center"/>
          </w:tcPr>
          <w:p w14:paraId="2D8772B6">
            <w:pPr>
              <w:widowControl w:val="0"/>
              <w:kinsoku/>
              <w:autoSpaceDE/>
              <w:autoSpaceDN/>
              <w:adjustRightInd/>
              <w:snapToGrid/>
              <w:spacing w:line="360" w:lineRule="auto"/>
              <w:jc w:val="center"/>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分值</w:t>
            </w:r>
          </w:p>
        </w:tc>
        <w:tc>
          <w:tcPr>
            <w:tcW w:w="6310" w:type="dxa"/>
            <w:vAlign w:val="center"/>
          </w:tcPr>
          <w:p w14:paraId="37171368">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评分标准</w:t>
            </w:r>
          </w:p>
        </w:tc>
      </w:tr>
      <w:tr w14:paraId="17449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241" w:type="dxa"/>
            <w:gridSpan w:val="4"/>
            <w:vAlign w:val="center"/>
          </w:tcPr>
          <w:p w14:paraId="2450DFC9">
            <w:pPr>
              <w:widowControl w:val="0"/>
              <w:kinsoku/>
              <w:autoSpaceDE/>
              <w:autoSpaceDN/>
              <w:adjustRightInd/>
              <w:snapToGrid/>
              <w:spacing w:line="360" w:lineRule="auto"/>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F1——磋商报价评分（满分为15分）</w:t>
            </w:r>
          </w:p>
        </w:tc>
      </w:tr>
      <w:tr w14:paraId="50370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6" w:hRule="atLeast"/>
          <w:jc w:val="center"/>
        </w:trPr>
        <w:tc>
          <w:tcPr>
            <w:tcW w:w="705" w:type="dxa"/>
            <w:vAlign w:val="center"/>
          </w:tcPr>
          <w:p w14:paraId="492DED5E">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w:t>
            </w:r>
          </w:p>
        </w:tc>
        <w:tc>
          <w:tcPr>
            <w:tcW w:w="1309" w:type="dxa"/>
            <w:vAlign w:val="center"/>
          </w:tcPr>
          <w:p w14:paraId="06CFE54A">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磋商报价</w:t>
            </w:r>
          </w:p>
        </w:tc>
        <w:tc>
          <w:tcPr>
            <w:tcW w:w="917" w:type="dxa"/>
            <w:vAlign w:val="center"/>
          </w:tcPr>
          <w:p w14:paraId="578560D4">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15分</w:t>
            </w:r>
          </w:p>
        </w:tc>
        <w:tc>
          <w:tcPr>
            <w:tcW w:w="6310" w:type="dxa"/>
            <w:vAlign w:val="center"/>
          </w:tcPr>
          <w:p w14:paraId="49B8E74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1.基准价：满足竞争性磋商文件要求且最终报价最低的有效磋商报价。</w:t>
            </w:r>
          </w:p>
          <w:p w14:paraId="1ADBCB22">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2.得分计算：满足竞争性磋商文件要求且最终价格最低的有效磋商报价，其报价分为满分。其他磋商申请人的报价得分统一按照下列公式计算：</w:t>
            </w:r>
          </w:p>
          <w:p w14:paraId="6A8F1B6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磋商报价得分=(基准价／最终报价)×15</w:t>
            </w:r>
          </w:p>
          <w:p w14:paraId="6D21F86A">
            <w:pPr>
              <w:widowControl w:val="0"/>
              <w:kinsoku/>
              <w:autoSpaceDE/>
              <w:autoSpaceDN/>
              <w:adjustRightInd/>
              <w:snapToGrid/>
              <w:spacing w:line="480" w:lineRule="exact"/>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val="0"/>
                <w:bCs w:val="0"/>
                <w:snapToGrid/>
                <w:color w:val="auto"/>
                <w:kern w:val="0"/>
                <w:sz w:val="22"/>
                <w:szCs w:val="22"/>
                <w:highlight w:val="none"/>
                <w:lang w:val="en-US" w:eastAsia="zh-CN" w:bidi="ar-SA"/>
              </w:rPr>
              <w:t>对符合条件的小型、微型企业（监狱企业或残疾人福利性单位），在投标报价评分时给予投标报价3%的扣除，用扣除后的投标报价参与投标报价评审。</w:t>
            </w:r>
          </w:p>
          <w:p w14:paraId="7623470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3.得分保留小数点后两位。</w:t>
            </w:r>
          </w:p>
          <w:p w14:paraId="6612A5EC">
            <w:pPr>
              <w:widowControl w:val="0"/>
              <w:kinsoku/>
              <w:autoSpaceDE/>
              <w:autoSpaceDN/>
              <w:adjustRightInd/>
              <w:snapToGrid/>
              <w:spacing w:line="360" w:lineRule="auto"/>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注：磋商小组认为磋商申请人的报价明显低于其他通过符合性审查磋商申请人的报价，有可能影响质量或者不能诚信履约的，应当要求其在评审现场合理的时间内提供书面说明，必要时提交相关证明材料；磋商申请人不能证明其报价合理性的，磋商小组应当将其作为无效磋商处理。</w:t>
            </w:r>
          </w:p>
        </w:tc>
      </w:tr>
      <w:tr w14:paraId="7BD7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41" w:type="dxa"/>
            <w:gridSpan w:val="4"/>
            <w:vAlign w:val="center"/>
          </w:tcPr>
          <w:p w14:paraId="5C75A6C2">
            <w:pPr>
              <w:widowControl w:val="0"/>
              <w:kinsoku/>
              <w:autoSpaceDE/>
              <w:autoSpaceDN/>
              <w:adjustRightInd/>
              <w:snapToGrid/>
              <w:spacing w:line="360" w:lineRule="auto"/>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F2——技术及商务部分评分（满分为85分）</w:t>
            </w:r>
          </w:p>
        </w:tc>
      </w:tr>
      <w:tr w14:paraId="13C8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7" w:hRule="atLeast"/>
          <w:jc w:val="center"/>
        </w:trPr>
        <w:tc>
          <w:tcPr>
            <w:tcW w:w="705" w:type="dxa"/>
            <w:vAlign w:val="center"/>
          </w:tcPr>
          <w:p w14:paraId="4F5E53BE">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w:t>
            </w:r>
          </w:p>
        </w:tc>
        <w:tc>
          <w:tcPr>
            <w:tcW w:w="1309" w:type="dxa"/>
            <w:vAlign w:val="center"/>
          </w:tcPr>
          <w:p w14:paraId="7E49223A">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施工方案</w:t>
            </w:r>
          </w:p>
        </w:tc>
        <w:tc>
          <w:tcPr>
            <w:tcW w:w="917" w:type="dxa"/>
            <w:vAlign w:val="center"/>
          </w:tcPr>
          <w:p w14:paraId="792E99C6">
            <w:pPr>
              <w:widowControl w:val="0"/>
              <w:kinsoku/>
              <w:autoSpaceDE/>
              <w:autoSpaceDN/>
              <w:adjustRightInd/>
              <w:snapToGrid/>
              <w:spacing w:line="360" w:lineRule="auto"/>
              <w:jc w:val="center"/>
              <w:textAlignment w:val="auto"/>
              <w:rPr>
                <w:rFonts w:hint="default"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40分</w:t>
            </w:r>
          </w:p>
        </w:tc>
        <w:tc>
          <w:tcPr>
            <w:tcW w:w="6310" w:type="dxa"/>
            <w:vAlign w:val="center"/>
          </w:tcPr>
          <w:p w14:paraId="554725E3">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
              </w:rPr>
              <w:t>施工方案包括</w:t>
            </w:r>
            <w:r>
              <w:rPr>
                <w:rFonts w:hint="eastAsia" w:ascii="宋体" w:hAnsi="宋体" w:eastAsia="宋体" w:cs="宋体"/>
                <w:snapToGrid/>
                <w:color w:val="auto"/>
                <w:kern w:val="2"/>
                <w:sz w:val="22"/>
                <w:szCs w:val="22"/>
                <w:highlight w:val="none"/>
                <w:lang w:val="en-US" w:eastAsia="zh-CN" w:bidi="ar-SA"/>
              </w:rPr>
              <w:t>（1）</w:t>
            </w:r>
            <w:r>
              <w:rPr>
                <w:rFonts w:hint="eastAsia" w:ascii="宋体" w:hAnsi="宋体" w:eastAsia="宋体" w:cs="宋体"/>
                <w:snapToGrid/>
                <w:color w:val="auto"/>
                <w:kern w:val="0"/>
                <w:sz w:val="22"/>
                <w:szCs w:val="22"/>
                <w:highlight w:val="none"/>
                <w:lang w:val="en-US" w:eastAsia="zh-CN" w:bidi="ar"/>
              </w:rPr>
              <w:t>工程概况</w:t>
            </w:r>
            <w:r>
              <w:rPr>
                <w:rFonts w:hint="eastAsia" w:ascii="宋体" w:hAnsi="宋体" w:eastAsia="宋体" w:cs="宋体"/>
                <w:snapToGrid/>
                <w:color w:val="auto"/>
                <w:kern w:val="2"/>
                <w:sz w:val="22"/>
                <w:szCs w:val="22"/>
                <w:highlight w:val="none"/>
                <w:lang w:val="en-US" w:eastAsia="zh-CN" w:bidi="ar-SA"/>
              </w:rPr>
              <w:t>（2）</w:t>
            </w:r>
            <w:r>
              <w:rPr>
                <w:rFonts w:hint="eastAsia" w:ascii="宋体" w:hAnsi="宋体" w:eastAsia="宋体" w:cs="宋体"/>
                <w:snapToGrid/>
                <w:color w:val="auto"/>
                <w:kern w:val="0"/>
                <w:sz w:val="22"/>
                <w:szCs w:val="22"/>
                <w:highlight w:val="none"/>
                <w:lang w:val="en-US" w:eastAsia="zh-CN" w:bidi="ar"/>
              </w:rPr>
              <w:t>施工主要工序</w:t>
            </w:r>
            <w:r>
              <w:rPr>
                <w:rFonts w:hint="eastAsia" w:ascii="宋体" w:hAnsi="宋体" w:eastAsia="宋体" w:cs="宋体"/>
                <w:snapToGrid/>
                <w:color w:val="auto"/>
                <w:kern w:val="2"/>
                <w:sz w:val="22"/>
                <w:szCs w:val="22"/>
                <w:highlight w:val="none"/>
                <w:lang w:val="en-US" w:eastAsia="zh-CN" w:bidi="ar-SA"/>
              </w:rPr>
              <w:t>（3）</w:t>
            </w:r>
            <w:r>
              <w:rPr>
                <w:rFonts w:hint="eastAsia" w:ascii="宋体" w:hAnsi="宋体" w:eastAsia="宋体" w:cs="宋体"/>
                <w:snapToGrid/>
                <w:color w:val="auto"/>
                <w:kern w:val="0"/>
                <w:sz w:val="22"/>
                <w:szCs w:val="22"/>
                <w:highlight w:val="none"/>
                <w:lang w:val="en-US" w:eastAsia="zh-CN" w:bidi="ar"/>
              </w:rPr>
              <w:t>施工组织措施</w:t>
            </w:r>
            <w:r>
              <w:rPr>
                <w:rFonts w:hint="eastAsia" w:ascii="宋体" w:hAnsi="宋体" w:eastAsia="宋体" w:cs="宋体"/>
                <w:snapToGrid/>
                <w:color w:val="auto"/>
                <w:kern w:val="2"/>
                <w:sz w:val="22"/>
                <w:szCs w:val="22"/>
                <w:highlight w:val="none"/>
                <w:lang w:val="en-US" w:eastAsia="zh-CN" w:bidi="ar-SA"/>
              </w:rPr>
              <w:t>（4）</w:t>
            </w:r>
            <w:r>
              <w:rPr>
                <w:rFonts w:hint="eastAsia" w:ascii="宋体" w:hAnsi="宋体" w:eastAsia="宋体" w:cs="宋体"/>
                <w:snapToGrid/>
                <w:color w:val="auto"/>
                <w:kern w:val="0"/>
                <w:sz w:val="22"/>
                <w:szCs w:val="22"/>
                <w:highlight w:val="none"/>
                <w:lang w:val="en-US" w:eastAsia="zh-CN" w:bidi="ar"/>
              </w:rPr>
              <w:t>施工进度计划。</w:t>
            </w:r>
          </w:p>
          <w:p w14:paraId="2A06E964">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（1）</w:t>
            </w:r>
            <w:r>
              <w:rPr>
                <w:rFonts w:hint="eastAsia" w:ascii="宋体" w:hAnsi="宋体" w:eastAsia="宋体" w:cs="宋体"/>
                <w:snapToGrid/>
                <w:color w:val="auto"/>
                <w:kern w:val="0"/>
                <w:sz w:val="22"/>
                <w:szCs w:val="22"/>
                <w:highlight w:val="none"/>
                <w:lang w:val="en-US" w:eastAsia="zh-CN" w:bidi="ar"/>
              </w:rPr>
              <w:t>工程概况（10分）</w:t>
            </w:r>
          </w:p>
          <w:p w14:paraId="3DBCBD84">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工程概况内容详细明确、表述层次清晰，完全满足本项目需求的，该项得10分；</w:t>
            </w:r>
          </w:p>
          <w:p w14:paraId="251C931F">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工程概况内容明确、表述层次分明，但存在缺陷或不合理可行的部分，满足本项目需求的，该项得6分；</w:t>
            </w:r>
          </w:p>
          <w:p w14:paraId="0A572572">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 xml:space="preserve">工程概况内容出现与本项目无关的内容，且存在缺陷或不合理可行的部分或表述层次不清晰，不满足本项目需求的，该项得3分； </w:t>
            </w:r>
          </w:p>
          <w:p w14:paraId="4EA0426D">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未提供相应内容的该项得0分。</w:t>
            </w:r>
          </w:p>
          <w:p w14:paraId="6EF96F9F">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0"/>
                <w:sz w:val="22"/>
                <w:szCs w:val="22"/>
                <w:highlight w:val="none"/>
                <w:lang w:val="en-US" w:eastAsia="zh-CN" w:bidi="ar"/>
              </w:rPr>
              <w:t>（2）施工主要工序（10分）</w:t>
            </w:r>
          </w:p>
          <w:p w14:paraId="4D7D59D9">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①施工主要工序阐述明细、全面、合理，施工方法得当，且对项目的关键技术、工艺有明确、深入的表述，对施工重点、难点有合理、经济、安全的解决方案和可行保证措施</w:t>
            </w:r>
            <w:r>
              <w:rPr>
                <w:rFonts w:hint="eastAsia" w:ascii="宋体" w:hAnsi="宋体" w:eastAsia="宋体" w:cs="宋体"/>
                <w:snapToGrid/>
                <w:color w:val="auto"/>
                <w:kern w:val="0"/>
                <w:sz w:val="22"/>
                <w:szCs w:val="22"/>
                <w:highlight w:val="none"/>
                <w:lang w:val="en-US" w:eastAsia="zh-CN" w:bidi="ar"/>
              </w:rPr>
              <w:t>的，该项得10分；</w:t>
            </w:r>
          </w:p>
          <w:p w14:paraId="1E9DF267">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施工主要工序有阐述全面、合理，施工方法基本得当，且对项目的关键技术、工艺有明确的表述，对施工重点、难点有合理的解决方案，保证措施基本可行的，该项得6分；</w:t>
            </w:r>
          </w:p>
          <w:p w14:paraId="136FD134">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施工主要工序阐述全面、基本合理，有施工方法，且对项目的关键技术、工艺有一定了解，对施工重点、难点有建议，解决方案和保证措施基本可行的，该项得3分；</w:t>
            </w:r>
          </w:p>
          <w:p w14:paraId="0C1F9766">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未提供相应内容的该项得0分。</w:t>
            </w:r>
          </w:p>
          <w:p w14:paraId="10F1CDFC">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0"/>
                <w:sz w:val="22"/>
                <w:szCs w:val="22"/>
                <w:highlight w:val="none"/>
                <w:lang w:val="en-US" w:eastAsia="zh-CN" w:bidi="ar"/>
              </w:rPr>
              <w:t>（3）施工组织措施（10分）</w:t>
            </w:r>
          </w:p>
          <w:p w14:paraId="0B3567D1">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施工组织措施具体，有针对性，施工指导性强的，该项得10分；</w:t>
            </w:r>
          </w:p>
          <w:p w14:paraId="5338A57B">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施工组织措施合理但施工指导性一般的，该项得6分；</w:t>
            </w:r>
          </w:p>
          <w:p w14:paraId="0291032B">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施工组织措施简单，缺乏施工指导性的，该项得3分；</w:t>
            </w:r>
          </w:p>
          <w:p w14:paraId="56A07AC9">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未提供相应内容的该项得0分。</w:t>
            </w:r>
          </w:p>
          <w:p w14:paraId="54DE8116">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
              </w:rPr>
              <w:t>（4）施工进度计划（10分）</w:t>
            </w:r>
          </w:p>
          <w:p w14:paraId="4171ECD8">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施工进度计划严格按工期安排，工序搭配逻辑关系和关键线路清晰、合理，并能指导施工且针对性好的，该项得10分；</w:t>
            </w:r>
          </w:p>
          <w:p w14:paraId="06506551">
            <w:pPr>
              <w:widowControl/>
              <w:numPr>
                <w:ilvl w:val="255"/>
                <w:numId w:val="0"/>
              </w:numPr>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施工进度计划按工期安排，工序搭配逻辑关系和关键线路合理，但针对性一般的，该项得6分；</w:t>
            </w:r>
          </w:p>
          <w:p w14:paraId="2E96A1CD">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③施工进度计划符合工期要求，工序搭配逻辑关系和关键线路基本合理，但缺乏针对性的，该项得3分；</w:t>
            </w:r>
          </w:p>
          <w:p w14:paraId="31065D91">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施工进度计划中工序搭配逻辑关系有错误，关键线路不明确有错误的未提供相应内容的该项得0分。</w:t>
            </w:r>
          </w:p>
        </w:tc>
      </w:tr>
      <w:tr w14:paraId="4F535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05" w:type="dxa"/>
            <w:vAlign w:val="center"/>
          </w:tcPr>
          <w:p w14:paraId="0B816EC8">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2</w:t>
            </w:r>
          </w:p>
        </w:tc>
        <w:tc>
          <w:tcPr>
            <w:tcW w:w="1309" w:type="dxa"/>
            <w:vAlign w:val="center"/>
          </w:tcPr>
          <w:p w14:paraId="36B7521C">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质量承诺及质量保证措施</w:t>
            </w:r>
          </w:p>
        </w:tc>
        <w:tc>
          <w:tcPr>
            <w:tcW w:w="917" w:type="dxa"/>
            <w:vAlign w:val="center"/>
          </w:tcPr>
          <w:p w14:paraId="72A6B7F9">
            <w:pPr>
              <w:widowControl w:val="0"/>
              <w:kinsoku/>
              <w:autoSpaceDE/>
              <w:autoSpaceDN/>
              <w:adjustRightInd/>
              <w:snapToGrid/>
              <w:spacing w:line="360" w:lineRule="auto"/>
              <w:jc w:val="center"/>
              <w:textAlignment w:val="auto"/>
              <w:rPr>
                <w:rFonts w:hint="default"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20分</w:t>
            </w:r>
          </w:p>
        </w:tc>
        <w:tc>
          <w:tcPr>
            <w:tcW w:w="6310" w:type="dxa"/>
            <w:vAlign w:val="center"/>
          </w:tcPr>
          <w:p w14:paraId="49E6E35D">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
              </w:rPr>
              <w:t>质量承诺及保证措施包括</w:t>
            </w:r>
            <w:r>
              <w:rPr>
                <w:rFonts w:hint="eastAsia" w:ascii="宋体" w:hAnsi="宋体" w:eastAsia="宋体" w:cs="宋体"/>
                <w:snapToGrid/>
                <w:color w:val="auto"/>
                <w:kern w:val="2"/>
                <w:sz w:val="22"/>
                <w:szCs w:val="22"/>
                <w:highlight w:val="none"/>
                <w:lang w:val="en-US" w:eastAsia="zh-CN" w:bidi="ar-SA"/>
              </w:rPr>
              <w:t>（1）质量承诺及</w:t>
            </w:r>
            <w:r>
              <w:rPr>
                <w:rFonts w:hint="eastAsia" w:ascii="宋体" w:hAnsi="宋体" w:eastAsia="宋体" w:cs="宋体"/>
                <w:snapToGrid/>
                <w:color w:val="auto"/>
                <w:kern w:val="0"/>
                <w:sz w:val="22"/>
                <w:szCs w:val="22"/>
                <w:highlight w:val="none"/>
                <w:lang w:val="en-US" w:eastAsia="zh-CN" w:bidi="ar"/>
              </w:rPr>
              <w:t>违约责任承诺</w:t>
            </w:r>
            <w:r>
              <w:rPr>
                <w:rFonts w:hint="eastAsia" w:ascii="宋体" w:hAnsi="宋体" w:eastAsia="宋体" w:cs="宋体"/>
                <w:snapToGrid/>
                <w:color w:val="auto"/>
                <w:kern w:val="2"/>
                <w:sz w:val="22"/>
                <w:szCs w:val="22"/>
                <w:highlight w:val="none"/>
                <w:lang w:val="en-US" w:eastAsia="zh-CN" w:bidi="ar-SA"/>
              </w:rPr>
              <w:t>（2）</w:t>
            </w:r>
            <w:r>
              <w:rPr>
                <w:rFonts w:hint="eastAsia" w:ascii="宋体" w:hAnsi="宋体" w:eastAsia="宋体" w:cs="宋体"/>
                <w:snapToGrid/>
                <w:color w:val="auto"/>
                <w:kern w:val="0"/>
                <w:sz w:val="22"/>
                <w:szCs w:val="22"/>
                <w:highlight w:val="none"/>
                <w:lang w:val="en-US" w:eastAsia="zh-CN" w:bidi="ar"/>
              </w:rPr>
              <w:t>质量保证措施。</w:t>
            </w:r>
          </w:p>
          <w:p w14:paraId="5D7ED26C">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（1）质量承诺及</w:t>
            </w:r>
            <w:r>
              <w:rPr>
                <w:rFonts w:hint="eastAsia" w:ascii="宋体" w:hAnsi="宋体" w:eastAsia="宋体" w:cs="宋体"/>
                <w:snapToGrid/>
                <w:color w:val="auto"/>
                <w:kern w:val="0"/>
                <w:sz w:val="22"/>
                <w:szCs w:val="22"/>
                <w:highlight w:val="none"/>
                <w:lang w:val="en-US" w:eastAsia="zh-CN" w:bidi="ar"/>
              </w:rPr>
              <w:t>违约责任承诺（10分）</w:t>
            </w:r>
          </w:p>
          <w:p w14:paraId="4E3EBFEF">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质量承诺满足竞争性磋商文件且有具体的违约责任承诺的，该项得10分；</w:t>
            </w:r>
          </w:p>
          <w:p w14:paraId="6B6B39F6">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质量承诺满足竞争性磋商文件但违约责任承诺不具体的，该项得6分；</w:t>
            </w:r>
          </w:p>
          <w:p w14:paraId="5989CA3B">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质量承诺满足竞争性磋商文件但无违约责任承诺的，该项得3分；</w:t>
            </w:r>
          </w:p>
          <w:p w14:paraId="139CA870">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未提供相应内容的该项得0分。</w:t>
            </w:r>
          </w:p>
          <w:p w14:paraId="7225D6DC">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0"/>
                <w:sz w:val="22"/>
                <w:szCs w:val="22"/>
                <w:highlight w:val="none"/>
                <w:lang w:val="en-US" w:eastAsia="zh-CN" w:bidi="ar"/>
              </w:rPr>
              <w:t>（2）质量保证措施（10分）</w:t>
            </w:r>
          </w:p>
          <w:p w14:paraId="39A783D3">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 xml:space="preserve">质量保证措施严格按现行的施工技术规范、标准编制且针对性好的，该项得10分； </w:t>
            </w:r>
          </w:p>
          <w:p w14:paraId="33D33B42">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 xml:space="preserve">质量保证措施基本达到现行的施工技术规范、标准但明显缺乏针对性的，该项得6分； </w:t>
            </w:r>
          </w:p>
          <w:p w14:paraId="6546FA47">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 xml:space="preserve">质量保证措施不能达到现行的施工技术规范、标准且有重大缺陷或错漏的，该项得3分。 </w:t>
            </w:r>
          </w:p>
          <w:p w14:paraId="09FCC216">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未提供相应内容的该项得0分。</w:t>
            </w:r>
          </w:p>
        </w:tc>
      </w:tr>
      <w:tr w14:paraId="11970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05" w:type="dxa"/>
            <w:vAlign w:val="center"/>
          </w:tcPr>
          <w:p w14:paraId="6DBBB30C">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3</w:t>
            </w:r>
          </w:p>
        </w:tc>
        <w:tc>
          <w:tcPr>
            <w:tcW w:w="1309" w:type="dxa"/>
            <w:vAlign w:val="center"/>
          </w:tcPr>
          <w:p w14:paraId="63AA520B">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工期承诺及保证措施</w:t>
            </w:r>
          </w:p>
        </w:tc>
        <w:tc>
          <w:tcPr>
            <w:tcW w:w="917" w:type="dxa"/>
            <w:vAlign w:val="center"/>
          </w:tcPr>
          <w:p w14:paraId="632BEB3D">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15分</w:t>
            </w:r>
          </w:p>
        </w:tc>
        <w:tc>
          <w:tcPr>
            <w:tcW w:w="6310" w:type="dxa"/>
            <w:vAlign w:val="center"/>
          </w:tcPr>
          <w:p w14:paraId="7CA32CAE">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工期承诺满足竞争性磋商文件要求，工期保证措施详细、合理且针对性强，有具体的违约责任承诺，对雨季、节假日期间施工安排合理，该项得15分；</w:t>
            </w:r>
          </w:p>
          <w:p w14:paraId="04A08227">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工期承诺满足竞争性磋商文件要求，工期保证措施详细、合理，具有一定针对性，有违约责任承诺但不具体，对雨季、节假日期间施工安排基本合理，该项得8分；</w:t>
            </w:r>
          </w:p>
          <w:p w14:paraId="3C60414B">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工期承诺满足竞争性磋商文件要求，工期保证措施简单、基本合理，有违约责任承诺但不具体，对雨季、节假日期间施工没有描述的，该项得4分；</w:t>
            </w:r>
          </w:p>
          <w:p w14:paraId="728E0309">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无</w:t>
            </w:r>
            <w:r>
              <w:rPr>
                <w:rFonts w:hint="eastAsia" w:ascii="宋体" w:hAnsi="宋体" w:eastAsia="宋体" w:cs="宋体"/>
                <w:snapToGrid/>
                <w:color w:val="auto"/>
                <w:kern w:val="2"/>
                <w:sz w:val="22"/>
                <w:szCs w:val="22"/>
                <w:highlight w:val="none"/>
                <w:lang w:val="en-US" w:eastAsia="zh-CN" w:bidi="ar-SA"/>
              </w:rPr>
              <w:t>工期承诺及保证措施</w:t>
            </w:r>
            <w:r>
              <w:rPr>
                <w:rFonts w:hint="eastAsia" w:ascii="宋体" w:hAnsi="宋体" w:eastAsia="宋体" w:cs="宋体"/>
                <w:snapToGrid/>
                <w:color w:val="auto"/>
                <w:kern w:val="0"/>
                <w:sz w:val="22"/>
                <w:szCs w:val="22"/>
                <w:highlight w:val="none"/>
                <w:lang w:val="en-US" w:eastAsia="zh-CN" w:bidi="ar"/>
              </w:rPr>
              <w:t xml:space="preserve">的，该项得0分； </w:t>
            </w:r>
          </w:p>
        </w:tc>
      </w:tr>
      <w:tr w14:paraId="0355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5" w:type="dxa"/>
            <w:vAlign w:val="center"/>
          </w:tcPr>
          <w:p w14:paraId="78F11352">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4</w:t>
            </w:r>
          </w:p>
        </w:tc>
        <w:tc>
          <w:tcPr>
            <w:tcW w:w="1309" w:type="dxa"/>
            <w:vAlign w:val="center"/>
          </w:tcPr>
          <w:p w14:paraId="5F119579">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项目管理人员配置</w:t>
            </w:r>
          </w:p>
        </w:tc>
        <w:tc>
          <w:tcPr>
            <w:tcW w:w="917" w:type="dxa"/>
            <w:vAlign w:val="center"/>
          </w:tcPr>
          <w:p w14:paraId="04C41C8F">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10分</w:t>
            </w:r>
          </w:p>
        </w:tc>
        <w:tc>
          <w:tcPr>
            <w:tcW w:w="6310" w:type="dxa"/>
            <w:vAlign w:val="center"/>
          </w:tcPr>
          <w:p w14:paraId="7DD16E30">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项目管理人员配置专业组成科学、合理、针对项目实际配置，岗位职责分工详细明确，能满足项目需求且有针对性的，该项得10分；</w:t>
            </w:r>
          </w:p>
          <w:p w14:paraId="1BB21212">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项目管理人员配置专业组成合理，岗位职责分工清楚，能满足项目需求，但人员配置针对性不强的，该项得6分；</w:t>
            </w:r>
          </w:p>
          <w:p w14:paraId="28EF3347">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项目管理人员配置不合理，不能满足项目需求，人员配置没有针对性的，该项得3分；</w:t>
            </w:r>
          </w:p>
          <w:p w14:paraId="730E7428">
            <w:pPr>
              <w:widowControl/>
              <w:kinsoku/>
              <w:autoSpaceDE/>
              <w:autoSpaceDN/>
              <w:adjustRightInd/>
              <w:snapToGrid/>
              <w:spacing w:line="360" w:lineRule="auto"/>
              <w:jc w:val="left"/>
              <w:textAlignment w:val="auto"/>
              <w:rPr>
                <w:rFonts w:hint="eastAsia" w:ascii="宋体" w:hAnsi="宋体" w:eastAsia="宋体" w:cs="宋体"/>
                <w:bCs/>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④无</w:t>
            </w:r>
            <w:r>
              <w:rPr>
                <w:rFonts w:hint="eastAsia" w:ascii="宋体" w:hAnsi="宋体" w:eastAsia="宋体" w:cs="宋体"/>
                <w:snapToGrid/>
                <w:color w:val="auto"/>
                <w:kern w:val="0"/>
                <w:sz w:val="22"/>
                <w:szCs w:val="22"/>
                <w:highlight w:val="none"/>
                <w:lang w:val="en-US" w:eastAsia="zh-CN" w:bidi="ar"/>
              </w:rPr>
              <w:t>项目管理人员配置的，该项得0分。</w:t>
            </w:r>
          </w:p>
        </w:tc>
      </w:tr>
    </w:tbl>
    <w:p w14:paraId="45771E4A">
      <w:pPr>
        <w:keepNext w:val="0"/>
        <w:keepLines w:val="0"/>
        <w:pageBreakBefore w:val="0"/>
        <w:widowControl w:val="0"/>
        <w:kinsoku/>
        <w:wordWrap/>
        <w:overflowPunct/>
        <w:topLinePunct w:val="0"/>
        <w:autoSpaceDE/>
        <w:autoSpaceDN/>
        <w:bidi w:val="0"/>
        <w:adjustRightInd/>
        <w:snapToGrid/>
        <w:spacing w:line="440" w:lineRule="exact"/>
        <w:ind w:firstLine="442" w:firstLineChars="200"/>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（三）磋商和最终报价</w:t>
      </w:r>
    </w:p>
    <w:p w14:paraId="4CA5C419">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磋商小组可以对磋商响应文件中含义不明确的内容提出询问。磋商申请人必须按照磋商小组要求的时间、地点派有关人员做必要的澄清或说明。</w:t>
      </w:r>
    </w:p>
    <w:p w14:paraId="2A08F427">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必要时磋商小组可要求磋商申请人就询问的内容作书面回答，该书面回答应有磋商申请人的法定代表人或其授权代理人的签名，并作为磋商响应文件内容的一部分。</w:t>
      </w:r>
    </w:p>
    <w:p w14:paraId="0B86C11A">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通过资格评审→符合性评审的磋商申请人在此阶段可在遵循本项目竞争性磋商文件的规定和自身提交的磋商响应文件的实质性要求的前提下，与磋商小组进行磋商。磋商内容包括服务期、付款条件、服务承诺、服务质量等。通过资格评审→符合性评审的磋商申请人均有唯一的最终报价机会。</w:t>
      </w:r>
    </w:p>
    <w:p w14:paraId="2B66BAE6">
      <w:pPr>
        <w:keepNext w:val="0"/>
        <w:keepLines w:val="0"/>
        <w:pageBreakBefore w:val="0"/>
        <w:widowControl w:val="0"/>
        <w:wordWrap/>
        <w:overflowPunct/>
        <w:topLinePunct w:val="0"/>
        <w:bidi w:val="0"/>
        <w:spacing w:line="440" w:lineRule="exact"/>
        <w:ind w:firstLine="384" w:firstLineChars="174"/>
        <w:jc w:val="both"/>
        <w:rPr>
          <w:rFonts w:hint="eastAsia" w:ascii="宋体" w:hAnsi="宋体" w:eastAsia="宋体" w:cs="宋体"/>
          <w:b/>
          <w:color w:val="auto"/>
          <w:kern w:val="2"/>
          <w:sz w:val="22"/>
          <w:szCs w:val="22"/>
          <w:highlight w:val="none"/>
          <w:lang w:val="en-US" w:eastAsia="zh-CN" w:bidi="ar-SA"/>
        </w:rPr>
      </w:pPr>
      <w:r>
        <w:rPr>
          <w:rFonts w:hint="eastAsia" w:ascii="宋体" w:hAnsi="宋体" w:eastAsia="宋体" w:cs="宋体"/>
          <w:b/>
          <w:color w:val="auto"/>
          <w:kern w:val="2"/>
          <w:sz w:val="22"/>
          <w:szCs w:val="22"/>
          <w:highlight w:val="none"/>
          <w:lang w:val="en-US" w:eastAsia="zh-CN" w:bidi="ar-SA"/>
        </w:rPr>
        <w:t>统分原则：</w:t>
      </w:r>
    </w:p>
    <w:p w14:paraId="3C857453">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1.评委应首先对各磋商申请人的磋商响应文件进行磋商，写出书面意见并按磋商文件规定分值评分。</w:t>
      </w:r>
    </w:p>
    <w:p w14:paraId="5372F8B6">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2.除价格得分（F1）外，其余部分由各评委自主评分并签字确认。</w:t>
      </w:r>
    </w:p>
    <w:p w14:paraId="1044D312">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3.统分原则：计算评委评分的算术平均值为磋商申请人的该项评分因素的得分（保留小数点后两位）。</w:t>
      </w:r>
    </w:p>
    <w:p w14:paraId="4637889A">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4.统分办法：各项评分因素得分的总和即为磋商申请人最后得分。</w:t>
      </w:r>
    </w:p>
    <w:p w14:paraId="57C2369A">
      <w:pPr>
        <w:keepNext w:val="0"/>
        <w:keepLines w:val="0"/>
        <w:pageBreakBefore w:val="0"/>
        <w:widowControl w:val="0"/>
        <w:kinsoku/>
        <w:wordWrap/>
        <w:overflowPunct/>
        <w:topLinePunct w:val="0"/>
        <w:autoSpaceDE/>
        <w:autoSpaceDN/>
        <w:bidi w:val="0"/>
        <w:adjustRightInd/>
        <w:snapToGrid/>
        <w:spacing w:line="440" w:lineRule="exact"/>
        <w:ind w:firstLine="542"/>
        <w:jc w:val="both"/>
        <w:textAlignment w:val="auto"/>
        <w:rPr>
          <w:rFonts w:hint="eastAsia" w:ascii="宋体" w:hAnsi="宋体" w:eastAsia="宋体" w:cs="宋体"/>
          <w:b/>
          <w:snapToGrid/>
          <w:color w:val="auto"/>
          <w:kern w:val="2"/>
          <w:sz w:val="22"/>
          <w:szCs w:val="22"/>
          <w:highlight w:val="none"/>
          <w:lang w:val="en-US" w:eastAsia="zh-CN" w:bidi="ar-SA"/>
        </w:rPr>
      </w:pPr>
      <w:bookmarkStart w:id="1008" w:name="_Toc169430816"/>
      <w:r>
        <w:rPr>
          <w:rFonts w:hint="eastAsia" w:ascii="宋体" w:hAnsi="宋体" w:eastAsia="宋体" w:cs="宋体"/>
          <w:b/>
          <w:snapToGrid/>
          <w:color w:val="auto"/>
          <w:kern w:val="2"/>
          <w:sz w:val="22"/>
          <w:szCs w:val="22"/>
          <w:highlight w:val="none"/>
          <w:lang w:val="en-US" w:eastAsia="zh-CN" w:bidi="ar-SA"/>
        </w:rPr>
        <w:t>（四）成交条件</w:t>
      </w:r>
      <w:bookmarkEnd w:id="1008"/>
    </w:p>
    <w:p w14:paraId="2BA78BBC">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1.竞争性磋商申请人所提供的服务最大限度地满足或优于竞争性磋商文件要求。</w:t>
      </w:r>
    </w:p>
    <w:p w14:paraId="45D7E815">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2.通过符合性评审且综合评分得分最高的磋商申请人，但不得超出采购人的预算。</w:t>
      </w:r>
    </w:p>
    <w:p w14:paraId="73240BB5">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3.具有履行合同所必需的服务能力。</w:t>
      </w:r>
    </w:p>
    <w:p w14:paraId="71AFE299">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4.具有优秀的服务能力并对服务质量等做出了承诺。</w:t>
      </w:r>
    </w:p>
    <w:p w14:paraId="5427DA24">
      <w:pPr>
        <w:keepNext w:val="0"/>
        <w:keepLines w:val="0"/>
        <w:pageBreakBefore w:val="0"/>
        <w:widowControl w:val="0"/>
        <w:kinsoku/>
        <w:wordWrap/>
        <w:overflowPunct/>
        <w:topLinePunct w:val="0"/>
        <w:autoSpaceDE/>
        <w:autoSpaceDN/>
        <w:bidi w:val="0"/>
        <w:adjustRightInd/>
        <w:snapToGrid/>
        <w:spacing w:line="440" w:lineRule="exact"/>
        <w:ind w:firstLine="542"/>
        <w:jc w:val="both"/>
        <w:textAlignment w:val="auto"/>
        <w:rPr>
          <w:rFonts w:hint="eastAsia" w:ascii="宋体" w:hAnsi="宋体" w:eastAsia="宋体" w:cs="宋体"/>
          <w:b/>
          <w:snapToGrid/>
          <w:color w:val="auto"/>
          <w:kern w:val="2"/>
          <w:sz w:val="22"/>
          <w:szCs w:val="22"/>
          <w:highlight w:val="none"/>
          <w:lang w:val="en-US" w:eastAsia="zh-CN" w:bidi="ar-SA"/>
        </w:rPr>
      </w:pPr>
      <w:bookmarkStart w:id="1009" w:name="_Toc169430817"/>
      <w:bookmarkStart w:id="1010" w:name="_Toc58036829"/>
      <w:r>
        <w:rPr>
          <w:rFonts w:hint="eastAsia" w:ascii="宋体" w:hAnsi="宋体" w:eastAsia="宋体" w:cs="宋体"/>
          <w:b/>
          <w:snapToGrid/>
          <w:color w:val="auto"/>
          <w:kern w:val="2"/>
          <w:sz w:val="22"/>
          <w:szCs w:val="22"/>
          <w:highlight w:val="none"/>
          <w:lang w:val="en-US" w:eastAsia="zh-CN" w:bidi="ar-SA"/>
        </w:rPr>
        <w:t>（五）磋商过程的保密</w:t>
      </w:r>
      <w:bookmarkEnd w:id="1009"/>
      <w:bookmarkEnd w:id="1010"/>
    </w:p>
    <w:p w14:paraId="70B6BC57">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磋商活动在严格保密的情况下进行。磋商小组成员在成交结果确定前保密。</w:t>
      </w:r>
    </w:p>
    <w:p w14:paraId="43582CCE">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pPr>
      <w:r>
        <w:rPr>
          <w:rFonts w:hint="eastAsia" w:ascii="宋体" w:hAnsi="宋体" w:eastAsia="宋体" w:cs="宋体"/>
          <w:snapToGrid/>
          <w:color w:val="auto"/>
          <w:kern w:val="2"/>
          <w:sz w:val="22"/>
          <w:szCs w:val="22"/>
          <w:highlight w:val="none"/>
          <w:lang w:val="en-US" w:eastAsia="zh-CN" w:bidi="ar-SA"/>
        </w:rPr>
        <w:t xml:space="preserve">磋商小组成员或者与磋商活动有关的工作人员不得向他人透露对磋商响应文件的磋商和比较、成交候选人的推荐以及与磋商有关的其他情况。 </w: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微软雅黑 Light">
    <w:panose1 w:val="020B0502040204020203"/>
    <w:charset w:val="86"/>
    <w:family w:val="auto"/>
    <w:pitch w:val="default"/>
    <w:sig w:usb0="80000287" w:usb1="2ACF001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MS PMincho">
    <w:altName w:val="@Yu Gothic UI"/>
    <w:panose1 w:val="00000000000000000000"/>
    <w:charset w:val="80"/>
    <w:family w:val="roman"/>
    <w:pitch w:val="default"/>
    <w:sig w:usb0="00000000" w:usb1="00000000" w:usb2="08000012" w:usb3="00000000" w:csb0="0002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19D2E">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193E4">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5</w:t>
                          </w:r>
                          <w:r>
                            <w:rPr>
                              <w:rFonts w:hint="eastAsia" w:ascii="宋体" w:hAnsi="宋体" w:eastAsia="宋体" w:cs="宋体"/>
                              <w:sz w:val="24"/>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071193E4">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5</w:t>
                    </w:r>
                    <w:r>
                      <w:rPr>
                        <w:rFonts w:hint="eastAsia" w:ascii="宋体" w:hAnsi="宋体" w:eastAsia="宋体" w:cs="宋体"/>
                        <w:sz w:val="24"/>
                        <w:szCs w:val="3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82EF5">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C24A1">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5</w:t>
                          </w:r>
                          <w:r>
                            <w:rPr>
                              <w:rFonts w:hint="eastAsia" w:ascii="宋体" w:hAnsi="宋体" w:eastAsia="宋体" w:cs="宋体"/>
                              <w:sz w:val="24"/>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5A6C24A1">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5</w:t>
                    </w:r>
                    <w:r>
                      <w:rPr>
                        <w:rFonts w:hint="eastAsia" w:ascii="宋体" w:hAnsi="宋体" w:eastAsia="宋体" w:cs="宋体"/>
                        <w:sz w:val="24"/>
                        <w:szCs w:val="32"/>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175B7">
    <w:pPr>
      <w:widowControl w:val="0"/>
      <w:kinsoku/>
      <w:autoSpaceDE/>
      <w:autoSpaceDN/>
      <w:adjustRightInd/>
      <w:snapToGrid/>
      <w:spacing w:after="160" w:line="259" w:lineRule="auto"/>
      <w:jc w:val="both"/>
      <w:textAlignment w:val="auto"/>
      <w:rPr>
        <w:rFonts w:ascii="Times New Roman" w:hAnsi="Times New Roman" w:eastAsia="宋体" w:cs="Times New Roman"/>
        <w:snapToGrid/>
        <w:kern w:val="2"/>
        <w:szCs w:val="20"/>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9F9DD">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64</w:t>
                          </w:r>
                          <w:r>
                            <w:rPr>
                              <w:rFonts w:hint="eastAsia" w:ascii="宋体" w:hAnsi="宋体" w:eastAsia="宋体" w:cs="宋体"/>
                              <w:sz w:val="24"/>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6979F9DD">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64</w:t>
                    </w:r>
                    <w:r>
                      <w:rPr>
                        <w:rFonts w:hint="eastAsia" w:ascii="宋体" w:hAnsi="宋体" w:eastAsia="宋体" w:cs="宋体"/>
                        <w:sz w:val="24"/>
                        <w:szCs w:val="32"/>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F4A60D"/>
    <w:multiLevelType w:val="singleLevel"/>
    <w:tmpl w:val="B1F4A60D"/>
    <w:lvl w:ilvl="0" w:tentative="0">
      <w:start w:val="1"/>
      <w:numFmt w:val="decimal"/>
      <w:lvlText w:val="%1"/>
      <w:lvlJc w:val="left"/>
      <w:pPr>
        <w:tabs>
          <w:tab w:val="left" w:pos="420"/>
        </w:tabs>
        <w:ind w:left="425" w:hanging="425"/>
      </w:pPr>
      <w:rPr>
        <w:rFonts w:hint="default"/>
      </w:rPr>
    </w:lvl>
  </w:abstractNum>
  <w:abstractNum w:abstractNumId="1">
    <w:nsid w:val="0000000E"/>
    <w:multiLevelType w:val="multilevel"/>
    <w:tmpl w:val="0000000E"/>
    <w:lvl w:ilvl="0" w:tentative="0">
      <w:start w:val="1"/>
      <w:numFmt w:val="decimal"/>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917C75B"/>
    <w:multiLevelType w:val="singleLevel"/>
    <w:tmpl w:val="0917C75B"/>
    <w:lvl w:ilvl="0" w:tentative="0">
      <w:start w:val="1"/>
      <w:numFmt w:val="decimal"/>
      <w:lvlText w:val="%1."/>
      <w:lvlJc w:val="left"/>
      <w:pPr>
        <w:tabs>
          <w:tab w:val="left" w:pos="312"/>
        </w:tabs>
      </w:pPr>
    </w:lvl>
  </w:abstractNum>
  <w:abstractNum w:abstractNumId="3">
    <w:nsid w:val="23B246DA"/>
    <w:multiLevelType w:val="singleLevel"/>
    <w:tmpl w:val="23B246DA"/>
    <w:lvl w:ilvl="0" w:tentative="0">
      <w:start w:val="1"/>
      <w:numFmt w:val="chineseCounting"/>
      <w:suff w:val="nothing"/>
      <w:lvlText w:val="（%1）"/>
      <w:lvlJc w:val="left"/>
      <w:rPr>
        <w:rFonts w:hint="eastAsia"/>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5ZmQ1ZWVjOWQxZDFiMjgyZjc0ZDdhMTZjZWI1NDIifQ=="/>
  </w:docVars>
  <w:rsids>
    <w:rsidRoot w:val="630E2E6F"/>
    <w:rsid w:val="00817411"/>
    <w:rsid w:val="050948BF"/>
    <w:rsid w:val="08D72BCB"/>
    <w:rsid w:val="0E001331"/>
    <w:rsid w:val="0E783388"/>
    <w:rsid w:val="126F00CF"/>
    <w:rsid w:val="16152D20"/>
    <w:rsid w:val="24622C33"/>
    <w:rsid w:val="24D51FB8"/>
    <w:rsid w:val="2811705C"/>
    <w:rsid w:val="2B213BCC"/>
    <w:rsid w:val="2C2737F7"/>
    <w:rsid w:val="3028469F"/>
    <w:rsid w:val="325C1CEF"/>
    <w:rsid w:val="3A692694"/>
    <w:rsid w:val="3C717C62"/>
    <w:rsid w:val="40510532"/>
    <w:rsid w:val="42011806"/>
    <w:rsid w:val="428D5ACC"/>
    <w:rsid w:val="48D7475E"/>
    <w:rsid w:val="4BC228EA"/>
    <w:rsid w:val="50CC19A9"/>
    <w:rsid w:val="536F3D78"/>
    <w:rsid w:val="59162C50"/>
    <w:rsid w:val="59BF6C18"/>
    <w:rsid w:val="60816469"/>
    <w:rsid w:val="630E2E6F"/>
    <w:rsid w:val="71894929"/>
    <w:rsid w:val="7B9C0269"/>
    <w:rsid w:val="7DDF62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华文中宋" w:cs="华文中宋"/>
      <w:snapToGrid w:val="0"/>
      <w:color w:val="000000" w:themeColor="text1"/>
      <w:kern w:val="0"/>
      <w:sz w:val="21"/>
      <w:szCs w:val="21"/>
      <w14:textFill>
        <w14:solidFill>
          <w14:schemeClr w14:val="tx1"/>
        </w14:solidFill>
      </w14:textFill>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Document Map"/>
    <w:basedOn w:val="1"/>
    <w:qFormat/>
    <w:uiPriority w:val="0"/>
    <w:pPr>
      <w:shd w:val="clear" w:color="auto" w:fill="000080"/>
    </w:pPr>
  </w:style>
  <w:style w:type="paragraph" w:styleId="3">
    <w:name w:val="Body Text"/>
    <w:basedOn w:val="1"/>
    <w:qFormat/>
    <w:uiPriority w:val="0"/>
    <w:pPr>
      <w:spacing w:after="120" w:afterLines="0" w:afterAutospacing="0"/>
    </w:pPr>
  </w:style>
  <w:style w:type="paragraph" w:styleId="4">
    <w:name w:val="footer"/>
    <w:qFormat/>
    <w:uiPriority w:val="0"/>
    <w:pPr>
      <w:tabs>
        <w:tab w:val="center" w:pos="4153"/>
        <w:tab w:val="right" w:pos="8306"/>
      </w:tabs>
      <w:kinsoku w:val="0"/>
      <w:autoSpaceDE w:val="0"/>
      <w:autoSpaceDN w:val="0"/>
      <w:adjustRightInd w:val="0"/>
      <w:snapToGrid w:val="0"/>
      <w:spacing w:line="240" w:lineRule="auto"/>
      <w:jc w:val="left"/>
      <w:textAlignment w:val="baseline"/>
    </w:pPr>
    <w:rPr>
      <w:rFonts w:ascii="Arial" w:hAnsi="Arial" w:eastAsia="华文中宋" w:cs="华文中宋"/>
      <w:snapToGrid w:val="0"/>
      <w:color w:val="000000" w:themeColor="text1"/>
      <w:kern w:val="0"/>
      <w:sz w:val="18"/>
      <w:szCs w:val="21"/>
      <w14:textFill>
        <w14:solidFill>
          <w14:schemeClr w14:val="tx1"/>
        </w14:solidFill>
      </w14:textFill>
    </w:rPr>
  </w:style>
  <w:style w:type="paragraph" w:styleId="5">
    <w:name w:val="toc 1"/>
    <w:next w:val="1"/>
    <w:qFormat/>
    <w:uiPriority w:val="0"/>
    <w:pPr>
      <w:kinsoku w:val="0"/>
      <w:autoSpaceDE w:val="0"/>
      <w:autoSpaceDN w:val="0"/>
      <w:adjustRightInd w:val="0"/>
      <w:snapToGrid w:val="0"/>
      <w:spacing w:line="240" w:lineRule="auto"/>
      <w:jc w:val="left"/>
      <w:textAlignment w:val="baseline"/>
    </w:pPr>
    <w:rPr>
      <w:rFonts w:ascii="Arial" w:hAnsi="Arial" w:eastAsia="华文中宋" w:cs="华文中宋"/>
      <w:snapToGrid w:val="0"/>
      <w:color w:val="000000" w:themeColor="text1"/>
      <w:kern w:val="0"/>
      <w:sz w:val="21"/>
      <w:szCs w:val="21"/>
      <w14:textFill>
        <w14:solidFill>
          <w14:schemeClr w14:val="tx1"/>
        </w14:solidFill>
      </w14:textFill>
    </w:rPr>
  </w:style>
  <w:style w:type="paragraph" w:styleId="6">
    <w:name w:val="toc 2"/>
    <w:next w:val="1"/>
    <w:qFormat/>
    <w:uiPriority w:val="0"/>
    <w:pPr>
      <w:kinsoku w:val="0"/>
      <w:autoSpaceDE w:val="0"/>
      <w:autoSpaceDN w:val="0"/>
      <w:adjustRightInd w:val="0"/>
      <w:snapToGrid w:val="0"/>
      <w:spacing w:line="240" w:lineRule="auto"/>
      <w:ind w:left="420" w:leftChars="200"/>
      <w:jc w:val="left"/>
      <w:textAlignment w:val="baseline"/>
    </w:pPr>
    <w:rPr>
      <w:rFonts w:ascii="Arial" w:hAnsi="Arial" w:eastAsia="华文中宋" w:cs="华文中宋"/>
      <w:snapToGrid w:val="0"/>
      <w:color w:val="000000" w:themeColor="text1"/>
      <w:kern w:val="0"/>
      <w:sz w:val="21"/>
      <w:szCs w:val="21"/>
      <w14:textFill>
        <w14:solidFill>
          <w14:schemeClr w14:val="tx1"/>
        </w14:solidFill>
      </w14:textFill>
    </w:rPr>
  </w:style>
  <w:style w:type="table" w:styleId="8">
    <w:name w:val="Table Grid"/>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0">
    <w:name w:val="Heading 2_0"/>
    <w:next w:val="11"/>
    <w:unhideWhenUsed/>
    <w:qFormat/>
    <w:uiPriority w:val="0"/>
    <w:pPr>
      <w:keepNext/>
      <w:keepLines/>
      <w:widowControl w:val="0"/>
      <w:spacing w:before="260" w:after="260" w:line="412" w:lineRule="auto"/>
      <w:jc w:val="both"/>
      <w:outlineLvl w:val="1"/>
    </w:pPr>
    <w:rPr>
      <w:rFonts w:ascii="Arial" w:hAnsi="Arial" w:eastAsia="黑体" w:cs="Times New Roman"/>
      <w:b/>
      <w:bCs/>
      <w:kern w:val="2"/>
      <w:sz w:val="32"/>
      <w:szCs w:val="32"/>
      <w:lang w:val="en-US" w:eastAsia="zh-CN" w:bidi="ar-SA"/>
    </w:rPr>
  </w:style>
  <w:style w:type="paragraph" w:customStyle="1" w:styleId="11">
    <w:name w:val="Normal_0"/>
    <w:qFormat/>
    <w:uiPriority w:val="0"/>
    <w:pPr>
      <w:widowControl w:val="0"/>
      <w:spacing w:after="160" w:line="259" w:lineRule="auto"/>
      <w:jc w:val="both"/>
    </w:pPr>
    <w:rPr>
      <w:rFonts w:ascii="Calibri" w:hAnsi="Calibri" w:eastAsia="宋体" w:cs="Times New Roman"/>
      <w:kern w:val="2"/>
      <w:sz w:val="21"/>
      <w:szCs w:val="22"/>
      <w:lang w:val="en-US" w:eastAsia="zh-CN" w:bidi="ar-SA"/>
    </w:rPr>
  </w:style>
  <w:style w:type="paragraph" w:customStyle="1" w:styleId="12">
    <w:name w:val="Heading 3_0"/>
    <w:next w:val="11"/>
    <w:unhideWhenUsed/>
    <w:qFormat/>
    <w:uiPriority w:val="0"/>
    <w:pPr>
      <w:keepNext/>
      <w:keepLines/>
      <w:widowControl w:val="0"/>
      <w:spacing w:before="120" w:after="120" w:line="400" w:lineRule="exact"/>
      <w:jc w:val="left"/>
      <w:outlineLvl w:val="2"/>
    </w:pPr>
    <w:rPr>
      <w:rFonts w:ascii="宋体" w:hAnsi="宋体" w:eastAsia="宋体" w:cs="宋体"/>
      <w:bCs/>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126</Pages>
  <Words>64274</Words>
  <Characters>68875</Characters>
  <Lines>0</Lines>
  <Paragraphs>0</Paragraphs>
  <TotalTime>7</TotalTime>
  <ScaleCrop>false</ScaleCrop>
  <LinksUpToDate>false</LinksUpToDate>
  <CharactersWithSpaces>69854</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2024-08-07T05:23:00Z</dcterms:created>
  <dc:creator>听说</dc:creator>
  <cp:lastModifiedBy>听说</cp:lastModifiedBy>
  <dcterms:modified xsi:type="dcterms:W3CDTF">2024-08-11T06:07:49Z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7497EFC734CC47C7A67EBB7E9FEB4101_11</vt:lpwstr>
  </property>
</Properties>
</file>