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F6A80">
      <w:pPr>
        <w:keepNext w:val="0"/>
        <w:keepLines w:val="0"/>
        <w:pageBreakBefore w:val="0"/>
        <w:widowControl w:val="0"/>
        <w:kinsoku/>
        <w:wordWrap/>
        <w:overflowPunct/>
        <w:topLinePunct w:val="0"/>
        <w:autoSpaceDE/>
        <w:autoSpaceDN/>
        <w:bidi w:val="0"/>
        <w:adjustRightInd/>
        <w:snapToGrid/>
        <w:spacing w:line="700" w:lineRule="exact"/>
        <w:ind w:right="-313" w:rightChars="-149"/>
        <w:jc w:val="center"/>
        <w:textAlignment w:val="auto"/>
        <w:rPr>
          <w:rFonts w:hint="eastAsia" w:ascii="宋体" w:hAnsi="宋体"/>
          <w:b/>
          <w:sz w:val="32"/>
          <w:szCs w:val="32"/>
        </w:rPr>
      </w:pPr>
      <w:r>
        <w:rPr>
          <w:rFonts w:hint="eastAsia" w:ascii="宋体" w:hAnsi="宋体"/>
          <w:b/>
          <w:bCs/>
          <w:sz w:val="48"/>
          <w:szCs w:val="48"/>
          <w:lang w:val="en-US" w:eastAsia="zh-CN"/>
        </w:rPr>
        <w:t>云南能源职业技术学院智慧采掘系统建设项目中标公告</w:t>
      </w:r>
    </w:p>
    <w:p w14:paraId="44E9AA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rPr>
      </w:pPr>
      <w:r>
        <w:rPr>
          <w:rFonts w:hint="eastAsia" w:ascii="宋体" w:hAnsi="宋体" w:eastAsia="宋体"/>
          <w:sz w:val="24"/>
        </w:rPr>
        <w:t>受</w:t>
      </w:r>
      <w:r>
        <w:rPr>
          <w:rFonts w:hint="eastAsia" w:ascii="宋体" w:hAnsi="宋体" w:eastAsia="宋体"/>
          <w:sz w:val="24"/>
          <w:lang w:val="en-US" w:eastAsia="zh-CN"/>
        </w:rPr>
        <w:t>云南能源职业技术学院</w:t>
      </w:r>
      <w:r>
        <w:rPr>
          <w:rFonts w:hint="eastAsia" w:ascii="宋体" w:hAnsi="宋体" w:eastAsia="宋体"/>
          <w:sz w:val="24"/>
        </w:rPr>
        <w:t>的委托，云南乾润项目管理咨询有限公司于202</w:t>
      </w:r>
      <w:r>
        <w:rPr>
          <w:rFonts w:hint="eastAsia" w:ascii="宋体" w:hAnsi="宋体"/>
          <w:sz w:val="24"/>
          <w:lang w:val="en-US" w:eastAsia="zh-CN"/>
        </w:rPr>
        <w:t>6</w:t>
      </w:r>
      <w:r>
        <w:rPr>
          <w:rFonts w:hint="eastAsia" w:ascii="宋体" w:hAnsi="宋体" w:eastAsia="宋体"/>
          <w:sz w:val="24"/>
        </w:rPr>
        <w:t>年</w:t>
      </w:r>
      <w:r>
        <w:rPr>
          <w:rFonts w:hint="eastAsia" w:ascii="宋体" w:hAnsi="宋体"/>
          <w:sz w:val="24"/>
          <w:lang w:val="en-US" w:eastAsia="zh-CN"/>
        </w:rPr>
        <w:t>1</w:t>
      </w:r>
      <w:r>
        <w:rPr>
          <w:rFonts w:hint="eastAsia" w:ascii="宋体" w:hAnsi="宋体" w:eastAsia="宋体"/>
          <w:sz w:val="24"/>
        </w:rPr>
        <w:t>月</w:t>
      </w:r>
      <w:r>
        <w:rPr>
          <w:rFonts w:hint="eastAsia" w:ascii="宋体" w:hAnsi="宋体"/>
          <w:sz w:val="24"/>
          <w:lang w:val="en-US" w:eastAsia="zh-CN"/>
        </w:rPr>
        <w:t>19</w:t>
      </w:r>
      <w:r>
        <w:rPr>
          <w:rFonts w:hint="eastAsia" w:ascii="宋体" w:hAnsi="宋体" w:eastAsia="宋体"/>
          <w:sz w:val="24"/>
        </w:rPr>
        <w:t>日在中国（云南）自由贸易试验区昆明片区官渡区春城时光花园3号地块海乐世界写字楼2栋19层1910室组织完成了</w:t>
      </w:r>
      <w:r>
        <w:rPr>
          <w:rFonts w:hint="eastAsia" w:ascii="宋体" w:hAnsi="宋体"/>
          <w:sz w:val="24"/>
          <w:lang w:val="en-US" w:eastAsia="zh-CN"/>
        </w:rPr>
        <w:t>云南能源职业技术学院智慧采掘系统建设项目</w:t>
      </w:r>
      <w:r>
        <w:rPr>
          <w:rFonts w:hint="eastAsia" w:ascii="宋体" w:hAnsi="宋体"/>
          <w:sz w:val="24"/>
        </w:rPr>
        <w:t>（项目编号：</w:t>
      </w:r>
      <w:r>
        <w:rPr>
          <w:rFonts w:hint="eastAsia" w:ascii="宋体" w:hAnsi="宋体"/>
          <w:sz w:val="24"/>
          <w:lang w:eastAsia="zh-CN"/>
        </w:rPr>
        <w:t>QRZB-202</w:t>
      </w:r>
      <w:r>
        <w:rPr>
          <w:rFonts w:hint="eastAsia" w:ascii="宋体" w:hAnsi="宋体"/>
          <w:sz w:val="24"/>
          <w:lang w:val="en-US" w:eastAsia="zh-CN"/>
        </w:rPr>
        <w:t>5</w:t>
      </w:r>
      <w:r>
        <w:rPr>
          <w:rFonts w:hint="eastAsia" w:ascii="宋体" w:hAnsi="宋体"/>
          <w:sz w:val="24"/>
          <w:lang w:eastAsia="zh-CN"/>
        </w:rPr>
        <w:t>00</w:t>
      </w:r>
      <w:r>
        <w:rPr>
          <w:rFonts w:hint="eastAsia" w:ascii="宋体" w:hAnsi="宋体"/>
          <w:sz w:val="24"/>
          <w:lang w:val="en-US" w:eastAsia="zh-CN"/>
        </w:rPr>
        <w:t>93</w:t>
      </w:r>
      <w:r>
        <w:rPr>
          <w:rFonts w:hint="eastAsia" w:ascii="宋体" w:hAnsi="宋体"/>
          <w:sz w:val="24"/>
        </w:rPr>
        <w:t>）</w:t>
      </w:r>
      <w:r>
        <w:rPr>
          <w:rFonts w:hint="eastAsia" w:ascii="宋体" w:hAnsi="宋体" w:eastAsia="宋体"/>
          <w:sz w:val="24"/>
          <w:lang w:val="en-US" w:eastAsia="zh-CN"/>
        </w:rPr>
        <w:t>的</w:t>
      </w:r>
      <w:r>
        <w:rPr>
          <w:rFonts w:hint="eastAsia" w:ascii="宋体" w:hAnsi="宋体" w:eastAsia="宋体"/>
          <w:sz w:val="24"/>
        </w:rPr>
        <w:t>评标工作</w:t>
      </w:r>
      <w:r>
        <w:rPr>
          <w:rFonts w:hint="eastAsia" w:ascii="宋体" w:hAnsi="宋体" w:eastAsia="宋体"/>
          <w:sz w:val="24"/>
          <w:lang w:eastAsia="zh-CN"/>
        </w:rPr>
        <w:t>，</w:t>
      </w:r>
      <w:r>
        <w:rPr>
          <w:rFonts w:hint="eastAsia" w:ascii="宋体" w:hAnsi="宋体"/>
          <w:sz w:val="24"/>
          <w:lang w:val="en-US" w:eastAsia="zh-CN"/>
        </w:rPr>
        <w:t>经评标委员会评审，采购人确认，确定中标情况如下</w:t>
      </w:r>
      <w:r>
        <w:rPr>
          <w:rFonts w:hint="eastAsia" w:ascii="宋体" w:hAnsi="宋体"/>
          <w:sz w:val="24"/>
        </w:rPr>
        <w:t>：</w:t>
      </w:r>
    </w:p>
    <w:p w14:paraId="618ECF0B">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olor w:val="auto"/>
          <w:sz w:val="24"/>
          <w:u w:val="single"/>
          <w:lang w:val="en-US" w:eastAsia="zh-CN"/>
        </w:rPr>
      </w:pPr>
      <w:r>
        <w:rPr>
          <w:rFonts w:hint="eastAsia" w:cs="Arial"/>
          <w:b/>
          <w:bCs/>
          <w:color w:val="auto"/>
          <w:lang w:val="en-US" w:eastAsia="zh-CN"/>
        </w:rPr>
        <w:t>中标</w:t>
      </w:r>
      <w:r>
        <w:rPr>
          <w:rFonts w:hint="eastAsia" w:cs="Arial"/>
          <w:b/>
          <w:bCs/>
          <w:color w:val="auto"/>
        </w:rPr>
        <w:t>单位</w:t>
      </w:r>
      <w:r>
        <w:rPr>
          <w:rFonts w:hint="eastAsia" w:cs="Arial"/>
          <w:color w:val="auto"/>
        </w:rPr>
        <w:t>：</w:t>
      </w:r>
      <w:r>
        <w:rPr>
          <w:rFonts w:hint="eastAsia" w:cs="Arial"/>
          <w:color w:val="auto"/>
          <w:u w:val="single"/>
        </w:rPr>
        <w:t>联通（陕西）产业互联网有限公司</w:t>
      </w:r>
      <w:r>
        <w:rPr>
          <w:rFonts w:hint="eastAsia" w:ascii="宋体" w:hAnsi="宋体" w:eastAsia="宋体"/>
          <w:color w:val="auto"/>
          <w:sz w:val="24"/>
          <w:u w:val="single"/>
          <w:lang w:val="en-US" w:eastAsia="zh-CN"/>
        </w:rPr>
        <w:t>；</w:t>
      </w:r>
    </w:p>
    <w:p w14:paraId="25A4C2D2">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Times New Roman"/>
          <w:color w:val="auto"/>
          <w:kern w:val="2"/>
          <w:sz w:val="24"/>
          <w:szCs w:val="24"/>
          <w:u w:val="single"/>
          <w:lang w:val="en-US" w:eastAsia="zh-CN" w:bidi="ar-SA"/>
        </w:rPr>
      </w:pPr>
      <w:r>
        <w:rPr>
          <w:rFonts w:hint="eastAsia" w:ascii="宋体" w:hAnsi="宋体" w:eastAsia="宋体" w:cs="Times New Roman"/>
          <w:b/>
          <w:bCs/>
          <w:color w:val="auto"/>
          <w:kern w:val="2"/>
          <w:sz w:val="24"/>
          <w:szCs w:val="24"/>
          <w:lang w:val="en-US" w:eastAsia="zh-CN" w:bidi="ar-SA"/>
        </w:rPr>
        <w:t>中标单位地址</w:t>
      </w:r>
      <w:r>
        <w:rPr>
          <w:rFonts w:hint="eastAsia" w:ascii="宋体" w:hAnsi="宋体" w:eastAsia="宋体" w:cs="Times New Roman"/>
          <w:color w:val="auto"/>
          <w:kern w:val="2"/>
          <w:sz w:val="24"/>
          <w:szCs w:val="24"/>
          <w:lang w:val="en-US" w:eastAsia="zh-CN" w:bidi="ar-SA"/>
        </w:rPr>
        <w:t>：</w:t>
      </w:r>
      <w:r>
        <w:rPr>
          <w:rFonts w:hint="eastAsia" w:ascii="宋体" w:hAnsi="宋体" w:eastAsia="宋体" w:cs="Times New Roman"/>
          <w:color w:val="auto"/>
          <w:kern w:val="2"/>
          <w:sz w:val="24"/>
          <w:szCs w:val="24"/>
          <w:u w:val="single"/>
          <w:lang w:val="en-US" w:eastAsia="zh-CN" w:bidi="ar-SA"/>
        </w:rPr>
        <w:t>陕西省西咸新区沣东新城能源金贸区沣泾大道与沣安路交汇处西南角西咸自贸中心1-A楼6层</w:t>
      </w:r>
      <w:r>
        <w:rPr>
          <w:rFonts w:hint="eastAsia" w:cs="Times New Roman"/>
          <w:color w:val="auto"/>
          <w:kern w:val="2"/>
          <w:sz w:val="24"/>
          <w:szCs w:val="24"/>
          <w:u w:val="single"/>
          <w:lang w:val="en-US" w:eastAsia="zh-CN" w:bidi="ar-SA"/>
        </w:rPr>
        <w:t>；</w:t>
      </w:r>
    </w:p>
    <w:p w14:paraId="4F2DA93E">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Arial"/>
          <w:color w:val="auto"/>
          <w:highlight w:val="none"/>
        </w:rPr>
      </w:pPr>
      <w:bookmarkStart w:id="0" w:name="_GoBack"/>
      <w:bookmarkEnd w:id="0"/>
      <w:r>
        <w:rPr>
          <w:rFonts w:hint="eastAsia" w:cs="Arial"/>
          <w:b/>
          <w:bCs/>
          <w:color w:val="auto"/>
          <w:highlight w:val="none"/>
        </w:rPr>
        <w:t>采购预算</w:t>
      </w:r>
      <w:r>
        <w:rPr>
          <w:rFonts w:hint="eastAsia" w:cs="Arial"/>
          <w:color w:val="auto"/>
          <w:highlight w:val="none"/>
        </w:rPr>
        <w:t>：</w:t>
      </w:r>
      <w:r>
        <w:rPr>
          <w:rFonts w:hint="default" w:cs="Arial"/>
          <w:color w:val="auto"/>
          <w:highlight w:val="none"/>
          <w:u w:val="single"/>
          <w:lang w:val="en-US" w:eastAsia="zh-CN"/>
        </w:rPr>
        <w:t>¥</w:t>
      </w:r>
      <w:r>
        <w:rPr>
          <w:rFonts w:hint="eastAsia" w:cs="Arial"/>
          <w:color w:val="auto"/>
          <w:highlight w:val="none"/>
          <w:u w:val="single"/>
          <w:lang w:val="en-US" w:eastAsia="zh-CN"/>
        </w:rPr>
        <w:t>5850000.00元</w:t>
      </w:r>
      <w:r>
        <w:rPr>
          <w:rFonts w:hint="eastAsia" w:cs="Arial"/>
          <w:color w:val="auto"/>
          <w:highlight w:val="none"/>
          <w:u w:val="single"/>
        </w:rPr>
        <w:t>；</w:t>
      </w:r>
    </w:p>
    <w:p w14:paraId="2AA1324E">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Arial"/>
          <w:color w:val="auto"/>
          <w:lang w:eastAsia="zh-CN"/>
        </w:rPr>
      </w:pPr>
      <w:r>
        <w:rPr>
          <w:rFonts w:hint="eastAsia" w:cs="Arial"/>
          <w:b/>
          <w:bCs/>
          <w:color w:val="auto"/>
          <w:lang w:val="en-US" w:eastAsia="zh-CN"/>
        </w:rPr>
        <w:t>中标</w:t>
      </w:r>
      <w:r>
        <w:rPr>
          <w:rFonts w:hint="eastAsia" w:cs="Arial"/>
          <w:b/>
          <w:bCs/>
          <w:color w:val="auto"/>
        </w:rPr>
        <w:t>价</w:t>
      </w:r>
      <w:r>
        <w:rPr>
          <w:rFonts w:hint="eastAsia" w:cs="Arial"/>
          <w:color w:val="auto"/>
        </w:rPr>
        <w:t>：</w:t>
      </w:r>
      <w:r>
        <w:rPr>
          <w:rFonts w:hint="default" w:cs="Arial"/>
          <w:color w:val="auto"/>
          <w:highlight w:val="none"/>
          <w:u w:val="single"/>
          <w:lang w:val="en-US" w:eastAsia="zh-CN"/>
        </w:rPr>
        <w:t>¥</w:t>
      </w:r>
      <w:r>
        <w:rPr>
          <w:rFonts w:hint="eastAsia" w:cs="Arial"/>
          <w:color w:val="auto"/>
          <w:u w:val="single"/>
          <w:lang w:val="en-US" w:eastAsia="zh-CN"/>
        </w:rPr>
        <w:t>5755100.00元</w:t>
      </w:r>
      <w:r>
        <w:rPr>
          <w:rFonts w:hint="eastAsia" w:cs="Arial"/>
          <w:color w:val="auto"/>
          <w:u w:val="single"/>
          <w:lang w:eastAsia="zh-CN"/>
        </w:rPr>
        <w:t>；</w:t>
      </w:r>
    </w:p>
    <w:p w14:paraId="4F126B1A">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Arial"/>
          <w:b/>
          <w:bCs/>
          <w:color w:val="auto"/>
          <w:highlight w:val="none"/>
          <w:lang w:val="en-US" w:eastAsia="zh-CN"/>
        </w:rPr>
      </w:pPr>
      <w:r>
        <w:rPr>
          <w:rFonts w:hint="eastAsia" w:cs="Arial"/>
          <w:b/>
          <w:bCs/>
          <w:color w:val="auto"/>
          <w:highlight w:val="none"/>
          <w:lang w:val="en-US" w:eastAsia="zh-CN"/>
        </w:rPr>
        <w:t>交货期：</w:t>
      </w:r>
      <w:r>
        <w:rPr>
          <w:rFonts w:hint="eastAsia" w:cs="Arial"/>
          <w:b w:val="0"/>
          <w:bCs w:val="0"/>
          <w:color w:val="auto"/>
          <w:highlight w:val="none"/>
          <w:u w:val="single"/>
          <w:lang w:val="en-US" w:eastAsia="zh-CN"/>
        </w:rPr>
        <w:t>自合同签订后45日历天；</w:t>
      </w:r>
    </w:p>
    <w:p w14:paraId="4A910F54">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Arial"/>
          <w:b w:val="0"/>
          <w:bCs w:val="0"/>
          <w:color w:val="auto"/>
          <w:highlight w:val="none"/>
          <w:u w:val="single"/>
          <w:lang w:val="en-US" w:eastAsia="zh-CN"/>
        </w:rPr>
      </w:pPr>
      <w:r>
        <w:rPr>
          <w:rFonts w:hint="eastAsia" w:cs="Arial"/>
          <w:b/>
          <w:bCs/>
          <w:color w:val="auto"/>
          <w:highlight w:val="none"/>
          <w:lang w:val="en-US" w:eastAsia="zh-CN"/>
        </w:rPr>
        <w:t>交货地点：</w:t>
      </w:r>
      <w:r>
        <w:rPr>
          <w:rFonts w:hint="eastAsia" w:cs="Arial"/>
          <w:b w:val="0"/>
          <w:bCs w:val="0"/>
          <w:color w:val="auto"/>
          <w:highlight w:val="none"/>
          <w:u w:val="single"/>
          <w:lang w:val="en-US" w:eastAsia="zh-CN"/>
        </w:rPr>
        <w:t>云南能源职业技术学院指定地点；</w:t>
      </w:r>
    </w:p>
    <w:p w14:paraId="01929515">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Arial"/>
          <w:b/>
          <w:bCs/>
          <w:color w:val="auto"/>
          <w:highlight w:val="none"/>
          <w:lang w:val="en-US" w:eastAsia="zh-CN"/>
        </w:rPr>
      </w:pPr>
      <w:r>
        <w:rPr>
          <w:rFonts w:hint="eastAsia" w:cs="Arial"/>
          <w:b/>
          <w:bCs/>
          <w:color w:val="auto"/>
          <w:highlight w:val="none"/>
          <w:lang w:val="en-US" w:eastAsia="zh-CN"/>
        </w:rPr>
        <w:t>备注：</w:t>
      </w:r>
      <w:r>
        <w:rPr>
          <w:rFonts w:hint="eastAsia" w:cs="Arial"/>
          <w:b w:val="0"/>
          <w:bCs w:val="0"/>
          <w:color w:val="auto"/>
          <w:highlight w:val="none"/>
          <w:u w:val="single"/>
          <w:lang w:val="en-US" w:eastAsia="zh-CN"/>
        </w:rPr>
        <w:t>完全响应招标文件要求；</w:t>
      </w:r>
    </w:p>
    <w:p w14:paraId="0527B6C6">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Arial"/>
          <w:color w:val="auto"/>
          <w:highlight w:val="none"/>
          <w:lang w:eastAsia="zh-CN"/>
        </w:rPr>
      </w:pPr>
      <w:r>
        <w:rPr>
          <w:rFonts w:hint="eastAsia" w:cs="Arial"/>
          <w:b/>
          <w:bCs/>
          <w:color w:val="auto"/>
          <w:highlight w:val="none"/>
          <w:lang w:eastAsia="zh-CN"/>
        </w:rPr>
        <w:t>代理服务收费标准</w:t>
      </w:r>
      <w:r>
        <w:rPr>
          <w:rFonts w:hint="eastAsia" w:cs="Arial"/>
          <w:b/>
          <w:bCs/>
          <w:color w:val="auto"/>
          <w:highlight w:val="none"/>
          <w:lang w:val="en-US" w:eastAsia="zh-CN"/>
        </w:rPr>
        <w:t>及金额</w:t>
      </w:r>
      <w:r>
        <w:rPr>
          <w:rFonts w:hint="eastAsia" w:cs="Arial"/>
          <w:color w:val="auto"/>
          <w:highlight w:val="none"/>
          <w:lang w:eastAsia="zh-CN"/>
        </w:rPr>
        <w:t>：</w:t>
      </w:r>
    </w:p>
    <w:p w14:paraId="2B5DBF27">
      <w:pPr>
        <w:pStyle w:val="20"/>
        <w:keepNext w:val="0"/>
        <w:keepLines w:val="0"/>
        <w:pageBreakBefore w:val="0"/>
        <w:widowControl w:val="0"/>
        <w:numPr>
          <w:ilvl w:val="0"/>
          <w:numId w:val="1"/>
        </w:numPr>
        <w:kinsoku/>
        <w:wordWrap/>
        <w:overflowPunct/>
        <w:topLinePunct w:val="0"/>
        <w:autoSpaceDE/>
        <w:autoSpaceDN/>
        <w:bidi w:val="0"/>
        <w:adjustRightInd/>
        <w:snapToGrid/>
        <w:spacing w:before="0" w:beforeAutospacing="0" w:after="0" w:afterAutospacing="0" w:line="380" w:lineRule="exact"/>
        <w:ind w:left="358" w:leftChars="0" w:firstLine="482" w:firstLineChars="0"/>
        <w:jc w:val="both"/>
        <w:textAlignment w:val="auto"/>
        <w:rPr>
          <w:rFonts w:hint="eastAsia" w:cs="Arial"/>
          <w:sz w:val="28"/>
          <w:szCs w:val="28"/>
          <w:highlight w:val="none"/>
          <w:lang w:val="en-US" w:eastAsia="zh-CN"/>
        </w:rPr>
      </w:pPr>
      <w:r>
        <w:rPr>
          <w:rFonts w:hint="eastAsia" w:cs="Arial"/>
          <w:sz w:val="28"/>
          <w:szCs w:val="28"/>
          <w:highlight w:val="none"/>
          <w:lang w:val="en-US" w:eastAsia="zh-CN"/>
        </w:rPr>
        <w:t>代理服务费按以下表格中服务类型对应的费率和中标金额以中标金额为费率基数，按差额定率累进法计算，计算后下浮20%收取招标代理服务费。</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6"/>
        <w:gridCol w:w="1818"/>
        <w:gridCol w:w="1902"/>
        <w:gridCol w:w="1966"/>
      </w:tblGrid>
      <w:tr w14:paraId="20A6C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2338" w:type="pct"/>
            <w:tcBorders>
              <w:top w:val="single" w:color="auto" w:sz="4" w:space="0"/>
              <w:left w:val="single" w:color="auto" w:sz="4" w:space="0"/>
              <w:bottom w:val="single" w:color="auto" w:sz="4" w:space="0"/>
              <w:right w:val="single" w:color="auto" w:sz="4" w:space="0"/>
              <w:tl2br w:val="single" w:color="auto" w:sz="4" w:space="0"/>
            </w:tcBorders>
            <w:noWrap w:val="0"/>
            <w:vAlign w:val="top"/>
          </w:tcPr>
          <w:p w14:paraId="64B25B36">
            <w:pPr>
              <w:spacing w:line="240" w:lineRule="exact"/>
              <w:ind w:firstLine="1928" w:firstLineChars="800"/>
              <w:rPr>
                <w:rFonts w:eastAsia="仿宋_GB2312"/>
                <w:b/>
                <w:bCs/>
                <w:sz w:val="24"/>
              </w:rPr>
            </w:pPr>
            <w:r>
              <w:rPr>
                <w:rFonts w:hint="eastAsia" w:eastAsia="仿宋_GB2312"/>
                <w:b/>
                <w:bCs/>
                <w:sz w:val="24"/>
              </w:rPr>
              <w:t>服务类型</w:t>
            </w:r>
            <w:r>
              <w:rPr>
                <w:rFonts w:eastAsia="仿宋_GB2312"/>
                <w:b/>
                <w:bCs/>
                <w:sz w:val="24"/>
              </w:rPr>
              <w:t xml:space="preserve"> </w:t>
            </w:r>
          </w:p>
          <w:p w14:paraId="590B3B90">
            <w:pPr>
              <w:spacing w:line="240" w:lineRule="exact"/>
              <w:ind w:firstLine="3614" w:firstLineChars="1500"/>
              <w:rPr>
                <w:rFonts w:eastAsia="仿宋_GB2312"/>
                <w:b/>
                <w:bCs/>
                <w:sz w:val="24"/>
              </w:rPr>
            </w:pPr>
            <w:r>
              <w:rPr>
                <w:rFonts w:hint="eastAsia" w:eastAsia="仿宋_GB2312"/>
                <w:b/>
                <w:bCs/>
                <w:sz w:val="24"/>
              </w:rPr>
              <w:t>费率</w:t>
            </w:r>
          </w:p>
          <w:p w14:paraId="096E63A9">
            <w:pPr>
              <w:spacing w:line="240" w:lineRule="exact"/>
              <w:rPr>
                <w:rFonts w:eastAsia="仿宋_GB2312"/>
                <w:b/>
                <w:bCs/>
                <w:sz w:val="24"/>
              </w:rPr>
            </w:pPr>
            <w:r>
              <w:rPr>
                <w:rFonts w:hint="eastAsia" w:eastAsia="仿宋_GB2312"/>
                <w:b/>
                <w:bCs/>
                <w:sz w:val="24"/>
              </w:rPr>
              <w:t>金额（万元）</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0B76EDB4">
            <w:pPr>
              <w:spacing w:line="240" w:lineRule="exact"/>
              <w:jc w:val="center"/>
              <w:rPr>
                <w:rFonts w:eastAsia="仿宋_GB2312"/>
                <w:b/>
                <w:bCs/>
                <w:sz w:val="24"/>
              </w:rPr>
            </w:pPr>
            <w:r>
              <w:rPr>
                <w:rFonts w:hint="eastAsia" w:eastAsia="仿宋_GB2312"/>
                <w:b/>
                <w:bCs/>
                <w:sz w:val="24"/>
              </w:rPr>
              <w:t>货物招标</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7B439387">
            <w:pPr>
              <w:spacing w:line="240" w:lineRule="exact"/>
              <w:jc w:val="center"/>
              <w:rPr>
                <w:rFonts w:eastAsia="仿宋_GB2312"/>
                <w:b/>
                <w:bCs/>
                <w:sz w:val="24"/>
              </w:rPr>
            </w:pPr>
            <w:r>
              <w:rPr>
                <w:rFonts w:hint="eastAsia" w:eastAsia="仿宋_GB2312"/>
                <w:b/>
                <w:bCs/>
                <w:sz w:val="24"/>
              </w:rPr>
              <w:t>服务招标</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2A24D707">
            <w:pPr>
              <w:spacing w:line="240" w:lineRule="exact"/>
              <w:jc w:val="center"/>
              <w:rPr>
                <w:rFonts w:eastAsia="仿宋_GB2312"/>
                <w:b/>
                <w:bCs/>
                <w:sz w:val="24"/>
              </w:rPr>
            </w:pPr>
            <w:r>
              <w:rPr>
                <w:rFonts w:hint="eastAsia" w:eastAsia="仿宋_GB2312"/>
                <w:b/>
                <w:bCs/>
                <w:sz w:val="24"/>
              </w:rPr>
              <w:t>工程招标</w:t>
            </w:r>
          </w:p>
        </w:tc>
      </w:tr>
      <w:tr w14:paraId="029E2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jc w:val="center"/>
        </w:trPr>
        <w:tc>
          <w:tcPr>
            <w:tcW w:w="2338" w:type="pct"/>
            <w:tcBorders>
              <w:top w:val="single" w:color="auto" w:sz="4" w:space="0"/>
              <w:left w:val="single" w:color="auto" w:sz="4" w:space="0"/>
              <w:bottom w:val="single" w:color="auto" w:sz="4" w:space="0"/>
              <w:right w:val="single" w:color="auto" w:sz="4" w:space="0"/>
            </w:tcBorders>
            <w:noWrap w:val="0"/>
            <w:vAlign w:val="center"/>
          </w:tcPr>
          <w:p w14:paraId="615215FD">
            <w:pPr>
              <w:jc w:val="center"/>
              <w:rPr>
                <w:rFonts w:eastAsia="仿宋_GB2312"/>
                <w:b/>
                <w:bCs/>
                <w:sz w:val="24"/>
              </w:rPr>
            </w:pPr>
            <w:r>
              <w:rPr>
                <w:rFonts w:eastAsia="仿宋_GB2312"/>
                <w:b/>
                <w:bCs/>
                <w:sz w:val="24"/>
              </w:rPr>
              <w:t>100</w:t>
            </w:r>
            <w:r>
              <w:rPr>
                <w:rFonts w:hint="eastAsia" w:eastAsia="仿宋_GB2312"/>
                <w:b/>
                <w:bCs/>
                <w:sz w:val="24"/>
              </w:rPr>
              <w:t>以下</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0B9DBBAB">
            <w:pPr>
              <w:jc w:val="center"/>
              <w:rPr>
                <w:rFonts w:eastAsia="仿宋_GB2312"/>
                <w:b/>
                <w:bCs/>
                <w:sz w:val="24"/>
              </w:rPr>
            </w:pPr>
            <w:r>
              <w:rPr>
                <w:rFonts w:eastAsia="仿宋_GB2312"/>
                <w:b/>
                <w:bCs/>
                <w:sz w:val="24"/>
              </w:rPr>
              <w:t>1.5%</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17ADA997">
            <w:pPr>
              <w:jc w:val="center"/>
              <w:rPr>
                <w:rFonts w:eastAsia="仿宋_GB2312"/>
                <w:b/>
                <w:bCs/>
                <w:sz w:val="24"/>
              </w:rPr>
            </w:pPr>
            <w:r>
              <w:rPr>
                <w:rFonts w:eastAsia="仿宋_GB2312"/>
                <w:b/>
                <w:bCs/>
                <w:sz w:val="24"/>
              </w:rPr>
              <w:t>1.5%</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05FF2CD4">
            <w:pPr>
              <w:jc w:val="center"/>
              <w:rPr>
                <w:rFonts w:eastAsia="仿宋_GB2312"/>
                <w:b/>
                <w:bCs/>
                <w:sz w:val="24"/>
              </w:rPr>
            </w:pPr>
            <w:r>
              <w:rPr>
                <w:rFonts w:eastAsia="仿宋_GB2312"/>
                <w:b/>
                <w:bCs/>
                <w:sz w:val="24"/>
              </w:rPr>
              <w:t>1.0%</w:t>
            </w:r>
          </w:p>
        </w:tc>
      </w:tr>
      <w:tr w14:paraId="1442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jc w:val="center"/>
        </w:trPr>
        <w:tc>
          <w:tcPr>
            <w:tcW w:w="2338" w:type="pct"/>
            <w:tcBorders>
              <w:top w:val="single" w:color="auto" w:sz="4" w:space="0"/>
              <w:left w:val="single" w:color="auto" w:sz="4" w:space="0"/>
              <w:bottom w:val="single" w:color="auto" w:sz="4" w:space="0"/>
              <w:right w:val="single" w:color="auto" w:sz="4" w:space="0"/>
            </w:tcBorders>
            <w:noWrap w:val="0"/>
            <w:vAlign w:val="center"/>
          </w:tcPr>
          <w:p w14:paraId="512E3F4F">
            <w:pPr>
              <w:jc w:val="center"/>
              <w:rPr>
                <w:rFonts w:eastAsia="仿宋_GB2312"/>
                <w:b/>
                <w:bCs/>
                <w:sz w:val="24"/>
              </w:rPr>
            </w:pPr>
            <w:r>
              <w:rPr>
                <w:rFonts w:eastAsia="仿宋_GB2312"/>
                <w:b/>
                <w:bCs/>
                <w:sz w:val="24"/>
              </w:rPr>
              <w:t>100-500</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71388440">
            <w:pPr>
              <w:jc w:val="center"/>
              <w:rPr>
                <w:rFonts w:eastAsia="仿宋_GB2312"/>
                <w:b/>
                <w:bCs/>
                <w:sz w:val="24"/>
              </w:rPr>
            </w:pPr>
            <w:r>
              <w:rPr>
                <w:rFonts w:eastAsia="仿宋_GB2312"/>
                <w:b/>
                <w:bCs/>
                <w:sz w:val="24"/>
              </w:rPr>
              <w:t>1.1%</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4DF95558">
            <w:pPr>
              <w:jc w:val="center"/>
              <w:rPr>
                <w:rFonts w:eastAsia="仿宋_GB2312"/>
                <w:b/>
                <w:bCs/>
                <w:sz w:val="24"/>
              </w:rPr>
            </w:pPr>
            <w:r>
              <w:rPr>
                <w:rFonts w:eastAsia="仿宋_GB2312"/>
                <w:b/>
                <w:bCs/>
                <w:sz w:val="24"/>
              </w:rPr>
              <w:t>0.8%</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74339162">
            <w:pPr>
              <w:jc w:val="center"/>
              <w:rPr>
                <w:rFonts w:eastAsia="仿宋_GB2312"/>
                <w:b/>
                <w:bCs/>
                <w:sz w:val="24"/>
              </w:rPr>
            </w:pPr>
            <w:r>
              <w:rPr>
                <w:rFonts w:eastAsia="仿宋_GB2312"/>
                <w:b/>
                <w:bCs/>
                <w:sz w:val="24"/>
              </w:rPr>
              <w:t>0.7%</w:t>
            </w:r>
          </w:p>
        </w:tc>
      </w:tr>
      <w:tr w14:paraId="70EE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2338" w:type="pct"/>
            <w:tcBorders>
              <w:top w:val="single" w:color="auto" w:sz="4" w:space="0"/>
              <w:left w:val="single" w:color="auto" w:sz="4" w:space="0"/>
              <w:bottom w:val="single" w:color="auto" w:sz="4" w:space="0"/>
              <w:right w:val="single" w:color="auto" w:sz="4" w:space="0"/>
            </w:tcBorders>
            <w:noWrap w:val="0"/>
            <w:vAlign w:val="center"/>
          </w:tcPr>
          <w:p w14:paraId="72D65B4D">
            <w:pPr>
              <w:jc w:val="center"/>
              <w:rPr>
                <w:rFonts w:eastAsia="仿宋_GB2312"/>
                <w:b/>
                <w:bCs/>
                <w:sz w:val="24"/>
              </w:rPr>
            </w:pPr>
            <w:r>
              <w:rPr>
                <w:rFonts w:eastAsia="仿宋_GB2312"/>
                <w:b/>
                <w:bCs/>
                <w:sz w:val="24"/>
              </w:rPr>
              <w:t>500-1000</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00E4D024">
            <w:pPr>
              <w:jc w:val="center"/>
              <w:rPr>
                <w:rFonts w:eastAsia="仿宋_GB2312"/>
                <w:b/>
                <w:bCs/>
                <w:sz w:val="24"/>
              </w:rPr>
            </w:pPr>
            <w:r>
              <w:rPr>
                <w:rFonts w:eastAsia="仿宋_GB2312"/>
                <w:b/>
                <w:bCs/>
                <w:sz w:val="24"/>
              </w:rPr>
              <w:t>0.8%</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62133F14">
            <w:pPr>
              <w:jc w:val="center"/>
              <w:rPr>
                <w:rFonts w:eastAsia="仿宋_GB2312"/>
                <w:b/>
                <w:bCs/>
                <w:sz w:val="24"/>
              </w:rPr>
            </w:pPr>
            <w:r>
              <w:rPr>
                <w:rFonts w:eastAsia="仿宋_GB2312"/>
                <w:b/>
                <w:bCs/>
                <w:sz w:val="24"/>
              </w:rPr>
              <w:t>0.45%</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633CDF74">
            <w:pPr>
              <w:jc w:val="center"/>
              <w:rPr>
                <w:rFonts w:eastAsia="仿宋_GB2312"/>
                <w:b/>
                <w:bCs/>
                <w:sz w:val="24"/>
              </w:rPr>
            </w:pPr>
            <w:r>
              <w:rPr>
                <w:rFonts w:eastAsia="仿宋_GB2312"/>
                <w:b/>
                <w:bCs/>
                <w:sz w:val="24"/>
              </w:rPr>
              <w:t>0.55%</w:t>
            </w:r>
          </w:p>
        </w:tc>
      </w:tr>
      <w:tr w14:paraId="51F0C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jc w:val="center"/>
        </w:trPr>
        <w:tc>
          <w:tcPr>
            <w:tcW w:w="2338" w:type="pct"/>
            <w:tcBorders>
              <w:top w:val="single" w:color="auto" w:sz="4" w:space="0"/>
              <w:left w:val="single" w:color="auto" w:sz="4" w:space="0"/>
              <w:bottom w:val="single" w:color="auto" w:sz="4" w:space="0"/>
              <w:right w:val="single" w:color="auto" w:sz="4" w:space="0"/>
            </w:tcBorders>
            <w:noWrap w:val="0"/>
            <w:vAlign w:val="center"/>
          </w:tcPr>
          <w:p w14:paraId="4ADB5A62">
            <w:pPr>
              <w:jc w:val="center"/>
              <w:rPr>
                <w:rFonts w:eastAsia="仿宋_GB2312"/>
                <w:b/>
                <w:bCs/>
                <w:sz w:val="24"/>
              </w:rPr>
            </w:pPr>
            <w:r>
              <w:rPr>
                <w:rFonts w:eastAsia="仿宋_GB2312"/>
                <w:b/>
                <w:bCs/>
                <w:sz w:val="24"/>
              </w:rPr>
              <w:t>1000-5000</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365557B8">
            <w:pPr>
              <w:jc w:val="center"/>
              <w:rPr>
                <w:rFonts w:eastAsia="仿宋_GB2312"/>
                <w:b/>
                <w:bCs/>
                <w:sz w:val="24"/>
              </w:rPr>
            </w:pPr>
            <w:r>
              <w:rPr>
                <w:rFonts w:eastAsia="仿宋_GB2312"/>
                <w:b/>
                <w:bCs/>
                <w:sz w:val="24"/>
              </w:rPr>
              <w:t>0.5%</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17CB0EC4">
            <w:pPr>
              <w:jc w:val="center"/>
              <w:rPr>
                <w:rFonts w:eastAsia="仿宋_GB2312"/>
                <w:b/>
                <w:bCs/>
                <w:sz w:val="24"/>
              </w:rPr>
            </w:pPr>
            <w:r>
              <w:rPr>
                <w:rFonts w:eastAsia="仿宋_GB2312"/>
                <w:b/>
                <w:bCs/>
                <w:sz w:val="24"/>
              </w:rPr>
              <w:t>0.25%</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3B7C70F6">
            <w:pPr>
              <w:jc w:val="center"/>
              <w:rPr>
                <w:rFonts w:eastAsia="仿宋_GB2312"/>
                <w:b/>
                <w:bCs/>
                <w:sz w:val="24"/>
              </w:rPr>
            </w:pPr>
            <w:r>
              <w:rPr>
                <w:rFonts w:eastAsia="仿宋_GB2312"/>
                <w:b/>
                <w:bCs/>
                <w:sz w:val="24"/>
              </w:rPr>
              <w:t>0.35%</w:t>
            </w:r>
          </w:p>
        </w:tc>
      </w:tr>
      <w:tr w14:paraId="1FC9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exact"/>
          <w:jc w:val="center"/>
        </w:trPr>
        <w:tc>
          <w:tcPr>
            <w:tcW w:w="2338" w:type="pct"/>
            <w:tcBorders>
              <w:top w:val="single" w:color="auto" w:sz="4" w:space="0"/>
              <w:left w:val="single" w:color="auto" w:sz="4" w:space="0"/>
              <w:bottom w:val="single" w:color="auto" w:sz="4" w:space="0"/>
              <w:right w:val="single" w:color="auto" w:sz="4" w:space="0"/>
            </w:tcBorders>
            <w:noWrap w:val="0"/>
            <w:vAlign w:val="center"/>
          </w:tcPr>
          <w:p w14:paraId="16A8A02D">
            <w:pPr>
              <w:jc w:val="center"/>
              <w:rPr>
                <w:rFonts w:eastAsia="仿宋_GB2312"/>
                <w:b/>
                <w:bCs/>
                <w:sz w:val="24"/>
              </w:rPr>
            </w:pPr>
            <w:r>
              <w:rPr>
                <w:rFonts w:eastAsia="仿宋_GB2312"/>
                <w:b/>
                <w:bCs/>
                <w:sz w:val="24"/>
              </w:rPr>
              <w:t>5000-10000</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542B9241">
            <w:pPr>
              <w:jc w:val="center"/>
              <w:rPr>
                <w:rFonts w:eastAsia="仿宋_GB2312"/>
                <w:b/>
                <w:bCs/>
                <w:sz w:val="24"/>
              </w:rPr>
            </w:pPr>
            <w:r>
              <w:rPr>
                <w:rFonts w:eastAsia="仿宋_GB2312"/>
                <w:b/>
                <w:bCs/>
                <w:sz w:val="24"/>
              </w:rPr>
              <w:t>0.25%</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42EEE388">
            <w:pPr>
              <w:jc w:val="center"/>
              <w:rPr>
                <w:rFonts w:eastAsia="仿宋_GB2312"/>
                <w:b/>
                <w:bCs/>
                <w:sz w:val="24"/>
              </w:rPr>
            </w:pPr>
            <w:r>
              <w:rPr>
                <w:rFonts w:eastAsia="仿宋_GB2312"/>
                <w:b/>
                <w:bCs/>
                <w:sz w:val="24"/>
              </w:rPr>
              <w:t>0.1%</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42B97E91">
            <w:pPr>
              <w:jc w:val="center"/>
              <w:rPr>
                <w:rFonts w:eastAsia="仿宋_GB2312"/>
                <w:b/>
                <w:bCs/>
                <w:sz w:val="24"/>
              </w:rPr>
            </w:pPr>
            <w:r>
              <w:rPr>
                <w:rFonts w:eastAsia="仿宋_GB2312"/>
                <w:b/>
                <w:bCs/>
                <w:sz w:val="24"/>
              </w:rPr>
              <w:t>0.2%</w:t>
            </w:r>
          </w:p>
        </w:tc>
      </w:tr>
      <w:tr w14:paraId="00706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exact"/>
          <w:jc w:val="center"/>
        </w:trPr>
        <w:tc>
          <w:tcPr>
            <w:tcW w:w="2338" w:type="pct"/>
            <w:tcBorders>
              <w:top w:val="single" w:color="auto" w:sz="4" w:space="0"/>
              <w:left w:val="single" w:color="auto" w:sz="4" w:space="0"/>
              <w:bottom w:val="single" w:color="auto" w:sz="4" w:space="0"/>
              <w:right w:val="single" w:color="auto" w:sz="4" w:space="0"/>
            </w:tcBorders>
            <w:noWrap w:val="0"/>
            <w:vAlign w:val="center"/>
          </w:tcPr>
          <w:p w14:paraId="23DDBB2C">
            <w:pPr>
              <w:jc w:val="center"/>
              <w:rPr>
                <w:rFonts w:eastAsia="仿宋_GB2312"/>
                <w:b/>
                <w:bCs/>
                <w:sz w:val="24"/>
              </w:rPr>
            </w:pPr>
            <w:r>
              <w:rPr>
                <w:rFonts w:eastAsia="仿宋_GB2312"/>
                <w:b/>
                <w:bCs/>
                <w:sz w:val="24"/>
              </w:rPr>
              <w:t>10000-100000</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189BE6C8">
            <w:pPr>
              <w:jc w:val="center"/>
              <w:rPr>
                <w:rFonts w:eastAsia="仿宋_GB2312"/>
                <w:b/>
                <w:bCs/>
                <w:sz w:val="24"/>
              </w:rPr>
            </w:pPr>
            <w:r>
              <w:rPr>
                <w:rFonts w:eastAsia="仿宋_GB2312"/>
                <w:b/>
                <w:bCs/>
                <w:sz w:val="24"/>
              </w:rPr>
              <w:t>0.05%</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54289B16">
            <w:pPr>
              <w:jc w:val="center"/>
              <w:rPr>
                <w:rFonts w:eastAsia="仿宋_GB2312"/>
                <w:b/>
                <w:bCs/>
                <w:sz w:val="24"/>
              </w:rPr>
            </w:pPr>
            <w:r>
              <w:rPr>
                <w:rFonts w:eastAsia="仿宋_GB2312"/>
                <w:b/>
                <w:bCs/>
                <w:sz w:val="24"/>
              </w:rPr>
              <w:t>0.05%</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160B056F">
            <w:pPr>
              <w:jc w:val="center"/>
              <w:rPr>
                <w:rFonts w:eastAsia="仿宋_GB2312"/>
                <w:b/>
                <w:bCs/>
                <w:sz w:val="24"/>
              </w:rPr>
            </w:pPr>
            <w:r>
              <w:rPr>
                <w:rFonts w:eastAsia="仿宋_GB2312"/>
                <w:b/>
                <w:bCs/>
                <w:sz w:val="24"/>
              </w:rPr>
              <w:t>0.05%</w:t>
            </w:r>
          </w:p>
        </w:tc>
      </w:tr>
      <w:tr w14:paraId="75AB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jc w:val="center"/>
        </w:trPr>
        <w:tc>
          <w:tcPr>
            <w:tcW w:w="2338" w:type="pct"/>
            <w:tcBorders>
              <w:top w:val="single" w:color="auto" w:sz="4" w:space="0"/>
              <w:left w:val="single" w:color="auto" w:sz="4" w:space="0"/>
              <w:bottom w:val="single" w:color="auto" w:sz="4" w:space="0"/>
              <w:right w:val="single" w:color="auto" w:sz="4" w:space="0"/>
            </w:tcBorders>
            <w:noWrap w:val="0"/>
            <w:vAlign w:val="center"/>
          </w:tcPr>
          <w:p w14:paraId="33869BFC">
            <w:pPr>
              <w:jc w:val="center"/>
              <w:rPr>
                <w:rFonts w:eastAsia="仿宋_GB2312"/>
                <w:b/>
                <w:bCs/>
                <w:sz w:val="24"/>
              </w:rPr>
            </w:pPr>
            <w:r>
              <w:rPr>
                <w:rFonts w:eastAsia="仿宋_GB2312"/>
                <w:b/>
                <w:bCs/>
                <w:sz w:val="24"/>
              </w:rPr>
              <w:t>100000</w:t>
            </w:r>
            <w:r>
              <w:rPr>
                <w:rFonts w:hint="eastAsia" w:eastAsia="仿宋_GB2312"/>
                <w:b/>
                <w:bCs/>
                <w:sz w:val="24"/>
              </w:rPr>
              <w:t>以上</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3720E529">
            <w:pPr>
              <w:jc w:val="center"/>
              <w:rPr>
                <w:rFonts w:eastAsia="仿宋_GB2312"/>
                <w:b/>
                <w:bCs/>
                <w:sz w:val="24"/>
              </w:rPr>
            </w:pPr>
            <w:r>
              <w:rPr>
                <w:rFonts w:eastAsia="仿宋_GB2312"/>
                <w:b/>
                <w:bCs/>
                <w:sz w:val="24"/>
              </w:rPr>
              <w:t>0.01%</w:t>
            </w:r>
          </w:p>
        </w:tc>
        <w:tc>
          <w:tcPr>
            <w:tcW w:w="890" w:type="pct"/>
            <w:tcBorders>
              <w:top w:val="single" w:color="auto" w:sz="4" w:space="0"/>
              <w:left w:val="single" w:color="auto" w:sz="4" w:space="0"/>
              <w:bottom w:val="single" w:color="auto" w:sz="4" w:space="0"/>
              <w:right w:val="single" w:color="auto" w:sz="4" w:space="0"/>
            </w:tcBorders>
            <w:noWrap w:val="0"/>
            <w:vAlign w:val="center"/>
          </w:tcPr>
          <w:p w14:paraId="331C84BA">
            <w:pPr>
              <w:jc w:val="center"/>
              <w:rPr>
                <w:rFonts w:eastAsia="仿宋_GB2312"/>
                <w:b/>
                <w:bCs/>
                <w:sz w:val="24"/>
              </w:rPr>
            </w:pPr>
            <w:r>
              <w:rPr>
                <w:rFonts w:eastAsia="仿宋_GB2312"/>
                <w:b/>
                <w:bCs/>
                <w:sz w:val="24"/>
              </w:rPr>
              <w:t>0.01%</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0C626620">
            <w:pPr>
              <w:jc w:val="center"/>
              <w:rPr>
                <w:rFonts w:eastAsia="仿宋_GB2312"/>
                <w:b/>
                <w:bCs/>
                <w:sz w:val="24"/>
              </w:rPr>
            </w:pPr>
            <w:r>
              <w:rPr>
                <w:rFonts w:eastAsia="仿宋_GB2312"/>
                <w:b/>
                <w:bCs/>
                <w:sz w:val="24"/>
              </w:rPr>
              <w:t>0.01%</w:t>
            </w:r>
          </w:p>
        </w:tc>
      </w:tr>
    </w:tbl>
    <w:p w14:paraId="10236978">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cs="Arial"/>
          <w:sz w:val="28"/>
          <w:szCs w:val="28"/>
          <w:highlight w:val="none"/>
          <w:lang w:eastAsia="zh-CN"/>
        </w:rPr>
      </w:pPr>
      <w:r>
        <w:rPr>
          <w:rFonts w:hint="eastAsia" w:cs="Arial"/>
          <w:sz w:val="28"/>
          <w:szCs w:val="28"/>
          <w:highlight w:val="none"/>
          <w:lang w:val="en-US" w:eastAsia="zh-CN"/>
        </w:rPr>
        <w:t>2．代理服务费由中标单位支付，收费金额为52032.64元，在领取中标通知书前向采购代理机构一次性支付。否则，采购人将视之为违约并取消该成交资格。</w:t>
      </w:r>
    </w:p>
    <w:p w14:paraId="76015109">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Arial"/>
          <w:color w:val="auto"/>
          <w:lang w:val="en-US" w:eastAsia="zh-CN"/>
        </w:rPr>
      </w:pPr>
      <w:r>
        <w:rPr>
          <w:rFonts w:hint="eastAsia" w:cs="Arial"/>
          <w:b/>
          <w:bCs/>
          <w:color w:val="auto"/>
        </w:rPr>
        <w:t>评标委员会成员</w:t>
      </w:r>
      <w:r>
        <w:rPr>
          <w:rFonts w:hint="eastAsia" w:ascii="宋体" w:hAnsi="宋体" w:eastAsia="宋体" w:cs="Arial"/>
          <w:color w:val="auto"/>
        </w:rPr>
        <w:t>：</w:t>
      </w:r>
      <w:r>
        <w:rPr>
          <w:rFonts w:hint="eastAsia" w:cs="Arial"/>
          <w:color w:val="auto"/>
          <w:lang w:val="en-US" w:eastAsia="zh-CN"/>
        </w:rPr>
        <w:t>雷鸿云，王淼淼，杨毅然，蒲桐桐，朱昳橙</w:t>
      </w:r>
    </w:p>
    <w:p w14:paraId="262B53C9">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Arial"/>
          <w:b/>
          <w:bCs/>
          <w:color w:val="auto"/>
          <w:lang w:val="en-US" w:eastAsia="zh-CN"/>
        </w:rPr>
      </w:pPr>
      <w:r>
        <w:rPr>
          <w:rFonts w:hint="eastAsia" w:ascii="宋体" w:hAnsi="宋体" w:eastAsia="宋体" w:cs="Arial"/>
          <w:b/>
          <w:bCs/>
          <w:color w:val="auto"/>
          <w:lang w:val="en-US" w:eastAsia="zh-CN"/>
        </w:rPr>
        <w:t>主要中标标的信息：</w:t>
      </w:r>
    </w:p>
    <w:p w14:paraId="1E4DEB4F">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cs="Arial"/>
          <w:b w:val="0"/>
          <w:bCs w:val="0"/>
          <w:color w:val="auto"/>
          <w:u w:val="single"/>
          <w:lang w:val="en-US" w:eastAsia="zh-CN"/>
        </w:rPr>
      </w:pPr>
      <w:r>
        <w:rPr>
          <w:rFonts w:hint="eastAsia" w:ascii="宋体" w:hAnsi="宋体" w:eastAsia="宋体" w:cs="Arial"/>
          <w:b/>
          <w:bCs/>
          <w:color w:val="auto"/>
          <w:lang w:val="en-US" w:eastAsia="zh-CN"/>
        </w:rPr>
        <w:t>标的名称：</w:t>
      </w:r>
      <w:r>
        <w:rPr>
          <w:rFonts w:hint="eastAsia" w:cs="Arial"/>
          <w:b w:val="0"/>
          <w:bCs w:val="0"/>
          <w:color w:val="auto"/>
          <w:u w:val="single"/>
          <w:lang w:val="en-US" w:eastAsia="zh-CN"/>
        </w:rPr>
        <w:t>云南能源职业技术学院智慧采掘系统建设项目</w:t>
      </w:r>
    </w:p>
    <w:p w14:paraId="17DBA331">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cs="Arial"/>
          <w:b w:val="0"/>
          <w:bCs w:val="0"/>
          <w:color w:val="auto"/>
          <w:u w:val="single"/>
          <w:lang w:val="en-US" w:eastAsia="zh-CN"/>
        </w:rPr>
      </w:pPr>
    </w:p>
    <w:p w14:paraId="6D16C201">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3A0383DD">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71A51130">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68D5F995">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r>
        <w:rPr>
          <w:rFonts w:hint="eastAsia" w:ascii="宋体" w:hAnsi="宋体" w:eastAsia="宋体" w:cs="Arial"/>
          <w:b w:val="0"/>
          <w:bCs w:val="0"/>
          <w:u w:val="single"/>
          <w:lang w:val="en-US" w:eastAsia="zh-CN"/>
        </w:rPr>
        <w:drawing>
          <wp:anchor distT="0" distB="0" distL="114300" distR="114300" simplePos="0" relativeHeight="251659264" behindDoc="0" locked="0" layoutInCell="1" allowOverlap="1">
            <wp:simplePos x="0" y="0"/>
            <wp:positionH relativeFrom="column">
              <wp:posOffset>-19050</wp:posOffset>
            </wp:positionH>
            <wp:positionV relativeFrom="page">
              <wp:posOffset>828675</wp:posOffset>
            </wp:positionV>
            <wp:extent cx="6643370" cy="3158490"/>
            <wp:effectExtent l="0" t="0" r="1270" b="11430"/>
            <wp:wrapTopAndBottom/>
            <wp:docPr id="1" name="图片 1" descr="9395e5db09765f4979fd401ca33c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395e5db09765f4979fd401ca33c5719"/>
                    <pic:cNvPicPr>
                      <a:picLocks noChangeAspect="1"/>
                    </pic:cNvPicPr>
                  </pic:nvPicPr>
                  <pic:blipFill>
                    <a:blip r:embed="rId4"/>
                    <a:stretch>
                      <a:fillRect/>
                    </a:stretch>
                  </pic:blipFill>
                  <pic:spPr>
                    <a:xfrm>
                      <a:off x="0" y="0"/>
                      <a:ext cx="6643370" cy="3158490"/>
                    </a:xfrm>
                    <a:prstGeom prst="rect">
                      <a:avLst/>
                    </a:prstGeom>
                  </pic:spPr>
                </pic:pic>
              </a:graphicData>
            </a:graphic>
          </wp:anchor>
        </w:drawing>
      </w:r>
    </w:p>
    <w:p w14:paraId="628E4FC3">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4B9C90BE">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r>
        <w:rPr>
          <w:rFonts w:hint="eastAsia" w:ascii="宋体" w:hAnsi="宋体" w:eastAsia="宋体" w:cs="Arial"/>
          <w:b w:val="0"/>
          <w:bCs w:val="0"/>
          <w:u w:val="single"/>
          <w:lang w:val="en-US" w:eastAsia="zh-CN"/>
        </w:rPr>
        <w:drawing>
          <wp:anchor distT="0" distB="0" distL="114300" distR="114300" simplePos="0" relativeHeight="251660288" behindDoc="0" locked="0" layoutInCell="1" allowOverlap="1">
            <wp:simplePos x="0" y="0"/>
            <wp:positionH relativeFrom="column">
              <wp:posOffset>118110</wp:posOffset>
            </wp:positionH>
            <wp:positionV relativeFrom="page">
              <wp:posOffset>4622165</wp:posOffset>
            </wp:positionV>
            <wp:extent cx="6635750" cy="4359275"/>
            <wp:effectExtent l="0" t="0" r="8890" b="14605"/>
            <wp:wrapTopAndBottom/>
            <wp:docPr id="2" name="图片 2" descr="86ed676268d3d0a27c6751466222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6ed676268d3d0a27c67514662224224"/>
                    <pic:cNvPicPr>
                      <a:picLocks noChangeAspect="1"/>
                    </pic:cNvPicPr>
                  </pic:nvPicPr>
                  <pic:blipFill>
                    <a:blip r:embed="rId5"/>
                    <a:stretch>
                      <a:fillRect/>
                    </a:stretch>
                  </pic:blipFill>
                  <pic:spPr>
                    <a:xfrm>
                      <a:off x="0" y="0"/>
                      <a:ext cx="6635750" cy="4359275"/>
                    </a:xfrm>
                    <a:prstGeom prst="rect">
                      <a:avLst/>
                    </a:prstGeom>
                  </pic:spPr>
                </pic:pic>
              </a:graphicData>
            </a:graphic>
          </wp:anchor>
        </w:drawing>
      </w:r>
    </w:p>
    <w:p w14:paraId="166CE57C">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57AFF234">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26EB4E60">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7C8AAD2C">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3144B8CB">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r>
        <w:rPr>
          <w:rFonts w:hint="eastAsia" w:ascii="宋体" w:hAnsi="宋体" w:eastAsia="宋体" w:cs="Arial"/>
          <w:b w:val="0"/>
          <w:bCs w:val="0"/>
          <w:u w:val="single"/>
          <w:lang w:val="en-US" w:eastAsia="zh-CN"/>
        </w:rPr>
        <w:drawing>
          <wp:anchor distT="0" distB="0" distL="114300" distR="114300" simplePos="0" relativeHeight="251661312" behindDoc="0" locked="0" layoutInCell="1" allowOverlap="1">
            <wp:simplePos x="0" y="0"/>
            <wp:positionH relativeFrom="column">
              <wp:posOffset>76200</wp:posOffset>
            </wp:positionH>
            <wp:positionV relativeFrom="page">
              <wp:posOffset>714375</wp:posOffset>
            </wp:positionV>
            <wp:extent cx="6637020" cy="4079875"/>
            <wp:effectExtent l="0" t="0" r="7620" b="4445"/>
            <wp:wrapTopAndBottom/>
            <wp:docPr id="3" name="图片 3" descr="e252ae894b3f59d59677dc33140a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252ae894b3f59d59677dc33140a2447"/>
                    <pic:cNvPicPr>
                      <a:picLocks noChangeAspect="1"/>
                    </pic:cNvPicPr>
                  </pic:nvPicPr>
                  <pic:blipFill>
                    <a:blip r:embed="rId6"/>
                    <a:stretch>
                      <a:fillRect/>
                    </a:stretch>
                  </pic:blipFill>
                  <pic:spPr>
                    <a:xfrm>
                      <a:off x="0" y="0"/>
                      <a:ext cx="6637020" cy="4079875"/>
                    </a:xfrm>
                    <a:prstGeom prst="rect">
                      <a:avLst/>
                    </a:prstGeom>
                  </pic:spPr>
                </pic:pic>
              </a:graphicData>
            </a:graphic>
          </wp:anchor>
        </w:drawing>
      </w:r>
    </w:p>
    <w:p w14:paraId="0633C9C2">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78BFC83A">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100584DD">
      <w:pPr>
        <w:pStyle w:val="20"/>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Arial"/>
          <w:b w:val="0"/>
          <w:bCs w:val="0"/>
          <w:u w:val="single"/>
          <w:lang w:val="en-US" w:eastAsia="zh-CN"/>
        </w:rPr>
      </w:pPr>
    </w:p>
    <w:p w14:paraId="237B9AFA">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Arial"/>
        </w:rPr>
      </w:pPr>
      <w:r>
        <w:rPr>
          <w:rFonts w:hint="eastAsia" w:ascii="宋体" w:hAnsi="宋体" w:eastAsia="宋体" w:cs="Arial"/>
        </w:rPr>
        <w:t>废标情况：</w:t>
      </w:r>
      <w:r>
        <w:rPr>
          <w:rFonts w:hint="eastAsia" w:cs="Arial"/>
          <w:lang w:val="en-US" w:eastAsia="zh-CN"/>
        </w:rPr>
        <w:t>无。</w:t>
      </w:r>
    </w:p>
    <w:p w14:paraId="6C767FB1">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cs="Arial"/>
        </w:rPr>
      </w:pPr>
      <w:r>
        <w:rPr>
          <w:rFonts w:hint="eastAsia" w:cs="Arial"/>
        </w:rPr>
        <w:t>此评标结果公示期为1个工作日，若对上述公示有异议，可先到</w:t>
      </w:r>
      <w:r>
        <w:rPr>
          <w:rFonts w:hint="eastAsia" w:cs="Arial"/>
          <w:lang w:val="en-US" w:eastAsia="zh-CN"/>
        </w:rPr>
        <w:t>采购人</w:t>
      </w:r>
      <w:r>
        <w:rPr>
          <w:rFonts w:hint="eastAsia" w:cs="Arial"/>
        </w:rPr>
        <w:t>或</w:t>
      </w:r>
      <w:r>
        <w:rPr>
          <w:rFonts w:hint="eastAsia" w:cs="Arial"/>
          <w:lang w:val="en-US" w:eastAsia="zh-CN"/>
        </w:rPr>
        <w:t>采购代理机构</w:t>
      </w:r>
      <w:r>
        <w:rPr>
          <w:rFonts w:hint="eastAsia" w:cs="Arial"/>
        </w:rPr>
        <w:t>进行书面质疑。不服质疑回复的可到同级财政局进行书面投诉。</w:t>
      </w:r>
    </w:p>
    <w:p w14:paraId="332CF936">
      <w:pPr>
        <w:pStyle w:val="20"/>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cs="Arial"/>
        </w:rPr>
      </w:pPr>
      <w:r>
        <w:rPr>
          <w:rFonts w:hint="eastAsia" w:cs="Arial"/>
        </w:rPr>
        <w:t>在此，谨对积极参与本项目的投标单位表示衷心感谢！</w:t>
      </w:r>
    </w:p>
    <w:p w14:paraId="26106DA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采购人名称：云南能源职业技术学院</w:t>
      </w:r>
    </w:p>
    <w:p w14:paraId="2F734FF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地址：曲靖市职教中心文苑北路8号</w:t>
      </w:r>
    </w:p>
    <w:p w14:paraId="6FE7A66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联系人：王老师</w:t>
      </w:r>
    </w:p>
    <w:p w14:paraId="62651E7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联系电话：0874-3181833</w:t>
      </w:r>
    </w:p>
    <w:p w14:paraId="7207E27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采购代理机构：云南乾润项目管理咨询有限公司</w:t>
      </w:r>
    </w:p>
    <w:p w14:paraId="4076F03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地    址：（中国（云南）自由贸易试验区昆明市官渡区春城时光花园3号地块海乐世界写字楼2座19层1910室</w:t>
      </w:r>
    </w:p>
    <w:p w14:paraId="5823C4B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联系人：杨航、陈昌、杨璧诚、孙涛、王晶晶、李武黎</w:t>
      </w:r>
    </w:p>
    <w:p w14:paraId="09E697E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 xml:space="preserve">联系电话：0871-64151502   </w:t>
      </w:r>
    </w:p>
    <w:p w14:paraId="6612C94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传真：0871-64151502</w:t>
      </w:r>
    </w:p>
    <w:p w14:paraId="7DB4FA6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 xml:space="preserve">邮政编码：650000                </w:t>
      </w:r>
    </w:p>
    <w:p w14:paraId="06CB698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t>日期：202</w:t>
      </w:r>
      <w:r>
        <w:rPr>
          <w:rFonts w:hint="eastAsia" w:ascii="宋体" w:hAnsi="宋体" w:cs="Arial"/>
          <w:kern w:val="0"/>
          <w:sz w:val="24"/>
          <w:szCs w:val="24"/>
          <w:lang w:val="en-US" w:eastAsia="zh-CN" w:bidi="ar-SA"/>
        </w:rPr>
        <w:t>6</w:t>
      </w:r>
      <w:r>
        <w:rPr>
          <w:rFonts w:hint="eastAsia" w:ascii="宋体" w:hAnsi="宋体" w:eastAsia="宋体" w:cs="Arial"/>
          <w:kern w:val="0"/>
          <w:sz w:val="24"/>
          <w:szCs w:val="24"/>
          <w:lang w:val="en-US" w:eastAsia="zh-CN" w:bidi="ar-SA"/>
        </w:rPr>
        <w:t>年</w:t>
      </w:r>
      <w:r>
        <w:rPr>
          <w:rFonts w:hint="eastAsia" w:ascii="宋体" w:hAnsi="宋体" w:cs="Arial"/>
          <w:kern w:val="0"/>
          <w:sz w:val="24"/>
          <w:szCs w:val="24"/>
          <w:lang w:val="en-US" w:eastAsia="zh-CN" w:bidi="ar-SA"/>
        </w:rPr>
        <w:t>1</w:t>
      </w:r>
      <w:r>
        <w:rPr>
          <w:rFonts w:hint="eastAsia" w:ascii="宋体" w:hAnsi="宋体" w:eastAsia="宋体" w:cs="Arial"/>
          <w:kern w:val="0"/>
          <w:sz w:val="24"/>
          <w:szCs w:val="24"/>
          <w:lang w:val="en-US" w:eastAsia="zh-CN" w:bidi="ar-SA"/>
        </w:rPr>
        <w:t>月</w:t>
      </w:r>
      <w:r>
        <w:rPr>
          <w:rFonts w:hint="eastAsia" w:ascii="宋体" w:hAnsi="宋体" w:cs="Arial"/>
          <w:kern w:val="0"/>
          <w:sz w:val="24"/>
          <w:szCs w:val="24"/>
          <w:lang w:val="en-US" w:eastAsia="zh-CN" w:bidi="ar-SA"/>
        </w:rPr>
        <w:t>20</w:t>
      </w:r>
      <w:r>
        <w:rPr>
          <w:rFonts w:hint="eastAsia" w:ascii="宋体" w:hAnsi="宋体" w:eastAsia="宋体" w:cs="Arial"/>
          <w:kern w:val="0"/>
          <w:sz w:val="24"/>
          <w:szCs w:val="24"/>
          <w:lang w:val="en-US" w:eastAsia="zh-CN" w:bidi="ar-SA"/>
        </w:rPr>
        <w:t>日</w:t>
      </w:r>
    </w:p>
    <w:sectPr>
      <w:pgSz w:w="11906" w:h="16838"/>
      <w:pgMar w:top="720" w:right="720" w:bottom="720" w:left="720" w:header="851" w:footer="76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CF3C50" w:usb2="00000016" w:usb3="00000000" w:csb0="0004001F" w:csb1="00000000"/>
  </w:font>
  <w:font w:name="Arial">
    <w:panose1 w:val="020B06040202020202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0E187"/>
    <w:multiLevelType w:val="singleLevel"/>
    <w:tmpl w:val="BC20E187"/>
    <w:lvl w:ilvl="0" w:tentative="0">
      <w:start w:val="1"/>
      <w:numFmt w:val="decimal"/>
      <w:suff w:val="nothing"/>
      <w:lvlText w:val="%1、"/>
      <w:lvlJc w:val="left"/>
      <w:pPr>
        <w:ind w:left="35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zMDk3ZWFmYWJjZDFmZmYwOTQ1Zjc3NDhmOTEwMDYifQ=="/>
  </w:docVars>
  <w:rsids>
    <w:rsidRoot w:val="008810D0"/>
    <w:rsid w:val="00001139"/>
    <w:rsid w:val="00005FF0"/>
    <w:rsid w:val="00015281"/>
    <w:rsid w:val="00041EC2"/>
    <w:rsid w:val="00080293"/>
    <w:rsid w:val="000B051F"/>
    <w:rsid w:val="000B1B50"/>
    <w:rsid w:val="000E75B0"/>
    <w:rsid w:val="00115E78"/>
    <w:rsid w:val="00132A98"/>
    <w:rsid w:val="0013661B"/>
    <w:rsid w:val="001406BC"/>
    <w:rsid w:val="001564DA"/>
    <w:rsid w:val="00170919"/>
    <w:rsid w:val="00192AEE"/>
    <w:rsid w:val="001C688B"/>
    <w:rsid w:val="001E38D2"/>
    <w:rsid w:val="001E6D0F"/>
    <w:rsid w:val="00203D83"/>
    <w:rsid w:val="002125CC"/>
    <w:rsid w:val="00216CC4"/>
    <w:rsid w:val="0023679D"/>
    <w:rsid w:val="002377FD"/>
    <w:rsid w:val="002412BB"/>
    <w:rsid w:val="00267794"/>
    <w:rsid w:val="00286AD6"/>
    <w:rsid w:val="002D0EC2"/>
    <w:rsid w:val="002D6417"/>
    <w:rsid w:val="00323C8E"/>
    <w:rsid w:val="00340D49"/>
    <w:rsid w:val="0034435D"/>
    <w:rsid w:val="00347082"/>
    <w:rsid w:val="003744AF"/>
    <w:rsid w:val="00377076"/>
    <w:rsid w:val="003B598B"/>
    <w:rsid w:val="003F5666"/>
    <w:rsid w:val="00490C19"/>
    <w:rsid w:val="004A4794"/>
    <w:rsid w:val="004E5726"/>
    <w:rsid w:val="00504454"/>
    <w:rsid w:val="00540292"/>
    <w:rsid w:val="00546C43"/>
    <w:rsid w:val="00552E67"/>
    <w:rsid w:val="00556BB8"/>
    <w:rsid w:val="005925D6"/>
    <w:rsid w:val="00594793"/>
    <w:rsid w:val="00597D85"/>
    <w:rsid w:val="005E5A56"/>
    <w:rsid w:val="005F588F"/>
    <w:rsid w:val="00605B6E"/>
    <w:rsid w:val="006134FF"/>
    <w:rsid w:val="0064514D"/>
    <w:rsid w:val="006517A2"/>
    <w:rsid w:val="00654DC8"/>
    <w:rsid w:val="00694E65"/>
    <w:rsid w:val="00695F01"/>
    <w:rsid w:val="006A4A5B"/>
    <w:rsid w:val="006D3640"/>
    <w:rsid w:val="00703D5F"/>
    <w:rsid w:val="007062E3"/>
    <w:rsid w:val="007148F0"/>
    <w:rsid w:val="007158FA"/>
    <w:rsid w:val="00764326"/>
    <w:rsid w:val="007A5EAC"/>
    <w:rsid w:val="007A69D4"/>
    <w:rsid w:val="007C3F7A"/>
    <w:rsid w:val="0084092E"/>
    <w:rsid w:val="00852470"/>
    <w:rsid w:val="00865B76"/>
    <w:rsid w:val="008810D0"/>
    <w:rsid w:val="008852D1"/>
    <w:rsid w:val="008974A3"/>
    <w:rsid w:val="008A2580"/>
    <w:rsid w:val="008F14E2"/>
    <w:rsid w:val="0092135C"/>
    <w:rsid w:val="00926261"/>
    <w:rsid w:val="00957BAD"/>
    <w:rsid w:val="00972843"/>
    <w:rsid w:val="0099494B"/>
    <w:rsid w:val="009C6A54"/>
    <w:rsid w:val="009F146B"/>
    <w:rsid w:val="00A32AC0"/>
    <w:rsid w:val="00A5287A"/>
    <w:rsid w:val="00A54372"/>
    <w:rsid w:val="00A817A9"/>
    <w:rsid w:val="00A82F53"/>
    <w:rsid w:val="00A84CCB"/>
    <w:rsid w:val="00AB432F"/>
    <w:rsid w:val="00AE024A"/>
    <w:rsid w:val="00AE76EC"/>
    <w:rsid w:val="00AF2BC6"/>
    <w:rsid w:val="00AF650A"/>
    <w:rsid w:val="00B15547"/>
    <w:rsid w:val="00B17A2E"/>
    <w:rsid w:val="00B42A7A"/>
    <w:rsid w:val="00B755D9"/>
    <w:rsid w:val="00B836C8"/>
    <w:rsid w:val="00BA14BB"/>
    <w:rsid w:val="00BE0E9C"/>
    <w:rsid w:val="00BE39EF"/>
    <w:rsid w:val="00C441E7"/>
    <w:rsid w:val="00C523B7"/>
    <w:rsid w:val="00C72D32"/>
    <w:rsid w:val="00CC68F7"/>
    <w:rsid w:val="00D07F3C"/>
    <w:rsid w:val="00D14D25"/>
    <w:rsid w:val="00D400E1"/>
    <w:rsid w:val="00D706BD"/>
    <w:rsid w:val="00DB0A15"/>
    <w:rsid w:val="00DB25F1"/>
    <w:rsid w:val="00DB688C"/>
    <w:rsid w:val="00E52770"/>
    <w:rsid w:val="00E60301"/>
    <w:rsid w:val="00E63F32"/>
    <w:rsid w:val="00E955C3"/>
    <w:rsid w:val="00EA66AD"/>
    <w:rsid w:val="00F07CF8"/>
    <w:rsid w:val="00F2056D"/>
    <w:rsid w:val="00F479C2"/>
    <w:rsid w:val="00F47A27"/>
    <w:rsid w:val="00F47B19"/>
    <w:rsid w:val="00F804B9"/>
    <w:rsid w:val="00F8602C"/>
    <w:rsid w:val="00FB1FFF"/>
    <w:rsid w:val="016C0FA1"/>
    <w:rsid w:val="026B1259"/>
    <w:rsid w:val="0426326E"/>
    <w:rsid w:val="04875B35"/>
    <w:rsid w:val="050634BB"/>
    <w:rsid w:val="05B2719F"/>
    <w:rsid w:val="05C76428"/>
    <w:rsid w:val="070457D8"/>
    <w:rsid w:val="09B554AF"/>
    <w:rsid w:val="0A217A22"/>
    <w:rsid w:val="0CDA7707"/>
    <w:rsid w:val="0D2941EA"/>
    <w:rsid w:val="0E1924B1"/>
    <w:rsid w:val="10CB1093"/>
    <w:rsid w:val="12564D1F"/>
    <w:rsid w:val="174165D4"/>
    <w:rsid w:val="179E3A27"/>
    <w:rsid w:val="17D73664"/>
    <w:rsid w:val="1B501479"/>
    <w:rsid w:val="1C247518"/>
    <w:rsid w:val="1D271A73"/>
    <w:rsid w:val="1E3C728A"/>
    <w:rsid w:val="1F470F1F"/>
    <w:rsid w:val="1F59095F"/>
    <w:rsid w:val="21980C1C"/>
    <w:rsid w:val="220A5F40"/>
    <w:rsid w:val="27176742"/>
    <w:rsid w:val="27AE6F1C"/>
    <w:rsid w:val="29CC61D1"/>
    <w:rsid w:val="2A7B7782"/>
    <w:rsid w:val="2AC870C5"/>
    <w:rsid w:val="2ADB491E"/>
    <w:rsid w:val="2B0E43C5"/>
    <w:rsid w:val="2EA65243"/>
    <w:rsid w:val="2EE355AD"/>
    <w:rsid w:val="2F590F8E"/>
    <w:rsid w:val="2F616D71"/>
    <w:rsid w:val="340C3D9A"/>
    <w:rsid w:val="34784F8C"/>
    <w:rsid w:val="38205F37"/>
    <w:rsid w:val="39261FCD"/>
    <w:rsid w:val="3BB05953"/>
    <w:rsid w:val="3F283195"/>
    <w:rsid w:val="3FCB2D5B"/>
    <w:rsid w:val="41EC6158"/>
    <w:rsid w:val="424033A9"/>
    <w:rsid w:val="43245AF0"/>
    <w:rsid w:val="472D60AA"/>
    <w:rsid w:val="48C81442"/>
    <w:rsid w:val="4B1D76A9"/>
    <w:rsid w:val="4B4C0AC8"/>
    <w:rsid w:val="4BDF193C"/>
    <w:rsid w:val="4EA9128E"/>
    <w:rsid w:val="4EE07F8D"/>
    <w:rsid w:val="511D4E24"/>
    <w:rsid w:val="51BD5832"/>
    <w:rsid w:val="521D186B"/>
    <w:rsid w:val="52796647"/>
    <w:rsid w:val="59930B77"/>
    <w:rsid w:val="59F34B83"/>
    <w:rsid w:val="59FB554C"/>
    <w:rsid w:val="5A416514"/>
    <w:rsid w:val="5E240621"/>
    <w:rsid w:val="60FC161B"/>
    <w:rsid w:val="619216A0"/>
    <w:rsid w:val="62782477"/>
    <w:rsid w:val="687579B4"/>
    <w:rsid w:val="69201535"/>
    <w:rsid w:val="694D5D69"/>
    <w:rsid w:val="6AD20B92"/>
    <w:rsid w:val="6C1C2220"/>
    <w:rsid w:val="6D9B29EA"/>
    <w:rsid w:val="6DDF20E1"/>
    <w:rsid w:val="6E1E018A"/>
    <w:rsid w:val="70020FE0"/>
    <w:rsid w:val="71A248AF"/>
    <w:rsid w:val="71D66104"/>
    <w:rsid w:val="72544FB0"/>
    <w:rsid w:val="73EF00BF"/>
    <w:rsid w:val="770B16B4"/>
    <w:rsid w:val="797E74D0"/>
    <w:rsid w:val="7B7F441F"/>
    <w:rsid w:val="7C64201D"/>
    <w:rsid w:val="7C684EB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line="600" w:lineRule="exact"/>
      <w:jc w:val="center"/>
      <w:outlineLvl w:val="1"/>
    </w:pPr>
    <w:rPr>
      <w:rFonts w:ascii="Cambria" w:hAnsi="Cambria"/>
      <w:b/>
      <w:bCs/>
      <w:sz w:val="32"/>
      <w:szCs w:val="32"/>
    </w:rPr>
  </w:style>
  <w:style w:type="paragraph" w:styleId="4">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rPr>
      <w:rFonts w:ascii="宋体"/>
      <w:sz w:val="24"/>
    </w:rPr>
  </w:style>
  <w:style w:type="paragraph" w:styleId="6">
    <w:name w:val="Body Text Indent"/>
    <w:basedOn w:val="1"/>
    <w:qFormat/>
    <w:uiPriority w:val="99"/>
    <w:pPr>
      <w:ind w:firstLine="480"/>
    </w:pPr>
    <w:rPr>
      <w:b/>
      <w:bCs/>
      <w:sz w:val="24"/>
    </w:r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spacing w:before="120" w:after="120"/>
      <w:jc w:val="left"/>
    </w:pPr>
    <w:rPr>
      <w:rFonts w:ascii="Calibri" w:hAnsi="Calibri"/>
      <w:b/>
      <w:bCs/>
      <w:caps/>
      <w:sz w:val="20"/>
    </w:rPr>
  </w:style>
  <w:style w:type="paragraph" w:styleId="10">
    <w:name w:val="Body Text First Indent 2"/>
    <w:basedOn w:val="6"/>
    <w:qFormat/>
    <w:uiPriority w:val="0"/>
    <w:pPr>
      <w:widowControl/>
      <w:spacing w:after="120"/>
      <w:ind w:left="420" w:leftChars="200" w:firstLine="420" w:firstLineChars="200"/>
      <w:jc w:val="left"/>
    </w:pPr>
    <w:rPr>
      <w:b w:val="0"/>
      <w:bCs w:val="0"/>
    </w:rPr>
  </w:style>
  <w:style w:type="character" w:styleId="13">
    <w:name w:val="Emphasis"/>
    <w:basedOn w:val="12"/>
    <w:qFormat/>
    <w:uiPriority w:val="0"/>
    <w:rPr>
      <w:i/>
    </w:rPr>
  </w:style>
  <w:style w:type="character" w:customStyle="1" w:styleId="14">
    <w:name w:val="标题 1 Char"/>
    <w:basedOn w:val="12"/>
    <w:link w:val="2"/>
    <w:qFormat/>
    <w:uiPriority w:val="0"/>
    <w:rPr>
      <w:rFonts w:eastAsia="宋体"/>
      <w:b/>
      <w:bCs/>
      <w:kern w:val="44"/>
      <w:sz w:val="44"/>
      <w:szCs w:val="44"/>
      <w:lang w:val="en-US" w:eastAsia="zh-CN" w:bidi="ar-SA"/>
    </w:rPr>
  </w:style>
  <w:style w:type="character" w:customStyle="1" w:styleId="15">
    <w:name w:val="页脚 Char"/>
    <w:basedOn w:val="12"/>
    <w:link w:val="7"/>
    <w:qFormat/>
    <w:uiPriority w:val="0"/>
    <w:rPr>
      <w:kern w:val="2"/>
      <w:sz w:val="18"/>
      <w:szCs w:val="18"/>
    </w:rPr>
  </w:style>
  <w:style w:type="character" w:customStyle="1" w:styleId="16">
    <w:name w:val="页眉 Char"/>
    <w:basedOn w:val="12"/>
    <w:link w:val="8"/>
    <w:qFormat/>
    <w:uiPriority w:val="0"/>
    <w:rPr>
      <w:kern w:val="2"/>
      <w:sz w:val="18"/>
      <w:szCs w:val="18"/>
    </w:rPr>
  </w:style>
  <w:style w:type="paragraph" w:customStyle="1" w:styleId="17">
    <w:name w:val="正文 New New New New New New New New New New New New New New New"/>
    <w:qFormat/>
    <w:uiPriority w:val="0"/>
    <w:pPr>
      <w:widowControl w:val="0"/>
    </w:pPr>
    <w:rPr>
      <w:rFonts w:ascii="Times New Roman" w:hAnsi="Times New Roman" w:eastAsia="仿宋" w:cs="Times New Roman"/>
      <w:kern w:val="2"/>
      <w:sz w:val="28"/>
      <w:szCs w:val="24"/>
      <w:lang w:val="en-US" w:eastAsia="zh-CN" w:bidi="ar-SA"/>
    </w:rPr>
  </w:style>
  <w:style w:type="paragraph" w:customStyle="1" w:styleId="18">
    <w:name w:val="普通正文"/>
    <w:basedOn w:val="1"/>
    <w:qFormat/>
    <w:uiPriority w:val="99"/>
    <w:pPr>
      <w:spacing w:line="360" w:lineRule="auto"/>
      <w:ind w:left="34" w:firstLine="480"/>
    </w:pPr>
    <w:rPr>
      <w:sz w:val="24"/>
    </w:rPr>
  </w:style>
  <w:style w:type="paragraph" w:customStyle="1" w:styleId="19">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0">
    <w:name w:val="p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789</Words>
  <Characters>1006</Characters>
  <Lines>5</Lines>
  <Paragraphs>1</Paragraphs>
  <TotalTime>10</TotalTime>
  <ScaleCrop>false</ScaleCrop>
  <LinksUpToDate>false</LinksUpToDate>
  <CharactersWithSpaces>1030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2014-01-22T16:26:00Z</dcterms:created>
  <dc:creator>X</dc:creator>
  <cp:lastModifiedBy>李一方</cp:lastModifiedBy>
  <cp:lastPrinted>2023-06-01T02:28:00Z</cp:lastPrinted>
  <dcterms:modified xsi:type="dcterms:W3CDTF">2026-01-20T01:19:27Z</dcterms:modified>
  <dc:title>晋宁县农村信用合作联社办公楼局部装修改造工程中标公示</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2D3BA84A9DD34789BC42529FBA5C490A_13</vt:lpwstr>
  </property>
  <property fmtid="{D5CDD505-2E9C-101B-9397-08002B2CF9AE}" pid="4" name="KSOTemplateDocerSaveRecord">
    <vt:lpwstr>eyJoZGlkIjoiMjAzMDk3ZWFmYWJjZDFmZmYwOTQ1Zjc3NDhmOTEwMDYiLCJ1c2VySWQiOiI2Mzc5MTgzNjUifQ==</vt:lpwstr>
  </property>
</Properties>
</file>