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1B4403">
      <w:pPr>
        <w:spacing w:line="600" w:lineRule="exact"/>
        <w:jc w:val="center"/>
        <w:rPr>
          <w:rFonts w:hint="eastAsia" w:ascii="宋体" w:hAnsi="宋体" w:eastAsia="宋体" w:cs="宋体"/>
          <w:b/>
          <w:bCs/>
          <w:color w:val="auto"/>
          <w:kern w:val="0"/>
          <w:szCs w:val="32"/>
          <w:highlight w:val="none"/>
        </w:rPr>
      </w:pPr>
      <w:r>
        <w:rPr>
          <w:rFonts w:hint="eastAsia" w:ascii="宋体" w:hAnsi="宋体" w:eastAsia="宋体" w:cs="宋体"/>
          <w:b/>
          <w:bCs/>
          <w:color w:val="auto"/>
          <w:kern w:val="0"/>
          <w:szCs w:val="32"/>
          <w:highlight w:val="none"/>
        </w:rPr>
        <w:t>政府采购合同（</w:t>
      </w:r>
      <w:r>
        <w:rPr>
          <w:rFonts w:hint="eastAsia" w:ascii="宋体" w:hAnsi="宋体" w:eastAsia="宋体" w:cs="宋体"/>
          <w:b/>
          <w:bCs/>
          <w:color w:val="auto"/>
          <w:kern w:val="0"/>
          <w:szCs w:val="32"/>
          <w:highlight w:val="none"/>
          <w:lang w:val="en-US" w:eastAsia="zh-CN"/>
        </w:rPr>
        <w:t>文本</w:t>
      </w:r>
      <w:r>
        <w:rPr>
          <w:rFonts w:hint="eastAsia" w:ascii="宋体" w:hAnsi="宋体" w:eastAsia="宋体" w:cs="宋体"/>
          <w:b/>
          <w:bCs/>
          <w:color w:val="auto"/>
          <w:kern w:val="0"/>
          <w:szCs w:val="32"/>
          <w:highlight w:val="none"/>
        </w:rPr>
        <w:t>）</w:t>
      </w:r>
    </w:p>
    <w:p w14:paraId="014A6E2B">
      <w:pPr>
        <w:spacing w:line="600" w:lineRule="exact"/>
        <w:ind w:firstLine="560" w:firstLineChars="200"/>
        <w:rPr>
          <w:rFonts w:hint="eastAsia" w:ascii="宋体" w:hAnsi="宋体" w:eastAsia="宋体" w:cs="宋体"/>
          <w:color w:val="auto"/>
          <w:sz w:val="28"/>
          <w:szCs w:val="28"/>
          <w:highlight w:val="none"/>
        </w:rPr>
      </w:pPr>
    </w:p>
    <w:p w14:paraId="313F95BE">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合同编号：XXX                                         </w:t>
      </w:r>
    </w:p>
    <w:p w14:paraId="77F5FAE6">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签订地点：XXX                                                                              </w:t>
      </w:r>
    </w:p>
    <w:p w14:paraId="70E8703B">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采购人</w:t>
      </w:r>
      <w:r>
        <w:rPr>
          <w:rFonts w:hint="eastAsia" w:ascii="宋体" w:hAnsi="宋体" w:eastAsia="宋体" w:cs="宋体"/>
          <w:color w:val="auto"/>
          <w:sz w:val="28"/>
          <w:szCs w:val="28"/>
          <w:highlight w:val="none"/>
        </w:rPr>
        <w:t xml:space="preserve">（甲方）：XXX                                          </w:t>
      </w:r>
    </w:p>
    <w:p w14:paraId="1E07D2D7">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供应商（乙方）：XXX                          </w:t>
      </w:r>
      <w:bookmarkStart w:id="57" w:name="_GoBack"/>
      <w:bookmarkEnd w:id="57"/>
      <w:r>
        <w:rPr>
          <w:rFonts w:hint="eastAsia" w:ascii="宋体" w:hAnsi="宋体" w:eastAsia="宋体" w:cs="宋体"/>
          <w:color w:val="auto"/>
          <w:sz w:val="28"/>
          <w:szCs w:val="28"/>
          <w:highlight w:val="none"/>
        </w:rPr>
        <w:t xml:space="preserve">                </w:t>
      </w:r>
    </w:p>
    <w:p w14:paraId="19CABDE0">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根据《中华人民共和国政府采购法》《</w:t>
      </w:r>
      <w:r>
        <w:rPr>
          <w:rFonts w:hint="eastAsia" w:ascii="宋体" w:hAnsi="宋体" w:eastAsia="宋体" w:cs="宋体"/>
          <w:color w:val="auto"/>
          <w:sz w:val="28"/>
          <w:szCs w:val="28"/>
          <w:highlight w:val="none"/>
          <w:lang w:eastAsia="zh-CN"/>
        </w:rPr>
        <w:t>中华人民共和国民法典</w:t>
      </w:r>
      <w:r>
        <w:rPr>
          <w:rFonts w:hint="eastAsia" w:ascii="宋体" w:hAnsi="宋体" w:eastAsia="宋体" w:cs="宋体"/>
          <w:color w:val="auto"/>
          <w:sz w:val="28"/>
          <w:szCs w:val="28"/>
          <w:highlight w:val="none"/>
        </w:rPr>
        <w:t>》及XXX采购项目（项目编号：XXX）的《</w:t>
      </w:r>
      <w:r>
        <w:rPr>
          <w:rFonts w:hint="eastAsia" w:ascii="宋体" w:hAnsi="宋体" w:eastAsia="宋体" w:cs="宋体"/>
          <w:color w:val="auto"/>
          <w:sz w:val="28"/>
          <w:szCs w:val="28"/>
          <w:highlight w:val="none"/>
          <w:lang w:eastAsia="zh-CN"/>
        </w:rPr>
        <w:t>招标文件</w:t>
      </w:r>
      <w:r>
        <w:rPr>
          <w:rFonts w:hint="eastAsia" w:ascii="宋体" w:hAnsi="宋体" w:eastAsia="宋体" w:cs="宋体"/>
          <w:color w:val="auto"/>
          <w:sz w:val="28"/>
          <w:szCs w:val="28"/>
          <w:highlight w:val="none"/>
        </w:rPr>
        <w:t>》、乙方的《</w:t>
      </w:r>
      <w:r>
        <w:rPr>
          <w:rFonts w:hint="eastAsia" w:ascii="宋体" w:hAnsi="宋体" w:eastAsia="宋体" w:cs="宋体"/>
          <w:color w:val="auto"/>
          <w:sz w:val="28"/>
          <w:szCs w:val="28"/>
          <w:highlight w:val="none"/>
          <w:lang w:eastAsia="zh-CN"/>
        </w:rPr>
        <w:t>投标文件</w:t>
      </w:r>
      <w:r>
        <w:rPr>
          <w:rFonts w:hint="eastAsia" w:ascii="宋体" w:hAnsi="宋体" w:eastAsia="宋体" w:cs="宋体"/>
          <w:color w:val="auto"/>
          <w:sz w:val="28"/>
          <w:szCs w:val="28"/>
          <w:highlight w:val="none"/>
        </w:rPr>
        <w:t>》及《</w:t>
      </w:r>
      <w:r>
        <w:rPr>
          <w:rFonts w:hint="eastAsia" w:ascii="宋体" w:hAnsi="宋体" w:eastAsia="宋体" w:cs="宋体"/>
          <w:color w:val="auto"/>
          <w:sz w:val="28"/>
          <w:szCs w:val="28"/>
          <w:highlight w:val="none"/>
          <w:lang w:eastAsia="zh-CN"/>
        </w:rPr>
        <w:t>中标通知书</w:t>
      </w:r>
      <w:r>
        <w:rPr>
          <w:rFonts w:hint="eastAsia" w:ascii="宋体" w:hAnsi="宋体" w:eastAsia="宋体" w:cs="宋体"/>
          <w:color w:val="auto"/>
          <w:sz w:val="28"/>
          <w:szCs w:val="28"/>
          <w:highlight w:val="none"/>
        </w:rPr>
        <w:t>》，甲、乙双方同意签订本合同。详细技术说明及其他有关合同项目的特定信息由合同附件予以说明，合同附件及本项目的</w:t>
      </w:r>
      <w:r>
        <w:rPr>
          <w:rFonts w:hint="eastAsia" w:ascii="宋体" w:hAnsi="宋体" w:eastAsia="宋体" w:cs="宋体"/>
          <w:color w:val="auto"/>
          <w:sz w:val="28"/>
          <w:szCs w:val="28"/>
          <w:highlight w:val="none"/>
          <w:lang w:eastAsia="zh-CN"/>
        </w:rPr>
        <w:t>招标文件</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投标文件</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中标通知书</w:t>
      </w:r>
      <w:r>
        <w:rPr>
          <w:rFonts w:hint="eastAsia" w:ascii="宋体" w:hAnsi="宋体" w:eastAsia="宋体" w:cs="宋体"/>
          <w:color w:val="auto"/>
          <w:sz w:val="28"/>
          <w:szCs w:val="28"/>
          <w:highlight w:val="none"/>
        </w:rPr>
        <w:t>》等均为本合同不可分割的部分。双方同意共同遵守如下条款：</w:t>
      </w:r>
    </w:p>
    <w:p w14:paraId="29639864">
      <w:pPr>
        <w:numPr>
          <w:ilvl w:val="0"/>
          <w:numId w:val="0"/>
        </w:numPr>
        <w:tabs>
          <w:tab w:val="left" w:pos="180"/>
        </w:tabs>
        <w:topLinePunct/>
        <w:spacing w:line="600" w:lineRule="exact"/>
        <w:ind w:firstLine="562" w:firstLineChars="200"/>
        <w:jc w:val="left"/>
        <w:outlineLvl w:val="0"/>
        <w:rPr>
          <w:rFonts w:hint="eastAsia" w:ascii="宋体" w:hAnsi="宋体" w:eastAsia="宋体" w:cs="宋体"/>
          <w:b/>
          <w:color w:val="auto"/>
          <w:sz w:val="28"/>
          <w:szCs w:val="28"/>
          <w:highlight w:val="none"/>
        </w:rPr>
      </w:pPr>
      <w:r>
        <w:rPr>
          <w:rFonts w:hint="eastAsia" w:ascii="宋体" w:hAnsi="宋体" w:eastAsia="宋体" w:cs="宋体"/>
          <w:b/>
          <w:color w:val="auto"/>
          <w:kern w:val="2"/>
          <w:sz w:val="28"/>
          <w:szCs w:val="28"/>
          <w:highlight w:val="none"/>
          <w:lang w:val="en-US" w:eastAsia="zh-CN" w:bidi="ar-SA"/>
        </w:rPr>
        <w:t>第一条</w:t>
      </w:r>
      <w:r>
        <w:rPr>
          <w:rFonts w:hint="eastAsia" w:ascii="宋体" w:hAnsi="宋体" w:eastAsia="宋体" w:cs="宋体"/>
          <w:b/>
          <w:color w:val="auto"/>
          <w:sz w:val="28"/>
          <w:szCs w:val="28"/>
          <w:highlight w:val="none"/>
        </w:rPr>
        <w:t xml:space="preserve"> </w:t>
      </w:r>
      <w:bookmarkStart w:id="0" w:name="_Toc283019214"/>
      <w:bookmarkStart w:id="1" w:name="_Toc251768862"/>
      <w:bookmarkStart w:id="2" w:name="_Toc241833903"/>
      <w:bookmarkStart w:id="3" w:name="_Toc212019594"/>
      <w:bookmarkStart w:id="4" w:name="_Toc185395249"/>
      <w:bookmarkStart w:id="5" w:name="_Toc286993786"/>
      <w:bookmarkStart w:id="6" w:name="_Toc232492928"/>
      <w:bookmarkStart w:id="7" w:name="_Toc238984975"/>
      <w:bookmarkStart w:id="8" w:name="_Toc239233914"/>
      <w:bookmarkStart w:id="9" w:name="_Toc237145406"/>
      <w:bookmarkStart w:id="10" w:name="_Toc211911348"/>
      <w:bookmarkStart w:id="11" w:name="_Toc225654644"/>
      <w:bookmarkStart w:id="12" w:name="_Toc225670751"/>
      <w:bookmarkStart w:id="13" w:name="_Toc239568418"/>
      <w:bookmarkStart w:id="14" w:name="_Toc282696226"/>
      <w:bookmarkStart w:id="15" w:name="_Toc211854449"/>
      <w:bookmarkStart w:id="16" w:name="_Toc225244852"/>
      <w:bookmarkStart w:id="17" w:name="_Toc247334841"/>
      <w:r>
        <w:rPr>
          <w:rFonts w:hint="eastAsia" w:ascii="宋体" w:hAnsi="宋体" w:eastAsia="宋体" w:cs="宋体"/>
          <w:b/>
          <w:color w:val="auto"/>
          <w:sz w:val="28"/>
          <w:szCs w:val="28"/>
          <w:highlight w:val="none"/>
        </w:rPr>
        <w:t xml:space="preserve"> 合同货物</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tbl>
      <w:tblPr>
        <w:tblStyle w:val="3"/>
        <w:tblW w:w="875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744"/>
        <w:gridCol w:w="1200"/>
        <w:gridCol w:w="1185"/>
        <w:gridCol w:w="825"/>
        <w:gridCol w:w="2535"/>
        <w:gridCol w:w="1018"/>
      </w:tblGrid>
      <w:tr w14:paraId="34B3BE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713" w:type="pct"/>
            <w:noWrap w:val="0"/>
            <w:vAlign w:val="center"/>
          </w:tcPr>
          <w:p w14:paraId="79E88C1B">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货物品名</w:t>
            </w:r>
          </w:p>
        </w:tc>
        <w:tc>
          <w:tcPr>
            <w:tcW w:w="424" w:type="pct"/>
            <w:noWrap w:val="0"/>
            <w:vAlign w:val="center"/>
          </w:tcPr>
          <w:p w14:paraId="7ED6A794">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品牌</w:t>
            </w:r>
          </w:p>
        </w:tc>
        <w:tc>
          <w:tcPr>
            <w:tcW w:w="685" w:type="pct"/>
            <w:noWrap w:val="0"/>
            <w:vAlign w:val="center"/>
          </w:tcPr>
          <w:p w14:paraId="395F3566">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规格型号</w:t>
            </w:r>
          </w:p>
        </w:tc>
        <w:tc>
          <w:tcPr>
            <w:tcW w:w="676" w:type="pct"/>
            <w:noWrap w:val="0"/>
            <w:vAlign w:val="center"/>
          </w:tcPr>
          <w:p w14:paraId="49723657">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生产厂家</w:t>
            </w:r>
          </w:p>
        </w:tc>
        <w:tc>
          <w:tcPr>
            <w:tcW w:w="471" w:type="pct"/>
            <w:noWrap w:val="0"/>
            <w:vAlign w:val="center"/>
          </w:tcPr>
          <w:p w14:paraId="4BA08939">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w:t>
            </w:r>
          </w:p>
        </w:tc>
        <w:tc>
          <w:tcPr>
            <w:tcW w:w="1447" w:type="pct"/>
            <w:noWrap w:val="0"/>
            <w:vAlign w:val="center"/>
          </w:tcPr>
          <w:p w14:paraId="29689567">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中标结算单价：元</w:t>
            </w:r>
          </w:p>
        </w:tc>
        <w:tc>
          <w:tcPr>
            <w:tcW w:w="581" w:type="pct"/>
            <w:noWrap w:val="0"/>
            <w:vAlign w:val="center"/>
          </w:tcPr>
          <w:p w14:paraId="49132573">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交货期</w:t>
            </w:r>
          </w:p>
        </w:tc>
      </w:tr>
      <w:tr w14:paraId="17E159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13" w:type="pct"/>
            <w:noWrap w:val="0"/>
            <w:vAlign w:val="center"/>
          </w:tcPr>
          <w:p w14:paraId="3691C6BC">
            <w:pPr>
              <w:tabs>
                <w:tab w:val="left" w:pos="0"/>
              </w:tabs>
              <w:spacing w:line="360" w:lineRule="auto"/>
              <w:jc w:val="center"/>
              <w:rPr>
                <w:rFonts w:hint="eastAsia" w:ascii="宋体" w:hAnsi="宋体" w:eastAsia="宋体" w:cs="宋体"/>
                <w:color w:val="auto"/>
                <w:sz w:val="28"/>
                <w:szCs w:val="28"/>
                <w:highlight w:val="none"/>
              </w:rPr>
            </w:pPr>
          </w:p>
        </w:tc>
        <w:tc>
          <w:tcPr>
            <w:tcW w:w="424" w:type="pct"/>
            <w:noWrap w:val="0"/>
            <w:vAlign w:val="center"/>
          </w:tcPr>
          <w:p w14:paraId="0CF81307">
            <w:pPr>
              <w:spacing w:line="360" w:lineRule="auto"/>
              <w:jc w:val="center"/>
              <w:rPr>
                <w:rFonts w:hint="eastAsia" w:ascii="宋体" w:hAnsi="宋体" w:eastAsia="宋体" w:cs="宋体"/>
                <w:color w:val="auto"/>
                <w:sz w:val="28"/>
                <w:szCs w:val="28"/>
                <w:highlight w:val="none"/>
              </w:rPr>
            </w:pPr>
          </w:p>
        </w:tc>
        <w:tc>
          <w:tcPr>
            <w:tcW w:w="685" w:type="pct"/>
            <w:noWrap w:val="0"/>
            <w:vAlign w:val="center"/>
          </w:tcPr>
          <w:p w14:paraId="6331C64F">
            <w:pPr>
              <w:spacing w:line="360" w:lineRule="auto"/>
              <w:jc w:val="center"/>
              <w:rPr>
                <w:rFonts w:hint="eastAsia" w:ascii="宋体" w:hAnsi="宋体" w:eastAsia="宋体" w:cs="宋体"/>
                <w:color w:val="auto"/>
                <w:sz w:val="28"/>
                <w:szCs w:val="28"/>
                <w:highlight w:val="none"/>
              </w:rPr>
            </w:pPr>
          </w:p>
        </w:tc>
        <w:tc>
          <w:tcPr>
            <w:tcW w:w="676" w:type="pct"/>
            <w:noWrap w:val="0"/>
            <w:vAlign w:val="center"/>
          </w:tcPr>
          <w:p w14:paraId="2C9DFA8F">
            <w:pPr>
              <w:spacing w:line="360" w:lineRule="auto"/>
              <w:jc w:val="center"/>
              <w:rPr>
                <w:rFonts w:hint="eastAsia" w:ascii="宋体" w:hAnsi="宋体" w:eastAsia="宋体" w:cs="宋体"/>
                <w:color w:val="auto"/>
                <w:sz w:val="28"/>
                <w:szCs w:val="28"/>
                <w:highlight w:val="none"/>
              </w:rPr>
            </w:pPr>
          </w:p>
        </w:tc>
        <w:tc>
          <w:tcPr>
            <w:tcW w:w="471" w:type="pct"/>
            <w:noWrap w:val="0"/>
            <w:vAlign w:val="center"/>
          </w:tcPr>
          <w:p w14:paraId="1ADC5B8A">
            <w:pPr>
              <w:spacing w:line="360" w:lineRule="auto"/>
              <w:jc w:val="center"/>
              <w:rPr>
                <w:rFonts w:hint="eastAsia" w:ascii="宋体" w:hAnsi="宋体" w:eastAsia="宋体" w:cs="宋体"/>
                <w:color w:val="auto"/>
                <w:sz w:val="28"/>
                <w:szCs w:val="28"/>
                <w:highlight w:val="none"/>
              </w:rPr>
            </w:pPr>
          </w:p>
        </w:tc>
        <w:tc>
          <w:tcPr>
            <w:tcW w:w="1447" w:type="pct"/>
            <w:noWrap w:val="0"/>
            <w:vAlign w:val="center"/>
          </w:tcPr>
          <w:p w14:paraId="33B3B793">
            <w:pPr>
              <w:spacing w:line="360" w:lineRule="auto"/>
              <w:jc w:val="center"/>
              <w:rPr>
                <w:rFonts w:hint="eastAsia" w:ascii="宋体" w:hAnsi="宋体" w:eastAsia="宋体" w:cs="宋体"/>
                <w:color w:val="auto"/>
                <w:sz w:val="28"/>
                <w:szCs w:val="28"/>
                <w:highlight w:val="none"/>
                <w:lang w:val="en-US" w:eastAsia="zh-CN"/>
              </w:rPr>
            </w:pPr>
          </w:p>
        </w:tc>
        <w:tc>
          <w:tcPr>
            <w:tcW w:w="581" w:type="pct"/>
            <w:noWrap w:val="0"/>
            <w:vAlign w:val="center"/>
          </w:tcPr>
          <w:p w14:paraId="693BF689">
            <w:pPr>
              <w:spacing w:line="360" w:lineRule="auto"/>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   </w:t>
            </w:r>
          </w:p>
        </w:tc>
      </w:tr>
      <w:tr w14:paraId="74BBD4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13" w:type="pct"/>
            <w:noWrap w:val="0"/>
            <w:vAlign w:val="center"/>
          </w:tcPr>
          <w:p w14:paraId="4C030D00">
            <w:pPr>
              <w:tabs>
                <w:tab w:val="left" w:pos="0"/>
              </w:tabs>
              <w:spacing w:line="360" w:lineRule="auto"/>
              <w:jc w:val="center"/>
              <w:rPr>
                <w:rFonts w:hint="eastAsia" w:ascii="宋体" w:hAnsi="宋体" w:eastAsia="宋体" w:cs="宋体"/>
                <w:color w:val="auto"/>
                <w:sz w:val="28"/>
                <w:szCs w:val="28"/>
                <w:highlight w:val="none"/>
              </w:rPr>
            </w:pPr>
          </w:p>
        </w:tc>
        <w:tc>
          <w:tcPr>
            <w:tcW w:w="424" w:type="pct"/>
            <w:noWrap w:val="0"/>
            <w:vAlign w:val="center"/>
          </w:tcPr>
          <w:p w14:paraId="2AADF659">
            <w:pPr>
              <w:spacing w:line="360" w:lineRule="auto"/>
              <w:jc w:val="center"/>
              <w:rPr>
                <w:rFonts w:hint="eastAsia" w:ascii="宋体" w:hAnsi="宋体" w:eastAsia="宋体" w:cs="宋体"/>
                <w:color w:val="auto"/>
                <w:sz w:val="28"/>
                <w:szCs w:val="28"/>
                <w:highlight w:val="none"/>
              </w:rPr>
            </w:pPr>
          </w:p>
        </w:tc>
        <w:tc>
          <w:tcPr>
            <w:tcW w:w="685" w:type="pct"/>
            <w:noWrap w:val="0"/>
            <w:vAlign w:val="center"/>
          </w:tcPr>
          <w:p w14:paraId="02F0D709">
            <w:pPr>
              <w:spacing w:line="360" w:lineRule="auto"/>
              <w:jc w:val="center"/>
              <w:rPr>
                <w:rFonts w:hint="eastAsia" w:ascii="宋体" w:hAnsi="宋体" w:eastAsia="宋体" w:cs="宋体"/>
                <w:color w:val="auto"/>
                <w:sz w:val="28"/>
                <w:szCs w:val="28"/>
                <w:highlight w:val="none"/>
              </w:rPr>
            </w:pPr>
          </w:p>
        </w:tc>
        <w:tc>
          <w:tcPr>
            <w:tcW w:w="676" w:type="pct"/>
            <w:noWrap w:val="0"/>
            <w:vAlign w:val="center"/>
          </w:tcPr>
          <w:p w14:paraId="1741C481">
            <w:pPr>
              <w:spacing w:line="360" w:lineRule="auto"/>
              <w:jc w:val="center"/>
              <w:rPr>
                <w:rFonts w:hint="eastAsia" w:ascii="宋体" w:hAnsi="宋体" w:eastAsia="宋体" w:cs="宋体"/>
                <w:color w:val="auto"/>
                <w:sz w:val="28"/>
                <w:szCs w:val="28"/>
                <w:highlight w:val="none"/>
              </w:rPr>
            </w:pPr>
          </w:p>
        </w:tc>
        <w:tc>
          <w:tcPr>
            <w:tcW w:w="471" w:type="pct"/>
            <w:noWrap w:val="0"/>
            <w:vAlign w:val="center"/>
          </w:tcPr>
          <w:p w14:paraId="35C1EB9C">
            <w:pPr>
              <w:spacing w:line="360" w:lineRule="auto"/>
              <w:jc w:val="center"/>
              <w:rPr>
                <w:rFonts w:hint="eastAsia" w:ascii="宋体" w:hAnsi="宋体" w:eastAsia="宋体" w:cs="宋体"/>
                <w:color w:val="auto"/>
                <w:sz w:val="28"/>
                <w:szCs w:val="28"/>
                <w:highlight w:val="none"/>
              </w:rPr>
            </w:pPr>
          </w:p>
        </w:tc>
        <w:tc>
          <w:tcPr>
            <w:tcW w:w="1447" w:type="pct"/>
            <w:noWrap w:val="0"/>
            <w:vAlign w:val="center"/>
          </w:tcPr>
          <w:p w14:paraId="1EC479CB">
            <w:pPr>
              <w:spacing w:line="360" w:lineRule="auto"/>
              <w:jc w:val="center"/>
              <w:rPr>
                <w:rFonts w:hint="eastAsia" w:ascii="宋体" w:hAnsi="宋体" w:eastAsia="宋体" w:cs="宋体"/>
                <w:color w:val="auto"/>
                <w:sz w:val="28"/>
                <w:szCs w:val="28"/>
                <w:highlight w:val="none"/>
              </w:rPr>
            </w:pPr>
          </w:p>
        </w:tc>
        <w:tc>
          <w:tcPr>
            <w:tcW w:w="581" w:type="pct"/>
            <w:noWrap w:val="0"/>
            <w:vAlign w:val="center"/>
          </w:tcPr>
          <w:p w14:paraId="2AC183C8">
            <w:pPr>
              <w:spacing w:line="360" w:lineRule="auto"/>
              <w:jc w:val="center"/>
              <w:rPr>
                <w:rFonts w:hint="eastAsia" w:ascii="宋体" w:hAnsi="宋体" w:eastAsia="宋体" w:cs="宋体"/>
                <w:color w:val="auto"/>
                <w:sz w:val="28"/>
                <w:szCs w:val="28"/>
                <w:highlight w:val="none"/>
              </w:rPr>
            </w:pPr>
          </w:p>
        </w:tc>
      </w:tr>
      <w:tr w14:paraId="68F379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13" w:type="pct"/>
            <w:noWrap w:val="0"/>
            <w:vAlign w:val="center"/>
          </w:tcPr>
          <w:p w14:paraId="18345E36">
            <w:pPr>
              <w:tabs>
                <w:tab w:val="left" w:pos="0"/>
              </w:tabs>
              <w:spacing w:line="360" w:lineRule="auto"/>
              <w:jc w:val="center"/>
              <w:rPr>
                <w:rFonts w:hint="eastAsia" w:ascii="宋体" w:hAnsi="宋体" w:eastAsia="宋体" w:cs="宋体"/>
                <w:color w:val="auto"/>
                <w:sz w:val="28"/>
                <w:szCs w:val="28"/>
                <w:highlight w:val="none"/>
              </w:rPr>
            </w:pPr>
          </w:p>
        </w:tc>
        <w:tc>
          <w:tcPr>
            <w:tcW w:w="424" w:type="pct"/>
            <w:noWrap w:val="0"/>
            <w:vAlign w:val="center"/>
          </w:tcPr>
          <w:p w14:paraId="02B1C2D2">
            <w:pPr>
              <w:spacing w:line="360" w:lineRule="auto"/>
              <w:jc w:val="center"/>
              <w:rPr>
                <w:rFonts w:hint="eastAsia" w:ascii="宋体" w:hAnsi="宋体" w:eastAsia="宋体" w:cs="宋体"/>
                <w:color w:val="auto"/>
                <w:sz w:val="28"/>
                <w:szCs w:val="28"/>
                <w:highlight w:val="none"/>
              </w:rPr>
            </w:pPr>
          </w:p>
        </w:tc>
        <w:tc>
          <w:tcPr>
            <w:tcW w:w="685" w:type="pct"/>
            <w:noWrap w:val="0"/>
            <w:vAlign w:val="center"/>
          </w:tcPr>
          <w:p w14:paraId="3AF6083C">
            <w:pPr>
              <w:spacing w:line="360" w:lineRule="auto"/>
              <w:jc w:val="center"/>
              <w:rPr>
                <w:rFonts w:hint="eastAsia" w:ascii="宋体" w:hAnsi="宋体" w:eastAsia="宋体" w:cs="宋体"/>
                <w:color w:val="auto"/>
                <w:sz w:val="28"/>
                <w:szCs w:val="28"/>
                <w:highlight w:val="none"/>
              </w:rPr>
            </w:pPr>
          </w:p>
        </w:tc>
        <w:tc>
          <w:tcPr>
            <w:tcW w:w="676" w:type="pct"/>
            <w:noWrap w:val="0"/>
            <w:vAlign w:val="center"/>
          </w:tcPr>
          <w:p w14:paraId="091E8874">
            <w:pPr>
              <w:spacing w:line="360" w:lineRule="auto"/>
              <w:jc w:val="center"/>
              <w:rPr>
                <w:rFonts w:hint="eastAsia" w:ascii="宋体" w:hAnsi="宋体" w:eastAsia="宋体" w:cs="宋体"/>
                <w:color w:val="auto"/>
                <w:sz w:val="28"/>
                <w:szCs w:val="28"/>
                <w:highlight w:val="none"/>
              </w:rPr>
            </w:pPr>
          </w:p>
        </w:tc>
        <w:tc>
          <w:tcPr>
            <w:tcW w:w="471" w:type="pct"/>
            <w:noWrap w:val="0"/>
            <w:vAlign w:val="center"/>
          </w:tcPr>
          <w:p w14:paraId="429CF4C5">
            <w:pPr>
              <w:spacing w:line="360" w:lineRule="auto"/>
              <w:jc w:val="center"/>
              <w:rPr>
                <w:rFonts w:hint="eastAsia" w:ascii="宋体" w:hAnsi="宋体" w:eastAsia="宋体" w:cs="宋体"/>
                <w:color w:val="auto"/>
                <w:sz w:val="28"/>
                <w:szCs w:val="28"/>
                <w:highlight w:val="none"/>
              </w:rPr>
            </w:pPr>
          </w:p>
        </w:tc>
        <w:tc>
          <w:tcPr>
            <w:tcW w:w="1447" w:type="pct"/>
            <w:noWrap w:val="0"/>
            <w:vAlign w:val="center"/>
          </w:tcPr>
          <w:p w14:paraId="1FEB135E">
            <w:pPr>
              <w:spacing w:line="360" w:lineRule="auto"/>
              <w:jc w:val="center"/>
              <w:rPr>
                <w:rFonts w:hint="eastAsia" w:ascii="宋体" w:hAnsi="宋体" w:eastAsia="宋体" w:cs="宋体"/>
                <w:color w:val="auto"/>
                <w:sz w:val="28"/>
                <w:szCs w:val="28"/>
                <w:highlight w:val="none"/>
                <w:lang w:val="en-US" w:eastAsia="zh-CN"/>
              </w:rPr>
            </w:pPr>
          </w:p>
        </w:tc>
        <w:tc>
          <w:tcPr>
            <w:tcW w:w="581" w:type="pct"/>
            <w:noWrap w:val="0"/>
            <w:vAlign w:val="center"/>
          </w:tcPr>
          <w:p w14:paraId="4EF52A81">
            <w:pPr>
              <w:spacing w:line="360" w:lineRule="auto"/>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       </w:t>
            </w:r>
          </w:p>
        </w:tc>
      </w:tr>
      <w:tr w14:paraId="11F48E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713" w:type="pct"/>
            <w:noWrap w:val="0"/>
            <w:vAlign w:val="center"/>
          </w:tcPr>
          <w:p w14:paraId="6632159B">
            <w:pPr>
              <w:tabs>
                <w:tab w:val="left" w:pos="0"/>
              </w:tabs>
              <w:spacing w:line="360" w:lineRule="auto"/>
              <w:jc w:val="center"/>
              <w:rPr>
                <w:rFonts w:hint="eastAsia" w:ascii="宋体" w:hAnsi="宋体" w:eastAsia="宋体" w:cs="宋体"/>
                <w:color w:val="auto"/>
                <w:sz w:val="28"/>
                <w:szCs w:val="28"/>
                <w:highlight w:val="none"/>
              </w:rPr>
            </w:pPr>
          </w:p>
        </w:tc>
        <w:tc>
          <w:tcPr>
            <w:tcW w:w="424" w:type="pct"/>
            <w:noWrap w:val="0"/>
            <w:vAlign w:val="center"/>
          </w:tcPr>
          <w:p w14:paraId="67E4EE2D">
            <w:pPr>
              <w:spacing w:line="360" w:lineRule="auto"/>
              <w:jc w:val="center"/>
              <w:rPr>
                <w:rFonts w:hint="eastAsia" w:ascii="宋体" w:hAnsi="宋体" w:eastAsia="宋体" w:cs="宋体"/>
                <w:color w:val="auto"/>
                <w:sz w:val="28"/>
                <w:szCs w:val="28"/>
                <w:highlight w:val="none"/>
              </w:rPr>
            </w:pPr>
          </w:p>
        </w:tc>
        <w:tc>
          <w:tcPr>
            <w:tcW w:w="685" w:type="pct"/>
            <w:noWrap w:val="0"/>
            <w:vAlign w:val="center"/>
          </w:tcPr>
          <w:p w14:paraId="483DD0B3">
            <w:pPr>
              <w:spacing w:line="360" w:lineRule="auto"/>
              <w:jc w:val="center"/>
              <w:rPr>
                <w:rFonts w:hint="eastAsia" w:ascii="宋体" w:hAnsi="宋体" w:eastAsia="宋体" w:cs="宋体"/>
                <w:color w:val="auto"/>
                <w:sz w:val="28"/>
                <w:szCs w:val="28"/>
                <w:highlight w:val="none"/>
              </w:rPr>
            </w:pPr>
          </w:p>
        </w:tc>
        <w:tc>
          <w:tcPr>
            <w:tcW w:w="676" w:type="pct"/>
            <w:noWrap w:val="0"/>
            <w:vAlign w:val="center"/>
          </w:tcPr>
          <w:p w14:paraId="1102003A">
            <w:pPr>
              <w:spacing w:line="360" w:lineRule="auto"/>
              <w:jc w:val="center"/>
              <w:rPr>
                <w:rFonts w:hint="eastAsia" w:ascii="宋体" w:hAnsi="宋体" w:eastAsia="宋体" w:cs="宋体"/>
                <w:color w:val="auto"/>
                <w:sz w:val="28"/>
                <w:szCs w:val="28"/>
                <w:highlight w:val="none"/>
              </w:rPr>
            </w:pPr>
          </w:p>
        </w:tc>
        <w:tc>
          <w:tcPr>
            <w:tcW w:w="471" w:type="pct"/>
            <w:noWrap w:val="0"/>
            <w:vAlign w:val="center"/>
          </w:tcPr>
          <w:p w14:paraId="4BA7B091">
            <w:pPr>
              <w:spacing w:line="360" w:lineRule="auto"/>
              <w:jc w:val="center"/>
              <w:rPr>
                <w:rFonts w:hint="eastAsia" w:ascii="宋体" w:hAnsi="宋体" w:eastAsia="宋体" w:cs="宋体"/>
                <w:color w:val="auto"/>
                <w:sz w:val="28"/>
                <w:szCs w:val="28"/>
                <w:highlight w:val="none"/>
              </w:rPr>
            </w:pPr>
          </w:p>
        </w:tc>
        <w:tc>
          <w:tcPr>
            <w:tcW w:w="1447" w:type="pct"/>
            <w:noWrap w:val="0"/>
            <w:vAlign w:val="center"/>
          </w:tcPr>
          <w:p w14:paraId="1F06EAA6">
            <w:pPr>
              <w:spacing w:line="360" w:lineRule="auto"/>
              <w:jc w:val="center"/>
              <w:rPr>
                <w:rFonts w:hint="eastAsia" w:ascii="宋体" w:hAnsi="宋体" w:eastAsia="宋体" w:cs="宋体"/>
                <w:color w:val="auto"/>
                <w:sz w:val="28"/>
                <w:szCs w:val="28"/>
                <w:highlight w:val="none"/>
              </w:rPr>
            </w:pPr>
          </w:p>
        </w:tc>
        <w:tc>
          <w:tcPr>
            <w:tcW w:w="581" w:type="pct"/>
            <w:noWrap w:val="0"/>
            <w:vAlign w:val="center"/>
          </w:tcPr>
          <w:p w14:paraId="145AFACC">
            <w:pPr>
              <w:spacing w:line="360" w:lineRule="auto"/>
              <w:jc w:val="center"/>
              <w:rPr>
                <w:rFonts w:hint="eastAsia" w:ascii="宋体" w:hAnsi="宋体" w:eastAsia="宋体" w:cs="宋体"/>
                <w:color w:val="auto"/>
                <w:sz w:val="28"/>
                <w:szCs w:val="28"/>
                <w:highlight w:val="none"/>
              </w:rPr>
            </w:pPr>
          </w:p>
        </w:tc>
      </w:tr>
    </w:tbl>
    <w:p w14:paraId="0E5672B9">
      <w:pPr>
        <w:numPr>
          <w:ilvl w:val="0"/>
          <w:numId w:val="0"/>
        </w:numPr>
        <w:tabs>
          <w:tab w:val="left" w:pos="180"/>
        </w:tabs>
        <w:topLinePunct/>
        <w:spacing w:line="600" w:lineRule="exact"/>
        <w:ind w:firstLine="562" w:firstLineChars="200"/>
        <w:jc w:val="left"/>
        <w:outlineLvl w:val="0"/>
        <w:rPr>
          <w:rFonts w:hint="eastAsia" w:ascii="宋体" w:hAnsi="宋体" w:eastAsia="宋体" w:cs="宋体"/>
          <w:b/>
          <w:color w:val="auto"/>
          <w:sz w:val="28"/>
          <w:szCs w:val="28"/>
          <w:highlight w:val="none"/>
        </w:rPr>
      </w:pPr>
      <w:r>
        <w:rPr>
          <w:rFonts w:hint="eastAsia" w:ascii="宋体" w:hAnsi="宋体" w:eastAsia="宋体" w:cs="宋体"/>
          <w:b/>
          <w:color w:val="auto"/>
          <w:kern w:val="2"/>
          <w:sz w:val="28"/>
          <w:szCs w:val="28"/>
          <w:highlight w:val="none"/>
          <w:lang w:val="en-US" w:eastAsia="zh-CN" w:bidi="ar-SA"/>
        </w:rPr>
        <w:t>第二条</w:t>
      </w:r>
      <w:r>
        <w:rPr>
          <w:rFonts w:hint="eastAsia" w:ascii="宋体" w:hAnsi="宋体" w:eastAsia="宋体" w:cs="宋体"/>
          <w:b/>
          <w:color w:val="auto"/>
          <w:sz w:val="28"/>
          <w:szCs w:val="28"/>
          <w:highlight w:val="none"/>
        </w:rPr>
        <w:t xml:space="preserve">  合同总价</w:t>
      </w:r>
    </w:p>
    <w:p w14:paraId="2F7930D2">
      <w:pPr>
        <w:tabs>
          <w:tab w:val="left" w:pos="1440"/>
        </w:tabs>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合同中标价：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该合同价格已包括货物成本、</w:t>
      </w:r>
      <w:r>
        <w:rPr>
          <w:rFonts w:hint="default" w:ascii="宋体" w:hAnsi="宋体" w:eastAsia="宋体" w:cs="宋体"/>
          <w:color w:val="auto"/>
          <w:spacing w:val="-1"/>
          <w:kern w:val="2"/>
          <w:sz w:val="28"/>
          <w:szCs w:val="28"/>
          <w:highlight w:val="none"/>
          <w:lang w:val="en-US" w:eastAsia="zh-CN" w:bidi="ar-SA"/>
        </w:rPr>
        <w:t>包装、运输、安装、调试</w:t>
      </w:r>
      <w:r>
        <w:rPr>
          <w:rFonts w:hint="eastAsia" w:ascii="宋体" w:hAnsi="宋体" w:eastAsia="宋体" w:cs="宋体"/>
          <w:color w:val="auto"/>
          <w:sz w:val="28"/>
          <w:szCs w:val="28"/>
          <w:highlight w:val="none"/>
        </w:rPr>
        <w:t>、验收、售后服务、税金及附加、利润及招标文件规定的其他费用。</w:t>
      </w:r>
    </w:p>
    <w:p w14:paraId="60BCCE21">
      <w:pPr>
        <w:numPr>
          <w:ilvl w:val="0"/>
          <w:numId w:val="1"/>
        </w:numPr>
        <w:tabs>
          <w:tab w:val="left" w:pos="180"/>
        </w:tabs>
        <w:topLinePunct/>
        <w:spacing w:line="600" w:lineRule="exact"/>
        <w:ind w:firstLine="562" w:firstLineChars="200"/>
        <w:outlineLvl w:val="0"/>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 xml:space="preserve"> </w:t>
      </w:r>
      <w:r>
        <w:rPr>
          <w:rFonts w:hint="eastAsia" w:ascii="宋体" w:hAnsi="宋体" w:eastAsia="宋体" w:cs="宋体"/>
          <w:b/>
          <w:color w:val="auto"/>
          <w:sz w:val="28"/>
          <w:szCs w:val="28"/>
          <w:highlight w:val="none"/>
        </w:rPr>
        <w:t>质量要求</w:t>
      </w:r>
    </w:p>
    <w:p w14:paraId="6E84802F">
      <w:pPr>
        <w:tabs>
          <w:tab w:val="left" w:pos="1440"/>
        </w:tabs>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rPr>
        <w:t>须提供全新的货物（含零部件、配件等），表面无划伤、无碰撞痕迹，且权属清楚，不得侵害他人的知识产权。</w:t>
      </w:r>
    </w:p>
    <w:p w14:paraId="7477D3CE">
      <w:pPr>
        <w:tabs>
          <w:tab w:val="left" w:pos="1440"/>
        </w:tabs>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2.货物必须符合国家（行业）标准，以及本项目招标文件的质量要求和技术指标</w:t>
      </w:r>
      <w:r>
        <w:rPr>
          <w:rFonts w:hint="eastAsia" w:ascii="宋体" w:hAnsi="宋体" w:eastAsia="宋体" w:cs="宋体"/>
          <w:color w:val="auto"/>
          <w:sz w:val="28"/>
          <w:szCs w:val="28"/>
          <w:highlight w:val="none"/>
          <w:lang w:eastAsia="zh-CN"/>
        </w:rPr>
        <w:t>，</w:t>
      </w:r>
      <w:r>
        <w:rPr>
          <w:rFonts w:hint="default" w:ascii="宋体" w:hAnsi="宋体" w:eastAsia="宋体" w:cs="宋体"/>
          <w:color w:val="auto"/>
          <w:spacing w:val="-1"/>
          <w:kern w:val="2"/>
          <w:sz w:val="28"/>
          <w:szCs w:val="28"/>
          <w:highlight w:val="none"/>
          <w:lang w:val="en-US" w:eastAsia="zh-CN" w:bidi="ar-SA"/>
        </w:rPr>
        <w:t>所涉及的国家标准、行业标准如有最新标准按最新标准执行</w:t>
      </w:r>
      <w:r>
        <w:rPr>
          <w:rFonts w:hint="eastAsia" w:ascii="宋体" w:hAnsi="宋体" w:eastAsia="宋体" w:cs="宋体"/>
          <w:color w:val="auto"/>
          <w:spacing w:val="-1"/>
          <w:kern w:val="2"/>
          <w:sz w:val="28"/>
          <w:szCs w:val="28"/>
          <w:highlight w:val="none"/>
          <w:lang w:val="en-US" w:eastAsia="zh-CN" w:bidi="ar-SA"/>
        </w:rPr>
        <w:t>。</w:t>
      </w:r>
      <w:r>
        <w:rPr>
          <w:rFonts w:hint="eastAsia" w:ascii="宋体" w:hAnsi="宋体" w:eastAsia="宋体" w:cs="宋体"/>
          <w:color w:val="auto"/>
          <w:sz w:val="28"/>
          <w:szCs w:val="28"/>
          <w:highlight w:val="none"/>
        </w:rPr>
        <w:t xml:space="preserve"> </w:t>
      </w:r>
    </w:p>
    <w:p w14:paraId="3EA70725">
      <w:pPr>
        <w:tabs>
          <w:tab w:val="left" w:pos="1440"/>
        </w:tabs>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3.货物制造质量出现问题，</w:t>
      </w: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rPr>
        <w:t>应负责</w:t>
      </w:r>
      <w:r>
        <w:rPr>
          <w:rFonts w:hint="eastAsia" w:ascii="宋体" w:hAnsi="宋体" w:eastAsia="宋体" w:cs="宋体"/>
          <w:color w:val="auto"/>
          <w:spacing w:val="-1"/>
          <w:kern w:val="2"/>
          <w:sz w:val="28"/>
          <w:szCs w:val="28"/>
          <w:highlight w:val="none"/>
          <w:lang w:val="en-US" w:eastAsia="zh-CN" w:bidi="ar-SA"/>
        </w:rPr>
        <w:t>包修、包换、包退</w:t>
      </w:r>
      <w:r>
        <w:rPr>
          <w:rFonts w:hint="eastAsia" w:ascii="宋体" w:hAnsi="宋体" w:eastAsia="宋体" w:cs="宋体"/>
          <w:color w:val="auto"/>
          <w:sz w:val="28"/>
          <w:szCs w:val="28"/>
          <w:highlight w:val="none"/>
        </w:rPr>
        <w:t>，费用由</w:t>
      </w:r>
      <w:r>
        <w:rPr>
          <w:rFonts w:hint="eastAsia" w:ascii="宋体" w:hAnsi="宋体" w:eastAsia="宋体" w:cs="宋体"/>
          <w:color w:val="auto"/>
          <w:sz w:val="28"/>
          <w:szCs w:val="28"/>
          <w:highlight w:val="none"/>
          <w:lang w:eastAsia="zh-CN"/>
        </w:rPr>
        <w:t>乙方</w:t>
      </w:r>
      <w:r>
        <w:rPr>
          <w:rFonts w:hint="eastAsia" w:ascii="宋体" w:hAnsi="宋体" w:eastAsia="宋体" w:cs="宋体"/>
          <w:color w:val="auto"/>
          <w:sz w:val="28"/>
          <w:szCs w:val="28"/>
          <w:highlight w:val="none"/>
        </w:rPr>
        <w:t xml:space="preserve">负担。 </w:t>
      </w:r>
    </w:p>
    <w:p w14:paraId="3601AA6D">
      <w:pPr>
        <w:spacing w:line="360" w:lineRule="auto"/>
        <w:ind w:firstLine="562" w:firstLineChars="200"/>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 xml:space="preserve">第四条  </w:t>
      </w:r>
      <w:r>
        <w:rPr>
          <w:rFonts w:hint="eastAsia" w:ascii="宋体" w:hAnsi="宋体" w:eastAsia="宋体" w:cs="宋体"/>
          <w:b/>
          <w:bCs w:val="0"/>
          <w:color w:val="auto"/>
          <w:sz w:val="28"/>
          <w:szCs w:val="28"/>
          <w:highlight w:val="none"/>
          <w:lang w:eastAsia="zh-CN"/>
        </w:rPr>
        <w:t>售后服务要求</w:t>
      </w:r>
    </w:p>
    <w:p w14:paraId="36DB3C0F">
      <w:pPr>
        <w:spacing w:line="360" w:lineRule="auto"/>
        <w:ind w:firstLine="556" w:firstLineChars="200"/>
        <w:rPr>
          <w:rFonts w:hint="eastAsia" w:ascii="宋体" w:hAnsi="宋体" w:eastAsia="宋体" w:cs="宋体"/>
          <w:color w:val="auto"/>
          <w:spacing w:val="-1"/>
          <w:sz w:val="28"/>
          <w:szCs w:val="28"/>
          <w:highlight w:val="none"/>
          <w:lang w:val="en-US" w:eastAsia="zh-CN"/>
        </w:rPr>
      </w:pPr>
      <w:r>
        <w:rPr>
          <w:rFonts w:hint="eastAsia" w:ascii="宋体" w:hAnsi="宋体" w:eastAsia="宋体" w:cs="宋体"/>
          <w:color w:val="auto"/>
          <w:spacing w:val="-1"/>
          <w:sz w:val="28"/>
          <w:szCs w:val="28"/>
          <w:highlight w:val="none"/>
          <w:lang w:val="en-US" w:eastAsia="zh-CN"/>
        </w:rPr>
        <w:t>1、</w:t>
      </w:r>
      <w:r>
        <w:rPr>
          <w:rFonts w:hint="eastAsia" w:ascii="宋体" w:hAnsi="宋体" w:eastAsia="宋体" w:cs="宋体"/>
          <w:color w:val="auto"/>
          <w:spacing w:val="-1"/>
          <w:kern w:val="2"/>
          <w:sz w:val="28"/>
          <w:szCs w:val="28"/>
          <w:highlight w:val="none"/>
          <w:lang w:val="en-US" w:eastAsia="zh-CN" w:bidi="ar-SA"/>
        </w:rPr>
        <w:t>乙方</w:t>
      </w:r>
      <w:r>
        <w:rPr>
          <w:rFonts w:hint="default" w:ascii="宋体" w:hAnsi="宋体" w:eastAsia="宋体" w:cs="宋体"/>
          <w:color w:val="auto"/>
          <w:spacing w:val="-1"/>
          <w:kern w:val="2"/>
          <w:sz w:val="28"/>
          <w:szCs w:val="28"/>
          <w:highlight w:val="none"/>
          <w:lang w:val="en-US" w:eastAsia="zh-CN" w:bidi="ar-SA"/>
        </w:rPr>
        <w:t>负责设备包装、运输、安装、调试。货物</w:t>
      </w:r>
      <w:r>
        <w:rPr>
          <w:rFonts w:hint="eastAsia" w:ascii="宋体" w:hAnsi="宋体" w:eastAsia="宋体" w:cs="宋体"/>
          <w:color w:val="auto"/>
          <w:spacing w:val="-1"/>
          <w:kern w:val="2"/>
          <w:sz w:val="28"/>
          <w:szCs w:val="28"/>
          <w:highlight w:val="none"/>
          <w:lang w:val="en-US" w:eastAsia="zh-CN" w:bidi="ar-SA"/>
        </w:rPr>
        <w:t>送</w:t>
      </w:r>
      <w:r>
        <w:rPr>
          <w:rFonts w:hint="default" w:ascii="宋体" w:hAnsi="宋体" w:eastAsia="宋体" w:cs="宋体"/>
          <w:color w:val="auto"/>
          <w:spacing w:val="-1"/>
          <w:kern w:val="2"/>
          <w:sz w:val="28"/>
          <w:szCs w:val="28"/>
          <w:highlight w:val="none"/>
          <w:lang w:val="en-US" w:eastAsia="zh-CN" w:bidi="ar-SA"/>
        </w:rPr>
        <w:t>达现场后，</w:t>
      </w:r>
      <w:r>
        <w:rPr>
          <w:rFonts w:hint="eastAsia" w:ascii="宋体" w:hAnsi="宋体" w:eastAsia="宋体" w:cs="宋体"/>
          <w:color w:val="auto"/>
          <w:spacing w:val="-1"/>
          <w:kern w:val="2"/>
          <w:sz w:val="28"/>
          <w:szCs w:val="28"/>
          <w:highlight w:val="none"/>
          <w:lang w:val="en-US" w:eastAsia="zh-CN" w:bidi="ar-SA"/>
        </w:rPr>
        <w:t>乙方</w:t>
      </w:r>
      <w:r>
        <w:rPr>
          <w:rFonts w:hint="default" w:ascii="宋体" w:hAnsi="宋体" w:eastAsia="宋体" w:cs="宋体"/>
          <w:color w:val="auto"/>
          <w:spacing w:val="-1"/>
          <w:kern w:val="2"/>
          <w:sz w:val="28"/>
          <w:szCs w:val="28"/>
          <w:highlight w:val="none"/>
          <w:lang w:val="en-US" w:eastAsia="zh-CN" w:bidi="ar-SA"/>
        </w:rPr>
        <w:t>接到</w:t>
      </w:r>
      <w:r>
        <w:rPr>
          <w:rFonts w:hint="eastAsia" w:ascii="宋体" w:hAnsi="宋体" w:eastAsia="宋体" w:cs="宋体"/>
          <w:color w:val="auto"/>
          <w:spacing w:val="-1"/>
          <w:kern w:val="2"/>
          <w:sz w:val="28"/>
          <w:szCs w:val="28"/>
          <w:highlight w:val="none"/>
          <w:lang w:val="en-US" w:eastAsia="zh-CN" w:bidi="ar-SA"/>
        </w:rPr>
        <w:t>甲方</w:t>
      </w:r>
      <w:r>
        <w:rPr>
          <w:rFonts w:hint="default" w:ascii="宋体" w:hAnsi="宋体" w:eastAsia="宋体" w:cs="宋体"/>
          <w:color w:val="auto"/>
          <w:spacing w:val="-1"/>
          <w:kern w:val="2"/>
          <w:sz w:val="28"/>
          <w:szCs w:val="28"/>
          <w:highlight w:val="none"/>
          <w:lang w:val="en-US" w:eastAsia="zh-CN" w:bidi="ar-SA"/>
        </w:rPr>
        <w:t>通知后3日内到达现场组织安装、调试，达到正常运行要求，保证</w:t>
      </w:r>
      <w:r>
        <w:rPr>
          <w:rFonts w:hint="eastAsia" w:ascii="宋体" w:hAnsi="宋体" w:eastAsia="宋体" w:cs="宋体"/>
          <w:color w:val="auto"/>
          <w:spacing w:val="-1"/>
          <w:kern w:val="2"/>
          <w:sz w:val="28"/>
          <w:szCs w:val="28"/>
          <w:highlight w:val="none"/>
          <w:lang w:val="en-US" w:eastAsia="zh-CN" w:bidi="ar-SA"/>
        </w:rPr>
        <w:t>甲方</w:t>
      </w:r>
      <w:r>
        <w:rPr>
          <w:rFonts w:hint="default" w:ascii="宋体" w:hAnsi="宋体" w:eastAsia="宋体" w:cs="宋体"/>
          <w:color w:val="auto"/>
          <w:spacing w:val="-1"/>
          <w:kern w:val="2"/>
          <w:sz w:val="28"/>
          <w:szCs w:val="28"/>
          <w:highlight w:val="none"/>
          <w:lang w:val="en-US" w:eastAsia="zh-CN" w:bidi="ar-SA"/>
        </w:rPr>
        <w:t>正常使用</w:t>
      </w:r>
      <w:r>
        <w:rPr>
          <w:rFonts w:ascii="宋体" w:hAnsi="宋体" w:eastAsia="宋体" w:cs="宋体"/>
          <w:color w:val="auto"/>
          <w:spacing w:val="-1"/>
          <w:sz w:val="28"/>
          <w:szCs w:val="28"/>
          <w:highlight w:val="none"/>
        </w:rPr>
        <w:t xml:space="preserve">。 </w:t>
      </w:r>
      <w:r>
        <w:rPr>
          <w:rFonts w:hint="eastAsia" w:ascii="宋体" w:hAnsi="宋体" w:eastAsia="宋体" w:cs="宋体"/>
          <w:color w:val="auto"/>
          <w:spacing w:val="-1"/>
          <w:sz w:val="28"/>
          <w:szCs w:val="28"/>
          <w:highlight w:val="none"/>
          <w:lang w:val="en-US" w:eastAsia="zh-CN"/>
        </w:rPr>
        <w:t xml:space="preserve">   </w:t>
      </w:r>
    </w:p>
    <w:p w14:paraId="55B5DC0E">
      <w:pPr>
        <w:spacing w:line="360" w:lineRule="auto"/>
        <w:ind w:firstLine="556" w:firstLineChars="200"/>
        <w:rPr>
          <w:rFonts w:ascii="宋体" w:hAnsi="宋体" w:eastAsia="宋体" w:cs="宋体"/>
          <w:color w:val="auto"/>
          <w:spacing w:val="-1"/>
          <w:sz w:val="28"/>
          <w:szCs w:val="28"/>
          <w:highlight w:val="none"/>
        </w:rPr>
      </w:pPr>
      <w:r>
        <w:rPr>
          <w:rFonts w:hint="eastAsia" w:ascii="宋体" w:hAnsi="宋体" w:eastAsia="宋体" w:cs="宋体"/>
          <w:color w:val="auto"/>
          <w:spacing w:val="-1"/>
          <w:sz w:val="28"/>
          <w:szCs w:val="28"/>
          <w:highlight w:val="none"/>
          <w:lang w:val="en-US" w:eastAsia="zh-CN"/>
        </w:rPr>
        <w:t>2、</w:t>
      </w:r>
      <w:r>
        <w:rPr>
          <w:rFonts w:hint="default" w:ascii="宋体" w:hAnsi="宋体" w:eastAsia="宋体" w:cs="宋体"/>
          <w:color w:val="auto"/>
          <w:spacing w:val="-1"/>
          <w:kern w:val="2"/>
          <w:sz w:val="28"/>
          <w:szCs w:val="28"/>
          <w:highlight w:val="none"/>
          <w:lang w:val="en-US" w:eastAsia="zh-CN" w:bidi="ar-SA"/>
        </w:rPr>
        <w:t>设备安装调试完毕后，</w:t>
      </w:r>
      <w:r>
        <w:rPr>
          <w:rFonts w:hint="eastAsia" w:ascii="宋体" w:hAnsi="宋体" w:eastAsia="宋体" w:cs="宋体"/>
          <w:color w:val="auto"/>
          <w:spacing w:val="-1"/>
          <w:kern w:val="2"/>
          <w:sz w:val="28"/>
          <w:szCs w:val="28"/>
          <w:highlight w:val="none"/>
          <w:lang w:val="en-US" w:eastAsia="zh-CN" w:bidi="ar-SA"/>
        </w:rPr>
        <w:t>乙方</w:t>
      </w:r>
      <w:r>
        <w:rPr>
          <w:rFonts w:hint="default" w:ascii="宋体" w:hAnsi="宋体" w:eastAsia="宋体" w:cs="宋体"/>
          <w:color w:val="auto"/>
          <w:spacing w:val="-1"/>
          <w:kern w:val="2"/>
          <w:sz w:val="28"/>
          <w:szCs w:val="28"/>
          <w:highlight w:val="none"/>
          <w:lang w:val="en-US" w:eastAsia="zh-CN" w:bidi="ar-SA"/>
        </w:rPr>
        <w:t>应对</w:t>
      </w:r>
      <w:r>
        <w:rPr>
          <w:rFonts w:hint="eastAsia" w:ascii="宋体" w:hAnsi="宋体" w:eastAsia="宋体" w:cs="宋体"/>
          <w:color w:val="auto"/>
          <w:spacing w:val="-1"/>
          <w:kern w:val="2"/>
          <w:sz w:val="28"/>
          <w:szCs w:val="28"/>
          <w:highlight w:val="none"/>
          <w:lang w:val="en-US" w:eastAsia="zh-CN" w:bidi="ar-SA"/>
        </w:rPr>
        <w:t>甲方</w:t>
      </w:r>
      <w:r>
        <w:rPr>
          <w:rFonts w:hint="default" w:ascii="宋体" w:hAnsi="宋体" w:eastAsia="宋体" w:cs="宋体"/>
          <w:color w:val="auto"/>
          <w:spacing w:val="-1"/>
          <w:kern w:val="2"/>
          <w:sz w:val="28"/>
          <w:szCs w:val="28"/>
          <w:highlight w:val="none"/>
          <w:lang w:val="en-US" w:eastAsia="zh-CN" w:bidi="ar-SA"/>
        </w:rPr>
        <w:t>操作人员进行操作和维护培训，直至</w:t>
      </w:r>
      <w:r>
        <w:rPr>
          <w:rFonts w:hint="eastAsia" w:ascii="宋体" w:hAnsi="宋体" w:eastAsia="宋体" w:cs="宋体"/>
          <w:color w:val="auto"/>
          <w:spacing w:val="-1"/>
          <w:kern w:val="2"/>
          <w:sz w:val="28"/>
          <w:szCs w:val="28"/>
          <w:highlight w:val="none"/>
          <w:lang w:val="en-US" w:eastAsia="zh-CN" w:bidi="ar-SA"/>
        </w:rPr>
        <w:t>甲方</w:t>
      </w:r>
      <w:r>
        <w:rPr>
          <w:rFonts w:hint="default" w:ascii="宋体" w:hAnsi="宋体" w:eastAsia="宋体" w:cs="宋体"/>
          <w:color w:val="auto"/>
          <w:spacing w:val="-1"/>
          <w:kern w:val="2"/>
          <w:sz w:val="28"/>
          <w:szCs w:val="28"/>
          <w:highlight w:val="none"/>
          <w:lang w:val="en-US" w:eastAsia="zh-CN" w:bidi="ar-SA"/>
        </w:rPr>
        <w:t>的操作人员能独立熟练操作，能完成一般常见故障的维修工作</w:t>
      </w:r>
      <w:r>
        <w:rPr>
          <w:rFonts w:ascii="宋体" w:hAnsi="宋体" w:eastAsia="宋体" w:cs="宋体"/>
          <w:color w:val="auto"/>
          <w:spacing w:val="-1"/>
          <w:sz w:val="28"/>
          <w:szCs w:val="28"/>
          <w:highlight w:val="none"/>
        </w:rPr>
        <w:t xml:space="preserve">。 </w:t>
      </w:r>
    </w:p>
    <w:p w14:paraId="3572FD8F">
      <w:pPr>
        <w:pStyle w:val="5"/>
        <w:numPr>
          <w:ilvl w:val="0"/>
          <w:numId w:val="0"/>
        </w:numPr>
        <w:ind w:firstLine="556" w:firstLineChars="200"/>
        <w:rPr>
          <w:rFonts w:ascii="宋体" w:hAnsi="宋体" w:eastAsia="宋体" w:cs="宋体"/>
          <w:color w:val="auto"/>
          <w:spacing w:val="-1"/>
          <w:sz w:val="28"/>
          <w:szCs w:val="28"/>
          <w:highlight w:val="none"/>
        </w:rPr>
      </w:pPr>
      <w:r>
        <w:rPr>
          <w:rFonts w:hint="eastAsia" w:ascii="宋体" w:hAnsi="宋体" w:eastAsia="宋体" w:cs="宋体"/>
          <w:b w:val="0"/>
          <w:bCs w:val="0"/>
          <w:color w:val="auto"/>
          <w:spacing w:val="-1"/>
          <w:sz w:val="28"/>
          <w:szCs w:val="28"/>
          <w:highlight w:val="none"/>
          <w:lang w:val="en-US" w:eastAsia="zh-CN"/>
        </w:rPr>
        <w:t>3、</w:t>
      </w:r>
      <w:r>
        <w:rPr>
          <w:rFonts w:hint="eastAsia" w:ascii="宋体" w:hAnsi="宋体" w:eastAsia="宋体" w:cs="宋体"/>
          <w:bCs/>
          <w:color w:val="auto"/>
          <w:sz w:val="28"/>
          <w:szCs w:val="28"/>
          <w:highlight w:val="none"/>
          <w:lang w:val="en-US" w:eastAsia="zh-CN"/>
        </w:rPr>
        <w:t>质量保证期：自验收合格之日起算3年，质保期间有</w:t>
      </w:r>
      <w:r>
        <w:rPr>
          <w:rFonts w:hint="eastAsia" w:ascii="宋体" w:hAnsi="宋体" w:cs="宋体"/>
          <w:bCs/>
          <w:color w:val="auto"/>
          <w:sz w:val="28"/>
          <w:szCs w:val="28"/>
          <w:highlight w:val="none"/>
          <w:lang w:val="en-US" w:eastAsia="zh-CN"/>
        </w:rPr>
        <w:t>专门的</w:t>
      </w:r>
      <w:r>
        <w:rPr>
          <w:rFonts w:hint="eastAsia" w:ascii="宋体" w:hAnsi="宋体" w:eastAsia="宋体" w:cs="宋体"/>
          <w:bCs/>
          <w:color w:val="auto"/>
          <w:sz w:val="28"/>
          <w:szCs w:val="28"/>
          <w:highlight w:val="none"/>
          <w:lang w:val="en-US" w:eastAsia="zh-CN"/>
        </w:rPr>
        <w:t>质保服务电话。接到采购人电话后，</w:t>
      </w:r>
      <w:r>
        <w:rPr>
          <w:rFonts w:hint="eastAsia" w:ascii="宋体" w:hAnsi="宋体" w:cs="宋体"/>
          <w:bCs/>
          <w:color w:val="auto"/>
          <w:sz w:val="28"/>
          <w:szCs w:val="28"/>
          <w:highlight w:val="none"/>
          <w:lang w:val="en-US" w:eastAsia="zh-CN"/>
        </w:rPr>
        <w:t>质保</w:t>
      </w:r>
      <w:r>
        <w:rPr>
          <w:rFonts w:hint="eastAsia" w:ascii="宋体" w:hAnsi="宋体" w:eastAsia="宋体" w:cs="宋体"/>
          <w:bCs/>
          <w:color w:val="auto"/>
          <w:sz w:val="28"/>
          <w:szCs w:val="28"/>
          <w:highlight w:val="none"/>
          <w:lang w:val="en-US" w:eastAsia="zh-CN"/>
        </w:rPr>
        <w:t>工作人员</w:t>
      </w:r>
      <w:r>
        <w:rPr>
          <w:rFonts w:hint="eastAsia" w:ascii="宋体" w:hAnsi="宋体" w:cs="宋体"/>
          <w:bCs/>
          <w:color w:val="auto"/>
          <w:sz w:val="28"/>
          <w:szCs w:val="28"/>
          <w:highlight w:val="none"/>
          <w:lang w:val="en-US" w:eastAsia="zh-CN"/>
        </w:rPr>
        <w:t>须在48小时内</w:t>
      </w:r>
      <w:r>
        <w:rPr>
          <w:rFonts w:hint="eastAsia" w:ascii="宋体" w:hAnsi="宋体" w:eastAsia="宋体" w:cs="宋体"/>
          <w:bCs/>
          <w:color w:val="auto"/>
          <w:sz w:val="28"/>
          <w:szCs w:val="28"/>
          <w:highlight w:val="none"/>
          <w:lang w:val="en-US" w:eastAsia="zh-CN"/>
        </w:rPr>
        <w:t>到现场提供相关技术保障</w:t>
      </w:r>
      <w:r>
        <w:rPr>
          <w:rFonts w:ascii="宋体" w:hAnsi="宋体" w:eastAsia="宋体" w:cs="宋体"/>
          <w:color w:val="auto"/>
          <w:spacing w:val="-1"/>
          <w:sz w:val="28"/>
          <w:szCs w:val="28"/>
          <w:highlight w:val="none"/>
        </w:rPr>
        <w:t>。</w:t>
      </w:r>
    </w:p>
    <w:p w14:paraId="24D88906">
      <w:pPr>
        <w:pStyle w:val="5"/>
        <w:numPr>
          <w:ilvl w:val="0"/>
          <w:numId w:val="0"/>
        </w:numPr>
        <w:ind w:firstLine="556" w:firstLineChars="200"/>
        <w:rPr>
          <w:rFonts w:hint="eastAsia" w:ascii="宋体" w:hAnsi="宋体" w:eastAsia="宋体" w:cs="宋体"/>
          <w:b w:val="0"/>
          <w:bCs w:val="0"/>
          <w:color w:val="auto"/>
          <w:spacing w:val="-1"/>
          <w:sz w:val="28"/>
          <w:szCs w:val="28"/>
          <w:highlight w:val="none"/>
          <w:lang w:val="en-US" w:eastAsia="zh-CN"/>
        </w:rPr>
      </w:pPr>
      <w:r>
        <w:rPr>
          <w:rFonts w:hint="eastAsia" w:ascii="宋体" w:hAnsi="宋体" w:eastAsia="宋体" w:cs="宋体"/>
          <w:b w:val="0"/>
          <w:bCs w:val="0"/>
          <w:color w:val="auto"/>
          <w:spacing w:val="-1"/>
          <w:sz w:val="28"/>
          <w:szCs w:val="28"/>
          <w:highlight w:val="none"/>
          <w:lang w:val="en-US" w:eastAsia="zh-CN"/>
        </w:rPr>
        <w:t>4、质保期外的维修可由采购人继续委托乙方负责，费用由甲方按实结算。</w:t>
      </w:r>
    </w:p>
    <w:p w14:paraId="58E2336B">
      <w:pPr>
        <w:tabs>
          <w:tab w:val="left" w:pos="180"/>
        </w:tabs>
        <w:topLinePunct/>
        <w:spacing w:line="600" w:lineRule="exact"/>
        <w:ind w:firstLine="562" w:firstLineChars="200"/>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第五条  交货及验收</w:t>
      </w:r>
    </w:p>
    <w:p w14:paraId="3F160F49">
      <w:pPr>
        <w:tabs>
          <w:tab w:val="left" w:pos="1440"/>
        </w:tabs>
        <w:topLinePunct/>
        <w:spacing w:line="600" w:lineRule="exact"/>
        <w:ind w:firstLine="560" w:firstLineChars="200"/>
        <w:rPr>
          <w:rFonts w:ascii="宋体" w:hAnsi="宋体" w:eastAsia="宋体" w:cs="宋体"/>
          <w:color w:val="auto"/>
          <w:sz w:val="28"/>
          <w:szCs w:val="28"/>
          <w:highlight w:val="none"/>
        </w:rPr>
      </w:pPr>
      <w:r>
        <w:rPr>
          <w:rFonts w:ascii="宋体" w:hAnsi="宋体" w:eastAsia="宋体" w:cs="宋体"/>
          <w:color w:val="auto"/>
          <w:sz w:val="28"/>
          <w:szCs w:val="28"/>
          <w:highlight w:val="none"/>
        </w:rPr>
        <w:t>1、交货时间：</w:t>
      </w:r>
      <w:r>
        <w:rPr>
          <w:rFonts w:hint="eastAsia" w:ascii="宋体" w:hAnsi="宋体" w:eastAsia="宋体" w:cs="宋体"/>
          <w:bCs/>
          <w:color w:val="auto"/>
          <w:sz w:val="28"/>
          <w:szCs w:val="28"/>
          <w:highlight w:val="none"/>
        </w:rPr>
        <w:t>合同签订后</w:t>
      </w:r>
      <w:r>
        <w:rPr>
          <w:rFonts w:hint="eastAsia" w:ascii="宋体" w:hAnsi="宋体" w:eastAsia="宋体" w:cs="宋体"/>
          <w:bCs/>
          <w:color w:val="auto"/>
          <w:sz w:val="28"/>
          <w:szCs w:val="28"/>
          <w:highlight w:val="none"/>
          <w:lang w:val="en-US" w:eastAsia="zh-CN"/>
        </w:rPr>
        <w:t>30日内将货物</w:t>
      </w:r>
      <w:r>
        <w:rPr>
          <w:rFonts w:hint="eastAsia" w:ascii="宋体" w:hAnsi="宋体" w:eastAsia="宋体" w:cs="宋体"/>
          <w:color w:val="auto"/>
          <w:spacing w:val="-1"/>
          <w:kern w:val="2"/>
          <w:sz w:val="28"/>
          <w:szCs w:val="28"/>
          <w:highlight w:val="none"/>
          <w:lang w:val="en-US" w:eastAsia="zh-CN" w:bidi="ar-SA"/>
        </w:rPr>
        <w:t>送</w:t>
      </w:r>
      <w:r>
        <w:rPr>
          <w:rFonts w:hint="default" w:ascii="宋体" w:hAnsi="宋体" w:eastAsia="宋体" w:cs="宋体"/>
          <w:color w:val="auto"/>
          <w:spacing w:val="-1"/>
          <w:kern w:val="2"/>
          <w:sz w:val="28"/>
          <w:szCs w:val="28"/>
          <w:highlight w:val="none"/>
          <w:lang w:val="en-US" w:eastAsia="zh-CN" w:bidi="ar-SA"/>
        </w:rPr>
        <w:t>达</w:t>
      </w:r>
      <w:r>
        <w:rPr>
          <w:rFonts w:hint="eastAsia" w:ascii="宋体" w:hAnsi="宋体" w:eastAsia="宋体" w:cs="宋体"/>
          <w:color w:val="auto"/>
          <w:spacing w:val="-1"/>
          <w:kern w:val="2"/>
          <w:sz w:val="28"/>
          <w:szCs w:val="28"/>
          <w:highlight w:val="none"/>
          <w:lang w:val="en-US" w:eastAsia="zh-CN" w:bidi="ar-SA"/>
        </w:rPr>
        <w:t>交货地点</w:t>
      </w:r>
      <w:r>
        <w:rPr>
          <w:rFonts w:ascii="宋体" w:hAnsi="宋体" w:eastAsia="宋体" w:cs="宋体"/>
          <w:color w:val="auto"/>
          <w:sz w:val="28"/>
          <w:szCs w:val="28"/>
          <w:highlight w:val="none"/>
        </w:rPr>
        <w:t xml:space="preserve">。 </w:t>
      </w:r>
    </w:p>
    <w:p w14:paraId="5F4CC404">
      <w:pPr>
        <w:tabs>
          <w:tab w:val="left" w:pos="1440"/>
        </w:tabs>
        <w:topLinePunct/>
        <w:spacing w:line="600" w:lineRule="exact"/>
        <w:ind w:firstLine="560" w:firstLineChars="200"/>
        <w:rPr>
          <w:rFonts w:ascii="宋体" w:hAnsi="宋体" w:eastAsia="宋体" w:cs="宋体"/>
          <w:color w:val="auto"/>
          <w:sz w:val="28"/>
          <w:szCs w:val="28"/>
          <w:highlight w:val="none"/>
        </w:rPr>
      </w:pPr>
      <w:r>
        <w:rPr>
          <w:rFonts w:ascii="宋体" w:hAnsi="宋体" w:eastAsia="宋体" w:cs="宋体"/>
          <w:color w:val="auto"/>
          <w:sz w:val="28"/>
          <w:szCs w:val="28"/>
          <w:highlight w:val="none"/>
        </w:rPr>
        <w:t>2、交货地点：</w:t>
      </w:r>
      <w:r>
        <w:rPr>
          <w:rFonts w:hint="eastAsia" w:ascii="宋体" w:hAnsi="宋体" w:eastAsia="宋体" w:cs="宋体"/>
          <w:bCs/>
          <w:color w:val="auto"/>
          <w:sz w:val="28"/>
          <w:szCs w:val="28"/>
          <w:highlight w:val="none"/>
          <w:lang w:eastAsia="zh-CN"/>
        </w:rPr>
        <w:t>成都市新都区疾病预防控制中心（成都市新都区卫生监督所）</w:t>
      </w:r>
      <w:r>
        <w:rPr>
          <w:rFonts w:ascii="宋体" w:hAnsi="宋体" w:eastAsia="宋体" w:cs="宋体"/>
          <w:color w:val="auto"/>
          <w:sz w:val="28"/>
          <w:szCs w:val="28"/>
          <w:highlight w:val="none"/>
        </w:rPr>
        <w:t>。</w:t>
      </w:r>
    </w:p>
    <w:p w14:paraId="5E9A33D2">
      <w:pPr>
        <w:tabs>
          <w:tab w:val="left" w:pos="1440"/>
        </w:tabs>
        <w:topLinePunct/>
        <w:spacing w:line="6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履约验收</w:t>
      </w:r>
      <w:r>
        <w:rPr>
          <w:rFonts w:ascii="宋体" w:hAnsi="宋体" w:eastAsia="宋体" w:cs="宋体"/>
          <w:color w:val="auto"/>
          <w:sz w:val="28"/>
          <w:szCs w:val="28"/>
          <w:highlight w:val="none"/>
        </w:rPr>
        <w:t>：</w:t>
      </w:r>
    </w:p>
    <w:p w14:paraId="64EB5357">
      <w:pPr>
        <w:spacing w:line="360" w:lineRule="auto"/>
        <w:ind w:firstLine="560" w:firstLineChars="200"/>
        <w:rPr>
          <w:rFonts w:ascii="宋体" w:hAnsi="宋体" w:eastAsia="宋体" w:cs="宋体"/>
          <w:bCs/>
          <w:color w:val="auto"/>
          <w:sz w:val="28"/>
          <w:szCs w:val="28"/>
          <w:highlight w:val="none"/>
        </w:rPr>
      </w:pPr>
      <w:r>
        <w:rPr>
          <w:rFonts w:hint="eastAsia" w:ascii="宋体" w:hAnsi="宋体" w:eastAsia="宋体" w:cs="宋体"/>
          <w:bCs/>
          <w:color w:val="auto"/>
          <w:sz w:val="28"/>
          <w:szCs w:val="28"/>
          <w:highlight w:val="none"/>
          <w:lang w:val="en-US" w:eastAsia="zh-CN"/>
        </w:rPr>
        <w:t>3.1</w:t>
      </w:r>
      <w:r>
        <w:rPr>
          <w:rFonts w:hint="eastAsia" w:ascii="宋体" w:hAnsi="宋体" w:eastAsia="宋体" w:cs="宋体"/>
          <w:bCs/>
          <w:color w:val="auto"/>
          <w:sz w:val="28"/>
          <w:szCs w:val="28"/>
          <w:highlight w:val="none"/>
        </w:rPr>
        <w:t>验收主体：</w:t>
      </w:r>
      <w:r>
        <w:rPr>
          <w:rFonts w:hint="eastAsia" w:ascii="宋体" w:hAnsi="宋体" w:eastAsia="宋体" w:cs="宋体"/>
          <w:color w:val="auto"/>
          <w:sz w:val="28"/>
          <w:szCs w:val="28"/>
          <w:highlight w:val="none"/>
        </w:rPr>
        <w:t>甲方</w:t>
      </w:r>
      <w:r>
        <w:rPr>
          <w:rFonts w:hint="eastAsia" w:ascii="宋体" w:hAnsi="宋体" w:eastAsia="宋体" w:cs="宋体"/>
          <w:bCs/>
          <w:color w:val="auto"/>
          <w:sz w:val="28"/>
          <w:szCs w:val="28"/>
          <w:highlight w:val="none"/>
        </w:rPr>
        <w:t>。</w:t>
      </w:r>
    </w:p>
    <w:p w14:paraId="3EA10E7A">
      <w:pPr>
        <w:spacing w:line="360" w:lineRule="auto"/>
        <w:ind w:firstLine="560" w:firstLineChars="200"/>
        <w:rPr>
          <w:rFonts w:ascii="宋体" w:hAnsi="宋体" w:eastAsia="宋体" w:cs="宋体"/>
          <w:bCs/>
          <w:color w:val="auto"/>
          <w:sz w:val="28"/>
          <w:szCs w:val="28"/>
          <w:highlight w:val="none"/>
        </w:rPr>
      </w:pPr>
      <w:r>
        <w:rPr>
          <w:rFonts w:hint="eastAsia" w:ascii="宋体" w:hAnsi="宋体" w:eastAsia="宋体" w:cs="宋体"/>
          <w:bCs/>
          <w:color w:val="auto"/>
          <w:sz w:val="28"/>
          <w:szCs w:val="28"/>
          <w:highlight w:val="none"/>
          <w:lang w:val="en-US" w:eastAsia="zh-CN"/>
        </w:rPr>
        <w:t>3.2</w:t>
      </w:r>
      <w:r>
        <w:rPr>
          <w:rFonts w:hint="eastAsia" w:ascii="宋体" w:hAnsi="宋体" w:eastAsia="宋体" w:cs="宋体"/>
          <w:bCs/>
          <w:color w:val="auto"/>
          <w:sz w:val="28"/>
          <w:szCs w:val="28"/>
          <w:highlight w:val="none"/>
        </w:rPr>
        <w:t>验收方式：由</w:t>
      </w:r>
      <w:r>
        <w:rPr>
          <w:rFonts w:hint="eastAsia" w:ascii="宋体" w:hAnsi="宋体" w:eastAsia="宋体" w:cs="宋体"/>
          <w:color w:val="auto"/>
          <w:sz w:val="28"/>
          <w:szCs w:val="28"/>
          <w:highlight w:val="none"/>
        </w:rPr>
        <w:t>甲方</w:t>
      </w:r>
      <w:r>
        <w:rPr>
          <w:rFonts w:hint="eastAsia" w:ascii="宋体" w:hAnsi="宋体" w:eastAsia="宋体" w:cs="宋体"/>
          <w:bCs/>
          <w:color w:val="auto"/>
          <w:sz w:val="28"/>
          <w:szCs w:val="28"/>
          <w:highlight w:val="none"/>
        </w:rPr>
        <w:t>组织</w:t>
      </w:r>
      <w:r>
        <w:rPr>
          <w:rFonts w:hint="eastAsia" w:ascii="宋体" w:hAnsi="宋体" w:eastAsia="宋体" w:cs="宋体"/>
          <w:bCs/>
          <w:color w:val="auto"/>
          <w:sz w:val="28"/>
          <w:szCs w:val="28"/>
          <w:highlight w:val="none"/>
        </w:rPr>
        <w:t>验收</w:t>
      </w:r>
      <w:r>
        <w:rPr>
          <w:rFonts w:hint="eastAsia" w:ascii="宋体" w:hAnsi="宋体" w:eastAsia="宋体" w:cs="宋体"/>
          <w:bCs/>
          <w:color w:val="auto"/>
          <w:sz w:val="28"/>
          <w:szCs w:val="28"/>
          <w:highlight w:val="none"/>
        </w:rPr>
        <w:t>。</w:t>
      </w:r>
    </w:p>
    <w:p w14:paraId="65398CE6">
      <w:pPr>
        <w:spacing w:line="360" w:lineRule="auto"/>
        <w:ind w:firstLine="560" w:firstLineChars="200"/>
        <w:rPr>
          <w:rFonts w:ascii="宋体" w:hAnsi="宋体" w:eastAsia="宋体" w:cs="宋体"/>
          <w:bCs/>
          <w:color w:val="auto"/>
          <w:sz w:val="28"/>
          <w:szCs w:val="28"/>
          <w:highlight w:val="none"/>
        </w:rPr>
      </w:pPr>
      <w:r>
        <w:rPr>
          <w:rFonts w:hint="eastAsia" w:ascii="宋体" w:hAnsi="宋体" w:eastAsia="宋体" w:cs="宋体"/>
          <w:bCs/>
          <w:color w:val="auto"/>
          <w:sz w:val="28"/>
          <w:szCs w:val="28"/>
          <w:highlight w:val="none"/>
          <w:lang w:val="en-US" w:eastAsia="zh-CN"/>
        </w:rPr>
        <w:t>3.3</w:t>
      </w:r>
      <w:r>
        <w:rPr>
          <w:rFonts w:hint="eastAsia" w:ascii="宋体" w:hAnsi="宋体" w:eastAsia="宋体" w:cs="宋体"/>
          <w:bCs/>
          <w:color w:val="auto"/>
          <w:sz w:val="28"/>
          <w:szCs w:val="28"/>
          <w:highlight w:val="none"/>
        </w:rPr>
        <w:t>验收时间：</w:t>
      </w:r>
      <w:r>
        <w:rPr>
          <w:rFonts w:hint="eastAsia" w:ascii="宋体" w:hAnsi="宋体" w:eastAsia="宋体" w:cs="宋体"/>
          <w:color w:val="auto"/>
          <w:sz w:val="28"/>
          <w:szCs w:val="28"/>
          <w:highlight w:val="none"/>
        </w:rPr>
        <w:t>在</w:t>
      </w:r>
      <w:r>
        <w:rPr>
          <w:rFonts w:hint="eastAsia" w:ascii="宋体" w:hAnsi="宋体" w:eastAsia="宋体" w:cs="宋体"/>
          <w:color w:val="auto"/>
          <w:sz w:val="28"/>
          <w:szCs w:val="28"/>
          <w:highlight w:val="none"/>
          <w:lang w:val="en-US" w:eastAsia="zh-CN"/>
        </w:rPr>
        <w:t>乙方</w:t>
      </w:r>
      <w:r>
        <w:rPr>
          <w:rFonts w:hint="eastAsia" w:ascii="宋体" w:hAnsi="宋体" w:eastAsia="宋体" w:cs="宋体"/>
          <w:color w:val="auto"/>
          <w:sz w:val="28"/>
          <w:szCs w:val="28"/>
          <w:highlight w:val="none"/>
        </w:rPr>
        <w:t>发出验收申请后</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个工作日内</w:t>
      </w:r>
      <w:r>
        <w:rPr>
          <w:rFonts w:hint="eastAsia" w:ascii="宋体" w:hAnsi="宋体" w:eastAsia="宋体" w:cs="宋体"/>
          <w:bCs/>
          <w:color w:val="auto"/>
          <w:sz w:val="28"/>
          <w:szCs w:val="28"/>
          <w:highlight w:val="none"/>
          <w:lang w:val="en-US" w:eastAsia="zh-CN"/>
        </w:rPr>
        <w:t>甲方</w:t>
      </w:r>
      <w:r>
        <w:rPr>
          <w:rFonts w:hint="eastAsia" w:ascii="宋体" w:hAnsi="宋体" w:eastAsia="宋体" w:cs="宋体"/>
          <w:bCs/>
          <w:color w:val="auto"/>
          <w:sz w:val="28"/>
          <w:szCs w:val="28"/>
          <w:highlight w:val="none"/>
        </w:rPr>
        <w:t>组织验收</w:t>
      </w:r>
      <w:r>
        <w:rPr>
          <w:rFonts w:hint="eastAsia" w:ascii="宋体" w:hAnsi="宋体" w:eastAsia="宋体" w:cs="宋体"/>
          <w:bCs/>
          <w:color w:val="auto"/>
          <w:sz w:val="28"/>
          <w:szCs w:val="28"/>
          <w:highlight w:val="none"/>
        </w:rPr>
        <w:t>。</w:t>
      </w:r>
    </w:p>
    <w:p w14:paraId="19117366">
      <w:pPr>
        <w:spacing w:line="360" w:lineRule="auto"/>
        <w:ind w:firstLine="560" w:firstLineChars="200"/>
        <w:rPr>
          <w:rFonts w:ascii="宋体" w:hAnsi="宋体" w:eastAsia="宋体" w:cs="宋体"/>
          <w:bCs/>
          <w:color w:val="auto"/>
          <w:sz w:val="28"/>
          <w:szCs w:val="28"/>
          <w:highlight w:val="none"/>
        </w:rPr>
      </w:pPr>
      <w:r>
        <w:rPr>
          <w:rFonts w:hint="eastAsia" w:ascii="宋体" w:hAnsi="宋体" w:eastAsia="宋体" w:cs="宋体"/>
          <w:bCs/>
          <w:color w:val="auto"/>
          <w:sz w:val="28"/>
          <w:szCs w:val="28"/>
          <w:highlight w:val="none"/>
          <w:lang w:val="en-US" w:eastAsia="zh-CN"/>
        </w:rPr>
        <w:t>3.4</w:t>
      </w:r>
      <w:r>
        <w:rPr>
          <w:rFonts w:hint="eastAsia" w:ascii="宋体" w:hAnsi="宋体" w:eastAsia="宋体" w:cs="宋体"/>
          <w:bCs/>
          <w:color w:val="auto"/>
          <w:sz w:val="28"/>
          <w:szCs w:val="28"/>
          <w:highlight w:val="none"/>
        </w:rPr>
        <w:t>验收程序：</w:t>
      </w:r>
      <w:r>
        <w:rPr>
          <w:rFonts w:hint="eastAsia" w:ascii="宋体" w:hAnsi="宋体" w:eastAsia="宋体" w:cs="宋体"/>
          <w:bCs/>
          <w:color w:val="auto"/>
          <w:sz w:val="28"/>
          <w:szCs w:val="28"/>
          <w:highlight w:val="none"/>
          <w:lang w:val="en-US" w:eastAsia="zh-CN"/>
        </w:rPr>
        <w:t>一次性</w:t>
      </w:r>
      <w:r>
        <w:rPr>
          <w:rFonts w:hint="eastAsia" w:ascii="宋体" w:hAnsi="宋体" w:eastAsia="宋体" w:cs="宋体"/>
          <w:bCs/>
          <w:color w:val="auto"/>
          <w:sz w:val="28"/>
          <w:szCs w:val="28"/>
          <w:highlight w:val="none"/>
        </w:rPr>
        <w:t>验收。</w:t>
      </w:r>
    </w:p>
    <w:p w14:paraId="4A827444">
      <w:pPr>
        <w:tabs>
          <w:tab w:val="left" w:pos="1440"/>
        </w:tabs>
        <w:topLinePunct/>
        <w:spacing w:line="60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lang w:val="en-US" w:eastAsia="zh-CN"/>
        </w:rPr>
        <w:t>3.5</w:t>
      </w:r>
      <w:r>
        <w:rPr>
          <w:rFonts w:hint="eastAsia" w:ascii="宋体" w:hAnsi="宋体" w:eastAsia="宋体" w:cs="宋体"/>
          <w:bCs/>
          <w:color w:val="auto"/>
          <w:sz w:val="28"/>
          <w:szCs w:val="28"/>
          <w:highlight w:val="none"/>
        </w:rPr>
        <w:t>履约验收标准：</w:t>
      </w:r>
    </w:p>
    <w:p w14:paraId="06183898">
      <w:pPr>
        <w:tabs>
          <w:tab w:val="left" w:pos="1440"/>
        </w:tabs>
        <w:topLinePunct/>
        <w:spacing w:line="600" w:lineRule="exact"/>
        <w:ind w:firstLine="560" w:firstLineChars="200"/>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3.5.1.检验与验收要求：</w:t>
      </w:r>
    </w:p>
    <w:p w14:paraId="7CF12BA5">
      <w:pPr>
        <w:tabs>
          <w:tab w:val="left" w:pos="1440"/>
        </w:tabs>
        <w:topLinePunct/>
        <w:spacing w:line="600" w:lineRule="exact"/>
        <w:ind w:firstLine="560" w:firstLineChars="200"/>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（1）产品外观、颜色、规格、数量及材质等应符合相关产品标准的要求。</w:t>
      </w:r>
    </w:p>
    <w:p w14:paraId="715941ED">
      <w:pPr>
        <w:tabs>
          <w:tab w:val="left" w:pos="1440"/>
        </w:tabs>
        <w:topLinePunct/>
        <w:spacing w:line="600" w:lineRule="exact"/>
        <w:ind w:firstLine="560" w:firstLineChars="200"/>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 xml:space="preserve">（2）乙方提供的质量合格证等文件应齐全，与所提供的产品相符。 </w:t>
      </w:r>
    </w:p>
    <w:p w14:paraId="10A54F85">
      <w:pPr>
        <w:tabs>
          <w:tab w:val="left" w:pos="1440"/>
        </w:tabs>
        <w:topLinePunct/>
        <w:spacing w:line="600" w:lineRule="exact"/>
        <w:ind w:firstLine="560" w:firstLineChars="200"/>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（3）产品到货检验、验收时及产品安装后以及运行时均应持续达到相关技术要求。</w:t>
      </w:r>
    </w:p>
    <w:p w14:paraId="76380633">
      <w:pPr>
        <w:tabs>
          <w:tab w:val="left" w:pos="1440"/>
        </w:tabs>
        <w:topLinePunct/>
        <w:spacing w:line="600" w:lineRule="exact"/>
        <w:ind w:firstLine="560" w:firstLineChars="200"/>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 xml:space="preserve">3.5.2.乙方在发货之前，应严格按照本合同约定的标准对产品的质量、性能进行准确和全面的检验。 </w:t>
      </w:r>
    </w:p>
    <w:p w14:paraId="4DEF6518">
      <w:pPr>
        <w:tabs>
          <w:tab w:val="left" w:pos="1440"/>
        </w:tabs>
        <w:topLinePunct/>
        <w:spacing w:line="600" w:lineRule="exact"/>
        <w:ind w:firstLine="560" w:firstLineChars="200"/>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3.5.3.到货初步验收：产品抵达交货地点后，甲方应当在5个工作日内对产品品种、型号、规格、数量和外观进行验收。甲方在进行初步验收时，如果发现产品的品种、型号、规格、数量和外观不符合相关产品标准，甲方有权拒绝签收和解除合同。</w:t>
      </w:r>
    </w:p>
    <w:p w14:paraId="28247FBC">
      <w:pPr>
        <w:tabs>
          <w:tab w:val="left" w:pos="1440"/>
        </w:tabs>
        <w:topLinePunct/>
        <w:spacing w:line="600" w:lineRule="exact"/>
        <w:ind w:firstLine="560" w:firstLineChars="200"/>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3.5.4.付款前的质量检测：甲方经初步验收合格并签收产品后，在付款前有权委托质量检测机构对产品作进一步的检测。</w:t>
      </w:r>
    </w:p>
    <w:p w14:paraId="7466CA5B">
      <w:pPr>
        <w:tabs>
          <w:tab w:val="left" w:pos="1440"/>
        </w:tabs>
        <w:topLinePunct/>
        <w:spacing w:line="600" w:lineRule="exact"/>
        <w:ind w:firstLine="560" w:firstLineChars="200"/>
        <w:rPr>
          <w:rFonts w:ascii="宋体" w:hAnsi="宋体" w:eastAsia="宋体" w:cs="宋体"/>
          <w:color w:val="auto"/>
          <w:sz w:val="28"/>
          <w:szCs w:val="28"/>
          <w:highlight w:val="none"/>
        </w:rPr>
      </w:pPr>
      <w:r>
        <w:rPr>
          <w:rFonts w:hint="eastAsia" w:ascii="宋体" w:hAnsi="宋体" w:eastAsia="宋体" w:cs="宋体"/>
          <w:bCs/>
          <w:color w:val="auto"/>
          <w:sz w:val="28"/>
          <w:szCs w:val="28"/>
          <w:highlight w:val="none"/>
          <w:lang w:val="en-US" w:eastAsia="zh-CN"/>
        </w:rPr>
        <w:t>3.5.5.日常使用过程中的检测：在产品使用过程中，如甲方发现产品质量或规格不符，或证明产品有缺陷（包括潜在的缺陷或使用不合格的原材料等），甲方可以送请具有国家鉴定资质的第三方进行质量检验。经检测产品质量存在问题的，检测费用由乙方承担，甲方有权要求乙方免费维修、更换，乙方应赔偿因此给甲方造成的损失和甲方因此发生的律师费、公证费、鉴定费、保全保险费等费用。经检测产品质量不存在问题的，检测费用由甲方承担</w:t>
      </w:r>
      <w:r>
        <w:rPr>
          <w:rFonts w:hint="eastAsia" w:ascii="宋体" w:hAnsi="宋体" w:eastAsia="宋体" w:cs="宋体"/>
          <w:color w:val="auto"/>
          <w:sz w:val="28"/>
          <w:szCs w:val="28"/>
          <w:highlight w:val="none"/>
          <w:lang w:val="en-US" w:eastAsia="zh-CN"/>
        </w:rPr>
        <w:t>。</w:t>
      </w:r>
    </w:p>
    <w:p w14:paraId="18DBB6F7">
      <w:pPr>
        <w:tabs>
          <w:tab w:val="left" w:pos="180"/>
        </w:tabs>
        <w:topLinePunct/>
        <w:spacing w:line="600" w:lineRule="exact"/>
        <w:ind w:firstLine="562" w:firstLineChars="200"/>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第六条  付款方式及时间</w:t>
      </w:r>
    </w:p>
    <w:p w14:paraId="6721916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Cs/>
          <w:color w:val="auto"/>
          <w:sz w:val="28"/>
          <w:szCs w:val="28"/>
          <w:highlight w:val="none"/>
          <w:lang w:eastAsia="zh-CN"/>
        </w:rPr>
      </w:pPr>
      <w:r>
        <w:rPr>
          <w:rFonts w:hint="eastAsia" w:ascii="宋体" w:hAnsi="宋体" w:eastAsia="宋体" w:cs="宋体"/>
          <w:bCs/>
          <w:color w:val="auto"/>
          <w:sz w:val="28"/>
          <w:szCs w:val="28"/>
          <w:highlight w:val="none"/>
          <w:lang w:val="en-US" w:eastAsia="zh-CN"/>
        </w:rPr>
        <w:t>1</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rPr>
        <w:t>合同签订后</w:t>
      </w:r>
      <w:r>
        <w:rPr>
          <w:rFonts w:hint="eastAsia" w:ascii="宋体" w:hAnsi="宋体" w:eastAsia="宋体" w:cs="宋体"/>
          <w:bCs/>
          <w:color w:val="auto"/>
          <w:sz w:val="28"/>
          <w:szCs w:val="28"/>
          <w:highlight w:val="none"/>
          <w:lang w:val="en-US" w:eastAsia="zh-CN"/>
        </w:rPr>
        <w:t>10日内</w:t>
      </w:r>
      <w:r>
        <w:rPr>
          <w:rFonts w:hint="eastAsia" w:ascii="宋体" w:hAnsi="宋体" w:eastAsia="宋体" w:cs="宋体"/>
          <w:bCs/>
          <w:color w:val="auto"/>
          <w:sz w:val="28"/>
          <w:szCs w:val="28"/>
          <w:highlight w:val="none"/>
        </w:rPr>
        <w:t>，</w:t>
      </w:r>
      <w:r>
        <w:rPr>
          <w:rFonts w:hint="eastAsia" w:ascii="宋体" w:hAnsi="宋体" w:eastAsia="宋体" w:cs="宋体"/>
          <w:bCs/>
          <w:color w:val="auto"/>
          <w:sz w:val="28"/>
          <w:szCs w:val="28"/>
          <w:highlight w:val="none"/>
          <w:lang w:eastAsia="zh-CN"/>
        </w:rPr>
        <w:t>采购人</w:t>
      </w:r>
      <w:r>
        <w:rPr>
          <w:rFonts w:hint="eastAsia" w:ascii="宋体" w:hAnsi="宋体" w:eastAsia="宋体" w:cs="宋体"/>
          <w:bCs/>
          <w:color w:val="auto"/>
          <w:sz w:val="28"/>
          <w:szCs w:val="28"/>
          <w:highlight w:val="none"/>
        </w:rPr>
        <w:t>向</w:t>
      </w:r>
      <w:r>
        <w:rPr>
          <w:rFonts w:hint="eastAsia" w:ascii="宋体" w:hAnsi="宋体" w:eastAsia="宋体" w:cs="宋体"/>
          <w:bCs/>
          <w:color w:val="auto"/>
          <w:sz w:val="28"/>
          <w:szCs w:val="28"/>
          <w:highlight w:val="none"/>
          <w:lang w:eastAsia="zh-CN"/>
        </w:rPr>
        <w:t>中标人</w:t>
      </w:r>
      <w:r>
        <w:rPr>
          <w:rFonts w:hint="eastAsia" w:ascii="宋体" w:hAnsi="宋体" w:eastAsia="宋体" w:cs="宋体"/>
          <w:bCs/>
          <w:color w:val="auto"/>
          <w:sz w:val="28"/>
          <w:szCs w:val="28"/>
          <w:highlight w:val="none"/>
        </w:rPr>
        <w:t>支付</w:t>
      </w:r>
      <w:r>
        <w:rPr>
          <w:rFonts w:hint="eastAsia" w:ascii="宋体" w:hAnsi="宋体" w:eastAsia="宋体" w:cs="宋体"/>
          <w:bCs/>
          <w:color w:val="auto"/>
          <w:sz w:val="28"/>
          <w:szCs w:val="28"/>
          <w:highlight w:val="none"/>
          <w:lang w:val="en-US" w:eastAsia="zh-CN"/>
        </w:rPr>
        <w:t>合同</w:t>
      </w:r>
      <w:r>
        <w:rPr>
          <w:rFonts w:hint="eastAsia" w:ascii="宋体" w:hAnsi="宋体" w:eastAsia="宋体" w:cs="宋体"/>
          <w:bCs/>
          <w:color w:val="auto"/>
          <w:sz w:val="28"/>
          <w:szCs w:val="28"/>
          <w:highlight w:val="none"/>
        </w:rPr>
        <w:t>金额的40%作为预付款</w:t>
      </w:r>
      <w:r>
        <w:rPr>
          <w:rFonts w:hint="eastAsia" w:ascii="宋体" w:hAnsi="宋体" w:eastAsia="宋体" w:cs="宋体"/>
          <w:bCs/>
          <w:color w:val="auto"/>
          <w:sz w:val="28"/>
          <w:szCs w:val="28"/>
          <w:highlight w:val="none"/>
          <w:lang w:eastAsia="zh-CN"/>
        </w:rPr>
        <w:t>，</w:t>
      </w:r>
      <w:r>
        <w:rPr>
          <w:rFonts w:hint="eastAsia" w:ascii="宋体" w:hAnsi="宋体" w:eastAsia="宋体" w:cs="宋体"/>
          <w:bCs/>
          <w:color w:val="auto"/>
          <w:sz w:val="28"/>
          <w:szCs w:val="28"/>
          <w:highlight w:val="none"/>
          <w:lang w:val="en-US" w:eastAsia="zh-CN"/>
        </w:rPr>
        <w:t>货物送达并经采购人验收合格后10日内支付合同金额剩余的60%</w:t>
      </w:r>
      <w:r>
        <w:rPr>
          <w:rFonts w:hint="eastAsia" w:ascii="宋体" w:hAnsi="宋体" w:eastAsia="宋体" w:cs="宋体"/>
          <w:bCs/>
          <w:color w:val="auto"/>
          <w:sz w:val="28"/>
          <w:szCs w:val="28"/>
          <w:highlight w:val="none"/>
          <w:lang w:eastAsia="zh-CN"/>
        </w:rPr>
        <w:t>。</w:t>
      </w:r>
    </w:p>
    <w:p w14:paraId="57B8992A">
      <w:pPr>
        <w:tabs>
          <w:tab w:val="left" w:pos="1440"/>
        </w:tabs>
        <w:topLinePunct/>
        <w:spacing w:line="600" w:lineRule="exact"/>
        <w:ind w:firstLine="560" w:firstLineChars="200"/>
        <w:rPr>
          <w:rFonts w:ascii="宋体" w:hAnsi="宋体" w:eastAsia="宋体" w:cs="宋体"/>
          <w:color w:val="auto"/>
          <w:sz w:val="28"/>
          <w:szCs w:val="28"/>
          <w:highlight w:val="none"/>
        </w:rPr>
      </w:pPr>
      <w:r>
        <w:rPr>
          <w:rFonts w:hint="eastAsia" w:ascii="宋体" w:hAnsi="宋体" w:eastAsia="宋体" w:cs="宋体"/>
          <w:bCs/>
          <w:color w:val="auto"/>
          <w:sz w:val="28"/>
          <w:szCs w:val="28"/>
          <w:highlight w:val="none"/>
          <w:lang w:val="en-US" w:eastAsia="zh-CN"/>
        </w:rPr>
        <w:t>2</w:t>
      </w:r>
      <w:r>
        <w:rPr>
          <w:rFonts w:hint="eastAsia" w:ascii="宋体" w:hAnsi="宋体" w:eastAsia="宋体" w:cs="宋体"/>
          <w:bCs/>
          <w:color w:val="auto"/>
          <w:sz w:val="28"/>
          <w:szCs w:val="28"/>
          <w:highlight w:val="none"/>
          <w:lang w:eastAsia="zh-CN"/>
        </w:rPr>
        <w:t>）中标人</w:t>
      </w:r>
      <w:r>
        <w:rPr>
          <w:rFonts w:hint="eastAsia" w:ascii="宋体" w:hAnsi="宋体" w:eastAsia="宋体" w:cs="宋体"/>
          <w:bCs/>
          <w:color w:val="auto"/>
          <w:sz w:val="28"/>
          <w:szCs w:val="28"/>
          <w:highlight w:val="none"/>
        </w:rPr>
        <w:t>须提供合法有效完整的完税发票及凭证资料，</w:t>
      </w:r>
      <w:r>
        <w:rPr>
          <w:rFonts w:hint="eastAsia" w:ascii="宋体" w:hAnsi="宋体" w:eastAsia="宋体" w:cs="宋体"/>
          <w:bCs/>
          <w:color w:val="auto"/>
          <w:sz w:val="28"/>
          <w:szCs w:val="28"/>
          <w:highlight w:val="none"/>
          <w:lang w:eastAsia="zh-CN"/>
        </w:rPr>
        <w:t>采购人</w:t>
      </w:r>
      <w:r>
        <w:rPr>
          <w:rFonts w:hint="eastAsia" w:ascii="宋体" w:hAnsi="宋体" w:eastAsia="宋体" w:cs="宋体"/>
          <w:bCs/>
          <w:color w:val="auto"/>
          <w:sz w:val="28"/>
          <w:szCs w:val="28"/>
          <w:highlight w:val="none"/>
        </w:rPr>
        <w:t>收到后10日内支付</w:t>
      </w:r>
      <w:r>
        <w:rPr>
          <w:rFonts w:hint="eastAsia" w:ascii="宋体" w:hAnsi="宋体" w:eastAsia="宋体" w:cs="宋体"/>
          <w:bCs/>
          <w:color w:val="auto"/>
          <w:sz w:val="28"/>
          <w:szCs w:val="28"/>
          <w:highlight w:val="none"/>
          <w:lang w:eastAsia="zh-CN"/>
        </w:rPr>
        <w:t>相应货款</w:t>
      </w:r>
      <w:r>
        <w:rPr>
          <w:rFonts w:hint="eastAsia" w:ascii="宋体" w:hAnsi="宋体" w:eastAsia="宋体" w:cs="宋体"/>
          <w:bCs/>
          <w:color w:val="auto"/>
          <w:sz w:val="28"/>
          <w:szCs w:val="28"/>
          <w:highlight w:val="none"/>
        </w:rPr>
        <w:t>。因</w:t>
      </w:r>
      <w:r>
        <w:rPr>
          <w:rFonts w:hint="eastAsia" w:ascii="宋体" w:hAnsi="宋体" w:eastAsia="宋体" w:cs="宋体"/>
          <w:bCs/>
          <w:color w:val="auto"/>
          <w:sz w:val="28"/>
          <w:szCs w:val="28"/>
          <w:highlight w:val="none"/>
          <w:lang w:eastAsia="zh-CN"/>
        </w:rPr>
        <w:t>中标人</w:t>
      </w:r>
      <w:r>
        <w:rPr>
          <w:rFonts w:hint="eastAsia" w:ascii="宋体" w:hAnsi="宋体" w:eastAsia="宋体" w:cs="宋体"/>
          <w:bCs/>
          <w:color w:val="auto"/>
          <w:sz w:val="28"/>
          <w:szCs w:val="28"/>
          <w:highlight w:val="none"/>
        </w:rPr>
        <w:t>单方面没有准备完整的完税发票或凭证资料造成付款延时由</w:t>
      </w:r>
      <w:r>
        <w:rPr>
          <w:rFonts w:hint="eastAsia" w:ascii="宋体" w:hAnsi="宋体" w:eastAsia="宋体" w:cs="宋体"/>
          <w:bCs/>
          <w:color w:val="auto"/>
          <w:sz w:val="28"/>
          <w:szCs w:val="28"/>
          <w:highlight w:val="none"/>
          <w:lang w:eastAsia="zh-CN"/>
        </w:rPr>
        <w:t>中标人</w:t>
      </w:r>
      <w:r>
        <w:rPr>
          <w:rFonts w:hint="eastAsia" w:ascii="宋体" w:hAnsi="宋体" w:eastAsia="宋体" w:cs="宋体"/>
          <w:bCs/>
          <w:color w:val="auto"/>
          <w:sz w:val="28"/>
          <w:szCs w:val="28"/>
          <w:highlight w:val="none"/>
        </w:rPr>
        <w:t>承担一切后果，</w:t>
      </w:r>
      <w:r>
        <w:rPr>
          <w:rFonts w:hint="eastAsia" w:ascii="宋体" w:hAnsi="宋体" w:eastAsia="宋体" w:cs="宋体"/>
          <w:bCs/>
          <w:color w:val="auto"/>
          <w:sz w:val="28"/>
          <w:szCs w:val="28"/>
          <w:highlight w:val="none"/>
          <w:lang w:eastAsia="zh-CN"/>
        </w:rPr>
        <w:t>采购人</w:t>
      </w:r>
      <w:r>
        <w:rPr>
          <w:rFonts w:hint="eastAsia" w:ascii="宋体" w:hAnsi="宋体" w:eastAsia="宋体" w:cs="宋体"/>
          <w:bCs/>
          <w:color w:val="auto"/>
          <w:sz w:val="28"/>
          <w:szCs w:val="28"/>
          <w:highlight w:val="none"/>
        </w:rPr>
        <w:t>有权拒绝支付款项且不承担任何违约责任</w:t>
      </w:r>
      <w:r>
        <w:rPr>
          <w:rFonts w:hint="eastAsia" w:ascii="宋体" w:hAnsi="宋体" w:eastAsia="宋体" w:cs="宋体"/>
          <w:color w:val="auto"/>
          <w:sz w:val="28"/>
          <w:szCs w:val="28"/>
          <w:highlight w:val="none"/>
          <w:lang w:val="en-US" w:eastAsia="zh-CN"/>
        </w:rPr>
        <w:t>。</w:t>
      </w:r>
    </w:p>
    <w:p w14:paraId="768502C4">
      <w:pPr>
        <w:tabs>
          <w:tab w:val="left" w:pos="1440"/>
        </w:tabs>
        <w:topLinePunct/>
        <w:spacing w:line="600" w:lineRule="exact"/>
        <w:ind w:firstLine="562" w:firstLineChars="200"/>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 xml:space="preserve">第七条  </w:t>
      </w:r>
      <w:r>
        <w:rPr>
          <w:rFonts w:hint="eastAsia" w:ascii="宋体" w:hAnsi="宋体" w:eastAsia="宋体" w:cs="宋体"/>
          <w:b/>
          <w:color w:val="auto"/>
          <w:sz w:val="28"/>
          <w:szCs w:val="28"/>
          <w:highlight w:val="none"/>
        </w:rPr>
        <w:t>知识产权</w:t>
      </w:r>
    </w:p>
    <w:p w14:paraId="0C19463B">
      <w:pPr>
        <w:tabs>
          <w:tab w:val="left" w:pos="1440"/>
        </w:tabs>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保证甲方在使用了其产品、服务及其任何部分而不受到第三方关于侵犯专利权、商标权、代理销售权或其他工业产权和知识产权的指控。任何第三方如果提出侵权指控时，乙方须与第三方交涉并承担可能发生的一切法律上和经济上的责任。甲方因处理该等纠纷发生的费用(包括但不限于诉讼费、律师费、差旅费等)和遭受的损失(包括但不限于向权利人支付的赔偿费用、产品无法使用造成的损失等)，均由乙方承担。</w:t>
      </w:r>
    </w:p>
    <w:p w14:paraId="21C7D95F">
      <w:pPr>
        <w:tabs>
          <w:tab w:val="left" w:pos="180"/>
        </w:tabs>
        <w:topLinePunct/>
        <w:spacing w:line="600" w:lineRule="exact"/>
        <w:ind w:firstLine="562" w:firstLineChars="200"/>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w:t>
      </w:r>
      <w:r>
        <w:rPr>
          <w:rFonts w:hint="eastAsia" w:ascii="宋体" w:hAnsi="宋体" w:eastAsia="宋体" w:cs="宋体"/>
          <w:b/>
          <w:color w:val="auto"/>
          <w:sz w:val="28"/>
          <w:szCs w:val="28"/>
          <w:highlight w:val="none"/>
          <w:lang w:val="en-US" w:eastAsia="zh-CN"/>
        </w:rPr>
        <w:t>八</w:t>
      </w:r>
      <w:r>
        <w:rPr>
          <w:rFonts w:hint="eastAsia" w:ascii="宋体" w:hAnsi="宋体" w:eastAsia="宋体" w:cs="宋体"/>
          <w:b/>
          <w:color w:val="auto"/>
          <w:sz w:val="28"/>
          <w:szCs w:val="28"/>
          <w:highlight w:val="none"/>
        </w:rPr>
        <w:t>条  无产权瑕疵条款</w:t>
      </w:r>
    </w:p>
    <w:p w14:paraId="40F4BF92">
      <w:pPr>
        <w:tabs>
          <w:tab w:val="left" w:pos="1440"/>
        </w:tabs>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乙方保证所提供的货物的所有权完全属于乙方且无任何抵押、查封等产权瑕疵。如有产权瑕疵的，视为乙方违约。乙方应负担由此而产生的一切损失。</w:t>
      </w:r>
    </w:p>
    <w:p w14:paraId="12F694C0">
      <w:pPr>
        <w:topLinePunct/>
        <w:adjustRightInd w:val="0"/>
        <w:spacing w:line="600" w:lineRule="exact"/>
        <w:ind w:firstLine="562" w:firstLineChars="200"/>
        <w:jc w:val="left"/>
        <w:textAlignment w:val="baseline"/>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w:t>
      </w:r>
      <w:r>
        <w:rPr>
          <w:rFonts w:hint="eastAsia" w:ascii="宋体" w:hAnsi="宋体" w:eastAsia="宋体" w:cs="宋体"/>
          <w:b/>
          <w:color w:val="auto"/>
          <w:sz w:val="28"/>
          <w:szCs w:val="28"/>
          <w:highlight w:val="none"/>
          <w:lang w:val="en-US" w:eastAsia="zh-CN"/>
        </w:rPr>
        <w:t>九</w:t>
      </w:r>
      <w:r>
        <w:rPr>
          <w:rFonts w:hint="eastAsia" w:ascii="宋体" w:hAnsi="宋体" w:eastAsia="宋体" w:cs="宋体"/>
          <w:b/>
          <w:color w:val="auto"/>
          <w:sz w:val="28"/>
          <w:szCs w:val="28"/>
          <w:highlight w:val="none"/>
        </w:rPr>
        <w:t>条  违约责任</w:t>
      </w:r>
    </w:p>
    <w:p w14:paraId="6771D45B">
      <w:pPr>
        <w:topLinePunct/>
        <w:adjustRightInd w:val="0"/>
        <w:spacing w:line="600" w:lineRule="exact"/>
        <w:ind w:firstLine="560" w:firstLineChars="200"/>
        <w:jc w:val="left"/>
        <w:textAlignment w:val="baseline"/>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1、甲方违约责任</w:t>
      </w:r>
    </w:p>
    <w:p w14:paraId="521956C8">
      <w:pPr>
        <w:topLinePunct/>
        <w:adjustRightInd w:val="0"/>
        <w:spacing w:line="600" w:lineRule="exact"/>
        <w:ind w:firstLine="560" w:firstLineChars="200"/>
        <w:jc w:val="left"/>
        <w:textAlignment w:val="baseline"/>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（1）甲方无正当理由拒收货物的，甲方应偿付合同总价百分之</w:t>
      </w:r>
      <w:r>
        <w:rPr>
          <w:rFonts w:hint="eastAsia" w:ascii="宋体" w:hAnsi="宋体" w:eastAsia="宋体" w:cs="宋体"/>
          <w:bCs/>
          <w:color w:val="auto"/>
          <w:sz w:val="28"/>
          <w:szCs w:val="28"/>
          <w:highlight w:val="none"/>
          <w:u w:val="single"/>
          <w:lang w:val="en-US" w:eastAsia="zh-CN"/>
        </w:rPr>
        <w:t xml:space="preserve">    </w:t>
      </w:r>
      <w:r>
        <w:rPr>
          <w:rFonts w:hint="eastAsia" w:ascii="宋体" w:hAnsi="宋体" w:eastAsia="宋体" w:cs="宋体"/>
          <w:bCs/>
          <w:color w:val="auto"/>
          <w:sz w:val="28"/>
          <w:szCs w:val="28"/>
          <w:highlight w:val="none"/>
        </w:rPr>
        <w:t>的违约金；</w:t>
      </w:r>
    </w:p>
    <w:p w14:paraId="22B4D6C7">
      <w:pPr>
        <w:topLinePunct/>
        <w:adjustRightInd w:val="0"/>
        <w:spacing w:line="600" w:lineRule="exact"/>
        <w:ind w:firstLine="560" w:firstLineChars="200"/>
        <w:jc w:val="left"/>
        <w:textAlignment w:val="baseline"/>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（2）甲方逾期支付货款的，除应及时付足货款外，应向乙方偿付欠款总额万分之</w:t>
      </w:r>
      <w:r>
        <w:rPr>
          <w:rFonts w:hint="eastAsia" w:ascii="宋体" w:hAnsi="宋体" w:eastAsia="宋体" w:cs="宋体"/>
          <w:bCs/>
          <w:color w:val="auto"/>
          <w:sz w:val="28"/>
          <w:szCs w:val="28"/>
          <w:highlight w:val="none"/>
          <w:u w:val="single"/>
          <w:lang w:val="en-US" w:eastAsia="zh-CN"/>
        </w:rPr>
        <w:t xml:space="preserve">    </w:t>
      </w:r>
      <w:r>
        <w:rPr>
          <w:rFonts w:hint="eastAsia" w:ascii="宋体" w:hAnsi="宋体" w:eastAsia="宋体" w:cs="宋体"/>
          <w:bCs/>
          <w:color w:val="auto"/>
          <w:sz w:val="28"/>
          <w:szCs w:val="28"/>
          <w:highlight w:val="none"/>
        </w:rPr>
        <w:t>/天的违约金；逾期付款超过</w:t>
      </w:r>
      <w:r>
        <w:rPr>
          <w:rFonts w:hint="eastAsia" w:ascii="宋体" w:hAnsi="宋体" w:eastAsia="宋体" w:cs="宋体"/>
          <w:bCs/>
          <w:color w:val="auto"/>
          <w:sz w:val="28"/>
          <w:szCs w:val="28"/>
          <w:highlight w:val="none"/>
          <w:u w:val="none"/>
          <w:lang w:val="en-US" w:eastAsia="zh-CN"/>
        </w:rPr>
        <w:t>60</w:t>
      </w:r>
      <w:r>
        <w:rPr>
          <w:rFonts w:hint="eastAsia" w:ascii="宋体" w:hAnsi="宋体" w:eastAsia="宋体" w:cs="宋体"/>
          <w:bCs/>
          <w:color w:val="auto"/>
          <w:sz w:val="28"/>
          <w:szCs w:val="28"/>
          <w:highlight w:val="none"/>
        </w:rPr>
        <w:t>天的，乙方有权终止合同；</w:t>
      </w:r>
    </w:p>
    <w:p w14:paraId="7C240005">
      <w:pPr>
        <w:topLinePunct/>
        <w:adjustRightInd w:val="0"/>
        <w:spacing w:line="600" w:lineRule="exact"/>
        <w:ind w:firstLine="560" w:firstLineChars="200"/>
        <w:jc w:val="left"/>
        <w:textAlignment w:val="baseline"/>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（3）甲方偿付的违约金不足以弥补乙方损失的，还应按乙方损失尚未弥补的部分，支付赔偿金给乙方。</w:t>
      </w:r>
    </w:p>
    <w:p w14:paraId="7FB48542">
      <w:pPr>
        <w:topLinePunct/>
        <w:adjustRightInd w:val="0"/>
        <w:spacing w:line="600" w:lineRule="exact"/>
        <w:ind w:firstLine="560" w:firstLineChars="200"/>
        <w:jc w:val="left"/>
        <w:textAlignment w:val="baseline"/>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2、乙方违约责任</w:t>
      </w:r>
    </w:p>
    <w:p w14:paraId="603B3128">
      <w:pPr>
        <w:topLinePunct/>
        <w:adjustRightInd w:val="0"/>
        <w:spacing w:line="600" w:lineRule="exact"/>
        <w:ind w:firstLine="560" w:firstLineChars="200"/>
        <w:jc w:val="left"/>
        <w:textAlignment w:val="baseline"/>
        <w:rPr>
          <w:rFonts w:hint="eastAsia" w:ascii="宋体" w:hAnsi="宋体" w:eastAsia="宋体" w:cs="宋体"/>
          <w:bCs/>
          <w:color w:val="auto"/>
          <w:sz w:val="28"/>
          <w:szCs w:val="28"/>
          <w:highlight w:val="none"/>
        </w:rPr>
      </w:pPr>
      <w:bookmarkStart w:id="18" w:name="_bookmark112"/>
      <w:bookmarkEnd w:id="18"/>
      <w:bookmarkStart w:id="19" w:name="八、争议解决办法"/>
      <w:bookmarkEnd w:id="19"/>
      <w:r>
        <w:rPr>
          <w:rFonts w:hint="eastAsia" w:ascii="宋体" w:hAnsi="宋体" w:eastAsia="宋体" w:cs="宋体"/>
          <w:bCs/>
          <w:color w:val="auto"/>
          <w:sz w:val="28"/>
          <w:szCs w:val="28"/>
          <w:highlight w:val="none"/>
        </w:rPr>
        <w:t>（1）乙方交付的货物质量不符合合同规定的，乙方应向甲方支付合同总价的百分之十的违约金，并须在合同规定的交货时间内更换合格的货物给甲方，否则，视作乙方不能交付货物而违约，按本条本款下述第“（2）”项规定由乙方偿付违约赔偿金给甲方。</w:t>
      </w:r>
    </w:p>
    <w:p w14:paraId="3166D007">
      <w:pPr>
        <w:topLinePunct/>
        <w:adjustRightInd w:val="0"/>
        <w:spacing w:line="600" w:lineRule="exact"/>
        <w:ind w:firstLine="560" w:firstLineChars="200"/>
        <w:jc w:val="left"/>
        <w:textAlignment w:val="baseline"/>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（2）乙方不能交付货物或逾期交付货物而违约的，除应及时交足货物外，应向甲方偿付逾期交货部分货款总额的万分之</w:t>
      </w:r>
      <w:r>
        <w:rPr>
          <w:rFonts w:hint="eastAsia" w:ascii="宋体" w:hAnsi="宋体" w:eastAsia="宋体" w:cs="宋体"/>
          <w:bCs/>
          <w:color w:val="auto"/>
          <w:sz w:val="28"/>
          <w:szCs w:val="28"/>
          <w:highlight w:val="none"/>
          <w:u w:val="single"/>
          <w:lang w:val="en-US" w:eastAsia="zh-CN"/>
        </w:rPr>
        <w:t xml:space="preserve">    </w:t>
      </w:r>
      <w:r>
        <w:rPr>
          <w:rFonts w:hint="eastAsia" w:ascii="宋体" w:hAnsi="宋体" w:eastAsia="宋体" w:cs="宋体"/>
          <w:bCs/>
          <w:color w:val="auto"/>
          <w:sz w:val="28"/>
          <w:szCs w:val="28"/>
          <w:highlight w:val="none"/>
        </w:rPr>
        <w:t>/天的违约金；逾期交货超过</w:t>
      </w:r>
      <w:r>
        <w:rPr>
          <w:rFonts w:hint="eastAsia" w:ascii="宋体" w:hAnsi="宋体" w:eastAsia="宋体" w:cs="宋体"/>
          <w:bCs/>
          <w:color w:val="auto"/>
          <w:sz w:val="28"/>
          <w:szCs w:val="28"/>
          <w:highlight w:val="none"/>
          <w:u w:val="none"/>
          <w:lang w:val="en-US" w:eastAsia="zh-CN"/>
        </w:rPr>
        <w:t>30</w:t>
      </w:r>
      <w:r>
        <w:rPr>
          <w:rFonts w:hint="eastAsia" w:ascii="宋体" w:hAnsi="宋体" w:eastAsia="宋体" w:cs="宋体"/>
          <w:bCs/>
          <w:color w:val="auto"/>
          <w:sz w:val="28"/>
          <w:szCs w:val="28"/>
          <w:highlight w:val="none"/>
        </w:rPr>
        <w:t>天，甲方有权终止合同，乙方则应按合同总价的百分之</w:t>
      </w:r>
      <w:r>
        <w:rPr>
          <w:rFonts w:hint="eastAsia" w:ascii="宋体" w:hAnsi="宋体" w:eastAsia="宋体" w:cs="宋体"/>
          <w:bCs/>
          <w:color w:val="auto"/>
          <w:sz w:val="28"/>
          <w:szCs w:val="28"/>
          <w:highlight w:val="none"/>
          <w:u w:val="single"/>
          <w:lang w:val="en-US" w:eastAsia="zh-CN"/>
        </w:rPr>
        <w:t xml:space="preserve">   </w:t>
      </w:r>
      <w:r>
        <w:rPr>
          <w:rFonts w:hint="eastAsia" w:ascii="宋体" w:hAnsi="宋体" w:eastAsia="宋体" w:cs="宋体"/>
          <w:bCs/>
          <w:color w:val="auto"/>
          <w:sz w:val="28"/>
          <w:szCs w:val="28"/>
          <w:highlight w:val="none"/>
        </w:rPr>
        <w:t>的款额向甲方偿付赔偿金，并须全额退还甲方已经付给乙方的货款及其利息。</w:t>
      </w:r>
    </w:p>
    <w:p w14:paraId="665DBA23">
      <w:pPr>
        <w:topLinePunct/>
        <w:adjustRightInd w:val="0"/>
        <w:spacing w:line="600" w:lineRule="exact"/>
        <w:ind w:firstLine="560" w:firstLineChars="200"/>
        <w:jc w:val="left"/>
        <w:textAlignment w:val="baseline"/>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3）乙方货物经甲方送交具有法定资格条件的质量技术监督机构检测后，如检测结果认定货物质量不符合本合同规定标准的，则视为乙方没有按时交货而违约，乙方须在10天内无条件更换合格的货物，如逾期不能更换合格的货物，甲方有权终止本合同，乙方应另付合同总价的百分之十的赔偿金给甲方。</w:t>
      </w:r>
    </w:p>
    <w:p w14:paraId="625CB70B">
      <w:pPr>
        <w:topLinePunct/>
        <w:adjustRightInd w:val="0"/>
        <w:spacing w:line="600" w:lineRule="exact"/>
        <w:ind w:firstLine="560" w:firstLineChars="200"/>
        <w:jc w:val="left"/>
        <w:textAlignment w:val="baseline"/>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w:t>
      </w:r>
    </w:p>
    <w:p w14:paraId="6FEC2D11">
      <w:pPr>
        <w:topLinePunct/>
        <w:adjustRightInd w:val="0"/>
        <w:spacing w:line="600" w:lineRule="exact"/>
        <w:ind w:firstLine="560" w:firstLineChars="200"/>
        <w:jc w:val="left"/>
        <w:textAlignment w:val="baseline"/>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（5）乙方偿付的违约金不足以弥补甲方损失的，还应按甲方损失尚未弥补的部分，支付赔偿金给甲方。</w:t>
      </w:r>
    </w:p>
    <w:p w14:paraId="63CA5EF3">
      <w:pPr>
        <w:tabs>
          <w:tab w:val="left" w:pos="180"/>
        </w:tabs>
        <w:topLinePunct/>
        <w:spacing w:line="600" w:lineRule="exact"/>
        <w:ind w:firstLine="562" w:firstLineChars="200"/>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 xml:space="preserve">第十条  </w:t>
      </w:r>
      <w:bookmarkStart w:id="20" w:name="_Toc535343866"/>
      <w:r>
        <w:rPr>
          <w:rFonts w:hint="eastAsia" w:ascii="宋体" w:hAnsi="宋体" w:eastAsia="宋体" w:cs="宋体"/>
          <w:b/>
          <w:color w:val="auto"/>
          <w:sz w:val="28"/>
          <w:szCs w:val="28"/>
          <w:highlight w:val="none"/>
        </w:rPr>
        <w:t>保密条款</w:t>
      </w:r>
      <w:bookmarkEnd w:id="20"/>
    </w:p>
    <w:p w14:paraId="50828FAB">
      <w:pPr>
        <w:tabs>
          <w:tab w:val="left" w:pos="180"/>
        </w:tabs>
        <w:topLinePunct/>
        <w:spacing w:line="60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甲乙双方对本协议的签订与履行须严格保密，未经对方同意，不得将本协议的内容透露给任何第三方，任何一方违反本协议条款的应当承担因泄密给守约方造成的相应损失。</w:t>
      </w:r>
    </w:p>
    <w:p w14:paraId="59958C76">
      <w:pPr>
        <w:tabs>
          <w:tab w:val="left" w:pos="180"/>
        </w:tabs>
        <w:topLinePunct/>
        <w:spacing w:line="600" w:lineRule="exact"/>
        <w:ind w:firstLine="560" w:firstLineChars="200"/>
        <w:rPr>
          <w:rFonts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乙方提供给甲方项目信息，未经乙方允许，甲方不得泄露提供给其他单位；如发生此类事件乙方有权立即终止合作，且已收取的费用不予退还，由此产生的损失由甲方自行承担。</w:t>
      </w:r>
    </w:p>
    <w:p w14:paraId="6FA3CAE3">
      <w:pPr>
        <w:tabs>
          <w:tab w:val="left" w:pos="180"/>
        </w:tabs>
        <w:topLinePunct/>
        <w:spacing w:line="600" w:lineRule="exact"/>
        <w:ind w:firstLine="560" w:firstLineChars="200"/>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乙方应对在履约过程中接触到的甲方的一切信息保守秘密，未经甲方许可不得向任何第三方透露，否则应承担由此给甲方造成的一切损失，此时甲方有权解除合同。</w:t>
      </w:r>
    </w:p>
    <w:p w14:paraId="55584AD1">
      <w:pPr>
        <w:tabs>
          <w:tab w:val="left" w:pos="180"/>
        </w:tabs>
        <w:topLinePunct/>
        <w:spacing w:line="600" w:lineRule="exact"/>
        <w:ind w:firstLine="562" w:firstLineChars="200"/>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第十</w:t>
      </w:r>
      <w:r>
        <w:rPr>
          <w:rFonts w:hint="eastAsia" w:ascii="宋体" w:hAnsi="宋体" w:eastAsia="宋体" w:cs="宋体"/>
          <w:b/>
          <w:color w:val="auto"/>
          <w:sz w:val="28"/>
          <w:szCs w:val="28"/>
          <w:highlight w:val="none"/>
          <w:lang w:val="en-US" w:eastAsia="zh-CN"/>
        </w:rPr>
        <w:t>一</w:t>
      </w:r>
      <w:r>
        <w:rPr>
          <w:rFonts w:hint="eastAsia" w:ascii="宋体" w:hAnsi="宋体" w:eastAsia="宋体" w:cs="宋体"/>
          <w:b/>
          <w:color w:val="auto"/>
          <w:sz w:val="28"/>
          <w:szCs w:val="28"/>
          <w:highlight w:val="none"/>
        </w:rPr>
        <w:t>条  不可抗力事件处理</w:t>
      </w:r>
    </w:p>
    <w:p w14:paraId="3F358FA5">
      <w:pPr>
        <w:tabs>
          <w:tab w:val="left" w:pos="0"/>
        </w:tabs>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1、在合同有效期内，任何一方因不可抗力事件导致不能履行合同，则合同履行期可延长，其延长期与不可抗力影响期相同。</w:t>
      </w:r>
    </w:p>
    <w:p w14:paraId="3DC70603">
      <w:pPr>
        <w:tabs>
          <w:tab w:val="left" w:pos="0"/>
        </w:tabs>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2、不可抗力事件发生后，应立即通知对方，并寄送有关权威机构出具的证明。</w:t>
      </w:r>
    </w:p>
    <w:p w14:paraId="07C4D5E0">
      <w:pPr>
        <w:tabs>
          <w:tab w:val="left" w:pos="0"/>
        </w:tabs>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3、不可抗力事件延续120天以上，双方应通过友好协商，确定是否继续履行合同。</w:t>
      </w:r>
    </w:p>
    <w:p w14:paraId="5981E550">
      <w:pPr>
        <w:tabs>
          <w:tab w:val="left" w:pos="180"/>
        </w:tabs>
        <w:topLinePunct/>
        <w:spacing w:line="600" w:lineRule="exact"/>
        <w:ind w:firstLine="562" w:firstLineChars="200"/>
        <w:outlineLvl w:val="0"/>
        <w:rPr>
          <w:rFonts w:hint="eastAsia" w:ascii="宋体" w:hAnsi="宋体" w:eastAsia="宋体" w:cs="宋体"/>
          <w:b/>
          <w:color w:val="auto"/>
          <w:sz w:val="28"/>
          <w:szCs w:val="28"/>
          <w:highlight w:val="none"/>
        </w:rPr>
      </w:pPr>
      <w:bookmarkStart w:id="21" w:name="_Toc286993792"/>
      <w:bookmarkStart w:id="22" w:name="_Toc239233919"/>
      <w:bookmarkStart w:id="23" w:name="_Toc251768867"/>
      <w:bookmarkStart w:id="24" w:name="_Toc211911353"/>
      <w:bookmarkStart w:id="25" w:name="_Toc225244857"/>
      <w:bookmarkStart w:id="26" w:name="_Toc185395254"/>
      <w:bookmarkStart w:id="27" w:name="_Toc247334846"/>
      <w:bookmarkStart w:id="28" w:name="_Toc237145411"/>
      <w:bookmarkStart w:id="29" w:name="_Toc212019599"/>
      <w:bookmarkStart w:id="30" w:name="_Toc211854454"/>
      <w:bookmarkStart w:id="31" w:name="_Toc238984980"/>
      <w:bookmarkStart w:id="32" w:name="_Toc241833908"/>
      <w:bookmarkStart w:id="33" w:name="_Toc239568423"/>
      <w:bookmarkStart w:id="34" w:name="_Toc225670756"/>
      <w:bookmarkStart w:id="35" w:name="_Toc225654649"/>
      <w:bookmarkStart w:id="36" w:name="_Toc232492933"/>
      <w:r>
        <w:rPr>
          <w:rFonts w:hint="eastAsia" w:ascii="宋体" w:hAnsi="宋体" w:eastAsia="宋体" w:cs="宋体"/>
          <w:b/>
          <w:color w:val="auto"/>
          <w:sz w:val="28"/>
          <w:szCs w:val="28"/>
          <w:highlight w:val="none"/>
        </w:rPr>
        <w:t>第十</w:t>
      </w:r>
      <w:r>
        <w:rPr>
          <w:rFonts w:hint="eastAsia" w:ascii="宋体" w:hAnsi="宋体" w:eastAsia="宋体" w:cs="宋体"/>
          <w:b/>
          <w:color w:val="auto"/>
          <w:sz w:val="28"/>
          <w:szCs w:val="28"/>
          <w:highlight w:val="none"/>
          <w:lang w:val="en-US" w:eastAsia="zh-CN"/>
        </w:rPr>
        <w:t>二</w:t>
      </w:r>
      <w:r>
        <w:rPr>
          <w:rFonts w:hint="eastAsia" w:ascii="宋体" w:hAnsi="宋体" w:eastAsia="宋体" w:cs="宋体"/>
          <w:b/>
          <w:color w:val="auto"/>
          <w:sz w:val="28"/>
          <w:szCs w:val="28"/>
          <w:highlight w:val="none"/>
        </w:rPr>
        <w:t xml:space="preserve">条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Start w:id="37" w:name="_Toc247334847"/>
      <w:bookmarkStart w:id="38" w:name="_Toc212019600"/>
      <w:bookmarkStart w:id="39" w:name="_Toc283019219"/>
      <w:bookmarkStart w:id="40" w:name="_Toc225244858"/>
      <w:bookmarkStart w:id="41" w:name="_Toc211854455"/>
      <w:bookmarkStart w:id="42" w:name="_Toc282696231"/>
      <w:bookmarkStart w:id="43" w:name="_Toc237145412"/>
      <w:bookmarkStart w:id="44" w:name="_Toc251768868"/>
      <w:bookmarkStart w:id="45" w:name="_Toc239568424"/>
      <w:bookmarkStart w:id="46" w:name="_Toc239233920"/>
      <w:bookmarkStart w:id="47" w:name="_Toc225654650"/>
      <w:bookmarkStart w:id="48" w:name="_Toc211911354"/>
      <w:bookmarkStart w:id="49" w:name="_Toc185395255"/>
      <w:bookmarkStart w:id="50" w:name="_Toc241833909"/>
      <w:bookmarkStart w:id="51" w:name="_Toc225670757"/>
      <w:bookmarkStart w:id="52" w:name="_Toc232492934"/>
      <w:bookmarkStart w:id="53" w:name="_Toc286993793"/>
      <w:bookmarkStart w:id="54" w:name="_Toc238984981"/>
      <w:r>
        <w:rPr>
          <w:rFonts w:hint="eastAsia" w:ascii="宋体" w:hAnsi="宋体" w:eastAsia="宋体" w:cs="宋体"/>
          <w:b/>
          <w:color w:val="auto"/>
          <w:sz w:val="28"/>
          <w:szCs w:val="28"/>
          <w:highlight w:val="none"/>
        </w:rPr>
        <w:t>争议解决办法</w:t>
      </w:r>
    </w:p>
    <w:p w14:paraId="02AF06AC">
      <w:pPr>
        <w:tabs>
          <w:tab w:val="left" w:pos="180"/>
        </w:tabs>
        <w:topLinePunct/>
        <w:spacing w:line="600" w:lineRule="exact"/>
        <w:ind w:firstLine="560" w:firstLineChars="200"/>
        <w:rPr>
          <w:rFonts w:hint="eastAsia" w:ascii="宋体" w:hAnsi="宋体" w:eastAsia="宋体" w:cs="宋体"/>
          <w:bCs/>
          <w:color w:val="auto"/>
          <w:sz w:val="28"/>
          <w:szCs w:val="28"/>
          <w:highlight w:val="none"/>
        </w:rPr>
      </w:pPr>
      <w:bookmarkStart w:id="55" w:name="_bookmark113"/>
      <w:bookmarkEnd w:id="55"/>
      <w:bookmarkStart w:id="56" w:name="九、其他"/>
      <w:bookmarkEnd w:id="56"/>
      <w:r>
        <w:rPr>
          <w:rFonts w:hint="eastAsia" w:ascii="宋体" w:hAnsi="宋体" w:eastAsia="宋体" w:cs="宋体"/>
          <w:bCs/>
          <w:color w:val="auto"/>
          <w:sz w:val="28"/>
          <w:szCs w:val="28"/>
          <w:highlight w:val="none"/>
        </w:rPr>
        <w:t>1、因货物的质量问题发生争议，由质量技术监督部门或其指定的质量鉴定机构进行质量鉴定。货物符合标准的，鉴定费由甲方承担；货物不符合质量标准的，鉴定费由乙方承担。</w:t>
      </w:r>
    </w:p>
    <w:p w14:paraId="77CAF1BD">
      <w:pPr>
        <w:tabs>
          <w:tab w:val="left" w:pos="180"/>
        </w:tabs>
        <w:topLinePunct/>
        <w:spacing w:line="600" w:lineRule="exact"/>
        <w:ind w:firstLine="560" w:firstLineChars="200"/>
        <w:rPr>
          <w:rFonts w:hint="eastAsia" w:ascii="宋体" w:hAnsi="宋体" w:eastAsia="宋体" w:cs="宋体"/>
          <w:b/>
          <w:color w:val="auto"/>
          <w:sz w:val="28"/>
          <w:szCs w:val="28"/>
          <w:highlight w:val="none"/>
        </w:rPr>
      </w:pPr>
      <w:r>
        <w:rPr>
          <w:rFonts w:hint="eastAsia" w:ascii="宋体" w:hAnsi="宋体" w:eastAsia="宋体" w:cs="宋体"/>
          <w:bCs/>
          <w:color w:val="auto"/>
          <w:sz w:val="28"/>
          <w:szCs w:val="28"/>
          <w:highlight w:val="none"/>
        </w:rPr>
        <w:t>2、在执行本合同中发生的或与本合同有关的争端，双方应通过友好协商解决，协商不成的，应向甲方所在地人民法院提起诉讼。</w:t>
      </w:r>
    </w:p>
    <w:p w14:paraId="47F3ABD7">
      <w:pPr>
        <w:tabs>
          <w:tab w:val="left" w:pos="180"/>
        </w:tabs>
        <w:topLinePunct/>
        <w:spacing w:line="600" w:lineRule="exact"/>
        <w:ind w:firstLine="562" w:firstLineChars="200"/>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第十</w:t>
      </w:r>
      <w:r>
        <w:rPr>
          <w:rFonts w:hint="eastAsia" w:ascii="宋体" w:hAnsi="宋体" w:eastAsia="宋体" w:cs="宋体"/>
          <w:b/>
          <w:color w:val="auto"/>
          <w:sz w:val="28"/>
          <w:szCs w:val="28"/>
          <w:highlight w:val="none"/>
          <w:lang w:val="en-US" w:eastAsia="zh-CN"/>
        </w:rPr>
        <w:t>三</w:t>
      </w:r>
      <w:r>
        <w:rPr>
          <w:rFonts w:hint="eastAsia" w:ascii="宋体" w:hAnsi="宋体" w:eastAsia="宋体" w:cs="宋体"/>
          <w:b/>
          <w:color w:val="auto"/>
          <w:sz w:val="28"/>
          <w:szCs w:val="28"/>
          <w:highlight w:val="none"/>
        </w:rPr>
        <w:t>条  合同</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hint="eastAsia" w:ascii="宋体" w:hAnsi="宋体" w:eastAsia="宋体" w:cs="宋体"/>
          <w:b/>
          <w:color w:val="auto"/>
          <w:sz w:val="28"/>
          <w:szCs w:val="28"/>
          <w:highlight w:val="none"/>
        </w:rPr>
        <w:t>生效及其他</w:t>
      </w:r>
    </w:p>
    <w:p w14:paraId="5D00BAC7">
      <w:pPr>
        <w:pStyle w:val="6"/>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1、合同经双方法定代表人或授权委托代理人签字并加盖单位公章后生效。</w:t>
      </w:r>
    </w:p>
    <w:p w14:paraId="5F85053A">
      <w:pPr>
        <w:pStyle w:val="6"/>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2、合同执行中涉及采购资金和采购内容修改或补充的，须经政府采购监管部门审批，并签书面补充协议报政府采购监督管理部门备案，方可作为主合同不可分割的一部分。</w:t>
      </w:r>
    </w:p>
    <w:p w14:paraId="2238D2F1">
      <w:pPr>
        <w:pStyle w:val="6"/>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3、本合同一式</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份，自双方签章之日起起效。甲方</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份，乙方</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份，采购代理机构</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份，上级主管部门备案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份，具有同等法律效力。</w:t>
      </w:r>
    </w:p>
    <w:p w14:paraId="70277512">
      <w:pPr>
        <w:tabs>
          <w:tab w:val="left" w:pos="180"/>
        </w:tabs>
        <w:topLinePunct/>
        <w:spacing w:line="600" w:lineRule="exact"/>
        <w:ind w:firstLine="562" w:firstLineChars="200"/>
        <w:outlineLvl w:val="0"/>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eastAsia="zh-CN"/>
        </w:rPr>
        <w:t>第十</w:t>
      </w:r>
      <w:r>
        <w:rPr>
          <w:rFonts w:hint="eastAsia" w:ascii="宋体" w:hAnsi="宋体" w:eastAsia="宋体" w:cs="宋体"/>
          <w:b/>
          <w:color w:val="auto"/>
          <w:sz w:val="28"/>
          <w:szCs w:val="28"/>
          <w:highlight w:val="none"/>
          <w:lang w:val="en-US" w:eastAsia="zh-CN"/>
        </w:rPr>
        <w:t>四</w:t>
      </w:r>
      <w:r>
        <w:rPr>
          <w:rFonts w:hint="eastAsia" w:ascii="宋体" w:hAnsi="宋体" w:eastAsia="宋体" w:cs="宋体"/>
          <w:b/>
          <w:color w:val="auto"/>
          <w:sz w:val="28"/>
          <w:szCs w:val="28"/>
          <w:highlight w:val="none"/>
          <w:lang w:eastAsia="zh-CN"/>
        </w:rPr>
        <w:t>条</w:t>
      </w:r>
      <w:r>
        <w:rPr>
          <w:rFonts w:hint="eastAsia" w:ascii="宋体" w:hAnsi="宋体" w:eastAsia="宋体" w:cs="宋体"/>
          <w:b/>
          <w:color w:val="auto"/>
          <w:sz w:val="28"/>
          <w:szCs w:val="28"/>
          <w:highlight w:val="none"/>
          <w:lang w:val="en-US" w:eastAsia="zh-CN"/>
        </w:rPr>
        <w:t xml:space="preserve">  </w:t>
      </w:r>
      <w:r>
        <w:rPr>
          <w:rFonts w:hint="eastAsia" w:ascii="宋体" w:hAnsi="宋体" w:eastAsia="宋体" w:cs="宋体"/>
          <w:b w:val="0"/>
          <w:bCs/>
          <w:color w:val="auto"/>
          <w:sz w:val="28"/>
          <w:szCs w:val="28"/>
          <w:highlight w:val="none"/>
          <w:lang w:val="en-US" w:eastAsia="zh-CN"/>
        </w:rPr>
        <w:t>乙方如为中小微企业，可以采用信用融资方式履约。</w:t>
      </w:r>
    </w:p>
    <w:p w14:paraId="02977C33">
      <w:pPr>
        <w:tabs>
          <w:tab w:val="left" w:pos="180"/>
        </w:tabs>
        <w:topLinePunct/>
        <w:spacing w:line="600" w:lineRule="exact"/>
        <w:ind w:firstLine="562" w:firstLineChars="200"/>
        <w:outlineLvl w:val="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第十</w:t>
      </w:r>
      <w:r>
        <w:rPr>
          <w:rFonts w:hint="eastAsia" w:ascii="宋体" w:hAnsi="宋体" w:eastAsia="宋体" w:cs="宋体"/>
          <w:b/>
          <w:color w:val="auto"/>
          <w:sz w:val="28"/>
          <w:szCs w:val="28"/>
          <w:highlight w:val="none"/>
          <w:lang w:val="en-US" w:eastAsia="zh-CN"/>
        </w:rPr>
        <w:t>五</w:t>
      </w:r>
      <w:r>
        <w:rPr>
          <w:rFonts w:hint="eastAsia" w:ascii="宋体" w:hAnsi="宋体" w:eastAsia="宋体" w:cs="宋体"/>
          <w:b/>
          <w:color w:val="auto"/>
          <w:sz w:val="28"/>
          <w:szCs w:val="28"/>
          <w:highlight w:val="none"/>
        </w:rPr>
        <w:t>条  附件</w:t>
      </w:r>
    </w:p>
    <w:p w14:paraId="1B344D99">
      <w:pPr>
        <w:pStyle w:val="6"/>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1、项目</w:t>
      </w:r>
      <w:r>
        <w:rPr>
          <w:rFonts w:hint="eastAsia" w:ascii="宋体" w:hAnsi="宋体" w:eastAsia="宋体" w:cs="宋体"/>
          <w:color w:val="auto"/>
          <w:sz w:val="28"/>
          <w:szCs w:val="28"/>
          <w:highlight w:val="none"/>
          <w:lang w:eastAsia="zh-CN"/>
        </w:rPr>
        <w:t>招标</w:t>
      </w:r>
      <w:r>
        <w:rPr>
          <w:rFonts w:hint="eastAsia" w:ascii="宋体" w:hAnsi="宋体" w:eastAsia="宋体" w:cs="宋体"/>
          <w:color w:val="auto"/>
          <w:sz w:val="28"/>
          <w:szCs w:val="28"/>
          <w:highlight w:val="none"/>
        </w:rPr>
        <w:t>文件</w:t>
      </w:r>
    </w:p>
    <w:p w14:paraId="4EDFD016">
      <w:pPr>
        <w:pStyle w:val="6"/>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2、项目修改澄清文件</w:t>
      </w:r>
    </w:p>
    <w:p w14:paraId="0D66569E">
      <w:pPr>
        <w:pStyle w:val="6"/>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3、项目</w:t>
      </w:r>
      <w:r>
        <w:rPr>
          <w:rFonts w:hint="eastAsia" w:ascii="宋体" w:hAnsi="宋体" w:eastAsia="宋体" w:cs="宋体"/>
          <w:color w:val="auto"/>
          <w:sz w:val="28"/>
          <w:szCs w:val="28"/>
          <w:highlight w:val="none"/>
          <w:lang w:eastAsia="zh-CN"/>
        </w:rPr>
        <w:t>投标</w:t>
      </w:r>
      <w:r>
        <w:rPr>
          <w:rFonts w:hint="eastAsia" w:ascii="宋体" w:hAnsi="宋体" w:eastAsia="宋体" w:cs="宋体"/>
          <w:color w:val="auto"/>
          <w:sz w:val="28"/>
          <w:szCs w:val="28"/>
          <w:highlight w:val="none"/>
        </w:rPr>
        <w:t>文件</w:t>
      </w:r>
    </w:p>
    <w:p w14:paraId="77A90C2E">
      <w:pPr>
        <w:pStyle w:val="6"/>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中标</w:t>
      </w:r>
      <w:r>
        <w:rPr>
          <w:rFonts w:hint="eastAsia" w:ascii="宋体" w:hAnsi="宋体" w:eastAsia="宋体" w:cs="宋体"/>
          <w:color w:val="auto"/>
          <w:sz w:val="28"/>
          <w:szCs w:val="28"/>
          <w:highlight w:val="none"/>
        </w:rPr>
        <w:t>通知书</w:t>
      </w:r>
    </w:p>
    <w:p w14:paraId="407E5AB2">
      <w:pPr>
        <w:pStyle w:val="6"/>
        <w:topLinePunct/>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5、其他</w:t>
      </w:r>
    </w:p>
    <w:p w14:paraId="12D4CF0A">
      <w:pPr>
        <w:pStyle w:val="6"/>
        <w:topLinePunct/>
        <w:spacing w:line="360" w:lineRule="auto"/>
        <w:ind w:firstLine="560" w:firstLineChars="200"/>
        <w:rPr>
          <w:rFonts w:hint="eastAsia" w:ascii="宋体" w:hAnsi="宋体" w:eastAsia="宋体" w:cs="宋体"/>
          <w:color w:val="auto"/>
          <w:sz w:val="28"/>
          <w:szCs w:val="28"/>
          <w:highlight w:val="none"/>
        </w:rPr>
      </w:pPr>
    </w:p>
    <w:tbl>
      <w:tblPr>
        <w:tblStyle w:val="3"/>
        <w:tblW w:w="9345" w:type="dxa"/>
        <w:jc w:val="center"/>
        <w:tblLayout w:type="fixed"/>
        <w:tblCellMar>
          <w:top w:w="15" w:type="dxa"/>
          <w:left w:w="15" w:type="dxa"/>
          <w:bottom w:w="15" w:type="dxa"/>
          <w:right w:w="15" w:type="dxa"/>
        </w:tblCellMar>
      </w:tblPr>
      <w:tblGrid>
        <w:gridCol w:w="4672"/>
        <w:gridCol w:w="4673"/>
      </w:tblGrid>
      <w:tr w14:paraId="1DB2D841">
        <w:tblPrEx>
          <w:tblCellMar>
            <w:top w:w="15" w:type="dxa"/>
            <w:left w:w="15" w:type="dxa"/>
            <w:bottom w:w="15" w:type="dxa"/>
            <w:right w:w="15" w:type="dxa"/>
          </w:tblCellMar>
        </w:tblPrEx>
        <w:trPr>
          <w:trHeight w:val="345" w:hRule="atLeast"/>
          <w:jc w:val="center"/>
        </w:trPr>
        <w:tc>
          <w:tcPr>
            <w:tcW w:w="4672" w:type="dxa"/>
            <w:tcBorders>
              <w:top w:val="single" w:color="000000" w:sz="4" w:space="0"/>
              <w:left w:val="single" w:color="000000" w:sz="4" w:space="0"/>
              <w:right w:val="single" w:color="000000" w:sz="4" w:space="0"/>
            </w:tcBorders>
            <w:noWrap w:val="0"/>
            <w:vAlign w:val="center"/>
          </w:tcPr>
          <w:p w14:paraId="3F0C230B">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甲方（公章）：</w:t>
            </w:r>
          </w:p>
        </w:tc>
        <w:tc>
          <w:tcPr>
            <w:tcW w:w="4673" w:type="dxa"/>
            <w:tcBorders>
              <w:top w:val="single" w:color="000000" w:sz="4" w:space="0"/>
              <w:right w:val="single" w:color="000000" w:sz="4" w:space="0"/>
            </w:tcBorders>
            <w:noWrap w:val="0"/>
            <w:vAlign w:val="center"/>
          </w:tcPr>
          <w:p w14:paraId="190F180B">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乙方（公章）：</w:t>
            </w:r>
          </w:p>
        </w:tc>
      </w:tr>
      <w:tr w14:paraId="2F7C0B77">
        <w:tblPrEx>
          <w:tblCellMar>
            <w:top w:w="15" w:type="dxa"/>
            <w:left w:w="15" w:type="dxa"/>
            <w:bottom w:w="15" w:type="dxa"/>
            <w:right w:w="15" w:type="dxa"/>
          </w:tblCellMar>
        </w:tblPrEx>
        <w:trPr>
          <w:trHeight w:val="691" w:hRule="atLeast"/>
          <w:jc w:val="center"/>
        </w:trPr>
        <w:tc>
          <w:tcPr>
            <w:tcW w:w="4672" w:type="dxa"/>
            <w:tcBorders>
              <w:top w:val="single" w:color="000000" w:sz="4" w:space="0"/>
              <w:left w:val="single" w:color="000000" w:sz="4" w:space="0"/>
              <w:right w:val="single" w:color="000000" w:sz="4" w:space="0"/>
            </w:tcBorders>
            <w:noWrap w:val="0"/>
            <w:vAlign w:val="center"/>
          </w:tcPr>
          <w:p w14:paraId="5669EDF0">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法定代表人（授权代表）（签字）：</w:t>
            </w:r>
          </w:p>
          <w:p w14:paraId="33E13865">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kern w:val="0"/>
                <w:sz w:val="28"/>
                <w:szCs w:val="28"/>
                <w:highlight w:val="none"/>
              </w:rPr>
            </w:pPr>
          </w:p>
        </w:tc>
        <w:tc>
          <w:tcPr>
            <w:tcW w:w="4673" w:type="dxa"/>
            <w:tcBorders>
              <w:top w:val="single" w:color="000000" w:sz="4" w:space="0"/>
              <w:right w:val="single" w:color="000000" w:sz="4" w:space="0"/>
            </w:tcBorders>
            <w:noWrap w:val="0"/>
            <w:vAlign w:val="center"/>
          </w:tcPr>
          <w:p w14:paraId="175B0186">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法定代表人（授权代表）（签字）：</w:t>
            </w:r>
          </w:p>
          <w:p w14:paraId="5482D963">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kern w:val="0"/>
                <w:sz w:val="28"/>
                <w:szCs w:val="28"/>
                <w:highlight w:val="none"/>
              </w:rPr>
            </w:pPr>
          </w:p>
        </w:tc>
      </w:tr>
      <w:tr w14:paraId="7BCA26FD">
        <w:tblPrEx>
          <w:tblCellMar>
            <w:top w:w="15" w:type="dxa"/>
            <w:left w:w="15" w:type="dxa"/>
            <w:bottom w:w="15" w:type="dxa"/>
            <w:right w:w="15" w:type="dxa"/>
          </w:tblCellMar>
        </w:tblPrEx>
        <w:trPr>
          <w:trHeight w:val="390" w:hRule="atLeast"/>
          <w:jc w:val="center"/>
        </w:trPr>
        <w:tc>
          <w:tcPr>
            <w:tcW w:w="4672" w:type="dxa"/>
            <w:tcBorders>
              <w:left w:val="single" w:color="000000" w:sz="4" w:space="0"/>
              <w:right w:val="single" w:color="000000" w:sz="4" w:space="0"/>
            </w:tcBorders>
            <w:noWrap w:val="0"/>
            <w:vAlign w:val="center"/>
          </w:tcPr>
          <w:p w14:paraId="35DAD138">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统一社会信用代码：</w:t>
            </w:r>
          </w:p>
        </w:tc>
        <w:tc>
          <w:tcPr>
            <w:tcW w:w="4673" w:type="dxa"/>
            <w:tcBorders>
              <w:right w:val="single" w:color="000000" w:sz="4" w:space="0"/>
            </w:tcBorders>
            <w:noWrap w:val="0"/>
            <w:vAlign w:val="center"/>
          </w:tcPr>
          <w:p w14:paraId="6219D88B">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统一社会信用代码：</w:t>
            </w:r>
          </w:p>
        </w:tc>
      </w:tr>
      <w:tr w14:paraId="403BC73C">
        <w:tblPrEx>
          <w:tblCellMar>
            <w:top w:w="15" w:type="dxa"/>
            <w:left w:w="15" w:type="dxa"/>
            <w:bottom w:w="15" w:type="dxa"/>
            <w:right w:w="15" w:type="dxa"/>
          </w:tblCellMar>
        </w:tblPrEx>
        <w:trPr>
          <w:trHeight w:val="557" w:hRule="atLeast"/>
          <w:jc w:val="center"/>
        </w:trPr>
        <w:tc>
          <w:tcPr>
            <w:tcW w:w="4672" w:type="dxa"/>
            <w:tcBorders>
              <w:left w:val="single" w:color="000000" w:sz="4" w:space="0"/>
              <w:right w:val="single" w:color="000000" w:sz="4" w:space="0"/>
            </w:tcBorders>
            <w:noWrap w:val="0"/>
            <w:vAlign w:val="center"/>
          </w:tcPr>
          <w:p w14:paraId="73170FA8">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单位地址：</w:t>
            </w:r>
          </w:p>
        </w:tc>
        <w:tc>
          <w:tcPr>
            <w:tcW w:w="4673" w:type="dxa"/>
            <w:tcBorders>
              <w:right w:val="single" w:color="000000" w:sz="4" w:space="0"/>
            </w:tcBorders>
            <w:noWrap w:val="0"/>
            <w:vAlign w:val="center"/>
          </w:tcPr>
          <w:p w14:paraId="6D1FBDD2">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单位地址：</w:t>
            </w:r>
          </w:p>
        </w:tc>
      </w:tr>
      <w:tr w14:paraId="4BCB3F89">
        <w:tblPrEx>
          <w:tblCellMar>
            <w:top w:w="15" w:type="dxa"/>
            <w:left w:w="15" w:type="dxa"/>
            <w:bottom w:w="15" w:type="dxa"/>
            <w:right w:w="15" w:type="dxa"/>
          </w:tblCellMar>
        </w:tblPrEx>
        <w:trPr>
          <w:trHeight w:val="390" w:hRule="atLeast"/>
          <w:jc w:val="center"/>
        </w:trPr>
        <w:tc>
          <w:tcPr>
            <w:tcW w:w="4672" w:type="dxa"/>
            <w:tcBorders>
              <w:left w:val="single" w:color="000000" w:sz="4" w:space="0"/>
              <w:right w:val="single" w:color="000000" w:sz="4" w:space="0"/>
            </w:tcBorders>
            <w:noWrap w:val="0"/>
            <w:vAlign w:val="center"/>
          </w:tcPr>
          <w:p w14:paraId="34CF3F57">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联系电话：</w:t>
            </w:r>
          </w:p>
        </w:tc>
        <w:tc>
          <w:tcPr>
            <w:tcW w:w="4673" w:type="dxa"/>
            <w:tcBorders>
              <w:right w:val="single" w:color="000000" w:sz="4" w:space="0"/>
            </w:tcBorders>
            <w:noWrap w:val="0"/>
            <w:vAlign w:val="center"/>
          </w:tcPr>
          <w:p w14:paraId="2567F142">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联系电话：</w:t>
            </w:r>
          </w:p>
        </w:tc>
      </w:tr>
      <w:tr w14:paraId="5A6F40CE">
        <w:tblPrEx>
          <w:tblCellMar>
            <w:top w:w="15" w:type="dxa"/>
            <w:left w:w="15" w:type="dxa"/>
            <w:bottom w:w="15" w:type="dxa"/>
            <w:right w:w="15" w:type="dxa"/>
          </w:tblCellMar>
        </w:tblPrEx>
        <w:trPr>
          <w:trHeight w:val="390" w:hRule="atLeast"/>
          <w:jc w:val="center"/>
        </w:trPr>
        <w:tc>
          <w:tcPr>
            <w:tcW w:w="4672" w:type="dxa"/>
            <w:tcBorders>
              <w:left w:val="single" w:color="000000" w:sz="4" w:space="0"/>
              <w:right w:val="single" w:color="000000" w:sz="4" w:space="0"/>
            </w:tcBorders>
            <w:noWrap w:val="0"/>
            <w:vAlign w:val="center"/>
          </w:tcPr>
          <w:p w14:paraId="78A3F00B">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户名：</w:t>
            </w:r>
          </w:p>
        </w:tc>
        <w:tc>
          <w:tcPr>
            <w:tcW w:w="4673" w:type="dxa"/>
            <w:tcBorders>
              <w:right w:val="single" w:color="000000" w:sz="4" w:space="0"/>
            </w:tcBorders>
            <w:noWrap w:val="0"/>
            <w:vAlign w:val="center"/>
          </w:tcPr>
          <w:p w14:paraId="58955534">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户名：</w:t>
            </w:r>
          </w:p>
        </w:tc>
      </w:tr>
      <w:tr w14:paraId="36F027D4">
        <w:tblPrEx>
          <w:tblCellMar>
            <w:top w:w="15" w:type="dxa"/>
            <w:left w:w="15" w:type="dxa"/>
            <w:bottom w:w="15" w:type="dxa"/>
            <w:right w:w="15" w:type="dxa"/>
          </w:tblCellMar>
        </w:tblPrEx>
        <w:trPr>
          <w:trHeight w:val="390" w:hRule="atLeast"/>
          <w:jc w:val="center"/>
        </w:trPr>
        <w:tc>
          <w:tcPr>
            <w:tcW w:w="4672" w:type="dxa"/>
            <w:tcBorders>
              <w:left w:val="single" w:color="000000" w:sz="4" w:space="0"/>
              <w:right w:val="single" w:color="000000" w:sz="4" w:space="0"/>
            </w:tcBorders>
            <w:noWrap w:val="0"/>
            <w:vAlign w:val="center"/>
          </w:tcPr>
          <w:p w14:paraId="1647FBA9">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开户银行：</w:t>
            </w:r>
          </w:p>
        </w:tc>
        <w:tc>
          <w:tcPr>
            <w:tcW w:w="4673" w:type="dxa"/>
            <w:tcBorders>
              <w:right w:val="single" w:color="000000" w:sz="4" w:space="0"/>
            </w:tcBorders>
            <w:noWrap w:val="0"/>
            <w:vAlign w:val="center"/>
          </w:tcPr>
          <w:p w14:paraId="01C625AC">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开户银行：</w:t>
            </w:r>
          </w:p>
        </w:tc>
      </w:tr>
      <w:tr w14:paraId="5F0F7974">
        <w:tblPrEx>
          <w:tblCellMar>
            <w:top w:w="15" w:type="dxa"/>
            <w:left w:w="15" w:type="dxa"/>
            <w:bottom w:w="15" w:type="dxa"/>
            <w:right w:w="15" w:type="dxa"/>
          </w:tblCellMar>
        </w:tblPrEx>
        <w:trPr>
          <w:trHeight w:val="390" w:hRule="atLeast"/>
          <w:jc w:val="center"/>
        </w:trPr>
        <w:tc>
          <w:tcPr>
            <w:tcW w:w="4672" w:type="dxa"/>
            <w:tcBorders>
              <w:left w:val="single" w:color="000000" w:sz="4" w:space="0"/>
              <w:right w:val="single" w:color="000000" w:sz="4" w:space="0"/>
            </w:tcBorders>
            <w:noWrap w:val="0"/>
            <w:vAlign w:val="center"/>
          </w:tcPr>
          <w:p w14:paraId="4714198F">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账号：</w:t>
            </w:r>
          </w:p>
        </w:tc>
        <w:tc>
          <w:tcPr>
            <w:tcW w:w="4673" w:type="dxa"/>
            <w:tcBorders>
              <w:right w:val="single" w:color="000000" w:sz="4" w:space="0"/>
            </w:tcBorders>
            <w:noWrap w:val="0"/>
            <w:vAlign w:val="center"/>
          </w:tcPr>
          <w:p w14:paraId="37166A1F">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账号：</w:t>
            </w:r>
          </w:p>
        </w:tc>
      </w:tr>
      <w:tr w14:paraId="6FC6446A">
        <w:tblPrEx>
          <w:tblCellMar>
            <w:top w:w="15" w:type="dxa"/>
            <w:left w:w="15" w:type="dxa"/>
            <w:bottom w:w="15" w:type="dxa"/>
            <w:right w:w="15" w:type="dxa"/>
          </w:tblCellMar>
        </w:tblPrEx>
        <w:trPr>
          <w:trHeight w:val="390" w:hRule="atLeast"/>
          <w:jc w:val="center"/>
        </w:trPr>
        <w:tc>
          <w:tcPr>
            <w:tcW w:w="4672" w:type="dxa"/>
            <w:tcBorders>
              <w:left w:val="single" w:color="000000" w:sz="4" w:space="0"/>
              <w:bottom w:val="single" w:color="000000" w:sz="4" w:space="0"/>
              <w:right w:val="single" w:color="000000" w:sz="4" w:space="0"/>
            </w:tcBorders>
            <w:noWrap w:val="0"/>
            <w:vAlign w:val="center"/>
          </w:tcPr>
          <w:p w14:paraId="7A0E6302">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签订日期：      年    月    日</w:t>
            </w:r>
          </w:p>
        </w:tc>
        <w:tc>
          <w:tcPr>
            <w:tcW w:w="4673" w:type="dxa"/>
            <w:tcBorders>
              <w:bottom w:val="single" w:color="000000" w:sz="4" w:space="0"/>
              <w:right w:val="single" w:color="000000" w:sz="4" w:space="0"/>
            </w:tcBorders>
            <w:noWrap w:val="0"/>
            <w:vAlign w:val="center"/>
          </w:tcPr>
          <w:p w14:paraId="2597BB85">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rPr>
              <w:t>签订日期：        年    月    日</w:t>
            </w:r>
          </w:p>
        </w:tc>
      </w:tr>
    </w:tbl>
    <w:p w14:paraId="3A5C20CE">
      <w:pPr>
        <w:spacing w:line="360" w:lineRule="auto"/>
        <w:rPr>
          <w:rFonts w:hint="eastAsia" w:ascii="宋体" w:hAnsi="宋体" w:eastAsia="宋体" w:cs="宋体"/>
          <w:color w:val="auto"/>
          <w:sz w:val="28"/>
          <w:szCs w:val="28"/>
          <w:highlight w:val="none"/>
        </w:rPr>
      </w:pPr>
    </w:p>
    <w:p w14:paraId="492D452F">
      <w:pPr>
        <w:rPr>
          <w:rFonts w:hint="eastAsia"/>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à.ā">
    <w:altName w:val="宋体"/>
    <w:panose1 w:val="00000000000000000000"/>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0A3631"/>
    <w:multiLevelType w:val="singleLevel"/>
    <w:tmpl w:val="800A3631"/>
    <w:lvl w:ilvl="0" w:tentative="0">
      <w:start w:val="3"/>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5MTU2MzhkY2JjMTMxYjA3OTNlZGY3MDc1YmI4ZGMifQ=="/>
  </w:docVars>
  <w:rsids>
    <w:rsidRoot w:val="6BD3463B"/>
    <w:rsid w:val="001F1D2C"/>
    <w:rsid w:val="00D70F80"/>
    <w:rsid w:val="0754675F"/>
    <w:rsid w:val="080C0DE8"/>
    <w:rsid w:val="138C7281"/>
    <w:rsid w:val="1CBA4E5F"/>
    <w:rsid w:val="21780E44"/>
    <w:rsid w:val="22552F34"/>
    <w:rsid w:val="25EF3DCB"/>
    <w:rsid w:val="260D03CD"/>
    <w:rsid w:val="28C66939"/>
    <w:rsid w:val="2CFC4FFD"/>
    <w:rsid w:val="2D3227EF"/>
    <w:rsid w:val="36716136"/>
    <w:rsid w:val="36876C90"/>
    <w:rsid w:val="38F372D7"/>
    <w:rsid w:val="39761CB6"/>
    <w:rsid w:val="39F8091D"/>
    <w:rsid w:val="3BA448B8"/>
    <w:rsid w:val="3C8B5A78"/>
    <w:rsid w:val="45254A59"/>
    <w:rsid w:val="4F5613DE"/>
    <w:rsid w:val="4FC43323"/>
    <w:rsid w:val="562543F0"/>
    <w:rsid w:val="5E0C5555"/>
    <w:rsid w:val="5FF05A6E"/>
    <w:rsid w:val="62456545"/>
    <w:rsid w:val="6BD3463B"/>
    <w:rsid w:val="750162FC"/>
    <w:rsid w:val="75B551D4"/>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 w:cs="Times New Roman"/>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eastAsia="宋体"/>
      <w:sz w:val="18"/>
    </w:rPr>
  </w:style>
  <w:style w:type="paragraph" w:customStyle="1" w:styleId="5">
    <w:name w:val="Default"/>
    <w:next w:val="1"/>
    <w:autoRedefine/>
    <w:unhideWhenUsed/>
    <w:qFormat/>
    <w:uiPriority w:val="0"/>
    <w:pPr>
      <w:widowControl w:val="0"/>
      <w:autoSpaceDE w:val="0"/>
      <w:autoSpaceDN w:val="0"/>
      <w:adjustRightInd w:val="0"/>
    </w:pPr>
    <w:rPr>
      <w:rFonts w:hint="eastAsia" w:ascii="楷体à.ā" w:hAnsi="Times New Roman" w:eastAsia="楷体à.ā" w:cs="Times New Roman"/>
      <w:color w:val="000000"/>
      <w:sz w:val="24"/>
      <w:szCs w:val="24"/>
      <w:lang w:val="en-US" w:eastAsia="zh-CN" w:bidi="ar-SA"/>
    </w:rPr>
  </w:style>
  <w:style w:type="paragraph" w:customStyle="1" w:styleId="6">
    <w:name w:val="列出段落1"/>
    <w:basedOn w:val="1"/>
    <w:autoRedefine/>
    <w:qFormat/>
    <w:uiPriority w:val="0"/>
    <w:pPr>
      <w:ind w:firstLine="42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3399</Words>
  <Characters>3462</Characters>
  <Lines>0</Lines>
  <Paragraphs>0</Paragraphs>
  <TotalTime>1</TotalTime>
  <ScaleCrop>false</ScaleCrop>
  <LinksUpToDate>false</LinksUpToDate>
  <CharactersWithSpaces>3777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2024-06-28T08:06:00Z</dcterms:created>
  <dc:creator>飞飞嘟嘟</dc:creator>
  <cp:lastModifiedBy>Administrator</cp:lastModifiedBy>
  <dcterms:modified xsi:type="dcterms:W3CDTF">2026-07-06T06:35:42Z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E0FAC0849F7642D19BE1712B1A2C8169_11</vt:lpwstr>
  </property>
  <property fmtid="{D5CDD505-2E9C-101B-9397-08002B2CF9AE}" pid="4" name="KSOTemplateDocerSaveRecord">
    <vt:lpwstr>eyJoZGlkIjoiY2E5MTU2MzhkY2JjMTMxYjA3OTNlZGY3MDc1YmI4ZGMiLCJ1c2VySWQiOiI3MDQyNDkwNzcifQ==</vt:lpwstr>
  </property>
</Properties>
</file>