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8C4E64">
      <w:pPr>
        <w:pStyle w:val="13"/>
        <w:pageBreakBefore w:val="0"/>
        <w:kinsoku/>
        <w:wordWrap w:val="0"/>
        <w:overflowPunct/>
        <w:bidi w:val="0"/>
        <w:rPr>
          <w:rFonts w:hint="eastAsia" w:ascii="宋体" w:hAnsi="宋体" w:eastAsia="宋体" w:cs="宋体"/>
          <w:color w:val="auto"/>
          <w:sz w:val="24"/>
          <w:szCs w:val="24"/>
          <w:highlight w:val="none"/>
        </w:rPr>
      </w:pPr>
    </w:p>
    <w:p w14:paraId="793212DB">
      <w:pPr>
        <w:pStyle w:val="13"/>
        <w:pageBreakBefore w:val="0"/>
        <w:kinsoku/>
        <w:wordWrap w:val="0"/>
        <w:overflowPunct/>
        <w:bidi w:val="0"/>
        <w:jc w:val="center"/>
        <w:rPr>
          <w:rFonts w:hint="eastAsia" w:ascii="宋体" w:hAnsi="宋体" w:eastAsia="宋体" w:cs="宋体"/>
          <w:color w:val="auto"/>
          <w:sz w:val="36"/>
          <w:szCs w:val="36"/>
          <w:highlight w:val="none"/>
        </w:rPr>
      </w:pPr>
      <w:r>
        <w:rPr>
          <w:rFonts w:hint="eastAsia" w:ascii="宋体" w:hAnsi="宋体" w:cs="宋体"/>
          <w:b/>
          <w:bCs/>
          <w:color w:val="auto"/>
          <w:sz w:val="36"/>
          <w:szCs w:val="36"/>
          <w:highlight w:val="none"/>
          <w:lang w:eastAsia="zh-CN"/>
        </w:rPr>
        <w:t>芒市海关进境食用水生动物实验室检测能力提升项目实验室仪器设备采购</w:t>
      </w:r>
    </w:p>
    <w:p w14:paraId="68ABC91C">
      <w:pPr>
        <w:pStyle w:val="13"/>
        <w:pageBreakBefore w:val="0"/>
        <w:kinsoku/>
        <w:wordWrap w:val="0"/>
        <w:overflowPunct/>
        <w:bidi w:val="0"/>
        <w:rPr>
          <w:rFonts w:hint="eastAsia" w:ascii="宋体" w:hAnsi="宋体" w:eastAsia="宋体" w:cs="宋体"/>
          <w:color w:val="auto"/>
          <w:sz w:val="24"/>
          <w:szCs w:val="24"/>
          <w:highlight w:val="none"/>
        </w:rPr>
      </w:pPr>
    </w:p>
    <w:p w14:paraId="0BCF251B">
      <w:pPr>
        <w:pageBreakBefore w:val="0"/>
        <w:kinsoku/>
        <w:wordWrap w:val="0"/>
        <w:overflowPunct/>
        <w:bidi w:val="0"/>
        <w:rPr>
          <w:rFonts w:hint="eastAsia" w:ascii="宋体" w:hAnsi="宋体" w:eastAsia="宋体" w:cs="宋体"/>
          <w:color w:val="auto"/>
          <w:sz w:val="24"/>
          <w:szCs w:val="24"/>
          <w:highlight w:val="none"/>
        </w:rPr>
      </w:pPr>
    </w:p>
    <w:p w14:paraId="50A9D00C">
      <w:pPr>
        <w:pStyle w:val="20"/>
        <w:pageBreakBefore w:val="0"/>
        <w:kinsoku/>
        <w:wordWrap w:val="0"/>
        <w:overflowPunct/>
        <w:bidi w:val="0"/>
        <w:rPr>
          <w:rFonts w:hint="eastAsia" w:ascii="宋体" w:hAnsi="宋体" w:eastAsia="宋体" w:cs="宋体"/>
          <w:color w:val="auto"/>
          <w:sz w:val="24"/>
          <w:szCs w:val="24"/>
          <w:highlight w:val="none"/>
        </w:rPr>
      </w:pPr>
    </w:p>
    <w:p w14:paraId="4B45EADA">
      <w:pPr>
        <w:pStyle w:val="20"/>
        <w:pageBreakBefore w:val="0"/>
        <w:kinsoku/>
        <w:wordWrap w:val="0"/>
        <w:overflowPunct/>
        <w:bidi w:val="0"/>
        <w:rPr>
          <w:rFonts w:hint="eastAsia" w:ascii="宋体" w:hAnsi="宋体" w:eastAsia="宋体" w:cs="宋体"/>
          <w:color w:val="auto"/>
          <w:sz w:val="24"/>
          <w:szCs w:val="24"/>
          <w:highlight w:val="none"/>
        </w:rPr>
      </w:pPr>
    </w:p>
    <w:p w14:paraId="7A5ABEF8">
      <w:pPr>
        <w:pageBreakBefore w:val="0"/>
        <w:kinsoku/>
        <w:wordWrap w:val="0"/>
        <w:overflowPunct/>
        <w:bidi w:val="0"/>
        <w:rPr>
          <w:rFonts w:hint="eastAsia" w:ascii="宋体" w:hAnsi="宋体" w:eastAsia="宋体" w:cs="宋体"/>
          <w:color w:val="auto"/>
          <w:sz w:val="24"/>
          <w:szCs w:val="24"/>
          <w:highlight w:val="none"/>
        </w:rPr>
      </w:pPr>
    </w:p>
    <w:p w14:paraId="0CC212D3">
      <w:pPr>
        <w:pStyle w:val="20"/>
        <w:pageBreakBefore w:val="0"/>
        <w:kinsoku/>
        <w:wordWrap w:val="0"/>
        <w:overflowPunct/>
        <w:bidi w:val="0"/>
        <w:rPr>
          <w:rFonts w:hint="eastAsia" w:ascii="宋体" w:hAnsi="宋体" w:eastAsia="宋体" w:cs="宋体"/>
          <w:color w:val="auto"/>
          <w:sz w:val="24"/>
          <w:szCs w:val="24"/>
          <w:highlight w:val="none"/>
        </w:rPr>
      </w:pPr>
    </w:p>
    <w:p w14:paraId="0C57B3F2">
      <w:pPr>
        <w:pageBreakBefore w:val="0"/>
        <w:kinsoku/>
        <w:wordWrap w:val="0"/>
        <w:overflowPunct/>
        <w:bidi w:val="0"/>
        <w:jc w:val="center"/>
        <w:rPr>
          <w:rFonts w:hint="eastAsia" w:ascii="宋体" w:hAnsi="宋体" w:eastAsia="宋体" w:cs="宋体"/>
          <w:color w:val="auto"/>
          <w:sz w:val="24"/>
          <w:szCs w:val="24"/>
          <w:highlight w:val="none"/>
        </w:rPr>
      </w:pPr>
      <w:r>
        <w:rPr>
          <w:rFonts w:hint="eastAsia" w:ascii="宋体" w:hAnsi="宋体" w:eastAsia="宋体" w:cs="宋体"/>
          <w:b/>
          <w:bCs/>
          <w:color w:val="auto"/>
          <w:sz w:val="72"/>
          <w:szCs w:val="72"/>
          <w:highlight w:val="none"/>
        </w:rPr>
        <w:t>招标文件</w:t>
      </w:r>
      <w:r>
        <w:rPr>
          <w:rFonts w:hint="eastAsia" w:ascii="宋体" w:hAnsi="宋体" w:eastAsia="宋体" w:cs="宋体"/>
          <w:color w:val="auto"/>
          <w:sz w:val="24"/>
          <w:szCs w:val="24"/>
          <w:highlight w:val="none"/>
        </w:rPr>
        <w:t xml:space="preserve"> </w:t>
      </w:r>
    </w:p>
    <w:p w14:paraId="61AC55D7">
      <w:pPr>
        <w:pStyle w:val="13"/>
        <w:pageBreakBefore w:val="0"/>
        <w:kinsoku/>
        <w:wordWrap w:val="0"/>
        <w:overflowPunct/>
        <w:bidi w:val="0"/>
        <w:rPr>
          <w:rFonts w:hint="eastAsia" w:ascii="宋体" w:hAnsi="宋体" w:eastAsia="宋体" w:cs="宋体"/>
          <w:color w:val="auto"/>
          <w:sz w:val="24"/>
          <w:szCs w:val="24"/>
          <w:highlight w:val="none"/>
        </w:rPr>
      </w:pPr>
    </w:p>
    <w:p w14:paraId="3D5491A2">
      <w:pPr>
        <w:pStyle w:val="13"/>
        <w:pageBreakBefore w:val="0"/>
        <w:kinsoku/>
        <w:wordWrap w:val="0"/>
        <w:overflowPunct/>
        <w:bidi w:val="0"/>
        <w:rPr>
          <w:rFonts w:hint="eastAsia" w:ascii="宋体" w:hAnsi="宋体" w:eastAsia="宋体" w:cs="宋体"/>
          <w:color w:val="auto"/>
          <w:sz w:val="24"/>
          <w:szCs w:val="24"/>
          <w:highlight w:val="none"/>
        </w:rPr>
      </w:pPr>
    </w:p>
    <w:p w14:paraId="7DE78640">
      <w:pPr>
        <w:pStyle w:val="13"/>
        <w:pageBreakBefore w:val="0"/>
        <w:kinsoku/>
        <w:wordWrap w:val="0"/>
        <w:overflowPunct/>
        <w:bidi w:val="0"/>
        <w:rPr>
          <w:rFonts w:hint="eastAsia" w:ascii="宋体" w:hAnsi="宋体" w:eastAsia="宋体" w:cs="宋体"/>
          <w:color w:val="auto"/>
          <w:sz w:val="24"/>
          <w:szCs w:val="24"/>
          <w:highlight w:val="none"/>
        </w:rPr>
      </w:pPr>
    </w:p>
    <w:p w14:paraId="3213F69E">
      <w:pPr>
        <w:pStyle w:val="13"/>
        <w:pageBreakBefore w:val="0"/>
        <w:kinsoku/>
        <w:wordWrap w:val="0"/>
        <w:overflowPunct/>
        <w:bidi w:val="0"/>
        <w:ind w:firstLine="1552" w:firstLineChars="644"/>
        <w:rPr>
          <w:rFonts w:hint="eastAsia" w:ascii="宋体" w:hAnsi="宋体" w:eastAsia="宋体" w:cs="宋体"/>
          <w:b/>
          <w:color w:val="auto"/>
          <w:sz w:val="24"/>
          <w:szCs w:val="24"/>
          <w:highlight w:val="none"/>
        </w:rPr>
      </w:pPr>
    </w:p>
    <w:p w14:paraId="759D69E5">
      <w:pPr>
        <w:pageBreakBefore w:val="0"/>
        <w:kinsoku/>
        <w:wordWrap w:val="0"/>
        <w:overflowPunct/>
        <w:bidi w:val="0"/>
        <w:rPr>
          <w:rFonts w:hint="eastAsia" w:ascii="宋体" w:hAnsi="宋体" w:eastAsia="宋体" w:cs="宋体"/>
          <w:color w:val="auto"/>
          <w:sz w:val="24"/>
          <w:szCs w:val="24"/>
          <w:highlight w:val="none"/>
        </w:rPr>
      </w:pPr>
    </w:p>
    <w:p w14:paraId="1FC26ABA">
      <w:pPr>
        <w:pStyle w:val="13"/>
        <w:keepNext w:val="0"/>
        <w:keepLines w:val="0"/>
        <w:pageBreakBefore w:val="0"/>
        <w:widowControl/>
        <w:kinsoku/>
        <w:wordWrap w:val="0"/>
        <w:overflowPunct/>
        <w:topLinePunct w:val="0"/>
        <w:autoSpaceDE/>
        <w:autoSpaceDN/>
        <w:bidi w:val="0"/>
        <w:adjustRightInd/>
        <w:snapToGrid/>
        <w:spacing w:line="720" w:lineRule="auto"/>
        <w:ind w:firstLine="1285" w:firstLineChars="400"/>
        <w:textAlignment w:val="auto"/>
        <w:rPr>
          <w:rFonts w:hint="eastAsia"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lang w:eastAsia="zh-CN"/>
        </w:rPr>
        <w:t>采购人</w:t>
      </w:r>
      <w:r>
        <w:rPr>
          <w:rFonts w:hint="eastAsia" w:ascii="宋体" w:hAnsi="宋体" w:eastAsia="宋体" w:cs="宋体"/>
          <w:b/>
          <w:color w:val="auto"/>
          <w:sz w:val="32"/>
          <w:szCs w:val="32"/>
          <w:highlight w:val="none"/>
        </w:rPr>
        <w:t>：</w:t>
      </w:r>
      <w:r>
        <w:rPr>
          <w:rFonts w:hint="eastAsia" w:ascii="宋体" w:hAnsi="宋体" w:cs="宋体"/>
          <w:b/>
          <w:color w:val="auto"/>
          <w:sz w:val="32"/>
          <w:szCs w:val="32"/>
          <w:highlight w:val="none"/>
          <w:lang w:eastAsia="zh-CN"/>
        </w:rPr>
        <w:t>芒市商务局</w:t>
      </w:r>
    </w:p>
    <w:p w14:paraId="666DE0B3">
      <w:pPr>
        <w:pStyle w:val="13"/>
        <w:keepNext w:val="0"/>
        <w:keepLines w:val="0"/>
        <w:pageBreakBefore w:val="0"/>
        <w:widowControl/>
        <w:kinsoku/>
        <w:wordWrap w:val="0"/>
        <w:overflowPunct/>
        <w:topLinePunct w:val="0"/>
        <w:autoSpaceDE/>
        <w:autoSpaceDN/>
        <w:bidi w:val="0"/>
        <w:adjustRightInd/>
        <w:snapToGrid/>
        <w:spacing w:line="720" w:lineRule="auto"/>
        <w:ind w:firstLine="1285" w:firstLineChars="400"/>
        <w:textAlignment w:val="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采购代理机构</w:t>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eastAsia="zh-CN"/>
        </w:rPr>
        <w:t>德宏杉和工程咨询有限公司</w:t>
      </w:r>
    </w:p>
    <w:p w14:paraId="16A098DD">
      <w:pPr>
        <w:pStyle w:val="13"/>
        <w:keepNext w:val="0"/>
        <w:keepLines w:val="0"/>
        <w:pageBreakBefore w:val="0"/>
        <w:widowControl/>
        <w:kinsoku/>
        <w:wordWrap w:val="0"/>
        <w:overflowPunct/>
        <w:topLinePunct w:val="0"/>
        <w:autoSpaceDE/>
        <w:autoSpaceDN/>
        <w:bidi w:val="0"/>
        <w:adjustRightInd/>
        <w:snapToGrid/>
        <w:spacing w:line="720" w:lineRule="auto"/>
        <w:ind w:firstLine="1285" w:firstLineChars="400"/>
        <w:textAlignment w:val="auto"/>
        <w:rPr>
          <w:rFonts w:hint="eastAsia" w:ascii="宋体" w:hAnsi="宋体" w:eastAsia="宋体" w:cs="宋体"/>
          <w:b/>
          <w:color w:val="auto"/>
          <w:sz w:val="32"/>
          <w:szCs w:val="32"/>
          <w:highlight w:val="none"/>
        </w:rPr>
        <w:sectPr>
          <w:headerReference r:id="rId5" w:type="first"/>
          <w:headerReference r:id="rId3" w:type="default"/>
          <w:headerReference r:id="rId4" w:type="even"/>
          <w:footerReference r:id="rId6" w:type="even"/>
          <w:pgSz w:w="11906" w:h="16838"/>
          <w:pgMar w:top="1440" w:right="1083" w:bottom="1440" w:left="1083" w:header="720" w:footer="720" w:gutter="0"/>
          <w:pgBorders>
            <w:top w:val="none" w:sz="0" w:space="0"/>
            <w:left w:val="none" w:sz="0" w:space="0"/>
            <w:bottom w:val="none" w:sz="0" w:space="0"/>
            <w:right w:val="none" w:sz="0" w:space="0"/>
          </w:pgBorders>
          <w:pgNumType w:fmt="numberInDash" w:start="1"/>
          <w:cols w:space="720" w:num="1"/>
          <w:titlePg/>
          <w:docGrid w:type="lines" w:linePitch="317" w:charSpace="0"/>
        </w:sectPr>
      </w:pPr>
      <w:r>
        <w:rPr>
          <w:rFonts w:hint="eastAsia" w:ascii="宋体" w:hAnsi="宋体" w:eastAsia="宋体" w:cs="宋体"/>
          <w:b/>
          <w:color w:val="auto"/>
          <w:sz w:val="32"/>
          <w:szCs w:val="32"/>
          <w:highlight w:val="none"/>
        </w:rPr>
        <w:t>日期：202</w:t>
      </w:r>
      <w:r>
        <w:rPr>
          <w:rFonts w:hint="eastAsia" w:ascii="宋体" w:hAnsi="宋体" w:cs="宋体"/>
          <w:b/>
          <w:color w:val="auto"/>
          <w:sz w:val="32"/>
          <w:szCs w:val="32"/>
          <w:highlight w:val="none"/>
          <w:lang w:val="en-US" w:eastAsia="zh-CN"/>
        </w:rPr>
        <w:t>6</w:t>
      </w:r>
      <w:r>
        <w:rPr>
          <w:rFonts w:hint="eastAsia" w:ascii="宋体" w:hAnsi="宋体" w:eastAsia="宋体" w:cs="宋体"/>
          <w:b/>
          <w:color w:val="auto"/>
          <w:sz w:val="32"/>
          <w:szCs w:val="32"/>
          <w:highlight w:val="none"/>
        </w:rPr>
        <w:t>年</w:t>
      </w:r>
      <w:r>
        <w:rPr>
          <w:rFonts w:hint="eastAsia" w:ascii="宋体" w:hAnsi="宋体" w:cs="宋体"/>
          <w:b/>
          <w:color w:val="auto"/>
          <w:sz w:val="32"/>
          <w:szCs w:val="32"/>
          <w:highlight w:val="none"/>
          <w:lang w:val="en-US" w:eastAsia="zh-CN"/>
        </w:rPr>
        <w:t>6</w:t>
      </w:r>
      <w:r>
        <w:rPr>
          <w:rFonts w:hint="eastAsia" w:ascii="宋体" w:hAnsi="宋体" w:eastAsia="宋体" w:cs="宋体"/>
          <w:b/>
          <w:color w:val="auto"/>
          <w:sz w:val="32"/>
          <w:szCs w:val="32"/>
          <w:highlight w:val="none"/>
        </w:rPr>
        <w:t>月</w:t>
      </w:r>
    </w:p>
    <w:p w14:paraId="2458257C">
      <w:pPr>
        <w:pageBreakBefore w:val="0"/>
        <w:kinsoku/>
        <w:wordWrap w:val="0"/>
        <w:overflowPunct/>
        <w:bidi w:val="0"/>
        <w:spacing w:line="500" w:lineRule="exact"/>
        <w:jc w:val="center"/>
        <w:rPr>
          <w:rFonts w:hint="eastAsia" w:ascii="宋体" w:hAnsi="宋体" w:eastAsia="宋体" w:cs="宋体"/>
          <w:bCs/>
          <w:caps/>
          <w:color w:val="auto"/>
          <w:sz w:val="24"/>
          <w:szCs w:val="24"/>
          <w:highlight w:val="none"/>
          <w:lang w:val="en-US" w:eastAsia="zh-CN" w:bidi="ar-SA"/>
        </w:rPr>
      </w:pPr>
      <w:r>
        <w:rPr>
          <w:rFonts w:hint="eastAsia" w:ascii="宋体" w:hAnsi="宋体" w:eastAsia="宋体" w:cs="宋体"/>
          <w:b/>
          <w:bCs/>
          <w:color w:val="auto"/>
          <w:sz w:val="24"/>
          <w:szCs w:val="24"/>
          <w:highlight w:val="none"/>
        </w:rPr>
        <w:t>目  录</w:t>
      </w:r>
      <w:r>
        <w:rPr>
          <w:rFonts w:hint="eastAsia" w:ascii="宋体" w:hAnsi="宋体" w:eastAsia="宋体" w:cs="宋体"/>
          <w:b/>
          <w:bCs/>
          <w:caps/>
          <w:color w:val="auto"/>
          <w:sz w:val="24"/>
          <w:szCs w:val="24"/>
          <w:highlight w:val="none"/>
        </w:rPr>
        <w:fldChar w:fldCharType="begin"/>
      </w:r>
      <w:r>
        <w:rPr>
          <w:rFonts w:hint="eastAsia" w:ascii="宋体" w:hAnsi="宋体" w:eastAsia="宋体" w:cs="宋体"/>
          <w:b/>
          <w:bCs/>
          <w:caps/>
          <w:color w:val="auto"/>
          <w:sz w:val="24"/>
          <w:szCs w:val="24"/>
          <w:highlight w:val="none"/>
        </w:rPr>
        <w:instrText xml:space="preserve"> TOC \o "1-3" \h \z \u </w:instrText>
      </w:r>
      <w:r>
        <w:rPr>
          <w:rFonts w:hint="eastAsia" w:ascii="宋体" w:hAnsi="宋体" w:eastAsia="宋体" w:cs="宋体"/>
          <w:b/>
          <w:bCs/>
          <w:caps/>
          <w:color w:val="auto"/>
          <w:sz w:val="24"/>
          <w:szCs w:val="24"/>
          <w:highlight w:val="none"/>
        </w:rPr>
        <w:fldChar w:fldCharType="separate"/>
      </w:r>
    </w:p>
    <w:p w14:paraId="2B22373E">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_Toc22935 </w:instrText>
      </w:r>
      <w:r>
        <w:rPr>
          <w:rFonts w:hint="eastAsia" w:ascii="宋体" w:hAnsi="宋体" w:eastAsia="宋体" w:cs="宋体"/>
          <w:bCs/>
          <w:caps/>
          <w:color w:val="auto"/>
          <w:szCs w:val="24"/>
          <w:highlight w:val="none"/>
        </w:rPr>
        <w:fldChar w:fldCharType="separate"/>
      </w:r>
      <w:r>
        <w:rPr>
          <w:rFonts w:hint="eastAsia" w:ascii="宋体" w:hAnsi="宋体" w:eastAsia="宋体" w:cs="宋体"/>
          <w:b/>
          <w:bCs/>
          <w:color w:val="auto"/>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_Toc22935 \h </w:instrText>
      </w:r>
      <w:r>
        <w:rPr>
          <w:color w:val="auto"/>
          <w:highlight w:val="none"/>
        </w:rPr>
        <w:fldChar w:fldCharType="separate"/>
      </w:r>
      <w:r>
        <w:rPr>
          <w:color w:val="auto"/>
          <w:highlight w:val="none"/>
        </w:rPr>
        <w:t>1</w:t>
      </w:r>
      <w:r>
        <w:rPr>
          <w:color w:val="auto"/>
          <w:highlight w:val="none"/>
        </w:rPr>
        <w:fldChar w:fldCharType="end"/>
      </w:r>
      <w:r>
        <w:rPr>
          <w:rFonts w:hint="eastAsia" w:ascii="宋体" w:hAnsi="宋体" w:eastAsia="宋体" w:cs="宋体"/>
          <w:bCs/>
          <w:caps/>
          <w:color w:val="auto"/>
          <w:szCs w:val="24"/>
          <w:highlight w:val="none"/>
        </w:rPr>
        <w:fldChar w:fldCharType="end"/>
      </w:r>
    </w:p>
    <w:p w14:paraId="1B44A2FF">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_Toc1299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一、项目基本情况</w:t>
      </w:r>
      <w:r>
        <w:rPr>
          <w:color w:val="auto"/>
          <w:highlight w:val="none"/>
        </w:rPr>
        <w:tab/>
      </w:r>
      <w:r>
        <w:rPr>
          <w:color w:val="auto"/>
          <w:highlight w:val="none"/>
        </w:rPr>
        <w:fldChar w:fldCharType="begin"/>
      </w:r>
      <w:r>
        <w:rPr>
          <w:color w:val="auto"/>
          <w:highlight w:val="none"/>
        </w:rPr>
        <w:instrText xml:space="preserve"> PAGEREF _Toc1299 \h </w:instrText>
      </w:r>
      <w:r>
        <w:rPr>
          <w:color w:val="auto"/>
          <w:highlight w:val="none"/>
        </w:rPr>
        <w:fldChar w:fldCharType="separate"/>
      </w:r>
      <w:r>
        <w:rPr>
          <w:color w:val="auto"/>
          <w:highlight w:val="none"/>
        </w:rPr>
        <w:t>2</w:t>
      </w:r>
      <w:r>
        <w:rPr>
          <w:color w:val="auto"/>
          <w:highlight w:val="none"/>
        </w:rPr>
        <w:fldChar w:fldCharType="end"/>
      </w:r>
      <w:r>
        <w:rPr>
          <w:rFonts w:hint="eastAsia" w:ascii="宋体" w:hAnsi="宋体" w:eastAsia="宋体" w:cs="宋体"/>
          <w:bCs/>
          <w:caps/>
          <w:color w:val="auto"/>
          <w:szCs w:val="24"/>
          <w:highlight w:val="none"/>
        </w:rPr>
        <w:fldChar w:fldCharType="end"/>
      </w:r>
    </w:p>
    <w:p w14:paraId="52EE45B1">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_Toc4117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二、投标人的资格要求</w:t>
      </w:r>
      <w:r>
        <w:rPr>
          <w:color w:val="auto"/>
          <w:highlight w:val="none"/>
        </w:rPr>
        <w:tab/>
      </w:r>
      <w:r>
        <w:rPr>
          <w:color w:val="auto"/>
          <w:highlight w:val="none"/>
        </w:rPr>
        <w:fldChar w:fldCharType="begin"/>
      </w:r>
      <w:r>
        <w:rPr>
          <w:color w:val="auto"/>
          <w:highlight w:val="none"/>
        </w:rPr>
        <w:instrText xml:space="preserve"> PAGEREF _Toc4117 \h </w:instrText>
      </w:r>
      <w:r>
        <w:rPr>
          <w:color w:val="auto"/>
          <w:highlight w:val="none"/>
        </w:rPr>
        <w:fldChar w:fldCharType="separate"/>
      </w:r>
      <w:r>
        <w:rPr>
          <w:color w:val="auto"/>
          <w:highlight w:val="none"/>
        </w:rPr>
        <w:t>4</w:t>
      </w:r>
      <w:r>
        <w:rPr>
          <w:color w:val="auto"/>
          <w:highlight w:val="none"/>
        </w:rPr>
        <w:fldChar w:fldCharType="end"/>
      </w:r>
      <w:r>
        <w:rPr>
          <w:rFonts w:hint="eastAsia" w:ascii="宋体" w:hAnsi="宋体" w:eastAsia="宋体" w:cs="宋体"/>
          <w:bCs/>
          <w:caps/>
          <w:color w:val="auto"/>
          <w:szCs w:val="24"/>
          <w:highlight w:val="none"/>
        </w:rPr>
        <w:fldChar w:fldCharType="end"/>
      </w:r>
    </w:p>
    <w:p w14:paraId="17046C85">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_Toc6551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三、获取招标文件</w:t>
      </w:r>
      <w:r>
        <w:rPr>
          <w:color w:val="auto"/>
          <w:highlight w:val="none"/>
        </w:rPr>
        <w:tab/>
      </w:r>
      <w:r>
        <w:rPr>
          <w:color w:val="auto"/>
          <w:highlight w:val="none"/>
        </w:rPr>
        <w:fldChar w:fldCharType="begin"/>
      </w:r>
      <w:r>
        <w:rPr>
          <w:color w:val="auto"/>
          <w:highlight w:val="none"/>
        </w:rPr>
        <w:instrText xml:space="preserve"> PAGEREF _Toc6551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eastAsia="宋体" w:cs="宋体"/>
          <w:bCs/>
          <w:caps/>
          <w:color w:val="auto"/>
          <w:szCs w:val="24"/>
          <w:highlight w:val="none"/>
        </w:rPr>
        <w:fldChar w:fldCharType="end"/>
      </w:r>
    </w:p>
    <w:p w14:paraId="5E9514C2">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_Toc17577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四、提交投标文件截止时间、开标时间和地点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_Toc17577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eastAsia="宋体" w:cs="宋体"/>
          <w:bCs/>
          <w:caps/>
          <w:color w:val="auto"/>
          <w:szCs w:val="24"/>
          <w:highlight w:val="none"/>
        </w:rPr>
        <w:fldChar w:fldCharType="end"/>
      </w:r>
    </w:p>
    <w:p w14:paraId="48A5A33A">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_Toc22300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五、公告期限</w:t>
      </w:r>
      <w:r>
        <w:rPr>
          <w:color w:val="auto"/>
          <w:highlight w:val="none"/>
        </w:rPr>
        <w:tab/>
      </w:r>
      <w:r>
        <w:rPr>
          <w:color w:val="auto"/>
          <w:highlight w:val="none"/>
        </w:rPr>
        <w:fldChar w:fldCharType="begin"/>
      </w:r>
      <w:r>
        <w:rPr>
          <w:color w:val="auto"/>
          <w:highlight w:val="none"/>
        </w:rPr>
        <w:instrText xml:space="preserve"> PAGEREF _Toc22300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eastAsia="宋体" w:cs="宋体"/>
          <w:bCs/>
          <w:caps/>
          <w:color w:val="auto"/>
          <w:szCs w:val="24"/>
          <w:highlight w:val="none"/>
        </w:rPr>
        <w:fldChar w:fldCharType="end"/>
      </w:r>
    </w:p>
    <w:p w14:paraId="5FB2B5D4">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_Toc25980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六、其他补充事宜</w:t>
      </w:r>
      <w:r>
        <w:rPr>
          <w:color w:val="auto"/>
          <w:highlight w:val="none"/>
        </w:rPr>
        <w:tab/>
      </w:r>
      <w:r>
        <w:rPr>
          <w:color w:val="auto"/>
          <w:highlight w:val="none"/>
        </w:rPr>
        <w:fldChar w:fldCharType="begin"/>
      </w:r>
      <w:r>
        <w:rPr>
          <w:color w:val="auto"/>
          <w:highlight w:val="none"/>
        </w:rPr>
        <w:instrText xml:space="preserve"> PAGEREF _Toc25980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eastAsia="宋体" w:cs="宋体"/>
          <w:bCs/>
          <w:caps/>
          <w:color w:val="auto"/>
          <w:szCs w:val="24"/>
          <w:highlight w:val="none"/>
        </w:rPr>
        <w:fldChar w:fldCharType="end"/>
      </w:r>
    </w:p>
    <w:p w14:paraId="2D263152">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_Toc10023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七、对本次招标提出询问，请按以下方式联系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_Toc10023 \h </w:instrText>
      </w:r>
      <w:r>
        <w:rPr>
          <w:color w:val="auto"/>
          <w:highlight w:val="none"/>
        </w:rPr>
        <w:fldChar w:fldCharType="separate"/>
      </w:r>
      <w:r>
        <w:rPr>
          <w:color w:val="auto"/>
          <w:highlight w:val="none"/>
        </w:rPr>
        <w:t>6</w:t>
      </w:r>
      <w:r>
        <w:rPr>
          <w:color w:val="auto"/>
          <w:highlight w:val="none"/>
        </w:rPr>
        <w:fldChar w:fldCharType="end"/>
      </w:r>
      <w:r>
        <w:rPr>
          <w:rFonts w:hint="eastAsia" w:ascii="宋体" w:hAnsi="宋体" w:eastAsia="宋体" w:cs="宋体"/>
          <w:bCs/>
          <w:caps/>
          <w:color w:val="auto"/>
          <w:szCs w:val="24"/>
          <w:highlight w:val="none"/>
        </w:rPr>
        <w:fldChar w:fldCharType="end"/>
      </w:r>
    </w:p>
    <w:p w14:paraId="30C9AFBA">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_Toc8691 </w:instrText>
      </w:r>
      <w:r>
        <w:rPr>
          <w:rFonts w:hint="eastAsia" w:ascii="宋体" w:hAnsi="宋体" w:eastAsia="宋体" w:cs="宋体"/>
          <w:bCs/>
          <w:caps/>
          <w:color w:val="auto"/>
          <w:szCs w:val="24"/>
          <w:highlight w:val="none"/>
        </w:rPr>
        <w:fldChar w:fldCharType="separate"/>
      </w:r>
      <w:r>
        <w:rPr>
          <w:rFonts w:hint="eastAsia" w:ascii="宋体" w:hAnsi="宋体" w:eastAsia="宋体" w:cs="宋体"/>
          <w:b/>
          <w:bCs/>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_Toc8691 \h </w:instrText>
      </w:r>
      <w:r>
        <w:rPr>
          <w:color w:val="auto"/>
          <w:highlight w:val="none"/>
        </w:rPr>
        <w:fldChar w:fldCharType="separate"/>
      </w:r>
      <w:r>
        <w:rPr>
          <w:color w:val="auto"/>
          <w:highlight w:val="none"/>
        </w:rPr>
        <w:t>7</w:t>
      </w:r>
      <w:r>
        <w:rPr>
          <w:color w:val="auto"/>
          <w:highlight w:val="none"/>
        </w:rPr>
        <w:fldChar w:fldCharType="end"/>
      </w:r>
      <w:r>
        <w:rPr>
          <w:rFonts w:hint="eastAsia" w:ascii="宋体" w:hAnsi="宋体" w:eastAsia="宋体" w:cs="宋体"/>
          <w:bCs/>
          <w:caps/>
          <w:color w:val="auto"/>
          <w:szCs w:val="24"/>
          <w:highlight w:val="none"/>
        </w:rPr>
        <w:fldChar w:fldCharType="end"/>
      </w:r>
    </w:p>
    <w:p w14:paraId="44AE4777">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_Toc8090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投标人须知前附表</w:t>
      </w:r>
      <w:r>
        <w:rPr>
          <w:color w:val="auto"/>
          <w:highlight w:val="none"/>
        </w:rPr>
        <w:tab/>
      </w:r>
      <w:r>
        <w:rPr>
          <w:color w:val="auto"/>
          <w:highlight w:val="none"/>
        </w:rPr>
        <w:fldChar w:fldCharType="begin"/>
      </w:r>
      <w:r>
        <w:rPr>
          <w:color w:val="auto"/>
          <w:highlight w:val="none"/>
        </w:rPr>
        <w:instrText xml:space="preserve"> PAGEREF _Toc8090 \h </w:instrText>
      </w:r>
      <w:r>
        <w:rPr>
          <w:color w:val="auto"/>
          <w:highlight w:val="none"/>
        </w:rPr>
        <w:fldChar w:fldCharType="separate"/>
      </w:r>
      <w:r>
        <w:rPr>
          <w:color w:val="auto"/>
          <w:highlight w:val="none"/>
        </w:rPr>
        <w:t>8</w:t>
      </w:r>
      <w:r>
        <w:rPr>
          <w:color w:val="auto"/>
          <w:highlight w:val="none"/>
        </w:rPr>
        <w:fldChar w:fldCharType="end"/>
      </w:r>
      <w:r>
        <w:rPr>
          <w:rFonts w:hint="eastAsia" w:ascii="宋体" w:hAnsi="宋体" w:eastAsia="宋体" w:cs="宋体"/>
          <w:bCs/>
          <w:caps/>
          <w:color w:val="auto"/>
          <w:szCs w:val="24"/>
          <w:highlight w:val="none"/>
        </w:rPr>
        <w:fldChar w:fldCharType="end"/>
      </w:r>
    </w:p>
    <w:p w14:paraId="0EB614AF">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_Toc5174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1. 总则</w:t>
      </w:r>
      <w:r>
        <w:rPr>
          <w:color w:val="auto"/>
          <w:highlight w:val="none"/>
        </w:rPr>
        <w:tab/>
      </w:r>
      <w:r>
        <w:rPr>
          <w:color w:val="auto"/>
          <w:highlight w:val="none"/>
        </w:rPr>
        <w:fldChar w:fldCharType="begin"/>
      </w:r>
      <w:r>
        <w:rPr>
          <w:color w:val="auto"/>
          <w:highlight w:val="none"/>
        </w:rPr>
        <w:instrText xml:space="preserve"> PAGEREF _Toc5174 \h </w:instrText>
      </w:r>
      <w:r>
        <w:rPr>
          <w:color w:val="auto"/>
          <w:highlight w:val="none"/>
        </w:rPr>
        <w:fldChar w:fldCharType="separate"/>
      </w:r>
      <w:r>
        <w:rPr>
          <w:color w:val="auto"/>
          <w:highlight w:val="none"/>
        </w:rPr>
        <w:t>19</w:t>
      </w:r>
      <w:r>
        <w:rPr>
          <w:color w:val="auto"/>
          <w:highlight w:val="none"/>
        </w:rPr>
        <w:fldChar w:fldCharType="end"/>
      </w:r>
      <w:r>
        <w:rPr>
          <w:rFonts w:hint="eastAsia" w:ascii="宋体" w:hAnsi="宋体" w:eastAsia="宋体" w:cs="宋体"/>
          <w:bCs/>
          <w:caps/>
          <w:color w:val="auto"/>
          <w:szCs w:val="24"/>
          <w:highlight w:val="none"/>
        </w:rPr>
        <w:fldChar w:fldCharType="end"/>
      </w:r>
    </w:p>
    <w:p w14:paraId="522190C2">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_Toc1691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2. 招标文件</w:t>
      </w:r>
      <w:r>
        <w:rPr>
          <w:color w:val="auto"/>
          <w:highlight w:val="none"/>
        </w:rPr>
        <w:tab/>
      </w:r>
      <w:r>
        <w:rPr>
          <w:color w:val="auto"/>
          <w:highlight w:val="none"/>
        </w:rPr>
        <w:fldChar w:fldCharType="begin"/>
      </w:r>
      <w:r>
        <w:rPr>
          <w:color w:val="auto"/>
          <w:highlight w:val="none"/>
        </w:rPr>
        <w:instrText xml:space="preserve"> PAGEREF _Toc1691 \h </w:instrText>
      </w:r>
      <w:r>
        <w:rPr>
          <w:color w:val="auto"/>
          <w:highlight w:val="none"/>
        </w:rPr>
        <w:fldChar w:fldCharType="separate"/>
      </w:r>
      <w:r>
        <w:rPr>
          <w:color w:val="auto"/>
          <w:highlight w:val="none"/>
        </w:rPr>
        <w:t>21</w:t>
      </w:r>
      <w:r>
        <w:rPr>
          <w:color w:val="auto"/>
          <w:highlight w:val="none"/>
        </w:rPr>
        <w:fldChar w:fldCharType="end"/>
      </w:r>
      <w:r>
        <w:rPr>
          <w:rFonts w:hint="eastAsia" w:ascii="宋体" w:hAnsi="宋体" w:eastAsia="宋体" w:cs="宋体"/>
          <w:bCs/>
          <w:caps/>
          <w:color w:val="auto"/>
          <w:szCs w:val="24"/>
          <w:highlight w:val="none"/>
        </w:rPr>
        <w:fldChar w:fldCharType="end"/>
      </w:r>
    </w:p>
    <w:p w14:paraId="61F781A4">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_Toc13290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3. 投标文件</w:t>
      </w:r>
      <w:r>
        <w:rPr>
          <w:color w:val="auto"/>
          <w:highlight w:val="none"/>
        </w:rPr>
        <w:tab/>
      </w:r>
      <w:r>
        <w:rPr>
          <w:color w:val="auto"/>
          <w:highlight w:val="none"/>
        </w:rPr>
        <w:fldChar w:fldCharType="begin"/>
      </w:r>
      <w:r>
        <w:rPr>
          <w:color w:val="auto"/>
          <w:highlight w:val="none"/>
        </w:rPr>
        <w:instrText xml:space="preserve"> PAGEREF _Toc13290 \h </w:instrText>
      </w:r>
      <w:r>
        <w:rPr>
          <w:color w:val="auto"/>
          <w:highlight w:val="none"/>
        </w:rPr>
        <w:fldChar w:fldCharType="separate"/>
      </w:r>
      <w:r>
        <w:rPr>
          <w:color w:val="auto"/>
          <w:highlight w:val="none"/>
        </w:rPr>
        <w:t>22</w:t>
      </w:r>
      <w:r>
        <w:rPr>
          <w:color w:val="auto"/>
          <w:highlight w:val="none"/>
        </w:rPr>
        <w:fldChar w:fldCharType="end"/>
      </w:r>
      <w:r>
        <w:rPr>
          <w:rFonts w:hint="eastAsia" w:ascii="宋体" w:hAnsi="宋体" w:eastAsia="宋体" w:cs="宋体"/>
          <w:bCs/>
          <w:caps/>
          <w:color w:val="auto"/>
          <w:szCs w:val="24"/>
          <w:highlight w:val="none"/>
        </w:rPr>
        <w:fldChar w:fldCharType="end"/>
      </w:r>
    </w:p>
    <w:p w14:paraId="1F515F98">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_Toc32502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4. 投标</w:t>
      </w:r>
      <w:r>
        <w:rPr>
          <w:color w:val="auto"/>
          <w:highlight w:val="none"/>
        </w:rPr>
        <w:tab/>
      </w:r>
      <w:r>
        <w:rPr>
          <w:color w:val="auto"/>
          <w:highlight w:val="none"/>
        </w:rPr>
        <w:fldChar w:fldCharType="begin"/>
      </w:r>
      <w:r>
        <w:rPr>
          <w:color w:val="auto"/>
          <w:highlight w:val="none"/>
        </w:rPr>
        <w:instrText xml:space="preserve"> PAGEREF _Toc32502 \h </w:instrText>
      </w:r>
      <w:r>
        <w:rPr>
          <w:color w:val="auto"/>
          <w:highlight w:val="none"/>
        </w:rPr>
        <w:fldChar w:fldCharType="separate"/>
      </w:r>
      <w:r>
        <w:rPr>
          <w:color w:val="auto"/>
          <w:highlight w:val="none"/>
        </w:rPr>
        <w:t>24</w:t>
      </w:r>
      <w:r>
        <w:rPr>
          <w:color w:val="auto"/>
          <w:highlight w:val="none"/>
        </w:rPr>
        <w:fldChar w:fldCharType="end"/>
      </w:r>
      <w:r>
        <w:rPr>
          <w:rFonts w:hint="eastAsia" w:ascii="宋体" w:hAnsi="宋体" w:eastAsia="宋体" w:cs="宋体"/>
          <w:bCs/>
          <w:caps/>
          <w:color w:val="auto"/>
          <w:szCs w:val="24"/>
          <w:highlight w:val="none"/>
        </w:rPr>
        <w:fldChar w:fldCharType="end"/>
      </w:r>
    </w:p>
    <w:p w14:paraId="1880D045">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_Toc17306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5. 开标</w:t>
      </w:r>
      <w:r>
        <w:rPr>
          <w:color w:val="auto"/>
          <w:highlight w:val="none"/>
        </w:rPr>
        <w:tab/>
      </w:r>
      <w:r>
        <w:rPr>
          <w:color w:val="auto"/>
          <w:highlight w:val="none"/>
        </w:rPr>
        <w:fldChar w:fldCharType="begin"/>
      </w:r>
      <w:r>
        <w:rPr>
          <w:color w:val="auto"/>
          <w:highlight w:val="none"/>
        </w:rPr>
        <w:instrText xml:space="preserve"> PAGEREF _Toc17306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eastAsia="宋体" w:cs="宋体"/>
          <w:bCs/>
          <w:caps/>
          <w:color w:val="auto"/>
          <w:szCs w:val="24"/>
          <w:highlight w:val="none"/>
        </w:rPr>
        <w:fldChar w:fldCharType="end"/>
      </w:r>
    </w:p>
    <w:p w14:paraId="766961E9">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_Toc26693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6. 资格审查</w:t>
      </w:r>
      <w:r>
        <w:rPr>
          <w:color w:val="auto"/>
          <w:highlight w:val="none"/>
        </w:rPr>
        <w:tab/>
      </w:r>
      <w:r>
        <w:rPr>
          <w:color w:val="auto"/>
          <w:highlight w:val="none"/>
        </w:rPr>
        <w:fldChar w:fldCharType="begin"/>
      </w:r>
      <w:r>
        <w:rPr>
          <w:color w:val="auto"/>
          <w:highlight w:val="none"/>
        </w:rPr>
        <w:instrText xml:space="preserve"> PAGEREF _Toc26693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eastAsia="宋体" w:cs="宋体"/>
          <w:bCs/>
          <w:caps/>
          <w:color w:val="auto"/>
          <w:szCs w:val="24"/>
          <w:highlight w:val="none"/>
        </w:rPr>
        <w:fldChar w:fldCharType="end"/>
      </w:r>
    </w:p>
    <w:p w14:paraId="1140F1DA">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_Toc13999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7. 评标</w:t>
      </w:r>
      <w:r>
        <w:rPr>
          <w:color w:val="auto"/>
          <w:highlight w:val="none"/>
        </w:rPr>
        <w:tab/>
      </w:r>
      <w:r>
        <w:rPr>
          <w:color w:val="auto"/>
          <w:highlight w:val="none"/>
        </w:rPr>
        <w:fldChar w:fldCharType="begin"/>
      </w:r>
      <w:r>
        <w:rPr>
          <w:color w:val="auto"/>
          <w:highlight w:val="none"/>
        </w:rPr>
        <w:instrText xml:space="preserve"> PAGEREF _Toc13999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eastAsia="宋体" w:cs="宋体"/>
          <w:bCs/>
          <w:caps/>
          <w:color w:val="auto"/>
          <w:szCs w:val="24"/>
          <w:highlight w:val="none"/>
        </w:rPr>
        <w:fldChar w:fldCharType="end"/>
      </w:r>
    </w:p>
    <w:p w14:paraId="7330DCB8">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_Toc6561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8. 中标和合同</w:t>
      </w:r>
      <w:r>
        <w:rPr>
          <w:color w:val="auto"/>
          <w:highlight w:val="none"/>
        </w:rPr>
        <w:tab/>
      </w:r>
      <w:r>
        <w:rPr>
          <w:color w:val="auto"/>
          <w:highlight w:val="none"/>
        </w:rPr>
        <w:fldChar w:fldCharType="begin"/>
      </w:r>
      <w:r>
        <w:rPr>
          <w:color w:val="auto"/>
          <w:highlight w:val="none"/>
        </w:rPr>
        <w:instrText xml:space="preserve"> PAGEREF _Toc6561 \h </w:instrText>
      </w:r>
      <w:r>
        <w:rPr>
          <w:color w:val="auto"/>
          <w:highlight w:val="none"/>
        </w:rPr>
        <w:fldChar w:fldCharType="separate"/>
      </w:r>
      <w:r>
        <w:rPr>
          <w:color w:val="auto"/>
          <w:highlight w:val="none"/>
        </w:rPr>
        <w:t>26</w:t>
      </w:r>
      <w:r>
        <w:rPr>
          <w:color w:val="auto"/>
          <w:highlight w:val="none"/>
        </w:rPr>
        <w:fldChar w:fldCharType="end"/>
      </w:r>
      <w:r>
        <w:rPr>
          <w:rFonts w:hint="eastAsia" w:ascii="宋体" w:hAnsi="宋体" w:eastAsia="宋体" w:cs="宋体"/>
          <w:bCs/>
          <w:caps/>
          <w:color w:val="auto"/>
          <w:szCs w:val="24"/>
          <w:highlight w:val="none"/>
        </w:rPr>
        <w:fldChar w:fldCharType="end"/>
      </w:r>
    </w:p>
    <w:p w14:paraId="50F6F64B">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_Toc15335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 xml:space="preserve">9. </w:t>
      </w:r>
      <w:r>
        <w:rPr>
          <w:rFonts w:hint="eastAsia" w:ascii="宋体" w:hAnsi="宋体" w:eastAsia="宋体" w:cs="宋体"/>
          <w:color w:val="auto"/>
          <w:szCs w:val="24"/>
          <w:highlight w:val="none"/>
          <w:lang w:val="en-US" w:eastAsia="zh-CN"/>
        </w:rPr>
        <w:t>重新招标与不再招标</w:t>
      </w:r>
      <w:r>
        <w:rPr>
          <w:color w:val="auto"/>
          <w:highlight w:val="none"/>
        </w:rPr>
        <w:tab/>
      </w:r>
      <w:r>
        <w:rPr>
          <w:color w:val="auto"/>
          <w:highlight w:val="none"/>
        </w:rPr>
        <w:fldChar w:fldCharType="begin"/>
      </w:r>
      <w:r>
        <w:rPr>
          <w:color w:val="auto"/>
          <w:highlight w:val="none"/>
        </w:rPr>
        <w:instrText xml:space="preserve"> PAGEREF _Toc15335 \h </w:instrText>
      </w:r>
      <w:r>
        <w:rPr>
          <w:color w:val="auto"/>
          <w:highlight w:val="none"/>
        </w:rPr>
        <w:fldChar w:fldCharType="separate"/>
      </w:r>
      <w:r>
        <w:rPr>
          <w:color w:val="auto"/>
          <w:highlight w:val="none"/>
        </w:rPr>
        <w:t>27</w:t>
      </w:r>
      <w:r>
        <w:rPr>
          <w:color w:val="auto"/>
          <w:highlight w:val="none"/>
        </w:rPr>
        <w:fldChar w:fldCharType="end"/>
      </w:r>
      <w:r>
        <w:rPr>
          <w:rFonts w:hint="eastAsia" w:ascii="宋体" w:hAnsi="宋体" w:eastAsia="宋体" w:cs="宋体"/>
          <w:bCs/>
          <w:caps/>
          <w:color w:val="auto"/>
          <w:szCs w:val="24"/>
          <w:highlight w:val="none"/>
        </w:rPr>
        <w:fldChar w:fldCharType="end"/>
      </w:r>
    </w:p>
    <w:p w14:paraId="6199501B">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_Toc4788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kern w:val="0"/>
          <w:szCs w:val="24"/>
          <w:highlight w:val="none"/>
          <w:lang w:val="en-US" w:eastAsia="zh-CN"/>
        </w:rPr>
        <w:t>公开招标数额标准以上的采购项目，投标截止后投标人不足3家或者通过资格审查或符合性审查的投标人不足3家的，除采购任务取消情形外，按照以下方式处理：</w:t>
      </w:r>
      <w:r>
        <w:rPr>
          <w:color w:val="auto"/>
          <w:highlight w:val="none"/>
        </w:rPr>
        <w:tab/>
      </w:r>
      <w:r>
        <w:rPr>
          <w:color w:val="auto"/>
          <w:highlight w:val="none"/>
        </w:rPr>
        <w:fldChar w:fldCharType="begin"/>
      </w:r>
      <w:r>
        <w:rPr>
          <w:color w:val="auto"/>
          <w:highlight w:val="none"/>
        </w:rPr>
        <w:instrText xml:space="preserve"> PAGEREF _Toc4788 \h </w:instrText>
      </w:r>
      <w:r>
        <w:rPr>
          <w:color w:val="auto"/>
          <w:highlight w:val="none"/>
        </w:rPr>
        <w:fldChar w:fldCharType="separate"/>
      </w:r>
      <w:r>
        <w:rPr>
          <w:color w:val="auto"/>
          <w:highlight w:val="none"/>
        </w:rPr>
        <w:t>27</w:t>
      </w:r>
      <w:r>
        <w:rPr>
          <w:color w:val="auto"/>
          <w:highlight w:val="none"/>
        </w:rPr>
        <w:fldChar w:fldCharType="end"/>
      </w:r>
      <w:r>
        <w:rPr>
          <w:rFonts w:hint="eastAsia" w:ascii="宋体" w:hAnsi="宋体" w:eastAsia="宋体" w:cs="宋体"/>
          <w:bCs/>
          <w:caps/>
          <w:color w:val="auto"/>
          <w:szCs w:val="24"/>
          <w:highlight w:val="none"/>
        </w:rPr>
        <w:fldChar w:fldCharType="end"/>
      </w:r>
    </w:p>
    <w:p w14:paraId="1F695DC1">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_Toc14495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10. 质疑</w:t>
      </w:r>
      <w:r>
        <w:rPr>
          <w:rFonts w:hint="eastAsia" w:ascii="宋体" w:hAnsi="宋体" w:eastAsia="宋体" w:cs="宋体"/>
          <w:color w:val="auto"/>
          <w:szCs w:val="24"/>
          <w:highlight w:val="none"/>
          <w:lang w:val="en-US" w:eastAsia="zh-CN"/>
        </w:rPr>
        <w:t>和投诉</w:t>
      </w:r>
      <w:r>
        <w:rPr>
          <w:color w:val="auto"/>
          <w:highlight w:val="none"/>
        </w:rPr>
        <w:tab/>
      </w:r>
      <w:r>
        <w:rPr>
          <w:color w:val="auto"/>
          <w:highlight w:val="none"/>
        </w:rPr>
        <w:fldChar w:fldCharType="begin"/>
      </w:r>
      <w:r>
        <w:rPr>
          <w:color w:val="auto"/>
          <w:highlight w:val="none"/>
        </w:rPr>
        <w:instrText xml:space="preserve"> PAGEREF _Toc14495 \h </w:instrText>
      </w:r>
      <w:r>
        <w:rPr>
          <w:color w:val="auto"/>
          <w:highlight w:val="none"/>
        </w:rPr>
        <w:fldChar w:fldCharType="separate"/>
      </w:r>
      <w:r>
        <w:rPr>
          <w:color w:val="auto"/>
          <w:highlight w:val="none"/>
        </w:rPr>
        <w:t>27</w:t>
      </w:r>
      <w:r>
        <w:rPr>
          <w:color w:val="auto"/>
          <w:highlight w:val="none"/>
        </w:rPr>
        <w:fldChar w:fldCharType="end"/>
      </w:r>
      <w:r>
        <w:rPr>
          <w:rFonts w:hint="eastAsia" w:ascii="宋体" w:hAnsi="宋体" w:eastAsia="宋体" w:cs="宋体"/>
          <w:bCs/>
          <w:caps/>
          <w:color w:val="auto"/>
          <w:szCs w:val="24"/>
          <w:highlight w:val="none"/>
        </w:rPr>
        <w:fldChar w:fldCharType="end"/>
      </w:r>
    </w:p>
    <w:p w14:paraId="5EA171F3">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_Toc24150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11. 纪律和监督</w:t>
      </w:r>
      <w:r>
        <w:rPr>
          <w:color w:val="auto"/>
          <w:highlight w:val="none"/>
        </w:rPr>
        <w:tab/>
      </w:r>
      <w:r>
        <w:rPr>
          <w:color w:val="auto"/>
          <w:highlight w:val="none"/>
        </w:rPr>
        <w:fldChar w:fldCharType="begin"/>
      </w:r>
      <w:r>
        <w:rPr>
          <w:color w:val="auto"/>
          <w:highlight w:val="none"/>
        </w:rPr>
        <w:instrText xml:space="preserve"> PAGEREF _Toc24150 \h </w:instrText>
      </w:r>
      <w:r>
        <w:rPr>
          <w:color w:val="auto"/>
          <w:highlight w:val="none"/>
        </w:rPr>
        <w:fldChar w:fldCharType="separate"/>
      </w:r>
      <w:r>
        <w:rPr>
          <w:color w:val="auto"/>
          <w:highlight w:val="none"/>
        </w:rPr>
        <w:t>28</w:t>
      </w:r>
      <w:r>
        <w:rPr>
          <w:color w:val="auto"/>
          <w:highlight w:val="none"/>
        </w:rPr>
        <w:fldChar w:fldCharType="end"/>
      </w:r>
      <w:r>
        <w:rPr>
          <w:rFonts w:hint="eastAsia" w:ascii="宋体" w:hAnsi="宋体" w:eastAsia="宋体" w:cs="宋体"/>
          <w:bCs/>
          <w:caps/>
          <w:color w:val="auto"/>
          <w:szCs w:val="24"/>
          <w:highlight w:val="none"/>
        </w:rPr>
        <w:fldChar w:fldCharType="end"/>
      </w:r>
    </w:p>
    <w:p w14:paraId="4160F483">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_Toc9082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4"/>
          <w:highlight w:val="none"/>
        </w:rPr>
        <w:t>12. 需要补充的其他内容</w:t>
      </w:r>
      <w:r>
        <w:rPr>
          <w:color w:val="auto"/>
          <w:highlight w:val="none"/>
        </w:rPr>
        <w:tab/>
      </w:r>
      <w:r>
        <w:rPr>
          <w:color w:val="auto"/>
          <w:highlight w:val="none"/>
        </w:rPr>
        <w:fldChar w:fldCharType="begin"/>
      </w:r>
      <w:r>
        <w:rPr>
          <w:color w:val="auto"/>
          <w:highlight w:val="none"/>
        </w:rPr>
        <w:instrText xml:space="preserve"> PAGEREF _Toc9082 \h </w:instrText>
      </w:r>
      <w:r>
        <w:rPr>
          <w:color w:val="auto"/>
          <w:highlight w:val="none"/>
        </w:rPr>
        <w:fldChar w:fldCharType="separate"/>
      </w:r>
      <w:r>
        <w:rPr>
          <w:color w:val="auto"/>
          <w:highlight w:val="none"/>
        </w:rPr>
        <w:t>30</w:t>
      </w:r>
      <w:r>
        <w:rPr>
          <w:color w:val="auto"/>
          <w:highlight w:val="none"/>
        </w:rPr>
        <w:fldChar w:fldCharType="end"/>
      </w:r>
      <w:r>
        <w:rPr>
          <w:rFonts w:hint="eastAsia" w:ascii="宋体" w:hAnsi="宋体" w:eastAsia="宋体" w:cs="宋体"/>
          <w:bCs/>
          <w:caps/>
          <w:color w:val="auto"/>
          <w:szCs w:val="24"/>
          <w:highlight w:val="none"/>
        </w:rPr>
        <w:fldChar w:fldCharType="end"/>
      </w:r>
    </w:p>
    <w:p w14:paraId="4964D9AC">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_Toc31521 </w:instrText>
      </w:r>
      <w:r>
        <w:rPr>
          <w:rFonts w:hint="eastAsia" w:ascii="宋体" w:hAnsi="宋体" w:eastAsia="宋体" w:cs="宋体"/>
          <w:bCs/>
          <w:caps/>
          <w:color w:val="auto"/>
          <w:szCs w:val="24"/>
          <w:highlight w:val="none"/>
        </w:rPr>
        <w:fldChar w:fldCharType="separate"/>
      </w:r>
      <w:r>
        <w:rPr>
          <w:rFonts w:hint="eastAsia" w:ascii="宋体" w:hAnsi="宋体" w:eastAsia="宋体" w:cs="宋体"/>
          <w:b/>
          <w:bCs/>
          <w:color w:val="auto"/>
          <w:highlight w:val="none"/>
        </w:rPr>
        <w:t>第三章 资格审查</w:t>
      </w:r>
      <w:r>
        <w:rPr>
          <w:color w:val="auto"/>
          <w:highlight w:val="none"/>
        </w:rPr>
        <w:tab/>
      </w:r>
      <w:r>
        <w:rPr>
          <w:color w:val="auto"/>
          <w:highlight w:val="none"/>
        </w:rPr>
        <w:fldChar w:fldCharType="begin"/>
      </w:r>
      <w:r>
        <w:rPr>
          <w:color w:val="auto"/>
          <w:highlight w:val="none"/>
        </w:rPr>
        <w:instrText xml:space="preserve"> PAGEREF _Toc31521 \h </w:instrText>
      </w:r>
      <w:r>
        <w:rPr>
          <w:color w:val="auto"/>
          <w:highlight w:val="none"/>
        </w:rPr>
        <w:fldChar w:fldCharType="separate"/>
      </w:r>
      <w:r>
        <w:rPr>
          <w:color w:val="auto"/>
          <w:highlight w:val="none"/>
        </w:rPr>
        <w:t>34</w:t>
      </w:r>
      <w:r>
        <w:rPr>
          <w:color w:val="auto"/>
          <w:highlight w:val="none"/>
        </w:rPr>
        <w:fldChar w:fldCharType="end"/>
      </w:r>
      <w:r>
        <w:rPr>
          <w:rFonts w:hint="eastAsia" w:ascii="宋体" w:hAnsi="宋体" w:eastAsia="宋体" w:cs="宋体"/>
          <w:bCs/>
          <w:caps/>
          <w:color w:val="auto"/>
          <w:szCs w:val="24"/>
          <w:highlight w:val="none"/>
        </w:rPr>
        <w:fldChar w:fldCharType="end"/>
      </w:r>
    </w:p>
    <w:p w14:paraId="65338DAE">
      <w:pPr>
        <w:pStyle w:val="24"/>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_Toc24870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highlight w:val="none"/>
          <w:lang w:val="zh-CN" w:eastAsia="zh-CN"/>
        </w:rPr>
        <w:t>第四章 评标办法(综合评分法)</w:t>
      </w:r>
      <w:r>
        <w:rPr>
          <w:color w:val="auto"/>
          <w:highlight w:val="none"/>
        </w:rPr>
        <w:tab/>
      </w:r>
      <w:r>
        <w:rPr>
          <w:color w:val="auto"/>
          <w:highlight w:val="none"/>
        </w:rPr>
        <w:fldChar w:fldCharType="begin"/>
      </w:r>
      <w:r>
        <w:rPr>
          <w:color w:val="auto"/>
          <w:highlight w:val="none"/>
        </w:rPr>
        <w:instrText xml:space="preserve"> PAGEREF _Toc24870 \h </w:instrText>
      </w:r>
      <w:r>
        <w:rPr>
          <w:color w:val="auto"/>
          <w:highlight w:val="none"/>
        </w:rPr>
        <w:fldChar w:fldCharType="separate"/>
      </w:r>
      <w:r>
        <w:rPr>
          <w:color w:val="auto"/>
          <w:highlight w:val="none"/>
        </w:rPr>
        <w:t>35</w:t>
      </w:r>
      <w:r>
        <w:rPr>
          <w:color w:val="auto"/>
          <w:highlight w:val="none"/>
        </w:rPr>
        <w:fldChar w:fldCharType="end"/>
      </w:r>
      <w:r>
        <w:rPr>
          <w:rFonts w:hint="eastAsia" w:ascii="宋体" w:hAnsi="宋体" w:eastAsia="宋体" w:cs="宋体"/>
          <w:bCs/>
          <w:caps/>
          <w:color w:val="auto"/>
          <w:szCs w:val="24"/>
          <w:highlight w:val="none"/>
        </w:rPr>
        <w:fldChar w:fldCharType="end"/>
      </w:r>
    </w:p>
    <w:p w14:paraId="3F6F053F">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_Toc416 </w:instrText>
      </w:r>
      <w:r>
        <w:rPr>
          <w:rFonts w:hint="eastAsia" w:ascii="宋体" w:hAnsi="宋体" w:eastAsia="宋体" w:cs="宋体"/>
          <w:bCs/>
          <w:caps/>
          <w:color w:val="auto"/>
          <w:szCs w:val="24"/>
          <w:highlight w:val="none"/>
        </w:rPr>
        <w:fldChar w:fldCharType="separate"/>
      </w:r>
      <w:r>
        <w:rPr>
          <w:rFonts w:hint="eastAsia" w:ascii="宋体" w:hAnsi="宋体" w:eastAsia="宋体" w:cs="宋体"/>
          <w:bCs w:val="0"/>
          <w:color w:val="auto"/>
          <w:szCs w:val="24"/>
          <w:highlight w:val="none"/>
        </w:rPr>
        <w:t>附件</w:t>
      </w:r>
      <w:r>
        <w:rPr>
          <w:rFonts w:hint="eastAsia" w:ascii="宋体" w:hAnsi="宋体" w:eastAsia="宋体" w:cs="宋体"/>
          <w:bCs w:val="0"/>
          <w:color w:val="auto"/>
          <w:szCs w:val="24"/>
          <w:highlight w:val="none"/>
          <w:lang w:val="en-US" w:eastAsia="zh-CN"/>
        </w:rPr>
        <w:t>A</w:t>
      </w:r>
      <w:r>
        <w:rPr>
          <w:rFonts w:hint="eastAsia" w:ascii="宋体" w:hAnsi="宋体" w:eastAsia="宋体" w:cs="宋体"/>
          <w:bCs w:val="0"/>
          <w:color w:val="auto"/>
          <w:szCs w:val="24"/>
          <w:highlight w:val="none"/>
        </w:rPr>
        <w:t>：否决投标条款</w:t>
      </w:r>
      <w:r>
        <w:rPr>
          <w:color w:val="auto"/>
          <w:highlight w:val="none"/>
        </w:rPr>
        <w:tab/>
      </w:r>
      <w:r>
        <w:rPr>
          <w:color w:val="auto"/>
          <w:highlight w:val="none"/>
        </w:rPr>
        <w:fldChar w:fldCharType="begin"/>
      </w:r>
      <w:r>
        <w:rPr>
          <w:color w:val="auto"/>
          <w:highlight w:val="none"/>
        </w:rPr>
        <w:instrText xml:space="preserve"> PAGEREF _Toc416 \h </w:instrText>
      </w:r>
      <w:r>
        <w:rPr>
          <w:color w:val="auto"/>
          <w:highlight w:val="none"/>
        </w:rPr>
        <w:fldChar w:fldCharType="separate"/>
      </w:r>
      <w:r>
        <w:rPr>
          <w:color w:val="auto"/>
          <w:highlight w:val="none"/>
        </w:rPr>
        <w:t>41</w:t>
      </w:r>
      <w:r>
        <w:rPr>
          <w:color w:val="auto"/>
          <w:highlight w:val="none"/>
        </w:rPr>
        <w:fldChar w:fldCharType="end"/>
      </w:r>
      <w:r>
        <w:rPr>
          <w:rFonts w:hint="eastAsia" w:ascii="宋体" w:hAnsi="宋体" w:eastAsia="宋体" w:cs="宋体"/>
          <w:bCs/>
          <w:caps/>
          <w:color w:val="auto"/>
          <w:szCs w:val="24"/>
          <w:highlight w:val="none"/>
        </w:rPr>
        <w:fldChar w:fldCharType="end"/>
      </w:r>
    </w:p>
    <w:p w14:paraId="2F5BD5C1">
      <w:pPr>
        <w:pStyle w:val="30"/>
        <w:pageBreakBefore w:val="0"/>
        <w:tabs>
          <w:tab w:val="right" w:leader="dot" w:pos="9740"/>
        </w:tabs>
        <w:kinsoku/>
        <w:wordWrap w:val="0"/>
        <w:overflowPunct/>
        <w:bidi w:val="0"/>
        <w:rPr>
          <w:b/>
          <w:bCs/>
          <w:color w:val="auto"/>
          <w:highlight w:val="none"/>
        </w:rPr>
      </w:pPr>
      <w:r>
        <w:rPr>
          <w:rFonts w:hint="eastAsia" w:ascii="宋体" w:hAnsi="宋体" w:eastAsia="宋体" w:cs="宋体"/>
          <w:b/>
          <w:bCs/>
          <w:caps/>
          <w:color w:val="auto"/>
          <w:szCs w:val="24"/>
          <w:highlight w:val="none"/>
        </w:rPr>
        <w:fldChar w:fldCharType="begin"/>
      </w:r>
      <w:r>
        <w:rPr>
          <w:rFonts w:hint="eastAsia" w:ascii="宋体" w:hAnsi="宋体" w:eastAsia="宋体" w:cs="宋体"/>
          <w:b/>
          <w:bCs/>
          <w:caps/>
          <w:color w:val="auto"/>
          <w:szCs w:val="24"/>
          <w:highlight w:val="none"/>
        </w:rPr>
        <w:instrText xml:space="preserve"> HYPERLINK \l _Toc7237 </w:instrText>
      </w:r>
      <w:r>
        <w:rPr>
          <w:rFonts w:hint="eastAsia" w:ascii="宋体" w:hAnsi="宋体" w:eastAsia="宋体" w:cs="宋体"/>
          <w:b/>
          <w:bCs/>
          <w:caps/>
          <w:color w:val="auto"/>
          <w:szCs w:val="24"/>
          <w:highlight w:val="none"/>
        </w:rPr>
        <w:fldChar w:fldCharType="separate"/>
      </w:r>
      <w:r>
        <w:rPr>
          <w:rFonts w:hint="eastAsia" w:ascii="宋体" w:hAnsi="宋体" w:eastAsia="宋体" w:cs="宋体"/>
          <w:b/>
          <w:bCs/>
          <w:color w:val="auto"/>
          <w:highlight w:val="none"/>
        </w:rPr>
        <w:t>第五章 合同条款及格式</w:t>
      </w:r>
      <w:r>
        <w:rPr>
          <w:b/>
          <w:bCs/>
          <w:color w:val="auto"/>
          <w:highlight w:val="none"/>
        </w:rPr>
        <w:tab/>
      </w:r>
      <w:r>
        <w:rPr>
          <w:b/>
          <w:bCs/>
          <w:color w:val="auto"/>
          <w:highlight w:val="none"/>
        </w:rPr>
        <w:fldChar w:fldCharType="begin"/>
      </w:r>
      <w:r>
        <w:rPr>
          <w:b/>
          <w:bCs/>
          <w:color w:val="auto"/>
          <w:highlight w:val="none"/>
        </w:rPr>
        <w:instrText xml:space="preserve"> PAGEREF _Toc7237 \h </w:instrText>
      </w:r>
      <w:r>
        <w:rPr>
          <w:b/>
          <w:bCs/>
          <w:color w:val="auto"/>
          <w:highlight w:val="none"/>
        </w:rPr>
        <w:fldChar w:fldCharType="separate"/>
      </w:r>
      <w:r>
        <w:rPr>
          <w:b/>
          <w:bCs/>
          <w:color w:val="auto"/>
          <w:highlight w:val="none"/>
        </w:rPr>
        <w:t>44</w:t>
      </w:r>
      <w:r>
        <w:rPr>
          <w:b/>
          <w:bCs/>
          <w:color w:val="auto"/>
          <w:highlight w:val="none"/>
        </w:rPr>
        <w:fldChar w:fldCharType="end"/>
      </w:r>
      <w:r>
        <w:rPr>
          <w:rFonts w:hint="eastAsia" w:ascii="宋体" w:hAnsi="宋体" w:eastAsia="宋体" w:cs="宋体"/>
          <w:b/>
          <w:bCs/>
          <w:caps/>
          <w:color w:val="auto"/>
          <w:szCs w:val="24"/>
          <w:highlight w:val="none"/>
        </w:rPr>
        <w:fldChar w:fldCharType="end"/>
      </w:r>
    </w:p>
    <w:p w14:paraId="2B038880">
      <w:pPr>
        <w:pStyle w:val="30"/>
        <w:pageBreakBefore w:val="0"/>
        <w:tabs>
          <w:tab w:val="right" w:leader="dot" w:pos="9740"/>
        </w:tabs>
        <w:kinsoku/>
        <w:wordWrap w:val="0"/>
        <w:overflowPunct/>
        <w:bidi w:val="0"/>
        <w:rPr>
          <w:b/>
          <w:bCs/>
          <w:color w:val="auto"/>
          <w:highlight w:val="none"/>
        </w:rPr>
      </w:pPr>
      <w:r>
        <w:rPr>
          <w:rFonts w:hint="eastAsia" w:ascii="宋体" w:hAnsi="宋体" w:eastAsia="宋体" w:cs="宋体"/>
          <w:b/>
          <w:bCs/>
          <w:caps/>
          <w:color w:val="auto"/>
          <w:szCs w:val="24"/>
          <w:highlight w:val="none"/>
        </w:rPr>
        <w:fldChar w:fldCharType="begin"/>
      </w:r>
      <w:r>
        <w:rPr>
          <w:rFonts w:hint="eastAsia" w:ascii="宋体" w:hAnsi="宋体" w:eastAsia="宋体" w:cs="宋体"/>
          <w:b/>
          <w:bCs/>
          <w:caps/>
          <w:color w:val="auto"/>
          <w:szCs w:val="24"/>
          <w:highlight w:val="none"/>
        </w:rPr>
        <w:instrText xml:space="preserve"> HYPERLINK \l _Toc15626 </w:instrText>
      </w:r>
      <w:r>
        <w:rPr>
          <w:rFonts w:hint="eastAsia" w:ascii="宋体" w:hAnsi="宋体" w:eastAsia="宋体" w:cs="宋体"/>
          <w:b/>
          <w:bCs/>
          <w:caps/>
          <w:color w:val="auto"/>
          <w:szCs w:val="24"/>
          <w:highlight w:val="none"/>
        </w:rPr>
        <w:fldChar w:fldCharType="separate"/>
      </w:r>
      <w:r>
        <w:rPr>
          <w:rFonts w:hint="eastAsia" w:ascii="宋体" w:hAnsi="宋体" w:eastAsia="宋体" w:cs="宋体"/>
          <w:b/>
          <w:bCs/>
          <w:color w:val="auto"/>
          <w:highlight w:val="none"/>
        </w:rPr>
        <w:t xml:space="preserve">第六章 </w:t>
      </w:r>
      <w:r>
        <w:rPr>
          <w:rFonts w:hint="eastAsia" w:ascii="宋体" w:hAnsi="宋体" w:eastAsia="宋体" w:cs="宋体"/>
          <w:b/>
          <w:bCs/>
          <w:color w:val="auto"/>
          <w:highlight w:val="none"/>
          <w:lang w:eastAsia="zh-CN"/>
        </w:rPr>
        <w:t>采购需求</w:t>
      </w:r>
      <w:r>
        <w:rPr>
          <w:rFonts w:hint="eastAsia" w:ascii="宋体" w:hAnsi="宋体" w:eastAsia="宋体" w:cs="宋体"/>
          <w:b/>
          <w:bCs/>
          <w:color w:val="auto"/>
          <w:highlight w:val="none"/>
        </w:rPr>
        <w:t>及技术规格</w:t>
      </w:r>
      <w:r>
        <w:rPr>
          <w:rFonts w:hint="eastAsia" w:ascii="宋体" w:hAnsi="宋体" w:eastAsia="宋体" w:cs="宋体"/>
          <w:b/>
          <w:bCs/>
          <w:color w:val="auto"/>
          <w:highlight w:val="none"/>
          <w:lang w:val="en-US" w:eastAsia="zh-CN"/>
        </w:rPr>
        <w:t>要求</w:t>
      </w:r>
      <w:r>
        <w:rPr>
          <w:b/>
          <w:bCs/>
          <w:color w:val="auto"/>
          <w:highlight w:val="none"/>
        </w:rPr>
        <w:tab/>
      </w:r>
      <w:r>
        <w:rPr>
          <w:b/>
          <w:bCs/>
          <w:color w:val="auto"/>
          <w:highlight w:val="none"/>
        </w:rPr>
        <w:fldChar w:fldCharType="begin"/>
      </w:r>
      <w:r>
        <w:rPr>
          <w:b/>
          <w:bCs/>
          <w:color w:val="auto"/>
          <w:highlight w:val="none"/>
        </w:rPr>
        <w:instrText xml:space="preserve"> PAGEREF _Toc15626 \h </w:instrText>
      </w:r>
      <w:r>
        <w:rPr>
          <w:b/>
          <w:bCs/>
          <w:color w:val="auto"/>
          <w:highlight w:val="none"/>
        </w:rPr>
        <w:fldChar w:fldCharType="separate"/>
      </w:r>
      <w:r>
        <w:rPr>
          <w:b/>
          <w:bCs/>
          <w:color w:val="auto"/>
          <w:highlight w:val="none"/>
        </w:rPr>
        <w:t>49</w:t>
      </w:r>
      <w:r>
        <w:rPr>
          <w:b/>
          <w:bCs/>
          <w:color w:val="auto"/>
          <w:highlight w:val="none"/>
        </w:rPr>
        <w:fldChar w:fldCharType="end"/>
      </w:r>
      <w:r>
        <w:rPr>
          <w:rFonts w:hint="eastAsia" w:ascii="宋体" w:hAnsi="宋体" w:eastAsia="宋体" w:cs="宋体"/>
          <w:b/>
          <w:bCs/>
          <w:caps/>
          <w:color w:val="auto"/>
          <w:szCs w:val="24"/>
          <w:highlight w:val="none"/>
        </w:rPr>
        <w:fldChar w:fldCharType="end"/>
      </w:r>
    </w:p>
    <w:p w14:paraId="312A576F">
      <w:pPr>
        <w:pStyle w:val="30"/>
        <w:pageBreakBefore w:val="0"/>
        <w:tabs>
          <w:tab w:val="right" w:leader="dot" w:pos="9740"/>
        </w:tabs>
        <w:kinsoku/>
        <w:wordWrap w:val="0"/>
        <w:overflowPunct/>
        <w:bidi w:val="0"/>
        <w:rPr>
          <w:color w:val="auto"/>
          <w:highlight w:val="none"/>
        </w:rPr>
      </w:pPr>
      <w:r>
        <w:rPr>
          <w:rFonts w:hint="eastAsia" w:ascii="宋体" w:hAnsi="宋体" w:eastAsia="宋体" w:cs="宋体"/>
          <w:b/>
          <w:bCs/>
          <w:caps/>
          <w:color w:val="auto"/>
          <w:szCs w:val="24"/>
          <w:highlight w:val="none"/>
        </w:rPr>
        <w:fldChar w:fldCharType="begin"/>
      </w:r>
      <w:r>
        <w:rPr>
          <w:rFonts w:hint="eastAsia" w:ascii="宋体" w:hAnsi="宋体" w:eastAsia="宋体" w:cs="宋体"/>
          <w:b/>
          <w:bCs/>
          <w:caps/>
          <w:color w:val="auto"/>
          <w:szCs w:val="24"/>
          <w:highlight w:val="none"/>
        </w:rPr>
        <w:instrText xml:space="preserve"> HYPERLINK \l _Toc6611 </w:instrText>
      </w:r>
      <w:r>
        <w:rPr>
          <w:rFonts w:hint="eastAsia" w:ascii="宋体" w:hAnsi="宋体" w:eastAsia="宋体" w:cs="宋体"/>
          <w:b/>
          <w:bCs/>
          <w:caps/>
          <w:color w:val="auto"/>
          <w:szCs w:val="24"/>
          <w:highlight w:val="none"/>
        </w:rPr>
        <w:fldChar w:fldCharType="separate"/>
      </w:r>
      <w:r>
        <w:rPr>
          <w:rFonts w:hint="eastAsia" w:ascii="宋体" w:hAnsi="宋体" w:eastAsia="宋体" w:cs="宋体"/>
          <w:b/>
          <w:bCs/>
          <w:color w:val="auto"/>
          <w:highlight w:val="none"/>
        </w:rPr>
        <w:t>第七章 投标文件格式</w:t>
      </w:r>
      <w:r>
        <w:rPr>
          <w:b/>
          <w:bCs/>
          <w:color w:val="auto"/>
          <w:highlight w:val="none"/>
        </w:rPr>
        <w:tab/>
      </w:r>
      <w:r>
        <w:rPr>
          <w:b/>
          <w:bCs/>
          <w:color w:val="auto"/>
          <w:highlight w:val="none"/>
        </w:rPr>
        <w:fldChar w:fldCharType="begin"/>
      </w:r>
      <w:r>
        <w:rPr>
          <w:b/>
          <w:bCs/>
          <w:color w:val="auto"/>
          <w:highlight w:val="none"/>
        </w:rPr>
        <w:instrText xml:space="preserve"> PAGEREF _Toc6611 \h </w:instrText>
      </w:r>
      <w:r>
        <w:rPr>
          <w:b/>
          <w:bCs/>
          <w:color w:val="auto"/>
          <w:highlight w:val="none"/>
        </w:rPr>
        <w:fldChar w:fldCharType="separate"/>
      </w:r>
      <w:r>
        <w:rPr>
          <w:b/>
          <w:bCs/>
          <w:color w:val="auto"/>
          <w:highlight w:val="none"/>
        </w:rPr>
        <w:t>106</w:t>
      </w:r>
      <w:r>
        <w:rPr>
          <w:b/>
          <w:bCs/>
          <w:color w:val="auto"/>
          <w:highlight w:val="none"/>
        </w:rPr>
        <w:fldChar w:fldCharType="end"/>
      </w:r>
      <w:r>
        <w:rPr>
          <w:rFonts w:hint="eastAsia" w:ascii="宋体" w:hAnsi="宋体" w:eastAsia="宋体" w:cs="宋体"/>
          <w:b/>
          <w:bCs/>
          <w:caps/>
          <w:color w:val="auto"/>
          <w:szCs w:val="24"/>
          <w:highlight w:val="none"/>
        </w:rPr>
        <w:fldChar w:fldCharType="end"/>
      </w:r>
    </w:p>
    <w:p w14:paraId="6EB22DA5">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_Toc21149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bCs/>
          <w:i w:val="0"/>
          <w:iCs w:val="0"/>
          <w:color w:val="auto"/>
          <w:szCs w:val="48"/>
          <w:highlight w:val="none"/>
        </w:rPr>
        <w:t>资格审查部分</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_Toc21149 \h </w:instrText>
      </w:r>
      <w:r>
        <w:rPr>
          <w:i w:val="0"/>
          <w:iCs w:val="0"/>
          <w:color w:val="auto"/>
          <w:highlight w:val="none"/>
        </w:rPr>
        <w:fldChar w:fldCharType="separate"/>
      </w:r>
      <w:r>
        <w:rPr>
          <w:i w:val="0"/>
          <w:iCs w:val="0"/>
          <w:color w:val="auto"/>
          <w:highlight w:val="none"/>
        </w:rPr>
        <w:t>107</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05B3F97F">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_Toc21884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bCs/>
          <w:i w:val="0"/>
          <w:iCs w:val="0"/>
          <w:color w:val="auto"/>
          <w:szCs w:val="28"/>
          <w:highlight w:val="none"/>
          <w:lang w:val="en-US" w:eastAsia="zh-CN"/>
        </w:rPr>
        <w:t>（一）</w:t>
      </w:r>
      <w:r>
        <w:rPr>
          <w:rFonts w:hint="eastAsia" w:ascii="宋体" w:hAnsi="宋体" w:eastAsia="宋体" w:cs="宋体"/>
          <w:bCs/>
          <w:i w:val="0"/>
          <w:iCs w:val="0"/>
          <w:color w:val="auto"/>
          <w:szCs w:val="28"/>
          <w:highlight w:val="none"/>
          <w:lang w:val="zh-CN" w:eastAsia="zh-CN"/>
        </w:rPr>
        <w:t>、投标人基本情况表</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_Toc21884 \h </w:instrText>
      </w:r>
      <w:r>
        <w:rPr>
          <w:i w:val="0"/>
          <w:iCs w:val="0"/>
          <w:color w:val="auto"/>
          <w:highlight w:val="none"/>
        </w:rPr>
        <w:fldChar w:fldCharType="separate"/>
      </w:r>
      <w:r>
        <w:rPr>
          <w:i w:val="0"/>
          <w:iCs w:val="0"/>
          <w:color w:val="auto"/>
          <w:highlight w:val="none"/>
        </w:rPr>
        <w:t>109</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5F5356E1">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_Toc13596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i w:val="0"/>
          <w:iCs w:val="0"/>
          <w:color w:val="auto"/>
          <w:szCs w:val="32"/>
          <w:highlight w:val="none"/>
          <w:lang w:val="en-US" w:eastAsia="zh-CN"/>
        </w:rPr>
        <w:t>（二）</w:t>
      </w:r>
      <w:r>
        <w:rPr>
          <w:rFonts w:hint="eastAsia" w:ascii="宋体" w:hAnsi="宋体" w:eastAsia="宋体" w:cs="宋体"/>
          <w:i w:val="0"/>
          <w:iCs w:val="0"/>
          <w:color w:val="auto"/>
          <w:szCs w:val="32"/>
          <w:highlight w:val="none"/>
          <w:lang w:eastAsia="zh-CN"/>
        </w:rPr>
        <w:t>具有良好的商业信誉和健全的财务会计制度；</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_Toc13596 \h </w:instrText>
      </w:r>
      <w:r>
        <w:rPr>
          <w:i w:val="0"/>
          <w:iCs w:val="0"/>
          <w:color w:val="auto"/>
          <w:highlight w:val="none"/>
        </w:rPr>
        <w:fldChar w:fldCharType="separate"/>
      </w:r>
      <w:r>
        <w:rPr>
          <w:i w:val="0"/>
          <w:iCs w:val="0"/>
          <w:color w:val="auto"/>
          <w:highlight w:val="none"/>
        </w:rPr>
        <w:t>110</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1149BB44">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_Toc19713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i w:val="0"/>
          <w:iCs w:val="0"/>
          <w:color w:val="auto"/>
          <w:szCs w:val="32"/>
          <w:highlight w:val="none"/>
          <w:lang w:val="en-US" w:eastAsia="zh-CN"/>
        </w:rPr>
        <w:t>（三）</w:t>
      </w:r>
      <w:r>
        <w:rPr>
          <w:rFonts w:hint="eastAsia" w:ascii="宋体" w:hAnsi="宋体" w:eastAsia="宋体" w:cs="宋体"/>
          <w:i w:val="0"/>
          <w:iCs w:val="0"/>
          <w:color w:val="auto"/>
          <w:szCs w:val="32"/>
          <w:highlight w:val="none"/>
          <w:lang w:eastAsia="zh-CN"/>
        </w:rPr>
        <w:t>具有履行合同所必需的设备和专业技术能力</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_Toc19713 \h </w:instrText>
      </w:r>
      <w:r>
        <w:rPr>
          <w:i w:val="0"/>
          <w:iCs w:val="0"/>
          <w:color w:val="auto"/>
          <w:highlight w:val="none"/>
        </w:rPr>
        <w:fldChar w:fldCharType="separate"/>
      </w:r>
      <w:r>
        <w:rPr>
          <w:i w:val="0"/>
          <w:iCs w:val="0"/>
          <w:color w:val="auto"/>
          <w:highlight w:val="none"/>
        </w:rPr>
        <w:t>111</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130AAAEF">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_Toc26001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i w:val="0"/>
          <w:iCs w:val="0"/>
          <w:color w:val="auto"/>
          <w:szCs w:val="32"/>
          <w:highlight w:val="none"/>
          <w:lang w:val="en-US" w:eastAsia="zh-CN"/>
        </w:rPr>
        <w:t>（四）</w:t>
      </w:r>
      <w:r>
        <w:rPr>
          <w:rFonts w:hint="eastAsia" w:ascii="宋体" w:hAnsi="宋体" w:eastAsia="宋体" w:cs="宋体"/>
          <w:i w:val="0"/>
          <w:iCs w:val="0"/>
          <w:color w:val="auto"/>
          <w:szCs w:val="32"/>
          <w:highlight w:val="none"/>
          <w:lang w:eastAsia="zh-CN"/>
        </w:rPr>
        <w:t>有依法缴纳税收和社会保障资金的良好记录</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_Toc26001 \h </w:instrText>
      </w:r>
      <w:r>
        <w:rPr>
          <w:i w:val="0"/>
          <w:iCs w:val="0"/>
          <w:color w:val="auto"/>
          <w:highlight w:val="none"/>
        </w:rPr>
        <w:fldChar w:fldCharType="separate"/>
      </w:r>
      <w:r>
        <w:rPr>
          <w:i w:val="0"/>
          <w:iCs w:val="0"/>
          <w:color w:val="auto"/>
          <w:highlight w:val="none"/>
        </w:rPr>
        <w:t>111</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092564BA">
      <w:pPr>
        <w:pStyle w:val="30"/>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_Toc17238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i w:val="0"/>
          <w:iCs w:val="0"/>
          <w:color w:val="auto"/>
          <w:szCs w:val="24"/>
          <w:highlight w:val="none"/>
          <w:lang w:val="en-US" w:eastAsia="zh-CN"/>
        </w:rPr>
        <w:t xml:space="preserve">二、 </w:t>
      </w:r>
      <w:r>
        <w:rPr>
          <w:rFonts w:hint="eastAsia" w:ascii="宋体" w:hAnsi="宋体" w:eastAsia="宋体" w:cs="宋体"/>
          <w:bCs/>
          <w:i w:val="0"/>
          <w:iCs w:val="0"/>
          <w:color w:val="auto"/>
          <w:szCs w:val="24"/>
          <w:highlight w:val="none"/>
          <w:lang w:val="zh-CN" w:eastAsia="zh-CN" w:bidi="ar-SA"/>
        </w:rPr>
        <w:t>满足本项目的特定资格要求的资料（</w:t>
      </w:r>
      <w:r>
        <w:rPr>
          <w:rFonts w:hint="eastAsia" w:ascii="宋体" w:hAnsi="宋体" w:eastAsia="宋体" w:cs="宋体"/>
          <w:bCs/>
          <w:i w:val="0"/>
          <w:iCs w:val="0"/>
          <w:color w:val="auto"/>
          <w:szCs w:val="24"/>
          <w:highlight w:val="none"/>
          <w:lang w:val="en-US" w:eastAsia="zh-CN" w:bidi="ar-SA"/>
        </w:rPr>
        <w:t>无）</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_Toc17238 \h </w:instrText>
      </w:r>
      <w:r>
        <w:rPr>
          <w:i w:val="0"/>
          <w:iCs w:val="0"/>
          <w:color w:val="auto"/>
          <w:highlight w:val="none"/>
        </w:rPr>
        <w:fldChar w:fldCharType="separate"/>
      </w:r>
      <w:r>
        <w:rPr>
          <w:i w:val="0"/>
          <w:iCs w:val="0"/>
          <w:color w:val="auto"/>
          <w:highlight w:val="none"/>
        </w:rPr>
        <w:t>112</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3DD611A5">
      <w:pPr>
        <w:pStyle w:val="30"/>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_Toc13014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bCs/>
          <w:i w:val="0"/>
          <w:iCs w:val="0"/>
          <w:color w:val="auto"/>
          <w:szCs w:val="24"/>
          <w:highlight w:val="none"/>
          <w:lang w:val="en-US" w:eastAsia="zh-CN" w:bidi="ar-SA"/>
        </w:rPr>
        <w:t>三、</w:t>
      </w:r>
      <w:r>
        <w:rPr>
          <w:rFonts w:hint="eastAsia" w:ascii="宋体" w:hAnsi="宋体" w:eastAsia="宋体" w:cs="宋体"/>
          <w:bCs/>
          <w:i w:val="0"/>
          <w:iCs w:val="0"/>
          <w:color w:val="auto"/>
          <w:szCs w:val="24"/>
          <w:highlight w:val="none"/>
          <w:lang w:val="zh-CN" w:eastAsia="zh-CN" w:bidi="ar-SA"/>
        </w:rPr>
        <w:t>需落实政府采购政策的材料</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_Toc13014 \h </w:instrText>
      </w:r>
      <w:r>
        <w:rPr>
          <w:i w:val="0"/>
          <w:iCs w:val="0"/>
          <w:color w:val="auto"/>
          <w:highlight w:val="none"/>
        </w:rPr>
        <w:fldChar w:fldCharType="separate"/>
      </w:r>
      <w:r>
        <w:rPr>
          <w:i w:val="0"/>
          <w:iCs w:val="0"/>
          <w:color w:val="auto"/>
          <w:highlight w:val="none"/>
        </w:rPr>
        <w:t>113</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27C7DAC7">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_Toc3165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bCs/>
          <w:i w:val="0"/>
          <w:iCs w:val="0"/>
          <w:color w:val="auto"/>
          <w:szCs w:val="24"/>
          <w:highlight w:val="none"/>
          <w:lang w:val="en-US" w:eastAsia="zh-CN"/>
        </w:rPr>
        <w:t>四</w:t>
      </w:r>
      <w:r>
        <w:rPr>
          <w:rFonts w:hint="eastAsia" w:ascii="宋体" w:hAnsi="宋体" w:eastAsia="宋体" w:cs="宋体"/>
          <w:bCs/>
          <w:i w:val="0"/>
          <w:iCs w:val="0"/>
          <w:color w:val="auto"/>
          <w:szCs w:val="24"/>
          <w:highlight w:val="none"/>
          <w:lang w:val="zh-CN" w:eastAsia="zh-CN"/>
        </w:rPr>
        <w:t>、</w:t>
      </w:r>
      <w:r>
        <w:rPr>
          <w:rFonts w:hint="eastAsia" w:ascii="宋体" w:hAnsi="宋体" w:eastAsia="宋体" w:cs="宋体"/>
          <w:bCs/>
          <w:i w:val="0"/>
          <w:iCs w:val="0"/>
          <w:color w:val="auto"/>
          <w:szCs w:val="24"/>
          <w:highlight w:val="none"/>
          <w:lang w:val="en-US" w:eastAsia="zh-CN"/>
        </w:rPr>
        <w:t>联合体协议书（</w:t>
      </w:r>
      <w:r>
        <w:rPr>
          <w:rFonts w:hint="eastAsia" w:ascii="宋体" w:hAnsi="宋体" w:cs="宋体"/>
          <w:bCs/>
          <w:i w:val="0"/>
          <w:iCs w:val="0"/>
          <w:color w:val="auto"/>
          <w:szCs w:val="24"/>
          <w:highlight w:val="none"/>
          <w:lang w:val="en-US" w:eastAsia="zh-CN"/>
        </w:rPr>
        <w:t>本项目不适用</w:t>
      </w:r>
      <w:r>
        <w:rPr>
          <w:rFonts w:hint="eastAsia" w:ascii="宋体" w:hAnsi="宋体" w:eastAsia="宋体" w:cs="宋体"/>
          <w:bCs/>
          <w:i w:val="0"/>
          <w:iCs w:val="0"/>
          <w:color w:val="auto"/>
          <w:szCs w:val="24"/>
          <w:highlight w:val="none"/>
          <w:lang w:val="en-US" w:eastAsia="zh-CN"/>
        </w:rPr>
        <w:t>）</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_Toc3165 \h </w:instrText>
      </w:r>
      <w:r>
        <w:rPr>
          <w:i w:val="0"/>
          <w:iCs w:val="0"/>
          <w:color w:val="auto"/>
          <w:highlight w:val="none"/>
        </w:rPr>
        <w:fldChar w:fldCharType="separate"/>
      </w:r>
      <w:r>
        <w:rPr>
          <w:i w:val="0"/>
          <w:iCs w:val="0"/>
          <w:color w:val="auto"/>
          <w:highlight w:val="none"/>
        </w:rPr>
        <w:t>116</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0AB4498C">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_Toc99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i w:val="0"/>
          <w:iCs w:val="0"/>
          <w:color w:val="auto"/>
          <w:szCs w:val="24"/>
          <w:highlight w:val="none"/>
          <w:lang w:val="en-US" w:eastAsia="zh-CN"/>
        </w:rPr>
        <w:t>五、</w:t>
      </w:r>
      <w:r>
        <w:rPr>
          <w:rFonts w:hint="eastAsia" w:ascii="宋体" w:hAnsi="宋体" w:eastAsia="宋体" w:cs="宋体"/>
          <w:i w:val="0"/>
          <w:iCs w:val="0"/>
          <w:color w:val="auto"/>
          <w:szCs w:val="24"/>
          <w:highlight w:val="none"/>
          <w:lang w:eastAsia="zh-CN"/>
        </w:rPr>
        <w:t>法定代表人（</w:t>
      </w:r>
      <w:r>
        <w:rPr>
          <w:rFonts w:hint="eastAsia" w:ascii="宋体" w:hAnsi="宋体" w:eastAsia="宋体" w:cs="宋体"/>
          <w:i w:val="0"/>
          <w:iCs w:val="0"/>
          <w:color w:val="auto"/>
          <w:szCs w:val="24"/>
          <w:highlight w:val="none"/>
          <w:lang w:val="en-US" w:eastAsia="zh-CN"/>
        </w:rPr>
        <w:t>负责人</w:t>
      </w:r>
      <w:r>
        <w:rPr>
          <w:rFonts w:hint="eastAsia" w:ascii="宋体" w:hAnsi="宋体" w:eastAsia="宋体" w:cs="宋体"/>
          <w:i w:val="0"/>
          <w:iCs w:val="0"/>
          <w:color w:val="auto"/>
          <w:szCs w:val="24"/>
          <w:highlight w:val="none"/>
          <w:lang w:eastAsia="zh-CN"/>
        </w:rPr>
        <w:t>）身份证明或附有法定代表人身份证明的授权委托书</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_Toc99 \h </w:instrText>
      </w:r>
      <w:r>
        <w:rPr>
          <w:i w:val="0"/>
          <w:iCs w:val="0"/>
          <w:color w:val="auto"/>
          <w:highlight w:val="none"/>
        </w:rPr>
        <w:fldChar w:fldCharType="separate"/>
      </w:r>
      <w:r>
        <w:rPr>
          <w:i w:val="0"/>
          <w:iCs w:val="0"/>
          <w:color w:val="auto"/>
          <w:highlight w:val="none"/>
        </w:rPr>
        <w:t>117</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6BF62BD0">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_Toc30828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i w:val="0"/>
          <w:iCs w:val="0"/>
          <w:color w:val="auto"/>
          <w:szCs w:val="24"/>
          <w:highlight w:val="none"/>
          <w:lang w:eastAsia="zh-CN"/>
        </w:rPr>
        <w:t>（</w:t>
      </w:r>
      <w:r>
        <w:rPr>
          <w:rFonts w:hint="eastAsia" w:ascii="宋体" w:hAnsi="宋体" w:eastAsia="宋体" w:cs="宋体"/>
          <w:i w:val="0"/>
          <w:iCs w:val="0"/>
          <w:color w:val="auto"/>
          <w:szCs w:val="24"/>
          <w:highlight w:val="none"/>
          <w:lang w:val="en-US" w:eastAsia="zh-CN"/>
        </w:rPr>
        <w:t>二</w:t>
      </w:r>
      <w:r>
        <w:rPr>
          <w:rFonts w:hint="eastAsia" w:ascii="宋体" w:hAnsi="宋体" w:eastAsia="宋体" w:cs="宋体"/>
          <w:i w:val="0"/>
          <w:iCs w:val="0"/>
          <w:color w:val="auto"/>
          <w:szCs w:val="24"/>
          <w:highlight w:val="none"/>
          <w:lang w:eastAsia="zh-CN"/>
        </w:rPr>
        <w:t>）</w:t>
      </w:r>
      <w:r>
        <w:rPr>
          <w:rFonts w:hint="eastAsia" w:ascii="宋体" w:hAnsi="宋体" w:eastAsia="宋体" w:cs="宋体"/>
          <w:i w:val="0"/>
          <w:iCs w:val="0"/>
          <w:color w:val="auto"/>
          <w:szCs w:val="24"/>
          <w:highlight w:val="none"/>
        </w:rPr>
        <w:t>授权委托书</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_Toc30828 \h </w:instrText>
      </w:r>
      <w:r>
        <w:rPr>
          <w:i w:val="0"/>
          <w:iCs w:val="0"/>
          <w:color w:val="auto"/>
          <w:highlight w:val="none"/>
        </w:rPr>
        <w:fldChar w:fldCharType="separate"/>
      </w:r>
      <w:r>
        <w:rPr>
          <w:i w:val="0"/>
          <w:iCs w:val="0"/>
          <w:color w:val="auto"/>
          <w:highlight w:val="none"/>
        </w:rPr>
        <w:t>118</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28CE48D4">
      <w:pPr>
        <w:pStyle w:val="17"/>
        <w:pageBreakBefore w:val="0"/>
        <w:tabs>
          <w:tab w:val="right" w:leader="dot" w:pos="9740"/>
        </w:tabs>
        <w:kinsoku/>
        <w:wordWrap w:val="0"/>
        <w:overflowPunct/>
        <w:bidi w:val="0"/>
        <w:rPr>
          <w:i w:val="0"/>
          <w:iCs w:val="0"/>
          <w:color w:val="auto"/>
          <w:highlight w:val="none"/>
        </w:rPr>
      </w:pPr>
    </w:p>
    <w:p w14:paraId="01F77C78">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_Toc1186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i w:val="0"/>
          <w:iCs w:val="0"/>
          <w:color w:val="auto"/>
          <w:szCs w:val="24"/>
          <w:highlight w:val="none"/>
          <w:lang w:val="en-US" w:eastAsia="zh-CN"/>
        </w:rPr>
        <w:t>六</w:t>
      </w:r>
      <w:r>
        <w:rPr>
          <w:rFonts w:hint="eastAsia" w:ascii="宋体" w:hAnsi="宋体" w:eastAsia="宋体" w:cs="宋体"/>
          <w:i w:val="0"/>
          <w:iCs w:val="0"/>
          <w:color w:val="auto"/>
          <w:szCs w:val="24"/>
          <w:highlight w:val="none"/>
        </w:rPr>
        <w:t>、其他</w:t>
      </w:r>
      <w:r>
        <w:rPr>
          <w:rFonts w:hint="eastAsia" w:ascii="宋体" w:hAnsi="宋体" w:eastAsia="宋体" w:cs="宋体"/>
          <w:i w:val="0"/>
          <w:iCs w:val="0"/>
          <w:color w:val="auto"/>
          <w:szCs w:val="24"/>
          <w:highlight w:val="none"/>
          <w:lang w:val="en-US"/>
        </w:rPr>
        <w:t>要求</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_Toc1186 \h </w:instrText>
      </w:r>
      <w:r>
        <w:rPr>
          <w:i w:val="0"/>
          <w:iCs w:val="0"/>
          <w:color w:val="auto"/>
          <w:highlight w:val="none"/>
        </w:rPr>
        <w:fldChar w:fldCharType="separate"/>
      </w:r>
      <w:r>
        <w:rPr>
          <w:i w:val="0"/>
          <w:iCs w:val="0"/>
          <w:color w:val="auto"/>
          <w:highlight w:val="none"/>
        </w:rPr>
        <w:t>119</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5BCFC72B">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_Toc23987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bCs/>
          <w:i w:val="0"/>
          <w:iCs w:val="0"/>
          <w:color w:val="auto"/>
          <w:szCs w:val="40"/>
          <w:highlight w:val="none"/>
          <w:lang w:val="en-US" w:eastAsia="zh-CN"/>
        </w:rPr>
        <w:t>报价</w:t>
      </w:r>
      <w:r>
        <w:rPr>
          <w:rFonts w:hint="eastAsia" w:ascii="宋体" w:hAnsi="宋体" w:eastAsia="宋体" w:cs="宋体"/>
          <w:bCs/>
          <w:i w:val="0"/>
          <w:iCs w:val="0"/>
          <w:color w:val="auto"/>
          <w:szCs w:val="40"/>
          <w:highlight w:val="none"/>
        </w:rPr>
        <w:t>部分</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_Toc23987 \h </w:instrText>
      </w:r>
      <w:r>
        <w:rPr>
          <w:i w:val="0"/>
          <w:iCs w:val="0"/>
          <w:color w:val="auto"/>
          <w:highlight w:val="none"/>
        </w:rPr>
        <w:fldChar w:fldCharType="separate"/>
      </w:r>
      <w:r>
        <w:rPr>
          <w:i w:val="0"/>
          <w:iCs w:val="0"/>
          <w:color w:val="auto"/>
          <w:highlight w:val="none"/>
        </w:rPr>
        <w:t>120</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2E70DA79">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_Toc12905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bCs w:val="0"/>
          <w:i w:val="0"/>
          <w:iCs w:val="0"/>
          <w:color w:val="auto"/>
          <w:szCs w:val="28"/>
          <w:highlight w:val="none"/>
        </w:rPr>
        <w:t>一、开标一览表</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_Toc12905 \h </w:instrText>
      </w:r>
      <w:r>
        <w:rPr>
          <w:i w:val="0"/>
          <w:iCs w:val="0"/>
          <w:color w:val="auto"/>
          <w:highlight w:val="none"/>
        </w:rPr>
        <w:fldChar w:fldCharType="separate"/>
      </w:r>
      <w:r>
        <w:rPr>
          <w:i w:val="0"/>
          <w:iCs w:val="0"/>
          <w:color w:val="auto"/>
          <w:highlight w:val="none"/>
        </w:rPr>
        <w:t>121</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73F58324">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_Toc16825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bCs w:val="0"/>
          <w:i w:val="0"/>
          <w:iCs w:val="0"/>
          <w:color w:val="auto"/>
          <w:szCs w:val="28"/>
          <w:highlight w:val="none"/>
          <w:lang w:val="en-US" w:eastAsia="zh-CN"/>
        </w:rPr>
        <w:t>二</w:t>
      </w:r>
      <w:r>
        <w:rPr>
          <w:rFonts w:hint="eastAsia" w:ascii="宋体" w:hAnsi="宋体" w:eastAsia="宋体" w:cs="宋体"/>
          <w:bCs w:val="0"/>
          <w:i w:val="0"/>
          <w:iCs w:val="0"/>
          <w:color w:val="auto"/>
          <w:szCs w:val="28"/>
          <w:highlight w:val="none"/>
        </w:rPr>
        <w:t>、报价表</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_Toc16825 \h </w:instrText>
      </w:r>
      <w:r>
        <w:rPr>
          <w:i w:val="0"/>
          <w:iCs w:val="0"/>
          <w:color w:val="auto"/>
          <w:highlight w:val="none"/>
        </w:rPr>
        <w:fldChar w:fldCharType="separate"/>
      </w:r>
      <w:r>
        <w:rPr>
          <w:i w:val="0"/>
          <w:iCs w:val="0"/>
          <w:color w:val="auto"/>
          <w:highlight w:val="none"/>
        </w:rPr>
        <w:t>121</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7612E257">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_Toc9185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bCs w:val="0"/>
          <w:i w:val="0"/>
          <w:iCs w:val="0"/>
          <w:color w:val="auto"/>
          <w:szCs w:val="28"/>
          <w:highlight w:val="none"/>
          <w:lang w:val="en-US" w:eastAsia="zh-CN"/>
        </w:rPr>
        <w:t>三</w:t>
      </w:r>
      <w:r>
        <w:rPr>
          <w:rFonts w:hint="eastAsia" w:ascii="宋体" w:hAnsi="宋体" w:eastAsia="宋体" w:cs="宋体"/>
          <w:bCs w:val="0"/>
          <w:i w:val="0"/>
          <w:iCs w:val="0"/>
          <w:color w:val="auto"/>
          <w:szCs w:val="28"/>
          <w:highlight w:val="none"/>
        </w:rPr>
        <w:t>、其他</w:t>
      </w:r>
      <w:r>
        <w:rPr>
          <w:rFonts w:hint="eastAsia" w:ascii="宋体" w:hAnsi="宋体" w:eastAsia="宋体" w:cs="宋体"/>
          <w:bCs w:val="0"/>
          <w:i w:val="0"/>
          <w:iCs w:val="0"/>
          <w:color w:val="auto"/>
          <w:szCs w:val="28"/>
          <w:highlight w:val="none"/>
          <w:lang w:val="en-US"/>
        </w:rPr>
        <w:t>要求</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_Toc9185 \h </w:instrText>
      </w:r>
      <w:r>
        <w:rPr>
          <w:i w:val="0"/>
          <w:iCs w:val="0"/>
          <w:color w:val="auto"/>
          <w:highlight w:val="none"/>
        </w:rPr>
        <w:fldChar w:fldCharType="separate"/>
      </w:r>
      <w:r>
        <w:rPr>
          <w:i w:val="0"/>
          <w:iCs w:val="0"/>
          <w:color w:val="auto"/>
          <w:highlight w:val="none"/>
        </w:rPr>
        <w:t>121</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2DB5E120">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_Toc25559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i w:val="0"/>
          <w:iCs w:val="0"/>
          <w:color w:val="auto"/>
          <w:szCs w:val="24"/>
          <w:highlight w:val="none"/>
        </w:rPr>
        <w:t>一、开标一览表</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_Toc25559 \h </w:instrText>
      </w:r>
      <w:r>
        <w:rPr>
          <w:i w:val="0"/>
          <w:iCs w:val="0"/>
          <w:color w:val="auto"/>
          <w:highlight w:val="none"/>
        </w:rPr>
        <w:fldChar w:fldCharType="separate"/>
      </w:r>
      <w:r>
        <w:rPr>
          <w:i w:val="0"/>
          <w:iCs w:val="0"/>
          <w:color w:val="auto"/>
          <w:highlight w:val="none"/>
        </w:rPr>
        <w:t>122</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6C35A85A">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_Toc27801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i w:val="0"/>
          <w:iCs w:val="0"/>
          <w:color w:val="auto"/>
          <w:szCs w:val="24"/>
          <w:highlight w:val="none"/>
          <w:lang w:val="en-US" w:eastAsia="zh-CN"/>
        </w:rPr>
        <w:t>二</w:t>
      </w:r>
      <w:r>
        <w:rPr>
          <w:rFonts w:hint="eastAsia" w:ascii="宋体" w:hAnsi="宋体" w:eastAsia="宋体" w:cs="宋体"/>
          <w:i w:val="0"/>
          <w:iCs w:val="0"/>
          <w:color w:val="auto"/>
          <w:szCs w:val="24"/>
          <w:highlight w:val="none"/>
        </w:rPr>
        <w:t>、报价表</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_Toc27801 \h </w:instrText>
      </w:r>
      <w:r>
        <w:rPr>
          <w:i w:val="0"/>
          <w:iCs w:val="0"/>
          <w:color w:val="auto"/>
          <w:highlight w:val="none"/>
        </w:rPr>
        <w:fldChar w:fldCharType="separate"/>
      </w:r>
      <w:r>
        <w:rPr>
          <w:i w:val="0"/>
          <w:iCs w:val="0"/>
          <w:color w:val="auto"/>
          <w:highlight w:val="none"/>
        </w:rPr>
        <w:t>123</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682ED5C0">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_Toc17555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i w:val="0"/>
          <w:iCs w:val="0"/>
          <w:color w:val="auto"/>
          <w:szCs w:val="24"/>
          <w:highlight w:val="none"/>
          <w:lang w:val="en-US" w:eastAsia="zh-CN"/>
        </w:rPr>
        <w:t>三</w:t>
      </w:r>
      <w:r>
        <w:rPr>
          <w:rFonts w:hint="eastAsia" w:ascii="宋体" w:hAnsi="宋体" w:eastAsia="宋体" w:cs="宋体"/>
          <w:i w:val="0"/>
          <w:iCs w:val="0"/>
          <w:color w:val="auto"/>
          <w:szCs w:val="24"/>
          <w:highlight w:val="none"/>
        </w:rPr>
        <w:t>、其他</w:t>
      </w:r>
      <w:r>
        <w:rPr>
          <w:rFonts w:hint="eastAsia" w:ascii="宋体" w:hAnsi="宋体" w:eastAsia="宋体" w:cs="宋体"/>
          <w:i w:val="0"/>
          <w:iCs w:val="0"/>
          <w:color w:val="auto"/>
          <w:szCs w:val="24"/>
          <w:highlight w:val="none"/>
          <w:lang w:val="en-US"/>
        </w:rPr>
        <w:t>要求</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_Toc17555 \h </w:instrText>
      </w:r>
      <w:r>
        <w:rPr>
          <w:i w:val="0"/>
          <w:iCs w:val="0"/>
          <w:color w:val="auto"/>
          <w:highlight w:val="none"/>
        </w:rPr>
        <w:fldChar w:fldCharType="separate"/>
      </w:r>
      <w:r>
        <w:rPr>
          <w:i w:val="0"/>
          <w:iCs w:val="0"/>
          <w:color w:val="auto"/>
          <w:highlight w:val="none"/>
        </w:rPr>
        <w:t>124</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289AB658">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_Toc16724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bCs/>
          <w:i w:val="0"/>
          <w:iCs w:val="0"/>
          <w:color w:val="auto"/>
          <w:szCs w:val="40"/>
          <w:highlight w:val="none"/>
        </w:rPr>
        <w:t>商务</w:t>
      </w:r>
      <w:r>
        <w:rPr>
          <w:rFonts w:hint="eastAsia" w:ascii="宋体" w:hAnsi="宋体" w:eastAsia="宋体" w:cs="宋体"/>
          <w:bCs/>
          <w:i w:val="0"/>
          <w:iCs w:val="0"/>
          <w:color w:val="auto"/>
          <w:szCs w:val="40"/>
          <w:highlight w:val="none"/>
          <w:lang w:val="en-US" w:eastAsia="zh-CN"/>
        </w:rPr>
        <w:t>及</w:t>
      </w:r>
      <w:r>
        <w:rPr>
          <w:rFonts w:hint="eastAsia" w:ascii="宋体" w:hAnsi="宋体" w:eastAsia="宋体" w:cs="宋体"/>
          <w:bCs/>
          <w:i w:val="0"/>
          <w:iCs w:val="0"/>
          <w:color w:val="auto"/>
          <w:szCs w:val="40"/>
          <w:highlight w:val="none"/>
        </w:rPr>
        <w:t>技术部分</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_Toc16724 \h </w:instrText>
      </w:r>
      <w:r>
        <w:rPr>
          <w:i w:val="0"/>
          <w:iCs w:val="0"/>
          <w:color w:val="auto"/>
          <w:highlight w:val="none"/>
        </w:rPr>
        <w:fldChar w:fldCharType="separate"/>
      </w:r>
      <w:r>
        <w:rPr>
          <w:i w:val="0"/>
          <w:iCs w:val="0"/>
          <w:color w:val="auto"/>
          <w:highlight w:val="none"/>
        </w:rPr>
        <w:t>125</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6A6A8EE2">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_Toc27314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bCs w:val="0"/>
          <w:i w:val="0"/>
          <w:iCs w:val="0"/>
          <w:color w:val="auto"/>
          <w:szCs w:val="28"/>
          <w:highlight w:val="none"/>
          <w:lang w:val="en-US" w:eastAsia="zh-CN"/>
        </w:rPr>
        <w:t>一</w:t>
      </w:r>
      <w:r>
        <w:rPr>
          <w:rFonts w:hint="eastAsia" w:ascii="宋体" w:hAnsi="宋体" w:eastAsia="宋体" w:cs="宋体"/>
          <w:bCs w:val="0"/>
          <w:i w:val="0"/>
          <w:iCs w:val="0"/>
          <w:color w:val="auto"/>
          <w:szCs w:val="28"/>
          <w:highlight w:val="none"/>
        </w:rPr>
        <w:t>、投标函</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_Toc27314 \h </w:instrText>
      </w:r>
      <w:r>
        <w:rPr>
          <w:i w:val="0"/>
          <w:iCs w:val="0"/>
          <w:color w:val="auto"/>
          <w:highlight w:val="none"/>
        </w:rPr>
        <w:fldChar w:fldCharType="separate"/>
      </w:r>
      <w:r>
        <w:rPr>
          <w:i w:val="0"/>
          <w:iCs w:val="0"/>
          <w:color w:val="auto"/>
          <w:highlight w:val="none"/>
        </w:rPr>
        <w:t>126</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212E91C3">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_Toc18086 </w:instrText>
      </w:r>
      <w:r>
        <w:rPr>
          <w:rFonts w:hint="eastAsia" w:ascii="宋体" w:hAnsi="宋体" w:eastAsia="宋体" w:cs="宋体"/>
          <w:bCs/>
          <w:i w:val="0"/>
          <w:iCs w:val="0"/>
          <w:caps/>
          <w:color w:val="auto"/>
          <w:szCs w:val="24"/>
          <w:highlight w:val="none"/>
        </w:rPr>
        <w:fldChar w:fldCharType="separate"/>
      </w:r>
      <w:r>
        <w:rPr>
          <w:rFonts w:hint="eastAsia" w:ascii="宋体" w:hAnsi="宋体" w:eastAsia="宋体" w:cs="宋体"/>
          <w:bCs w:val="0"/>
          <w:i w:val="0"/>
          <w:iCs w:val="0"/>
          <w:color w:val="auto"/>
          <w:szCs w:val="28"/>
          <w:highlight w:val="none"/>
          <w:lang w:val="en-US" w:eastAsia="zh-CN"/>
        </w:rPr>
        <w:t>二</w:t>
      </w:r>
      <w:r>
        <w:rPr>
          <w:rFonts w:hint="eastAsia" w:ascii="宋体" w:hAnsi="宋体" w:eastAsia="宋体" w:cs="宋体"/>
          <w:bCs w:val="0"/>
          <w:i w:val="0"/>
          <w:iCs w:val="0"/>
          <w:color w:val="auto"/>
          <w:szCs w:val="28"/>
          <w:highlight w:val="none"/>
        </w:rPr>
        <w:t>、商务条款</w:t>
      </w:r>
      <w:r>
        <w:rPr>
          <w:rFonts w:hint="eastAsia" w:ascii="宋体" w:hAnsi="宋体" w:eastAsia="宋体" w:cs="宋体"/>
          <w:bCs w:val="0"/>
          <w:i w:val="0"/>
          <w:iCs w:val="0"/>
          <w:color w:val="auto"/>
          <w:szCs w:val="28"/>
          <w:highlight w:val="none"/>
          <w:lang w:val="en-US" w:eastAsia="zh-CN"/>
        </w:rPr>
        <w:t>偏离</w:t>
      </w:r>
      <w:r>
        <w:rPr>
          <w:rFonts w:hint="eastAsia" w:ascii="宋体" w:hAnsi="宋体" w:eastAsia="宋体" w:cs="宋体"/>
          <w:bCs w:val="0"/>
          <w:i w:val="0"/>
          <w:iCs w:val="0"/>
          <w:color w:val="auto"/>
          <w:szCs w:val="28"/>
          <w:highlight w:val="none"/>
        </w:rPr>
        <w:t>表和技术规格偏离表</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_Toc18086 \h </w:instrText>
      </w:r>
      <w:r>
        <w:rPr>
          <w:i w:val="0"/>
          <w:iCs w:val="0"/>
          <w:color w:val="auto"/>
          <w:highlight w:val="none"/>
        </w:rPr>
        <w:fldChar w:fldCharType="separate"/>
      </w:r>
      <w:r>
        <w:rPr>
          <w:i w:val="0"/>
          <w:iCs w:val="0"/>
          <w:color w:val="auto"/>
          <w:highlight w:val="none"/>
        </w:rPr>
        <w:t>126</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2808944B">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_Toc17875 </w:instrText>
      </w:r>
      <w:r>
        <w:rPr>
          <w:rFonts w:hint="eastAsia" w:ascii="宋体" w:hAnsi="宋体" w:eastAsia="宋体" w:cs="宋体"/>
          <w:bCs/>
          <w:i w:val="0"/>
          <w:iCs w:val="0"/>
          <w:caps/>
          <w:color w:val="auto"/>
          <w:szCs w:val="24"/>
          <w:highlight w:val="none"/>
        </w:rPr>
        <w:fldChar w:fldCharType="separate"/>
      </w:r>
      <w:r>
        <w:rPr>
          <w:rFonts w:hint="eastAsia" w:ascii="宋体" w:hAnsi="宋体" w:cs="宋体"/>
          <w:bCs w:val="0"/>
          <w:i w:val="0"/>
          <w:iCs w:val="0"/>
          <w:color w:val="auto"/>
          <w:szCs w:val="28"/>
          <w:highlight w:val="none"/>
          <w:lang w:val="en-US" w:eastAsia="zh-CN"/>
        </w:rPr>
        <w:t>三、</w:t>
      </w:r>
      <w:r>
        <w:rPr>
          <w:rFonts w:hint="eastAsia" w:ascii="宋体" w:hAnsi="宋体" w:eastAsia="宋体" w:cs="宋体"/>
          <w:bCs w:val="0"/>
          <w:i w:val="0"/>
          <w:iCs w:val="0"/>
          <w:color w:val="auto"/>
          <w:szCs w:val="28"/>
          <w:highlight w:val="none"/>
          <w:lang w:val="en-US" w:eastAsia="zh-CN"/>
        </w:rPr>
        <w:t>关于商务技术审查的其他资料</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_Toc17875 \h </w:instrText>
      </w:r>
      <w:r>
        <w:rPr>
          <w:i w:val="0"/>
          <w:iCs w:val="0"/>
          <w:color w:val="auto"/>
          <w:highlight w:val="none"/>
        </w:rPr>
        <w:fldChar w:fldCharType="separate"/>
      </w:r>
      <w:r>
        <w:rPr>
          <w:i w:val="0"/>
          <w:iCs w:val="0"/>
          <w:color w:val="auto"/>
          <w:highlight w:val="none"/>
        </w:rPr>
        <w:t>126</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12B3858D">
      <w:pPr>
        <w:pStyle w:val="17"/>
        <w:pageBreakBefore w:val="0"/>
        <w:tabs>
          <w:tab w:val="right" w:leader="dot" w:pos="9740"/>
        </w:tabs>
        <w:kinsoku/>
        <w:wordWrap w:val="0"/>
        <w:overflowPunct/>
        <w:bidi w:val="0"/>
        <w:rPr>
          <w:i w:val="0"/>
          <w:iCs w:val="0"/>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_Toc32162 </w:instrText>
      </w:r>
      <w:r>
        <w:rPr>
          <w:rFonts w:hint="eastAsia" w:ascii="宋体" w:hAnsi="宋体" w:eastAsia="宋体" w:cs="宋体"/>
          <w:bCs/>
          <w:i w:val="0"/>
          <w:iCs w:val="0"/>
          <w:caps/>
          <w:color w:val="auto"/>
          <w:szCs w:val="24"/>
          <w:highlight w:val="none"/>
        </w:rPr>
        <w:fldChar w:fldCharType="separate"/>
      </w:r>
      <w:r>
        <w:rPr>
          <w:rFonts w:hint="eastAsia" w:ascii="宋体" w:hAnsi="宋体" w:cs="宋体"/>
          <w:bCs w:val="0"/>
          <w:i w:val="0"/>
          <w:iCs w:val="0"/>
          <w:color w:val="auto"/>
          <w:szCs w:val="28"/>
          <w:highlight w:val="none"/>
          <w:lang w:val="en-US" w:eastAsia="zh-CN"/>
        </w:rPr>
        <w:t>四</w:t>
      </w:r>
      <w:r>
        <w:rPr>
          <w:rFonts w:hint="eastAsia" w:ascii="宋体" w:hAnsi="宋体" w:eastAsia="宋体" w:cs="宋体"/>
          <w:bCs w:val="0"/>
          <w:i w:val="0"/>
          <w:iCs w:val="0"/>
          <w:color w:val="auto"/>
          <w:szCs w:val="28"/>
          <w:highlight w:val="none"/>
          <w:lang w:val="en-US" w:eastAsia="zh-CN" w:bidi="ar-SA"/>
        </w:rPr>
        <w:t>、</w:t>
      </w:r>
      <w:r>
        <w:rPr>
          <w:rFonts w:hint="eastAsia" w:ascii="宋体" w:hAnsi="宋体" w:eastAsia="宋体" w:cs="宋体"/>
          <w:bCs w:val="0"/>
          <w:i w:val="0"/>
          <w:iCs w:val="0"/>
          <w:color w:val="auto"/>
          <w:szCs w:val="28"/>
          <w:highlight w:val="none"/>
          <w:lang w:val="zh-CN" w:eastAsia="zh-CN" w:bidi="ar-SA"/>
        </w:rPr>
        <w:t>技术部分</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_Toc32162 \h </w:instrText>
      </w:r>
      <w:r>
        <w:rPr>
          <w:i w:val="0"/>
          <w:iCs w:val="0"/>
          <w:color w:val="auto"/>
          <w:highlight w:val="none"/>
        </w:rPr>
        <w:fldChar w:fldCharType="separate"/>
      </w:r>
      <w:r>
        <w:rPr>
          <w:i w:val="0"/>
          <w:iCs w:val="0"/>
          <w:color w:val="auto"/>
          <w:highlight w:val="none"/>
        </w:rPr>
        <w:t>126</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5399F2FA">
      <w:pPr>
        <w:pStyle w:val="17"/>
        <w:pageBreakBefore w:val="0"/>
        <w:tabs>
          <w:tab w:val="right" w:leader="dot" w:pos="9740"/>
        </w:tabs>
        <w:kinsoku/>
        <w:wordWrap w:val="0"/>
        <w:overflowPunct/>
        <w:bidi w:val="0"/>
        <w:rPr>
          <w:color w:val="auto"/>
          <w:highlight w:val="none"/>
        </w:rPr>
      </w:pPr>
      <w:r>
        <w:rPr>
          <w:rFonts w:hint="eastAsia" w:ascii="宋体" w:hAnsi="宋体" w:eastAsia="宋体" w:cs="宋体"/>
          <w:bCs/>
          <w:i w:val="0"/>
          <w:iCs w:val="0"/>
          <w:caps/>
          <w:color w:val="auto"/>
          <w:szCs w:val="24"/>
          <w:highlight w:val="none"/>
        </w:rPr>
        <w:fldChar w:fldCharType="begin"/>
      </w:r>
      <w:r>
        <w:rPr>
          <w:rFonts w:hint="eastAsia" w:ascii="宋体" w:hAnsi="宋体" w:eastAsia="宋体" w:cs="宋体"/>
          <w:bCs/>
          <w:i w:val="0"/>
          <w:iCs w:val="0"/>
          <w:caps/>
          <w:color w:val="auto"/>
          <w:szCs w:val="24"/>
          <w:highlight w:val="none"/>
        </w:rPr>
        <w:instrText xml:space="preserve"> HYPERLINK \l _Toc10979 </w:instrText>
      </w:r>
      <w:r>
        <w:rPr>
          <w:rFonts w:hint="eastAsia" w:ascii="宋体" w:hAnsi="宋体" w:eastAsia="宋体" w:cs="宋体"/>
          <w:bCs/>
          <w:i w:val="0"/>
          <w:iCs w:val="0"/>
          <w:caps/>
          <w:color w:val="auto"/>
          <w:szCs w:val="24"/>
          <w:highlight w:val="none"/>
        </w:rPr>
        <w:fldChar w:fldCharType="separate"/>
      </w:r>
      <w:r>
        <w:rPr>
          <w:rFonts w:hint="eastAsia" w:ascii="宋体" w:hAnsi="宋体" w:cs="宋体"/>
          <w:bCs w:val="0"/>
          <w:i w:val="0"/>
          <w:iCs w:val="0"/>
          <w:color w:val="auto"/>
          <w:szCs w:val="28"/>
          <w:highlight w:val="none"/>
          <w:lang w:val="en-US" w:eastAsia="zh-CN" w:bidi="ar-SA"/>
        </w:rPr>
        <w:t>五</w:t>
      </w:r>
      <w:r>
        <w:rPr>
          <w:rFonts w:hint="eastAsia" w:ascii="宋体" w:hAnsi="宋体" w:eastAsia="宋体" w:cs="宋体"/>
          <w:bCs w:val="0"/>
          <w:i w:val="0"/>
          <w:iCs w:val="0"/>
          <w:color w:val="auto"/>
          <w:szCs w:val="28"/>
          <w:highlight w:val="none"/>
          <w:lang w:val="zh-CN" w:eastAsia="zh-CN" w:bidi="ar-SA"/>
        </w:rPr>
        <w:t>、其他资料</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_Toc10979 \h </w:instrText>
      </w:r>
      <w:r>
        <w:rPr>
          <w:i w:val="0"/>
          <w:iCs w:val="0"/>
          <w:color w:val="auto"/>
          <w:highlight w:val="none"/>
        </w:rPr>
        <w:fldChar w:fldCharType="separate"/>
      </w:r>
      <w:r>
        <w:rPr>
          <w:i w:val="0"/>
          <w:iCs w:val="0"/>
          <w:color w:val="auto"/>
          <w:highlight w:val="none"/>
        </w:rPr>
        <w:t>126</w:t>
      </w:r>
      <w:r>
        <w:rPr>
          <w:i w:val="0"/>
          <w:iCs w:val="0"/>
          <w:color w:val="auto"/>
          <w:highlight w:val="none"/>
        </w:rPr>
        <w:fldChar w:fldCharType="end"/>
      </w:r>
      <w:r>
        <w:rPr>
          <w:rFonts w:hint="eastAsia" w:ascii="宋体" w:hAnsi="宋体" w:eastAsia="宋体" w:cs="宋体"/>
          <w:bCs/>
          <w:i w:val="0"/>
          <w:iCs w:val="0"/>
          <w:caps/>
          <w:color w:val="auto"/>
          <w:szCs w:val="24"/>
          <w:highlight w:val="none"/>
        </w:rPr>
        <w:fldChar w:fldCharType="end"/>
      </w:r>
    </w:p>
    <w:p w14:paraId="597844E5">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_Toc1793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8"/>
          <w:highlight w:val="none"/>
          <w:lang w:val="en-US" w:eastAsia="zh-CN"/>
        </w:rPr>
        <w:t>一</w:t>
      </w:r>
      <w:r>
        <w:rPr>
          <w:rFonts w:hint="eastAsia" w:ascii="宋体" w:hAnsi="宋体" w:eastAsia="宋体" w:cs="宋体"/>
          <w:color w:val="auto"/>
          <w:szCs w:val="28"/>
          <w:highlight w:val="none"/>
        </w:rPr>
        <w:t>、投标函</w:t>
      </w:r>
      <w:r>
        <w:rPr>
          <w:color w:val="auto"/>
          <w:highlight w:val="none"/>
        </w:rPr>
        <w:tab/>
      </w:r>
      <w:r>
        <w:rPr>
          <w:color w:val="auto"/>
          <w:highlight w:val="none"/>
        </w:rPr>
        <w:fldChar w:fldCharType="begin"/>
      </w:r>
      <w:r>
        <w:rPr>
          <w:color w:val="auto"/>
          <w:highlight w:val="none"/>
        </w:rPr>
        <w:instrText xml:space="preserve"> PAGEREF _Toc1793 \h </w:instrText>
      </w:r>
      <w:r>
        <w:rPr>
          <w:color w:val="auto"/>
          <w:highlight w:val="none"/>
        </w:rPr>
        <w:fldChar w:fldCharType="separate"/>
      </w:r>
      <w:r>
        <w:rPr>
          <w:color w:val="auto"/>
          <w:highlight w:val="none"/>
        </w:rPr>
        <w:t>127</w:t>
      </w:r>
      <w:r>
        <w:rPr>
          <w:color w:val="auto"/>
          <w:highlight w:val="none"/>
        </w:rPr>
        <w:fldChar w:fldCharType="end"/>
      </w:r>
      <w:r>
        <w:rPr>
          <w:rFonts w:hint="eastAsia" w:ascii="宋体" w:hAnsi="宋体" w:eastAsia="宋体" w:cs="宋体"/>
          <w:bCs/>
          <w:caps/>
          <w:color w:val="auto"/>
          <w:szCs w:val="24"/>
          <w:highlight w:val="none"/>
        </w:rPr>
        <w:fldChar w:fldCharType="end"/>
      </w:r>
    </w:p>
    <w:p w14:paraId="61EB1463">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_Toc24885 </w:instrText>
      </w:r>
      <w:r>
        <w:rPr>
          <w:rFonts w:hint="eastAsia" w:ascii="宋体" w:hAnsi="宋体" w:eastAsia="宋体" w:cs="宋体"/>
          <w:bCs/>
          <w:caps/>
          <w:color w:val="auto"/>
          <w:szCs w:val="24"/>
          <w:highlight w:val="none"/>
        </w:rPr>
        <w:fldChar w:fldCharType="separate"/>
      </w:r>
      <w:r>
        <w:rPr>
          <w:rFonts w:hint="eastAsia" w:ascii="宋体" w:hAnsi="宋体" w:eastAsia="宋体" w:cs="宋体"/>
          <w:color w:val="auto"/>
          <w:szCs w:val="28"/>
          <w:highlight w:val="none"/>
          <w:lang w:val="en-US" w:eastAsia="zh-CN"/>
        </w:rPr>
        <w:t>二、商务条款偏离表和技术规格偏离表</w:t>
      </w:r>
      <w:r>
        <w:rPr>
          <w:color w:val="auto"/>
          <w:highlight w:val="none"/>
        </w:rPr>
        <w:tab/>
      </w:r>
      <w:r>
        <w:rPr>
          <w:color w:val="auto"/>
          <w:highlight w:val="none"/>
        </w:rPr>
        <w:fldChar w:fldCharType="begin"/>
      </w:r>
      <w:r>
        <w:rPr>
          <w:color w:val="auto"/>
          <w:highlight w:val="none"/>
        </w:rPr>
        <w:instrText xml:space="preserve"> PAGEREF _Toc24885 \h </w:instrText>
      </w:r>
      <w:r>
        <w:rPr>
          <w:color w:val="auto"/>
          <w:highlight w:val="none"/>
        </w:rPr>
        <w:fldChar w:fldCharType="separate"/>
      </w:r>
      <w:r>
        <w:rPr>
          <w:color w:val="auto"/>
          <w:highlight w:val="none"/>
        </w:rPr>
        <w:t>128</w:t>
      </w:r>
      <w:r>
        <w:rPr>
          <w:color w:val="auto"/>
          <w:highlight w:val="none"/>
        </w:rPr>
        <w:fldChar w:fldCharType="end"/>
      </w:r>
      <w:r>
        <w:rPr>
          <w:rFonts w:hint="eastAsia" w:ascii="宋体" w:hAnsi="宋体" w:eastAsia="宋体" w:cs="宋体"/>
          <w:bCs/>
          <w:caps/>
          <w:color w:val="auto"/>
          <w:szCs w:val="24"/>
          <w:highlight w:val="none"/>
        </w:rPr>
        <w:fldChar w:fldCharType="end"/>
      </w:r>
    </w:p>
    <w:p w14:paraId="2ADBA475">
      <w:pPr>
        <w:pStyle w:val="30"/>
        <w:pageBreakBefore w:val="0"/>
        <w:tabs>
          <w:tab w:val="right" w:leader="dot" w:pos="9740"/>
        </w:tabs>
        <w:kinsoku/>
        <w:wordWrap w:val="0"/>
        <w:overflowPunct/>
        <w:bidi w:val="0"/>
        <w:rPr>
          <w:color w:val="auto"/>
          <w:highlight w:val="none"/>
        </w:rPr>
      </w:pPr>
      <w:r>
        <w:rPr>
          <w:rFonts w:hint="eastAsia" w:ascii="宋体" w:hAnsi="宋体" w:eastAsia="宋体" w:cs="宋体"/>
          <w:bCs/>
          <w:caps/>
          <w:color w:val="auto"/>
          <w:szCs w:val="24"/>
          <w:highlight w:val="none"/>
        </w:rPr>
        <w:fldChar w:fldCharType="begin"/>
      </w:r>
      <w:r>
        <w:rPr>
          <w:rFonts w:hint="eastAsia" w:ascii="宋体" w:hAnsi="宋体" w:eastAsia="宋体" w:cs="宋体"/>
          <w:bCs/>
          <w:caps/>
          <w:color w:val="auto"/>
          <w:szCs w:val="24"/>
          <w:highlight w:val="none"/>
        </w:rPr>
        <w:instrText xml:space="preserve"> HYPERLINK \l _Toc30815 </w:instrText>
      </w:r>
      <w:r>
        <w:rPr>
          <w:rFonts w:hint="eastAsia" w:ascii="宋体" w:hAnsi="宋体" w:eastAsia="宋体" w:cs="宋体"/>
          <w:bCs/>
          <w:caps/>
          <w:color w:val="auto"/>
          <w:szCs w:val="24"/>
          <w:highlight w:val="none"/>
        </w:rPr>
        <w:fldChar w:fldCharType="separate"/>
      </w:r>
      <w:r>
        <w:rPr>
          <w:rFonts w:hint="eastAsia" w:ascii="宋体" w:hAnsi="宋体" w:eastAsia="宋体" w:cs="宋体"/>
          <w:bCs/>
          <w:color w:val="auto"/>
          <w:szCs w:val="24"/>
          <w:highlight w:val="none"/>
        </w:rPr>
        <w:t>(一)商务条款</w:t>
      </w:r>
      <w:r>
        <w:rPr>
          <w:rFonts w:hint="eastAsia" w:ascii="宋体" w:hAnsi="宋体" w:eastAsia="宋体" w:cs="宋体"/>
          <w:bCs/>
          <w:color w:val="auto"/>
          <w:szCs w:val="24"/>
          <w:highlight w:val="none"/>
          <w:lang w:val="en-US" w:eastAsia="zh-CN"/>
        </w:rPr>
        <w:t>偏离</w:t>
      </w:r>
      <w:r>
        <w:rPr>
          <w:rFonts w:hint="eastAsia" w:ascii="宋体" w:hAnsi="宋体" w:eastAsia="宋体" w:cs="宋体"/>
          <w:bCs/>
          <w:color w:val="auto"/>
          <w:szCs w:val="24"/>
          <w:highlight w:val="none"/>
        </w:rPr>
        <w:t>表</w:t>
      </w:r>
      <w:r>
        <w:rPr>
          <w:color w:val="auto"/>
          <w:highlight w:val="none"/>
        </w:rPr>
        <w:tab/>
      </w:r>
      <w:r>
        <w:rPr>
          <w:color w:val="auto"/>
          <w:highlight w:val="none"/>
        </w:rPr>
        <w:fldChar w:fldCharType="begin"/>
      </w:r>
      <w:r>
        <w:rPr>
          <w:color w:val="auto"/>
          <w:highlight w:val="none"/>
        </w:rPr>
        <w:instrText xml:space="preserve"> PAGEREF _Toc30815 \h </w:instrText>
      </w:r>
      <w:r>
        <w:rPr>
          <w:color w:val="auto"/>
          <w:highlight w:val="none"/>
        </w:rPr>
        <w:fldChar w:fldCharType="separate"/>
      </w:r>
      <w:r>
        <w:rPr>
          <w:color w:val="auto"/>
          <w:highlight w:val="none"/>
        </w:rPr>
        <w:t>128</w:t>
      </w:r>
      <w:r>
        <w:rPr>
          <w:color w:val="auto"/>
          <w:highlight w:val="none"/>
        </w:rPr>
        <w:fldChar w:fldCharType="end"/>
      </w:r>
      <w:r>
        <w:rPr>
          <w:rFonts w:hint="eastAsia" w:ascii="宋体" w:hAnsi="宋体" w:eastAsia="宋体" w:cs="宋体"/>
          <w:bCs/>
          <w:caps/>
          <w:color w:val="auto"/>
          <w:szCs w:val="24"/>
          <w:highlight w:val="none"/>
        </w:rPr>
        <w:fldChar w:fldCharType="end"/>
      </w:r>
    </w:p>
    <w:p w14:paraId="43753FCA">
      <w:pPr>
        <w:pageBreakBefore w:val="0"/>
        <w:kinsoku/>
        <w:wordWrap w:val="0"/>
        <w:overflowPunct/>
        <w:bidi w:val="0"/>
        <w:spacing w:line="360" w:lineRule="auto"/>
        <w:jc w:val="center"/>
        <w:outlineLvl w:val="2"/>
        <w:rPr>
          <w:rFonts w:hint="eastAsia" w:ascii="宋体" w:hAnsi="宋体" w:eastAsia="宋体" w:cs="宋体"/>
          <w:color w:val="auto"/>
          <w:sz w:val="24"/>
          <w:szCs w:val="24"/>
          <w:highlight w:val="none"/>
        </w:rPr>
      </w:pPr>
      <w:r>
        <w:rPr>
          <w:rFonts w:hint="eastAsia" w:ascii="宋体" w:hAnsi="宋体" w:eastAsia="宋体" w:cs="宋体"/>
          <w:bCs/>
          <w:caps/>
          <w:color w:val="auto"/>
          <w:sz w:val="24"/>
          <w:szCs w:val="24"/>
          <w:highlight w:val="none"/>
        </w:rPr>
        <w:fldChar w:fldCharType="end"/>
      </w:r>
      <w:bookmarkStart w:id="0" w:name="_Toc25108"/>
      <w:bookmarkEnd w:id="0"/>
      <w:bookmarkStart w:id="1" w:name="_Toc29067"/>
      <w:bookmarkEnd w:id="1"/>
      <w:r>
        <w:rPr>
          <w:rFonts w:hint="eastAsia" w:ascii="宋体" w:hAnsi="宋体" w:eastAsia="宋体" w:cs="宋体"/>
          <w:color w:val="auto"/>
          <w:sz w:val="24"/>
          <w:szCs w:val="24"/>
          <w:highlight w:val="none"/>
        </w:rPr>
        <w:t xml:space="preserve"> </w:t>
      </w:r>
    </w:p>
    <w:p w14:paraId="79C45BF5">
      <w:pPr>
        <w:pageBreakBefore w:val="0"/>
        <w:kinsoku/>
        <w:wordWrap w:val="0"/>
        <w:overflowPunct/>
        <w:bidi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E6FF5DF">
      <w:pPr>
        <w:pStyle w:val="2"/>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rPr>
        <w:sectPr>
          <w:footerReference r:id="rId7" w:type="default"/>
          <w:pgSz w:w="11906" w:h="16838"/>
          <w:pgMar w:top="1440" w:right="1083" w:bottom="1440" w:left="1083" w:header="720" w:footer="720" w:gutter="0"/>
          <w:pgBorders>
            <w:top w:val="none" w:sz="0" w:space="0"/>
            <w:left w:val="none" w:sz="0" w:space="0"/>
            <w:bottom w:val="none" w:sz="0" w:space="0"/>
            <w:right w:val="none" w:sz="0" w:space="0"/>
          </w:pgBorders>
          <w:pgNumType w:fmt="numberInDash" w:start="1"/>
          <w:cols w:space="720" w:num="1"/>
          <w:docGrid w:type="lines" w:linePitch="317" w:charSpace="0"/>
        </w:sectPr>
      </w:pPr>
      <w:bookmarkStart w:id="2" w:name="_Toc12916"/>
      <w:bookmarkEnd w:id="2"/>
      <w:bookmarkStart w:id="3" w:name="_Toc3039"/>
      <w:bookmarkEnd w:id="3"/>
      <w:bookmarkStart w:id="4" w:name="_Toc24776"/>
    </w:p>
    <w:p w14:paraId="0F8142F1">
      <w:pPr>
        <w:pageBreakBefore w:val="0"/>
        <w:kinsoku/>
        <w:wordWrap w:val="0"/>
        <w:overflowPunct/>
        <w:bidi w:val="0"/>
        <w:rPr>
          <w:rFonts w:hint="eastAsia" w:ascii="宋体" w:hAnsi="宋体" w:eastAsia="宋体" w:cs="宋体"/>
          <w:color w:val="auto"/>
          <w:sz w:val="24"/>
          <w:szCs w:val="24"/>
          <w:highlight w:val="none"/>
        </w:rPr>
      </w:pPr>
      <w:bookmarkStart w:id="5" w:name="_Toc49195803"/>
      <w:bookmarkStart w:id="6" w:name="_Toc46839471"/>
      <w:bookmarkStart w:id="7" w:name="_Toc9140"/>
      <w:bookmarkStart w:id="8" w:name="_Toc46415308"/>
      <w:bookmarkStart w:id="9" w:name="_Toc4594466"/>
      <w:bookmarkStart w:id="10" w:name="_Toc4593961"/>
      <w:bookmarkStart w:id="11" w:name="_Toc2476"/>
      <w:bookmarkStart w:id="12" w:name="_Toc49195867"/>
      <w:bookmarkStart w:id="13" w:name="_Toc10622"/>
      <w:bookmarkStart w:id="14" w:name="_Toc48028355"/>
      <w:bookmarkStart w:id="15" w:name="_Toc2588"/>
      <w:bookmarkStart w:id="16" w:name="_Toc2634"/>
      <w:bookmarkStart w:id="17" w:name="_Toc46576651"/>
      <w:bookmarkStart w:id="18" w:name="_Toc7363173"/>
      <w:bookmarkStart w:id="19" w:name="_Toc45896695"/>
      <w:bookmarkStart w:id="20" w:name="_Toc6384"/>
      <w:bookmarkStart w:id="21" w:name="_Toc4594524"/>
      <w:bookmarkStart w:id="22" w:name="_Toc4594022"/>
    </w:p>
    <w:p w14:paraId="65A40476">
      <w:pPr>
        <w:pStyle w:val="10"/>
        <w:pageBreakBefore w:val="0"/>
        <w:kinsoku/>
        <w:wordWrap w:val="0"/>
        <w:overflowPunct/>
        <w:bidi w:val="0"/>
        <w:rPr>
          <w:rFonts w:hint="eastAsia" w:ascii="宋体" w:hAnsi="宋体" w:eastAsia="宋体" w:cs="宋体"/>
          <w:color w:val="auto"/>
          <w:sz w:val="24"/>
          <w:szCs w:val="24"/>
          <w:highlight w:val="none"/>
        </w:rPr>
      </w:pPr>
    </w:p>
    <w:p w14:paraId="1310AF45">
      <w:pPr>
        <w:pageBreakBefore w:val="0"/>
        <w:kinsoku/>
        <w:wordWrap w:val="0"/>
        <w:overflowPunct/>
        <w:bidi w:val="0"/>
        <w:rPr>
          <w:rFonts w:hint="eastAsia" w:ascii="宋体" w:hAnsi="宋体" w:eastAsia="宋体" w:cs="宋体"/>
          <w:color w:val="auto"/>
          <w:sz w:val="24"/>
          <w:szCs w:val="24"/>
          <w:highlight w:val="none"/>
        </w:rPr>
      </w:pPr>
    </w:p>
    <w:p w14:paraId="13B73C51">
      <w:pPr>
        <w:pStyle w:val="10"/>
        <w:pageBreakBefore w:val="0"/>
        <w:kinsoku/>
        <w:wordWrap w:val="0"/>
        <w:overflowPunct/>
        <w:bidi w:val="0"/>
        <w:rPr>
          <w:rFonts w:hint="eastAsia" w:ascii="宋体" w:hAnsi="宋体" w:eastAsia="宋体" w:cs="宋体"/>
          <w:color w:val="auto"/>
          <w:sz w:val="24"/>
          <w:szCs w:val="24"/>
          <w:highlight w:val="none"/>
        </w:rPr>
      </w:pPr>
    </w:p>
    <w:p w14:paraId="2CBAB8C5">
      <w:pPr>
        <w:pageBreakBefore w:val="0"/>
        <w:kinsoku/>
        <w:wordWrap w:val="0"/>
        <w:overflowPunct/>
        <w:bidi w:val="0"/>
        <w:rPr>
          <w:rFonts w:hint="eastAsia" w:ascii="宋体" w:hAnsi="宋体" w:eastAsia="宋体" w:cs="宋体"/>
          <w:color w:val="auto"/>
          <w:sz w:val="24"/>
          <w:szCs w:val="24"/>
          <w:highlight w:val="none"/>
        </w:rPr>
      </w:pPr>
    </w:p>
    <w:p w14:paraId="21F2DDA5">
      <w:pPr>
        <w:pStyle w:val="10"/>
        <w:pageBreakBefore w:val="0"/>
        <w:kinsoku/>
        <w:wordWrap w:val="0"/>
        <w:overflowPunct/>
        <w:bidi w:val="0"/>
        <w:rPr>
          <w:rFonts w:hint="eastAsia" w:ascii="宋体" w:hAnsi="宋体" w:eastAsia="宋体" w:cs="宋体"/>
          <w:color w:val="auto"/>
          <w:sz w:val="24"/>
          <w:szCs w:val="24"/>
          <w:highlight w:val="none"/>
        </w:rPr>
      </w:pPr>
    </w:p>
    <w:p w14:paraId="0044DEDA">
      <w:pPr>
        <w:pStyle w:val="13"/>
        <w:pageBreakBefore w:val="0"/>
        <w:kinsoku/>
        <w:wordWrap w:val="0"/>
        <w:overflowPunct/>
        <w:bidi w:val="0"/>
        <w:rPr>
          <w:rFonts w:hint="eastAsia" w:ascii="宋体" w:hAnsi="宋体" w:eastAsia="宋体" w:cs="宋体"/>
          <w:color w:val="auto"/>
          <w:sz w:val="24"/>
          <w:szCs w:val="24"/>
          <w:highlight w:val="none"/>
        </w:rPr>
      </w:pPr>
    </w:p>
    <w:p w14:paraId="5BA8210F">
      <w:pPr>
        <w:pageBreakBefore w:val="0"/>
        <w:kinsoku/>
        <w:wordWrap w:val="0"/>
        <w:overflowPunct/>
        <w:bidi w:val="0"/>
        <w:rPr>
          <w:rFonts w:hint="eastAsia" w:ascii="宋体" w:hAnsi="宋体" w:eastAsia="宋体" w:cs="宋体"/>
          <w:color w:val="auto"/>
          <w:sz w:val="24"/>
          <w:szCs w:val="24"/>
          <w:highlight w:val="none"/>
        </w:rPr>
      </w:pPr>
    </w:p>
    <w:p w14:paraId="092DC678">
      <w:pPr>
        <w:pStyle w:val="13"/>
        <w:pageBreakBefore w:val="0"/>
        <w:kinsoku/>
        <w:wordWrap w:val="0"/>
        <w:overflowPunct/>
        <w:bidi w:val="0"/>
        <w:rPr>
          <w:rFonts w:hint="eastAsia" w:ascii="宋体" w:hAnsi="宋体" w:eastAsia="宋体" w:cs="宋体"/>
          <w:color w:val="auto"/>
          <w:sz w:val="24"/>
          <w:szCs w:val="24"/>
          <w:highlight w:val="none"/>
        </w:rPr>
      </w:pPr>
    </w:p>
    <w:p w14:paraId="3E54F6A4">
      <w:pPr>
        <w:pageBreakBefore w:val="0"/>
        <w:kinsoku/>
        <w:wordWrap w:val="0"/>
        <w:overflowPunct/>
        <w:bidi w:val="0"/>
        <w:rPr>
          <w:rFonts w:hint="eastAsia" w:ascii="宋体" w:hAnsi="宋体" w:eastAsia="宋体" w:cs="宋体"/>
          <w:color w:val="auto"/>
          <w:sz w:val="24"/>
          <w:szCs w:val="24"/>
          <w:highlight w:val="none"/>
        </w:rPr>
      </w:pPr>
    </w:p>
    <w:p w14:paraId="65F4B2A2">
      <w:pPr>
        <w:pStyle w:val="13"/>
        <w:pageBreakBefore w:val="0"/>
        <w:kinsoku/>
        <w:wordWrap w:val="0"/>
        <w:overflowPunct/>
        <w:bidi w:val="0"/>
        <w:rPr>
          <w:rFonts w:hint="eastAsia" w:ascii="宋体" w:hAnsi="宋体" w:eastAsia="宋体" w:cs="宋体"/>
          <w:color w:val="auto"/>
          <w:sz w:val="24"/>
          <w:szCs w:val="24"/>
          <w:highlight w:val="none"/>
        </w:rPr>
      </w:pPr>
    </w:p>
    <w:p w14:paraId="122A76D2">
      <w:pPr>
        <w:pageBreakBefore w:val="0"/>
        <w:kinsoku/>
        <w:wordWrap w:val="0"/>
        <w:overflowPunct/>
        <w:bidi w:val="0"/>
        <w:rPr>
          <w:rFonts w:hint="eastAsia" w:ascii="宋体" w:hAnsi="宋体" w:eastAsia="宋体" w:cs="宋体"/>
          <w:color w:val="auto"/>
          <w:sz w:val="24"/>
          <w:szCs w:val="24"/>
          <w:highlight w:val="none"/>
        </w:rPr>
      </w:pPr>
    </w:p>
    <w:p w14:paraId="29E0293F">
      <w:pPr>
        <w:pStyle w:val="13"/>
        <w:pageBreakBefore w:val="0"/>
        <w:kinsoku/>
        <w:wordWrap w:val="0"/>
        <w:overflowPunct/>
        <w:bidi w:val="0"/>
        <w:rPr>
          <w:rFonts w:hint="eastAsia" w:ascii="宋体" w:hAnsi="宋体" w:eastAsia="宋体" w:cs="宋体"/>
          <w:color w:val="auto"/>
          <w:sz w:val="24"/>
          <w:szCs w:val="24"/>
          <w:highlight w:val="none"/>
        </w:rPr>
      </w:pPr>
    </w:p>
    <w:p w14:paraId="3AB74A33">
      <w:pPr>
        <w:pStyle w:val="3"/>
        <w:pageBreakBefore w:val="0"/>
        <w:kinsoku/>
        <w:wordWrap w:val="0"/>
        <w:overflowPunct/>
        <w:bidi w:val="0"/>
        <w:jc w:val="center"/>
        <w:rPr>
          <w:rFonts w:hint="eastAsia" w:ascii="宋体" w:hAnsi="宋体" w:eastAsia="宋体" w:cs="宋体"/>
          <w:color w:val="auto"/>
          <w:highlight w:val="none"/>
        </w:rPr>
      </w:pPr>
      <w:bookmarkStart w:id="23" w:name="_Toc22935"/>
      <w:bookmarkStart w:id="24" w:name="_Toc10782"/>
      <w:bookmarkStart w:id="25" w:name="_Toc2590"/>
      <w:bookmarkStart w:id="26" w:name="_Toc23219"/>
      <w:bookmarkStart w:id="27" w:name="_Toc30041"/>
      <w:bookmarkStart w:id="28" w:name="_Toc677"/>
      <w:r>
        <w:rPr>
          <w:rFonts w:hint="eastAsia" w:ascii="宋体" w:hAnsi="宋体" w:eastAsia="宋体" w:cs="宋体"/>
          <w:color w:val="auto"/>
          <w:highlight w:val="none"/>
        </w:rPr>
        <w:t>第一章 招标公告</w:t>
      </w:r>
      <w:bookmarkEnd w:id="23"/>
    </w:p>
    <w:p w14:paraId="46AE3392">
      <w:pPr>
        <w:pageBreakBefore w:val="0"/>
        <w:kinsoku/>
        <w:wordWrap w:val="0"/>
        <w:overflowPunct/>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4"/>
    <w:bookmarkEnd w:id="25"/>
    <w:bookmarkEnd w:id="26"/>
    <w:bookmarkEnd w:id="27"/>
    <w:bookmarkEnd w:id="28"/>
    <w:p w14:paraId="25906141">
      <w:pPr>
        <w:pageBreakBefore w:val="0"/>
        <w:kinsoku/>
        <w:wordWrap w:val="0"/>
        <w:overflowPunct/>
        <w:bidi w:val="0"/>
        <w:spacing w:line="360" w:lineRule="auto"/>
        <w:jc w:val="center"/>
        <w:rPr>
          <w:rFonts w:hint="eastAsia" w:ascii="宋体" w:hAnsi="宋体" w:eastAsia="宋体" w:cs="宋体"/>
          <w:b/>
          <w:color w:val="auto"/>
          <w:sz w:val="24"/>
          <w:szCs w:val="24"/>
          <w:highlight w:val="none"/>
          <w:lang w:eastAsia="zh-CN"/>
        </w:rPr>
      </w:pPr>
      <w:bookmarkStart w:id="29" w:name="_Toc13994"/>
      <w:bookmarkEnd w:id="29"/>
      <w:bookmarkStart w:id="30" w:name="_Toc5498"/>
      <w:bookmarkEnd w:id="30"/>
      <w:bookmarkStart w:id="31" w:name="_Toc23419"/>
      <w:bookmarkEnd w:id="31"/>
      <w:bookmarkStart w:id="32" w:name="_Toc16794"/>
      <w:bookmarkEnd w:id="32"/>
      <w:bookmarkStart w:id="33" w:name="_Toc8120"/>
      <w:bookmarkEnd w:id="33"/>
      <w:bookmarkStart w:id="34" w:name="_Toc18212"/>
      <w:r>
        <w:rPr>
          <w:rFonts w:hint="eastAsia" w:ascii="宋体" w:hAnsi="宋体" w:cs="宋体"/>
          <w:b/>
          <w:color w:val="auto"/>
          <w:sz w:val="24"/>
          <w:szCs w:val="24"/>
          <w:highlight w:val="none"/>
          <w:lang w:eastAsia="zh-CN"/>
        </w:rPr>
        <w:t>芒市海关进境食用水生动物实验室检测能力提升项目实验室仪器设备采购</w:t>
      </w:r>
    </w:p>
    <w:p w14:paraId="412F7943">
      <w:pPr>
        <w:pageBreakBefore w:val="0"/>
        <w:kinsoku/>
        <w:wordWrap w:val="0"/>
        <w:overflowPunct/>
        <w:bidi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招标公告</w:t>
      </w:r>
      <w:bookmarkStart w:id="35" w:name="_Toc29108"/>
      <w:bookmarkEnd w:id="35"/>
      <w:bookmarkStart w:id="36" w:name="_Toc32031"/>
      <w:bookmarkEnd w:id="36"/>
    </w:p>
    <w:p w14:paraId="5028F643">
      <w:pPr>
        <w:pageBreakBefore w:val="0"/>
        <w:widowControl w:val="0"/>
        <w:pBdr>
          <w:top w:val="single" w:color="auto" w:sz="4" w:space="1"/>
          <w:left w:val="single" w:color="auto" w:sz="4" w:space="4"/>
          <w:bottom w:val="single" w:color="auto" w:sz="4" w:space="1"/>
          <w:right w:val="single" w:color="auto" w:sz="4" w:space="4"/>
        </w:pBdr>
        <w:kinsoku/>
        <w:wordWrap w:val="0"/>
        <w:overflowPunct/>
        <w:bidi w:val="0"/>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bidi="ar"/>
        </w:rPr>
        <w:t>项目概况</w:t>
      </w:r>
    </w:p>
    <w:p w14:paraId="1493B014">
      <w:pPr>
        <w:pageBreakBefore w:val="0"/>
        <w:widowControl w:val="0"/>
        <w:pBdr>
          <w:top w:val="single" w:color="auto" w:sz="4" w:space="1"/>
          <w:left w:val="single" w:color="auto" w:sz="4" w:space="4"/>
          <w:bottom w:val="single" w:color="auto" w:sz="4" w:space="1"/>
          <w:right w:val="single" w:color="auto" w:sz="4" w:space="4"/>
        </w:pBdr>
        <w:kinsoku/>
        <w:wordWrap w:val="0"/>
        <w:overflowPunct/>
        <w:bidi w:val="0"/>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cs="宋体"/>
          <w:color w:val="auto"/>
          <w:kern w:val="2"/>
          <w:sz w:val="24"/>
          <w:szCs w:val="24"/>
          <w:highlight w:val="none"/>
          <w:u w:val="single"/>
          <w:lang w:eastAsia="zh-CN" w:bidi="ar"/>
        </w:rPr>
        <w:t>芒市海关进境食用水生动物实验室检测能力提升项目实验室仪器设备采购</w:t>
      </w:r>
      <w:r>
        <w:rPr>
          <w:rFonts w:hint="eastAsia" w:ascii="宋体" w:hAnsi="宋体" w:eastAsia="宋体" w:cs="宋体"/>
          <w:color w:val="auto"/>
          <w:kern w:val="2"/>
          <w:sz w:val="24"/>
          <w:szCs w:val="24"/>
          <w:highlight w:val="none"/>
          <w:lang w:bidi="ar"/>
        </w:rPr>
        <w:t>的潜在投标人应在</w:t>
      </w:r>
      <w:r>
        <w:rPr>
          <w:rFonts w:hint="eastAsia" w:ascii="宋体" w:hAnsi="宋体" w:eastAsia="宋体" w:cs="宋体"/>
          <w:color w:val="auto"/>
          <w:sz w:val="24"/>
          <w:szCs w:val="24"/>
          <w:highlight w:val="none"/>
          <w:u w:val="none"/>
          <w:lang w:val="en-US" w:eastAsia="zh-CN"/>
        </w:rPr>
        <w:t>登录</w:t>
      </w:r>
      <w:r>
        <w:rPr>
          <w:rFonts w:hint="eastAsia" w:ascii="宋体" w:hAnsi="宋体" w:eastAsia="宋体" w:cs="宋体"/>
          <w:color w:val="auto"/>
          <w:sz w:val="24"/>
          <w:szCs w:val="24"/>
          <w:highlight w:val="none"/>
          <w:u w:val="single"/>
          <w:lang w:val="en-US" w:eastAsia="zh-CN"/>
        </w:rPr>
        <w:t>“政府采购云平台”（https://www.zcygov.cn/)</w:t>
      </w:r>
      <w:r>
        <w:rPr>
          <w:rFonts w:hint="eastAsia" w:ascii="宋体" w:hAnsi="宋体" w:eastAsia="宋体" w:cs="宋体"/>
          <w:color w:val="auto"/>
          <w:sz w:val="24"/>
          <w:szCs w:val="24"/>
          <w:highlight w:val="none"/>
          <w:u w:val="none"/>
          <w:lang w:val="en-US" w:eastAsia="zh-CN"/>
        </w:rPr>
        <w:t>凭企业数字证书（CA）在网上确认投标并获取招标文件，此为获取招标文件的唯一途径,并于</w:t>
      </w:r>
      <w:r>
        <w:rPr>
          <w:rFonts w:hint="eastAsia" w:ascii="宋体" w:hAnsi="宋体" w:eastAsia="宋体" w:cs="宋体"/>
          <w:b/>
          <w:bCs/>
          <w:color w:val="auto"/>
          <w:kern w:val="2"/>
          <w:sz w:val="24"/>
          <w:szCs w:val="24"/>
          <w:highlight w:val="none"/>
          <w:u w:val="single"/>
          <w:lang w:val="en-US" w:eastAsia="zh-CN" w:bidi="ar"/>
        </w:rPr>
        <w:t>202</w:t>
      </w:r>
      <w:r>
        <w:rPr>
          <w:rFonts w:hint="eastAsia" w:ascii="宋体" w:hAnsi="宋体" w:cs="宋体"/>
          <w:b/>
          <w:bCs/>
          <w:color w:val="auto"/>
          <w:kern w:val="2"/>
          <w:sz w:val="24"/>
          <w:szCs w:val="24"/>
          <w:highlight w:val="none"/>
          <w:u w:val="single"/>
          <w:lang w:val="en-US" w:eastAsia="zh-CN" w:bidi="ar"/>
        </w:rPr>
        <w:t>6</w:t>
      </w:r>
      <w:r>
        <w:rPr>
          <w:rFonts w:hint="eastAsia" w:ascii="宋体" w:hAnsi="宋体" w:eastAsia="宋体" w:cs="宋体"/>
          <w:b/>
          <w:bCs/>
          <w:color w:val="auto"/>
          <w:kern w:val="2"/>
          <w:sz w:val="24"/>
          <w:szCs w:val="24"/>
          <w:highlight w:val="none"/>
          <w:u w:val="single"/>
          <w:lang w:val="en-US" w:eastAsia="zh-CN" w:bidi="ar"/>
        </w:rPr>
        <w:t>年</w:t>
      </w:r>
      <w:r>
        <w:rPr>
          <w:rFonts w:hint="eastAsia" w:ascii="宋体" w:hAnsi="宋体" w:cs="宋体"/>
          <w:b/>
          <w:bCs/>
          <w:color w:val="auto"/>
          <w:kern w:val="2"/>
          <w:sz w:val="24"/>
          <w:szCs w:val="24"/>
          <w:highlight w:val="none"/>
          <w:u w:val="single"/>
          <w:lang w:val="en-US" w:eastAsia="zh-CN" w:bidi="ar"/>
        </w:rPr>
        <w:t>07</w:t>
      </w:r>
      <w:r>
        <w:rPr>
          <w:rFonts w:hint="eastAsia" w:ascii="宋体" w:hAnsi="宋体" w:eastAsia="宋体" w:cs="宋体"/>
          <w:b/>
          <w:bCs/>
          <w:color w:val="auto"/>
          <w:kern w:val="2"/>
          <w:sz w:val="24"/>
          <w:szCs w:val="24"/>
          <w:highlight w:val="none"/>
          <w:u w:val="single"/>
          <w:lang w:val="en-US" w:eastAsia="zh-CN" w:bidi="ar"/>
        </w:rPr>
        <w:t>月</w:t>
      </w:r>
      <w:r>
        <w:rPr>
          <w:rFonts w:hint="eastAsia" w:ascii="宋体" w:hAnsi="宋体" w:cs="宋体"/>
          <w:b/>
          <w:bCs/>
          <w:color w:val="auto"/>
          <w:kern w:val="2"/>
          <w:sz w:val="24"/>
          <w:szCs w:val="24"/>
          <w:highlight w:val="none"/>
          <w:u w:val="single"/>
          <w:lang w:val="en-US" w:eastAsia="zh-CN" w:bidi="ar"/>
        </w:rPr>
        <w:t>07</w:t>
      </w:r>
      <w:r>
        <w:rPr>
          <w:rFonts w:hint="eastAsia" w:ascii="宋体" w:hAnsi="宋体" w:eastAsia="宋体" w:cs="宋体"/>
          <w:b/>
          <w:bCs/>
          <w:color w:val="auto"/>
          <w:kern w:val="2"/>
          <w:sz w:val="24"/>
          <w:szCs w:val="24"/>
          <w:highlight w:val="none"/>
          <w:u w:val="single"/>
          <w:lang w:val="en-US" w:eastAsia="zh-CN" w:bidi="ar"/>
        </w:rPr>
        <w:t>日</w:t>
      </w:r>
      <w:r>
        <w:rPr>
          <w:rFonts w:hint="eastAsia" w:ascii="宋体" w:hAnsi="宋体" w:cs="宋体"/>
          <w:b/>
          <w:bCs/>
          <w:color w:val="auto"/>
          <w:kern w:val="2"/>
          <w:sz w:val="24"/>
          <w:szCs w:val="24"/>
          <w:highlight w:val="none"/>
          <w:u w:val="single"/>
          <w:lang w:val="en-US" w:eastAsia="zh-CN" w:bidi="ar"/>
        </w:rPr>
        <w:t>09</w:t>
      </w:r>
      <w:r>
        <w:rPr>
          <w:rFonts w:hint="eastAsia" w:ascii="宋体" w:hAnsi="宋体" w:eastAsia="宋体" w:cs="宋体"/>
          <w:b/>
          <w:bCs/>
          <w:color w:val="auto"/>
          <w:kern w:val="2"/>
          <w:sz w:val="24"/>
          <w:szCs w:val="24"/>
          <w:highlight w:val="none"/>
          <w:u w:val="single"/>
          <w:lang w:val="en-US" w:eastAsia="zh-CN" w:bidi="ar"/>
        </w:rPr>
        <w:t>时00分</w:t>
      </w:r>
      <w:r>
        <w:rPr>
          <w:rFonts w:hint="eastAsia" w:ascii="宋体" w:hAnsi="宋体" w:eastAsia="宋体" w:cs="宋体"/>
          <w:bCs/>
          <w:color w:val="auto"/>
          <w:kern w:val="2"/>
          <w:sz w:val="24"/>
          <w:szCs w:val="24"/>
          <w:highlight w:val="none"/>
          <w:u w:val="none"/>
          <w:lang w:bidi="ar"/>
        </w:rPr>
        <w:t>（</w:t>
      </w:r>
      <w:r>
        <w:rPr>
          <w:rFonts w:hint="eastAsia" w:ascii="宋体" w:hAnsi="宋体" w:eastAsia="宋体" w:cs="宋体"/>
          <w:bCs/>
          <w:color w:val="auto"/>
          <w:kern w:val="2"/>
          <w:sz w:val="24"/>
          <w:szCs w:val="24"/>
          <w:highlight w:val="none"/>
          <w:lang w:bidi="ar"/>
        </w:rPr>
        <w:t>北京时间）前递交投标文件</w:t>
      </w:r>
      <w:r>
        <w:rPr>
          <w:rFonts w:hint="eastAsia" w:ascii="宋体" w:hAnsi="宋体" w:eastAsia="宋体" w:cs="宋体"/>
          <w:color w:val="auto"/>
          <w:kern w:val="2"/>
          <w:sz w:val="24"/>
          <w:szCs w:val="24"/>
          <w:highlight w:val="none"/>
          <w:lang w:bidi="ar"/>
        </w:rPr>
        <w:t>。</w:t>
      </w:r>
    </w:p>
    <w:p w14:paraId="259D204F">
      <w:pPr>
        <w:pStyle w:val="13"/>
        <w:pageBreakBefore w:val="0"/>
        <w:kinsoku/>
        <w:wordWrap w:val="0"/>
        <w:overflowPunct/>
        <w:bidi w:val="0"/>
        <w:rPr>
          <w:rFonts w:hint="eastAsia" w:ascii="宋体" w:hAnsi="宋体" w:eastAsia="宋体" w:cs="宋体"/>
          <w:color w:val="auto"/>
          <w:sz w:val="24"/>
          <w:szCs w:val="24"/>
          <w:highlight w:val="none"/>
        </w:rPr>
      </w:pPr>
    </w:p>
    <w:p w14:paraId="566DD9EB">
      <w:pPr>
        <w:pStyle w:val="3"/>
        <w:pageBreakBefore w:val="0"/>
        <w:widowControl/>
        <w:kinsoku/>
        <w:wordWrap w:val="0"/>
        <w:overflowPunct/>
        <w:autoSpaceDE/>
        <w:autoSpaceDN/>
        <w:bidi w:val="0"/>
        <w:adjustRightInd w:val="0"/>
        <w:snapToGrid w:val="0"/>
        <w:spacing w:before="0" w:after="0" w:line="324" w:lineRule="auto"/>
        <w:ind w:left="0" w:leftChars="0"/>
        <w:textAlignment w:val="auto"/>
        <w:rPr>
          <w:rFonts w:hint="eastAsia" w:ascii="宋体" w:hAnsi="宋体" w:eastAsia="宋体" w:cs="宋体"/>
          <w:b w:val="0"/>
          <w:color w:val="auto"/>
          <w:sz w:val="24"/>
          <w:szCs w:val="24"/>
          <w:highlight w:val="none"/>
        </w:rPr>
      </w:pPr>
      <w:bookmarkStart w:id="37" w:name="_Toc35393790"/>
      <w:bookmarkStart w:id="38" w:name="_Toc35393621"/>
      <w:bookmarkStart w:id="39" w:name="_Toc28359079"/>
      <w:bookmarkStart w:id="40" w:name="_Toc28359002"/>
      <w:bookmarkStart w:id="41" w:name="_Toc1299"/>
      <w:bookmarkStart w:id="42" w:name="_Toc23839"/>
      <w:bookmarkStart w:id="43" w:name="_Hlk24379207"/>
      <w:r>
        <w:rPr>
          <w:rFonts w:hint="eastAsia" w:ascii="宋体" w:hAnsi="宋体" w:eastAsia="宋体" w:cs="宋体"/>
          <w:b w:val="0"/>
          <w:color w:val="auto"/>
          <w:sz w:val="24"/>
          <w:szCs w:val="24"/>
          <w:highlight w:val="none"/>
        </w:rPr>
        <w:t>一、项目基本情况</w:t>
      </w:r>
      <w:bookmarkEnd w:id="37"/>
      <w:bookmarkEnd w:id="38"/>
      <w:bookmarkEnd w:id="39"/>
      <w:bookmarkEnd w:id="40"/>
      <w:bookmarkEnd w:id="41"/>
      <w:bookmarkEnd w:id="42"/>
    </w:p>
    <w:p w14:paraId="4E86E12C">
      <w:pPr>
        <w:pageBreakBefore w:val="0"/>
        <w:widowControl w:val="0"/>
        <w:kinsoku/>
        <w:wordWrap w:val="0"/>
        <w:overflowPunct/>
        <w:autoSpaceDE/>
        <w:autoSpaceDN/>
        <w:bidi w:val="0"/>
        <w:adjustRightInd w:val="0"/>
        <w:snapToGrid w:val="0"/>
        <w:spacing w:line="324" w:lineRule="auto"/>
        <w:ind w:left="0" w:leftChars="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w:t>
      </w:r>
      <w:r>
        <w:rPr>
          <w:rFonts w:hint="eastAsia" w:ascii="宋体" w:hAnsi="宋体" w:eastAsia="宋体" w:cs="宋体"/>
          <w:color w:val="auto"/>
          <w:kern w:val="2"/>
          <w:sz w:val="24"/>
          <w:szCs w:val="24"/>
          <w:highlight w:val="none"/>
          <w:lang w:bidi="ar"/>
        </w:rPr>
        <w:t>项目编号：</w:t>
      </w:r>
      <w:r>
        <w:rPr>
          <w:rFonts w:hint="eastAsia" w:ascii="宋体" w:hAnsi="宋体" w:cs="宋体"/>
          <w:color w:val="auto"/>
          <w:kern w:val="2"/>
          <w:sz w:val="24"/>
          <w:szCs w:val="24"/>
          <w:highlight w:val="none"/>
          <w:lang w:eastAsia="zh-CN" w:bidi="ar"/>
        </w:rPr>
        <w:t>DHZC2026-G1-00447-DHSH-0014</w:t>
      </w:r>
      <w:r>
        <w:rPr>
          <w:rFonts w:hint="eastAsia" w:ascii="宋体" w:hAnsi="宋体" w:eastAsia="宋体" w:cs="宋体"/>
          <w:color w:val="auto"/>
          <w:kern w:val="2"/>
          <w:sz w:val="24"/>
          <w:szCs w:val="24"/>
          <w:highlight w:val="none"/>
          <w:lang w:val="en-US" w:eastAsia="zh-CN" w:bidi="ar"/>
        </w:rPr>
        <w:t xml:space="preserve"> </w:t>
      </w:r>
    </w:p>
    <w:p w14:paraId="5D6E5881">
      <w:pPr>
        <w:keepNext w:val="0"/>
        <w:keepLines w:val="0"/>
        <w:pageBreakBefore w:val="0"/>
        <w:widowControl/>
        <w:kinsoku/>
        <w:wordWrap w:val="0"/>
        <w:overflowPunct/>
        <w:topLinePunct w:val="0"/>
        <w:autoSpaceDE/>
        <w:autoSpaceDN/>
        <w:bidi w:val="0"/>
        <w:adjustRightInd w:val="0"/>
        <w:snapToGrid w:val="0"/>
        <w:spacing w:line="324" w:lineRule="auto"/>
        <w:ind w:left="0" w:leftChars="0" w:firstLine="480" w:firstLineChars="20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w:t>
      </w:r>
      <w:r>
        <w:rPr>
          <w:rFonts w:hint="eastAsia" w:ascii="宋体" w:hAnsi="宋体" w:eastAsia="宋体" w:cs="宋体"/>
          <w:color w:val="auto"/>
          <w:kern w:val="2"/>
          <w:sz w:val="24"/>
          <w:szCs w:val="24"/>
          <w:highlight w:val="none"/>
          <w:lang w:bidi="ar"/>
        </w:rPr>
        <w:t>项目名称：</w:t>
      </w:r>
      <w:r>
        <w:rPr>
          <w:rFonts w:hint="eastAsia" w:ascii="宋体" w:hAnsi="宋体" w:cs="宋体"/>
          <w:color w:val="auto"/>
          <w:kern w:val="2"/>
          <w:sz w:val="24"/>
          <w:szCs w:val="24"/>
          <w:highlight w:val="none"/>
          <w:lang w:eastAsia="zh-CN" w:bidi="ar"/>
        </w:rPr>
        <w:t>芒市海关进境食用水生动物实验室检测能力提升项目实验室仪器设备采购</w:t>
      </w:r>
    </w:p>
    <w:bookmarkEnd w:id="43"/>
    <w:p w14:paraId="1CF0333D">
      <w:pPr>
        <w:keepNext w:val="0"/>
        <w:keepLines w:val="0"/>
        <w:pageBreakBefore w:val="0"/>
        <w:widowControl/>
        <w:kinsoku/>
        <w:wordWrap w:val="0"/>
        <w:overflowPunct/>
        <w:topLinePunct w:val="0"/>
        <w:autoSpaceDE/>
        <w:autoSpaceDN/>
        <w:bidi w:val="0"/>
        <w:adjustRightInd w:val="0"/>
        <w:snapToGrid w:val="0"/>
        <w:spacing w:line="324" w:lineRule="auto"/>
        <w:ind w:left="0" w:leftChars="0" w:firstLine="480" w:firstLineChars="20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1.3</w:t>
      </w:r>
      <w:r>
        <w:rPr>
          <w:rFonts w:hint="eastAsia" w:ascii="宋体" w:hAnsi="宋体" w:eastAsia="宋体" w:cs="宋体"/>
          <w:color w:val="auto"/>
          <w:kern w:val="2"/>
          <w:sz w:val="24"/>
          <w:szCs w:val="24"/>
          <w:highlight w:val="none"/>
          <w:lang w:bidi="ar"/>
        </w:rPr>
        <w:t>预算金额：</w:t>
      </w:r>
      <w:r>
        <w:rPr>
          <w:rFonts w:hint="eastAsia" w:ascii="宋体" w:hAnsi="宋体" w:eastAsia="宋体" w:cs="宋体"/>
          <w:color w:val="auto"/>
          <w:kern w:val="2"/>
          <w:sz w:val="24"/>
          <w:szCs w:val="24"/>
          <w:highlight w:val="none"/>
          <w:lang w:val="en-US" w:eastAsia="zh-CN" w:bidi="ar"/>
        </w:rPr>
        <w:t>¥747.</w:t>
      </w:r>
      <w:r>
        <w:rPr>
          <w:rFonts w:hint="eastAsia" w:ascii="宋体" w:hAnsi="宋体" w:cs="宋体"/>
          <w:color w:val="auto"/>
          <w:kern w:val="2"/>
          <w:sz w:val="24"/>
          <w:szCs w:val="24"/>
          <w:highlight w:val="none"/>
          <w:lang w:val="en-US" w:eastAsia="zh-CN" w:bidi="ar"/>
        </w:rPr>
        <w:t>53</w:t>
      </w:r>
      <w:r>
        <w:rPr>
          <w:rFonts w:hint="eastAsia" w:ascii="宋体" w:hAnsi="宋体" w:eastAsia="宋体" w:cs="宋体"/>
          <w:color w:val="auto"/>
          <w:kern w:val="2"/>
          <w:sz w:val="24"/>
          <w:szCs w:val="24"/>
          <w:highlight w:val="none"/>
          <w:lang w:val="en-US" w:eastAsia="zh-CN" w:bidi="ar"/>
        </w:rPr>
        <w:t>万元。</w:t>
      </w:r>
    </w:p>
    <w:p w14:paraId="0EE3938F">
      <w:pPr>
        <w:keepNext w:val="0"/>
        <w:keepLines w:val="0"/>
        <w:pageBreakBefore w:val="0"/>
        <w:widowControl/>
        <w:kinsoku/>
        <w:wordWrap w:val="0"/>
        <w:overflowPunct/>
        <w:topLinePunct w:val="0"/>
        <w:autoSpaceDE/>
        <w:autoSpaceDN/>
        <w:bidi w:val="0"/>
        <w:adjustRightInd w:val="0"/>
        <w:snapToGrid w:val="0"/>
        <w:spacing w:line="324" w:lineRule="auto"/>
        <w:ind w:left="0" w:leftChars="0" w:firstLine="480" w:firstLineChars="20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1.4最高限价：¥</w:t>
      </w:r>
      <w:r>
        <w:rPr>
          <w:rFonts w:hint="eastAsia" w:ascii="宋体" w:hAnsi="宋体" w:cs="宋体"/>
          <w:color w:val="auto"/>
          <w:kern w:val="2"/>
          <w:sz w:val="24"/>
          <w:szCs w:val="24"/>
          <w:highlight w:val="none"/>
          <w:lang w:val="en-US" w:eastAsia="zh-CN" w:bidi="ar"/>
        </w:rPr>
        <w:t>7475300.00</w:t>
      </w:r>
      <w:r>
        <w:rPr>
          <w:rFonts w:hint="eastAsia" w:ascii="宋体" w:hAnsi="宋体" w:eastAsia="宋体" w:cs="宋体"/>
          <w:color w:val="auto"/>
          <w:kern w:val="2"/>
          <w:sz w:val="24"/>
          <w:szCs w:val="24"/>
          <w:highlight w:val="none"/>
          <w:lang w:val="en-US" w:eastAsia="zh-CN" w:bidi="ar"/>
        </w:rPr>
        <w:t>元。</w:t>
      </w:r>
    </w:p>
    <w:p w14:paraId="5A3A1D01">
      <w:pPr>
        <w:keepNext w:val="0"/>
        <w:keepLines w:val="0"/>
        <w:pageBreakBefore w:val="0"/>
        <w:widowControl/>
        <w:kinsoku/>
        <w:wordWrap w:val="0"/>
        <w:overflowPunct/>
        <w:topLinePunct w:val="0"/>
        <w:autoSpaceDE/>
        <w:autoSpaceDN/>
        <w:bidi w:val="0"/>
        <w:adjustRightInd w:val="0"/>
        <w:snapToGrid w:val="0"/>
        <w:spacing w:line="324" w:lineRule="auto"/>
        <w:ind w:left="0" w:leftChars="0" w:firstLine="480" w:firstLineChars="200"/>
        <w:jc w:val="left"/>
        <w:textAlignment w:val="auto"/>
        <w:rPr>
          <w:rFonts w:hint="eastAsia" w:ascii="宋体" w:hAnsi="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1.5采购需求：</w:t>
      </w:r>
      <w:r>
        <w:rPr>
          <w:rFonts w:hint="eastAsia" w:ascii="宋体" w:hAnsi="宋体" w:cs="宋体"/>
          <w:color w:val="auto"/>
          <w:kern w:val="2"/>
          <w:sz w:val="24"/>
          <w:szCs w:val="24"/>
          <w:highlight w:val="none"/>
          <w:lang w:val="en-US" w:eastAsia="zh-CN" w:bidi="ar"/>
        </w:rPr>
        <w:t>采购芒市海关进境食用水生动物实验室检测能力提升项目实验室仪器设备采购一批，详见下表：</w:t>
      </w:r>
    </w:p>
    <w:tbl>
      <w:tblPr>
        <w:tblStyle w:val="3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3"/>
        <w:gridCol w:w="1389"/>
        <w:gridCol w:w="3931"/>
        <w:gridCol w:w="624"/>
        <w:gridCol w:w="771"/>
        <w:gridCol w:w="1438"/>
        <w:gridCol w:w="1450"/>
      </w:tblGrid>
      <w:tr w14:paraId="1310D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230" w:type="pct"/>
            <w:tcBorders>
              <w:top w:val="single" w:color="000000" w:sz="4" w:space="0"/>
              <w:left w:val="single" w:color="000000" w:sz="4" w:space="0"/>
              <w:bottom w:val="single" w:color="000000" w:sz="4" w:space="0"/>
              <w:right w:val="single" w:color="000000" w:sz="4" w:space="0"/>
            </w:tcBorders>
            <w:noWrap w:val="0"/>
            <w:vAlign w:val="center"/>
          </w:tcPr>
          <w:p w14:paraId="54294150">
            <w:pPr>
              <w:keepNext w:val="0"/>
              <w:keepLines w:val="0"/>
              <w:pageBreakBefore w:val="0"/>
              <w:widowControl/>
              <w:suppressLineNumbers w:val="0"/>
              <w:kinsoku/>
              <w:wordWrap w:val="0"/>
              <w:overflowPunct/>
              <w:bidi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690" w:type="pct"/>
            <w:tcBorders>
              <w:top w:val="single" w:color="000000" w:sz="4" w:space="0"/>
              <w:left w:val="single" w:color="000000" w:sz="4" w:space="0"/>
              <w:bottom w:val="single" w:color="000000" w:sz="4" w:space="0"/>
              <w:right w:val="single" w:color="000000" w:sz="4" w:space="0"/>
            </w:tcBorders>
            <w:noWrap w:val="0"/>
            <w:vAlign w:val="center"/>
          </w:tcPr>
          <w:p w14:paraId="382F126E">
            <w:pPr>
              <w:keepNext w:val="0"/>
              <w:keepLines w:val="0"/>
              <w:pageBreakBefore w:val="0"/>
              <w:widowControl/>
              <w:suppressLineNumbers w:val="0"/>
              <w:kinsoku/>
              <w:wordWrap w:val="0"/>
              <w:overflowPunct/>
              <w:bidi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设备名称</w:t>
            </w:r>
          </w:p>
        </w:tc>
        <w:tc>
          <w:tcPr>
            <w:tcW w:w="1952" w:type="pct"/>
            <w:tcBorders>
              <w:top w:val="single" w:color="000000" w:sz="4" w:space="0"/>
              <w:left w:val="single" w:color="000000" w:sz="4" w:space="0"/>
              <w:bottom w:val="single" w:color="000000" w:sz="4" w:space="0"/>
              <w:right w:val="single" w:color="000000" w:sz="4" w:space="0"/>
            </w:tcBorders>
            <w:noWrap w:val="0"/>
            <w:vAlign w:val="center"/>
          </w:tcPr>
          <w:p w14:paraId="5BD8F5AE">
            <w:pPr>
              <w:keepNext w:val="0"/>
              <w:keepLines w:val="0"/>
              <w:pageBreakBefore w:val="0"/>
              <w:widowControl/>
              <w:suppressLineNumbers w:val="0"/>
              <w:kinsoku/>
              <w:wordWrap w:val="0"/>
              <w:overflowPunct/>
              <w:bidi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主要用途（检测商品与主要检测项目类别）</w:t>
            </w:r>
          </w:p>
        </w:tc>
        <w:tc>
          <w:tcPr>
            <w:tcW w:w="310" w:type="pct"/>
            <w:tcBorders>
              <w:top w:val="single" w:color="000000" w:sz="4" w:space="0"/>
              <w:left w:val="single" w:color="000000" w:sz="4" w:space="0"/>
              <w:bottom w:val="single" w:color="000000" w:sz="4" w:space="0"/>
              <w:right w:val="single" w:color="000000" w:sz="4" w:space="0"/>
            </w:tcBorders>
            <w:noWrap w:val="0"/>
            <w:vAlign w:val="center"/>
          </w:tcPr>
          <w:p w14:paraId="3FE7A08F">
            <w:pPr>
              <w:keepNext w:val="0"/>
              <w:keepLines w:val="0"/>
              <w:pageBreakBefore w:val="0"/>
              <w:widowControl/>
              <w:suppressLineNumbers w:val="0"/>
              <w:kinsoku/>
              <w:wordWrap w:val="0"/>
              <w:overflowPunct/>
              <w:bidi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是否进口</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3F8965FA">
            <w:pPr>
              <w:keepNext w:val="0"/>
              <w:keepLines w:val="0"/>
              <w:pageBreakBefore w:val="0"/>
              <w:widowControl/>
              <w:suppressLineNumbers w:val="0"/>
              <w:kinsoku/>
              <w:wordWrap w:val="0"/>
              <w:overflowPunct/>
              <w:bidi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（台/套）</w:t>
            </w:r>
          </w:p>
        </w:tc>
        <w:tc>
          <w:tcPr>
            <w:tcW w:w="711" w:type="pct"/>
            <w:tcBorders>
              <w:top w:val="single" w:color="000000" w:sz="4" w:space="0"/>
              <w:left w:val="single" w:color="000000" w:sz="4" w:space="0"/>
              <w:bottom w:val="single" w:color="000000" w:sz="4" w:space="0"/>
              <w:right w:val="single" w:color="000000" w:sz="4" w:space="0"/>
            </w:tcBorders>
            <w:noWrap w:val="0"/>
            <w:vAlign w:val="center"/>
          </w:tcPr>
          <w:p w14:paraId="7FCD318D">
            <w:pPr>
              <w:keepNext w:val="0"/>
              <w:keepLines w:val="0"/>
              <w:pageBreakBefore w:val="0"/>
              <w:widowControl/>
              <w:suppressLineNumbers w:val="0"/>
              <w:kinsoku/>
              <w:wordWrap w:val="0"/>
              <w:overflowPunct/>
              <w:bidi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控制单价  （万元）</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1E67AC1F">
            <w:pPr>
              <w:keepNext w:val="0"/>
              <w:keepLines w:val="0"/>
              <w:pageBreakBefore w:val="0"/>
              <w:widowControl/>
              <w:suppressLineNumbers w:val="0"/>
              <w:kinsoku/>
              <w:wordWrap w:val="0"/>
              <w:overflowPunct/>
              <w:bidi w:val="0"/>
              <w:jc w:val="center"/>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小计（万元）</w:t>
            </w:r>
          </w:p>
        </w:tc>
      </w:tr>
      <w:tr w14:paraId="292D2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30" w:type="pct"/>
            <w:tcBorders>
              <w:top w:val="single" w:color="000000" w:sz="4" w:space="0"/>
              <w:left w:val="single" w:color="000000" w:sz="4" w:space="0"/>
              <w:bottom w:val="single" w:color="000000" w:sz="4" w:space="0"/>
              <w:right w:val="single" w:color="000000" w:sz="4" w:space="0"/>
            </w:tcBorders>
            <w:noWrap w:val="0"/>
            <w:vAlign w:val="center"/>
          </w:tcPr>
          <w:p w14:paraId="44F4DDE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90" w:type="pct"/>
            <w:tcBorders>
              <w:top w:val="single" w:color="000000" w:sz="4" w:space="0"/>
              <w:left w:val="single" w:color="000000" w:sz="4" w:space="0"/>
              <w:bottom w:val="single" w:color="000000" w:sz="4" w:space="0"/>
              <w:right w:val="single" w:color="000000" w:sz="4" w:space="0"/>
            </w:tcBorders>
            <w:noWrap w:val="0"/>
            <w:vAlign w:val="center"/>
          </w:tcPr>
          <w:p w14:paraId="0E75B55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全自动酶免仪</w:t>
            </w:r>
          </w:p>
        </w:tc>
        <w:tc>
          <w:tcPr>
            <w:tcW w:w="1952" w:type="pct"/>
            <w:tcBorders>
              <w:top w:val="single" w:color="000000" w:sz="4" w:space="0"/>
              <w:left w:val="single" w:color="000000" w:sz="4" w:space="0"/>
              <w:bottom w:val="single" w:color="000000" w:sz="4" w:space="0"/>
              <w:right w:val="single" w:color="000000" w:sz="4" w:space="0"/>
            </w:tcBorders>
            <w:noWrap w:val="0"/>
            <w:vAlign w:val="center"/>
          </w:tcPr>
          <w:p w14:paraId="16DCA5A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动物/人的疫病 Elisa 检测、兽药残留/瘦肉精等检测、细菌、病毒抗原检测、三聚氰胺含量检测、分子生物学和细胞生物学科研工作</w:t>
            </w:r>
          </w:p>
        </w:tc>
        <w:tc>
          <w:tcPr>
            <w:tcW w:w="310" w:type="pct"/>
            <w:tcBorders>
              <w:top w:val="single" w:color="000000" w:sz="4" w:space="0"/>
              <w:left w:val="single" w:color="000000" w:sz="4" w:space="0"/>
              <w:bottom w:val="single" w:color="000000" w:sz="4" w:space="0"/>
              <w:right w:val="single" w:color="000000" w:sz="4" w:space="0"/>
            </w:tcBorders>
            <w:noWrap w:val="0"/>
            <w:vAlign w:val="center"/>
          </w:tcPr>
          <w:p w14:paraId="3590833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0DC781F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11" w:type="pct"/>
            <w:tcBorders>
              <w:top w:val="single" w:color="000000" w:sz="4" w:space="0"/>
              <w:left w:val="single" w:color="000000" w:sz="4" w:space="0"/>
              <w:bottom w:val="single" w:color="000000" w:sz="4" w:space="0"/>
              <w:right w:val="single" w:color="000000" w:sz="4" w:space="0"/>
            </w:tcBorders>
            <w:noWrap w:val="0"/>
            <w:vAlign w:val="center"/>
          </w:tcPr>
          <w:p w14:paraId="7F22147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26.90</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11D4E84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26.90</w:t>
            </w:r>
          </w:p>
        </w:tc>
      </w:tr>
      <w:tr w14:paraId="45CA2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0" w:type="pct"/>
            <w:tcBorders>
              <w:top w:val="single" w:color="000000" w:sz="4" w:space="0"/>
              <w:left w:val="single" w:color="000000" w:sz="4" w:space="0"/>
              <w:bottom w:val="single" w:color="000000" w:sz="4" w:space="0"/>
              <w:right w:val="single" w:color="000000" w:sz="4" w:space="0"/>
            </w:tcBorders>
            <w:noWrap w:val="0"/>
            <w:vAlign w:val="center"/>
          </w:tcPr>
          <w:p w14:paraId="1A96DC2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90" w:type="pct"/>
            <w:tcBorders>
              <w:top w:val="single" w:color="000000" w:sz="4" w:space="0"/>
              <w:left w:val="single" w:color="000000" w:sz="4" w:space="0"/>
              <w:bottom w:val="single" w:color="000000" w:sz="4" w:space="0"/>
              <w:right w:val="single" w:color="000000" w:sz="4" w:space="0"/>
            </w:tcBorders>
            <w:noWrap w:val="0"/>
            <w:vAlign w:val="center"/>
          </w:tcPr>
          <w:p w14:paraId="7FC6974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高速冷冻离心机</w:t>
            </w:r>
          </w:p>
        </w:tc>
        <w:tc>
          <w:tcPr>
            <w:tcW w:w="1952" w:type="pct"/>
            <w:tcBorders>
              <w:top w:val="single" w:color="000000" w:sz="4" w:space="0"/>
              <w:left w:val="single" w:color="000000" w:sz="4" w:space="0"/>
              <w:bottom w:val="single" w:color="000000" w:sz="4" w:space="0"/>
              <w:right w:val="single" w:color="000000" w:sz="4" w:space="0"/>
            </w:tcBorders>
            <w:noWrap w:val="0"/>
            <w:vAlign w:val="center"/>
          </w:tcPr>
          <w:p w14:paraId="6240756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用于分离和富集食物中的微生物、蛋白质等成分，以进行质量控制和检测</w:t>
            </w:r>
          </w:p>
        </w:tc>
        <w:tc>
          <w:tcPr>
            <w:tcW w:w="310" w:type="pct"/>
            <w:tcBorders>
              <w:top w:val="single" w:color="000000" w:sz="4" w:space="0"/>
              <w:left w:val="single" w:color="000000" w:sz="4" w:space="0"/>
              <w:bottom w:val="single" w:color="000000" w:sz="4" w:space="0"/>
              <w:right w:val="single" w:color="000000" w:sz="4" w:space="0"/>
            </w:tcBorders>
            <w:noWrap w:val="0"/>
            <w:vAlign w:val="center"/>
          </w:tcPr>
          <w:p w14:paraId="7377F0E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D55535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11" w:type="pct"/>
            <w:tcBorders>
              <w:top w:val="single" w:color="000000" w:sz="4" w:space="0"/>
              <w:left w:val="single" w:color="000000" w:sz="4" w:space="0"/>
              <w:bottom w:val="single" w:color="000000" w:sz="4" w:space="0"/>
              <w:right w:val="single" w:color="000000" w:sz="4" w:space="0"/>
            </w:tcBorders>
            <w:noWrap w:val="0"/>
            <w:vAlign w:val="center"/>
          </w:tcPr>
          <w:p w14:paraId="3566D9E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8.71</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53662A2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8.71</w:t>
            </w:r>
          </w:p>
        </w:tc>
      </w:tr>
      <w:tr w14:paraId="0EE0F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230" w:type="pct"/>
            <w:tcBorders>
              <w:top w:val="single" w:color="000000" w:sz="4" w:space="0"/>
              <w:left w:val="single" w:color="000000" w:sz="4" w:space="0"/>
              <w:bottom w:val="single" w:color="000000" w:sz="4" w:space="0"/>
              <w:right w:val="single" w:color="000000" w:sz="4" w:space="0"/>
            </w:tcBorders>
            <w:noWrap w:val="0"/>
            <w:vAlign w:val="center"/>
          </w:tcPr>
          <w:p w14:paraId="040F023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690" w:type="pct"/>
            <w:tcBorders>
              <w:top w:val="nil"/>
              <w:left w:val="nil"/>
              <w:bottom w:val="nil"/>
              <w:right w:val="nil"/>
            </w:tcBorders>
            <w:noWrap w:val="0"/>
            <w:vAlign w:val="center"/>
          </w:tcPr>
          <w:p w14:paraId="77DA0CD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全自动多功能成像系统</w:t>
            </w:r>
          </w:p>
        </w:tc>
        <w:tc>
          <w:tcPr>
            <w:tcW w:w="1952" w:type="pct"/>
            <w:tcBorders>
              <w:top w:val="single" w:color="000000" w:sz="4" w:space="0"/>
              <w:left w:val="single" w:color="000000" w:sz="4" w:space="0"/>
              <w:bottom w:val="single" w:color="000000" w:sz="4" w:space="0"/>
              <w:right w:val="single" w:color="000000" w:sz="4" w:space="0"/>
            </w:tcBorders>
            <w:noWrap w:val="0"/>
            <w:vAlign w:val="center"/>
          </w:tcPr>
          <w:p w14:paraId="26A8D55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适用于化学发光成像、核酸成像、SDS-PAGE 胶成像、菌落成像，荧光标记实验等。化学发光检测：Westernblot、Southernblot、Northernblot、Dotblot 等 发 光 实 验 多 色 荧 光 检测 ： 可 实 现 多 通 道 荧 光 检 测 ：AMCA/AlexaFluor350/DyLight350 、cy2/AlexaFluor488/DyLight488 、cy3/AlexaFluor555/DyLight550、cy5/AlexaFluor647/DyLight649凝胶检测：满足 TanonTM 核酸染料 Red、TanonTM 核酸染料 Green、溴化乙锭（EB）、SYBR®Green、SYBR®Gold、SYBR®Safe、GelRedTM、GelStar®、SYPRO®Ruby、SYPRO®Orange、Qdots®、考马斯亮蓝、银染等染料成像。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其他应用：各种杂交膜，蛋白转印膜，培养皿菌落计数，酶标板，点杂交，蛋白芯片，电化学。</w:t>
            </w:r>
          </w:p>
        </w:tc>
        <w:tc>
          <w:tcPr>
            <w:tcW w:w="310" w:type="pct"/>
            <w:tcBorders>
              <w:top w:val="single" w:color="000000" w:sz="4" w:space="0"/>
              <w:left w:val="single" w:color="000000" w:sz="4" w:space="0"/>
              <w:bottom w:val="single" w:color="000000" w:sz="4" w:space="0"/>
              <w:right w:val="single" w:color="000000" w:sz="4" w:space="0"/>
            </w:tcBorders>
            <w:noWrap w:val="0"/>
            <w:vAlign w:val="center"/>
          </w:tcPr>
          <w:p w14:paraId="460ECF1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F05E32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11" w:type="pct"/>
            <w:tcBorders>
              <w:top w:val="single" w:color="000000" w:sz="4" w:space="0"/>
              <w:left w:val="single" w:color="000000" w:sz="4" w:space="0"/>
              <w:bottom w:val="single" w:color="000000" w:sz="4" w:space="0"/>
              <w:right w:val="single" w:color="000000" w:sz="4" w:space="0"/>
            </w:tcBorders>
            <w:noWrap w:val="0"/>
            <w:vAlign w:val="center"/>
          </w:tcPr>
          <w:p w14:paraId="10713AB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36.84</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68E631C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36.84</w:t>
            </w:r>
          </w:p>
        </w:tc>
      </w:tr>
      <w:tr w14:paraId="71DF7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30" w:type="pct"/>
            <w:tcBorders>
              <w:top w:val="single" w:color="000000" w:sz="4" w:space="0"/>
              <w:left w:val="single" w:color="000000" w:sz="4" w:space="0"/>
              <w:bottom w:val="single" w:color="000000" w:sz="4" w:space="0"/>
              <w:right w:val="single" w:color="000000" w:sz="4" w:space="0"/>
            </w:tcBorders>
            <w:noWrap w:val="0"/>
            <w:vAlign w:val="center"/>
          </w:tcPr>
          <w:p w14:paraId="55F6500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690" w:type="pct"/>
            <w:tcBorders>
              <w:top w:val="single" w:color="000000" w:sz="4" w:space="0"/>
              <w:left w:val="single" w:color="000000" w:sz="4" w:space="0"/>
              <w:bottom w:val="single" w:color="000000" w:sz="4" w:space="0"/>
              <w:right w:val="single" w:color="000000" w:sz="4" w:space="0"/>
            </w:tcBorders>
            <w:noWrap w:val="0"/>
            <w:vAlign w:val="center"/>
          </w:tcPr>
          <w:p w14:paraId="7A511A8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全自动均质器</w:t>
            </w:r>
          </w:p>
        </w:tc>
        <w:tc>
          <w:tcPr>
            <w:tcW w:w="1952" w:type="pct"/>
            <w:tcBorders>
              <w:top w:val="single" w:color="000000" w:sz="4" w:space="0"/>
              <w:left w:val="single" w:color="000000" w:sz="4" w:space="0"/>
              <w:bottom w:val="single" w:color="000000" w:sz="4" w:space="0"/>
              <w:right w:val="single" w:color="000000" w:sz="4" w:space="0"/>
            </w:tcBorders>
            <w:noWrap w:val="0"/>
            <w:vAlign w:val="center"/>
          </w:tcPr>
          <w:p w14:paraId="0DB651F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用于动物组织、生物样品、食品、药品、化妆品，等的均质处理，特别适用于农兽残检测样品的提取。</w:t>
            </w:r>
          </w:p>
        </w:tc>
        <w:tc>
          <w:tcPr>
            <w:tcW w:w="310" w:type="pct"/>
            <w:tcBorders>
              <w:top w:val="single" w:color="000000" w:sz="4" w:space="0"/>
              <w:left w:val="single" w:color="000000" w:sz="4" w:space="0"/>
              <w:bottom w:val="single" w:color="000000" w:sz="4" w:space="0"/>
              <w:right w:val="single" w:color="000000" w:sz="4" w:space="0"/>
            </w:tcBorders>
            <w:noWrap w:val="0"/>
            <w:vAlign w:val="center"/>
          </w:tcPr>
          <w:p w14:paraId="04FF4C8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38EEB26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11" w:type="pct"/>
            <w:tcBorders>
              <w:top w:val="single" w:color="000000" w:sz="4" w:space="0"/>
              <w:left w:val="single" w:color="000000" w:sz="4" w:space="0"/>
              <w:bottom w:val="single" w:color="000000" w:sz="4" w:space="0"/>
              <w:right w:val="single" w:color="000000" w:sz="4" w:space="0"/>
            </w:tcBorders>
            <w:noWrap w:val="0"/>
            <w:vAlign w:val="center"/>
          </w:tcPr>
          <w:p w14:paraId="4B4640E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16.37</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1E55006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32.7</w:t>
            </w:r>
            <w:r>
              <w:rPr>
                <w:rFonts w:hint="eastAsia" w:ascii="宋体" w:hAnsi="宋体" w:cs="宋体"/>
                <w:i w:val="0"/>
                <w:iCs w:val="0"/>
                <w:color w:val="auto"/>
                <w:kern w:val="0"/>
                <w:sz w:val="21"/>
                <w:szCs w:val="21"/>
                <w:highlight w:val="none"/>
                <w:u w:val="none"/>
                <w:lang w:val="en-US" w:eastAsia="zh-CN" w:bidi="ar"/>
              </w:rPr>
              <w:t>4</w:t>
            </w:r>
          </w:p>
        </w:tc>
      </w:tr>
      <w:tr w14:paraId="75D4C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B0B4B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69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E9969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低温&amp;灭活研磨仪</w:t>
            </w:r>
          </w:p>
        </w:tc>
        <w:tc>
          <w:tcPr>
            <w:tcW w:w="19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FF39B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用于土壤、植物和动物的组织/器官、细菌、酵母、真菌、孢子、标本等样本进行研磨粉碎</w:t>
            </w: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71CF2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C7A0E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1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0CDC9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20.05</w:t>
            </w:r>
          </w:p>
        </w:tc>
        <w:tc>
          <w:tcPr>
            <w:tcW w:w="7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52C84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20.05</w:t>
            </w:r>
          </w:p>
        </w:tc>
      </w:tr>
      <w:tr w14:paraId="009A3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0" w:type="pct"/>
            <w:tcBorders>
              <w:top w:val="single" w:color="000000" w:sz="4" w:space="0"/>
              <w:left w:val="single" w:color="000000" w:sz="4" w:space="0"/>
              <w:bottom w:val="single" w:color="000000" w:sz="4" w:space="0"/>
              <w:right w:val="single" w:color="000000" w:sz="4" w:space="0"/>
            </w:tcBorders>
            <w:noWrap w:val="0"/>
            <w:vAlign w:val="center"/>
          </w:tcPr>
          <w:p w14:paraId="4E49580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690" w:type="pct"/>
            <w:tcBorders>
              <w:top w:val="single" w:color="000000" w:sz="4" w:space="0"/>
              <w:left w:val="single" w:color="000000" w:sz="4" w:space="0"/>
              <w:bottom w:val="single" w:color="000000" w:sz="4" w:space="0"/>
              <w:right w:val="single" w:color="000000" w:sz="4" w:space="0"/>
            </w:tcBorders>
            <w:noWrap w:val="0"/>
            <w:vAlign w:val="center"/>
          </w:tcPr>
          <w:p w14:paraId="4F067A8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生物安全柜</w:t>
            </w:r>
          </w:p>
        </w:tc>
        <w:tc>
          <w:tcPr>
            <w:tcW w:w="1952" w:type="pct"/>
            <w:tcBorders>
              <w:top w:val="single" w:color="000000" w:sz="4" w:space="0"/>
              <w:left w:val="single" w:color="000000" w:sz="4" w:space="0"/>
              <w:bottom w:val="single" w:color="000000" w:sz="4" w:space="0"/>
              <w:right w:val="single" w:color="000000" w:sz="4" w:space="0"/>
            </w:tcBorders>
            <w:noWrap w:val="0"/>
            <w:vAlign w:val="center"/>
          </w:tcPr>
          <w:p w14:paraId="19D5B2B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用于检测实验中防止生物安全样品产生的气溶胶等对人员和环境造成危害</w:t>
            </w:r>
          </w:p>
        </w:tc>
        <w:tc>
          <w:tcPr>
            <w:tcW w:w="310" w:type="pct"/>
            <w:tcBorders>
              <w:top w:val="single" w:color="000000" w:sz="4" w:space="0"/>
              <w:left w:val="single" w:color="000000" w:sz="4" w:space="0"/>
              <w:bottom w:val="single" w:color="000000" w:sz="4" w:space="0"/>
              <w:right w:val="single" w:color="000000" w:sz="4" w:space="0"/>
            </w:tcBorders>
            <w:noWrap w:val="0"/>
            <w:vAlign w:val="center"/>
          </w:tcPr>
          <w:p w14:paraId="778253A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7A4AB1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11" w:type="pct"/>
            <w:tcBorders>
              <w:top w:val="single" w:color="000000" w:sz="4" w:space="0"/>
              <w:left w:val="single" w:color="000000" w:sz="4" w:space="0"/>
              <w:bottom w:val="single" w:color="000000" w:sz="4" w:space="0"/>
              <w:right w:val="single" w:color="000000" w:sz="4" w:space="0"/>
            </w:tcBorders>
            <w:noWrap w:val="0"/>
            <w:vAlign w:val="center"/>
          </w:tcPr>
          <w:p w14:paraId="35DF4A3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13.83</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366276A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41.</w:t>
            </w:r>
            <w:r>
              <w:rPr>
                <w:rFonts w:hint="eastAsia" w:ascii="宋体" w:hAnsi="宋体" w:cs="宋体"/>
                <w:i w:val="0"/>
                <w:iCs w:val="0"/>
                <w:color w:val="auto"/>
                <w:kern w:val="0"/>
                <w:sz w:val="21"/>
                <w:szCs w:val="21"/>
                <w:highlight w:val="none"/>
                <w:u w:val="none"/>
                <w:lang w:val="en-US" w:eastAsia="zh-CN" w:bidi="ar"/>
              </w:rPr>
              <w:t>49</w:t>
            </w:r>
          </w:p>
        </w:tc>
      </w:tr>
      <w:tr w14:paraId="214D3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30" w:type="pct"/>
            <w:tcBorders>
              <w:top w:val="single" w:color="000000" w:sz="4" w:space="0"/>
              <w:left w:val="single" w:color="000000" w:sz="4" w:space="0"/>
              <w:bottom w:val="single" w:color="000000" w:sz="4" w:space="0"/>
              <w:right w:val="single" w:color="000000" w:sz="4" w:space="0"/>
            </w:tcBorders>
            <w:noWrap w:val="0"/>
            <w:vAlign w:val="center"/>
          </w:tcPr>
          <w:p w14:paraId="44CD573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690" w:type="pct"/>
            <w:tcBorders>
              <w:top w:val="single" w:color="000000" w:sz="4" w:space="0"/>
              <w:left w:val="single" w:color="000000" w:sz="4" w:space="0"/>
              <w:bottom w:val="single" w:color="000000" w:sz="4" w:space="0"/>
              <w:right w:val="single" w:color="000000" w:sz="4" w:space="0"/>
            </w:tcBorders>
            <w:noWrap w:val="0"/>
            <w:vAlign w:val="center"/>
          </w:tcPr>
          <w:p w14:paraId="5E22A25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实时荧光定量PCR仪</w:t>
            </w:r>
          </w:p>
        </w:tc>
        <w:tc>
          <w:tcPr>
            <w:tcW w:w="1952" w:type="pct"/>
            <w:tcBorders>
              <w:top w:val="single" w:color="000000" w:sz="4" w:space="0"/>
              <w:left w:val="single" w:color="000000" w:sz="4" w:space="0"/>
              <w:bottom w:val="single" w:color="000000" w:sz="4" w:space="0"/>
              <w:right w:val="single" w:color="000000" w:sz="4" w:space="0"/>
            </w:tcBorders>
            <w:noWrap w:val="0"/>
            <w:vAlign w:val="center"/>
          </w:tcPr>
          <w:p w14:paraId="77A829F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可实现多病同检，多病同防，提升口岸检出率，提升口岸通关时效。</w:t>
            </w:r>
          </w:p>
        </w:tc>
        <w:tc>
          <w:tcPr>
            <w:tcW w:w="310" w:type="pct"/>
            <w:tcBorders>
              <w:top w:val="single" w:color="000000" w:sz="4" w:space="0"/>
              <w:left w:val="single" w:color="000000" w:sz="4" w:space="0"/>
              <w:bottom w:val="single" w:color="000000" w:sz="4" w:space="0"/>
              <w:right w:val="single" w:color="000000" w:sz="4" w:space="0"/>
            </w:tcBorders>
            <w:noWrap w:val="0"/>
            <w:vAlign w:val="center"/>
          </w:tcPr>
          <w:p w14:paraId="7ABDC7C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1F702F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11" w:type="pct"/>
            <w:tcBorders>
              <w:top w:val="single" w:color="000000" w:sz="4" w:space="0"/>
              <w:left w:val="single" w:color="000000" w:sz="4" w:space="0"/>
              <w:bottom w:val="single" w:color="000000" w:sz="4" w:space="0"/>
              <w:right w:val="single" w:color="000000" w:sz="4" w:space="0"/>
            </w:tcBorders>
            <w:noWrap w:val="0"/>
            <w:vAlign w:val="center"/>
          </w:tcPr>
          <w:p w14:paraId="30DAAC7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19.60</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58D8C25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19.60</w:t>
            </w:r>
          </w:p>
        </w:tc>
      </w:tr>
      <w:tr w14:paraId="77A52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230" w:type="pct"/>
            <w:tcBorders>
              <w:top w:val="single" w:color="000000" w:sz="4" w:space="0"/>
              <w:left w:val="single" w:color="000000" w:sz="4" w:space="0"/>
              <w:bottom w:val="single" w:color="000000" w:sz="4" w:space="0"/>
              <w:right w:val="single" w:color="000000" w:sz="4" w:space="0"/>
            </w:tcBorders>
            <w:noWrap w:val="0"/>
            <w:vAlign w:val="center"/>
          </w:tcPr>
          <w:p w14:paraId="3019324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690" w:type="pct"/>
            <w:tcBorders>
              <w:top w:val="single" w:color="000000" w:sz="4" w:space="0"/>
              <w:left w:val="single" w:color="000000" w:sz="4" w:space="0"/>
              <w:bottom w:val="single" w:color="000000" w:sz="4" w:space="0"/>
              <w:right w:val="single" w:color="000000" w:sz="4" w:space="0"/>
            </w:tcBorders>
            <w:noWrap w:val="0"/>
            <w:vAlign w:val="center"/>
          </w:tcPr>
          <w:p w14:paraId="5EE95AE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核酸提取</w:t>
            </w:r>
          </w:p>
        </w:tc>
        <w:tc>
          <w:tcPr>
            <w:tcW w:w="1952" w:type="pct"/>
            <w:tcBorders>
              <w:top w:val="single" w:color="000000" w:sz="4" w:space="0"/>
              <w:left w:val="single" w:color="000000" w:sz="4" w:space="0"/>
              <w:bottom w:val="single" w:color="000000" w:sz="4" w:space="0"/>
              <w:right w:val="single" w:color="000000" w:sz="4" w:space="0"/>
            </w:tcBorders>
            <w:noWrap w:val="0"/>
            <w:vAlign w:val="center"/>
          </w:tcPr>
          <w:p w14:paraId="1D0C308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满足实验室快速检测测的工作需要，助推通关便利化，提升通关效率，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保障进口能源安全。更进一步提升海关实验室自动化、智慧化水平，对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于海关口岸监管、服务地方经济发展有着重大的意义。</w:t>
            </w:r>
          </w:p>
        </w:tc>
        <w:tc>
          <w:tcPr>
            <w:tcW w:w="310" w:type="pct"/>
            <w:tcBorders>
              <w:top w:val="single" w:color="000000" w:sz="4" w:space="0"/>
              <w:left w:val="single" w:color="000000" w:sz="4" w:space="0"/>
              <w:bottom w:val="single" w:color="000000" w:sz="4" w:space="0"/>
              <w:right w:val="single" w:color="000000" w:sz="4" w:space="0"/>
            </w:tcBorders>
            <w:noWrap w:val="0"/>
            <w:vAlign w:val="center"/>
          </w:tcPr>
          <w:p w14:paraId="6C0C5DB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4173CB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11" w:type="pct"/>
            <w:tcBorders>
              <w:top w:val="single" w:color="000000" w:sz="4" w:space="0"/>
              <w:left w:val="single" w:color="000000" w:sz="4" w:space="0"/>
              <w:bottom w:val="single" w:color="000000" w:sz="4" w:space="0"/>
              <w:right w:val="single" w:color="000000" w:sz="4" w:space="0"/>
            </w:tcBorders>
            <w:noWrap w:val="0"/>
            <w:vAlign w:val="center"/>
          </w:tcPr>
          <w:p w14:paraId="782622A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17.69</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1E4E43F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17.69</w:t>
            </w:r>
          </w:p>
        </w:tc>
      </w:tr>
      <w:tr w14:paraId="33FDD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1E386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69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C96B6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全自动酶联免疫分析仪</w:t>
            </w:r>
          </w:p>
        </w:tc>
        <w:tc>
          <w:tcPr>
            <w:tcW w:w="19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7924B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解决 ELISA 实验的自动化、标准化；更好的对 ELISA 实验进行全流程质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量控制。通量 20 块左右酶标板容量的全自动酶免仪即可满足日常工作，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缩短项目报告等待时间。</w:t>
            </w: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5ED74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071BA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1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92A91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27.87</w:t>
            </w:r>
          </w:p>
        </w:tc>
        <w:tc>
          <w:tcPr>
            <w:tcW w:w="7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C6F6E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27.87</w:t>
            </w:r>
          </w:p>
        </w:tc>
      </w:tr>
      <w:tr w14:paraId="4CBAE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230" w:type="pct"/>
            <w:tcBorders>
              <w:top w:val="single" w:color="000000" w:sz="4" w:space="0"/>
              <w:left w:val="single" w:color="000000" w:sz="4" w:space="0"/>
              <w:bottom w:val="single" w:color="000000" w:sz="4" w:space="0"/>
              <w:right w:val="single" w:color="000000" w:sz="4" w:space="0"/>
            </w:tcBorders>
            <w:noWrap w:val="0"/>
            <w:vAlign w:val="center"/>
          </w:tcPr>
          <w:p w14:paraId="2BD59F1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690" w:type="pct"/>
            <w:tcBorders>
              <w:top w:val="single" w:color="000000" w:sz="4" w:space="0"/>
              <w:left w:val="single" w:color="000000" w:sz="4" w:space="0"/>
              <w:bottom w:val="single" w:color="000000" w:sz="4" w:space="0"/>
              <w:right w:val="single" w:color="000000" w:sz="4" w:space="0"/>
            </w:tcBorders>
            <w:noWrap w:val="0"/>
            <w:vAlign w:val="center"/>
          </w:tcPr>
          <w:p w14:paraId="551ED7D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液相色谱-串联三重四极杆质谱</w:t>
            </w:r>
          </w:p>
        </w:tc>
        <w:tc>
          <w:tcPr>
            <w:tcW w:w="1952" w:type="pct"/>
            <w:tcBorders>
              <w:top w:val="single" w:color="000000" w:sz="4" w:space="0"/>
              <w:left w:val="single" w:color="000000" w:sz="4" w:space="0"/>
              <w:bottom w:val="single" w:color="000000" w:sz="4" w:space="0"/>
              <w:right w:val="single" w:color="000000" w:sz="4" w:space="0"/>
            </w:tcBorders>
            <w:noWrap w:val="0"/>
            <w:vAlign w:val="center"/>
          </w:tcPr>
          <w:p w14:paraId="57D3FCC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用于水产品痕量物质精准检测，主要测兽药残留、生物毒素、环境污染物，满足高通量与低检出限需求。海关监管要求按国标与 SN 标准执行，严格定性定量、核查残留限量，作为进出口通关、执法判定与风险监控的法定技术依据。</w:t>
            </w:r>
          </w:p>
        </w:tc>
        <w:tc>
          <w:tcPr>
            <w:tcW w:w="310" w:type="pct"/>
            <w:tcBorders>
              <w:top w:val="single" w:color="000000" w:sz="4" w:space="0"/>
              <w:left w:val="single" w:color="000000" w:sz="4" w:space="0"/>
              <w:bottom w:val="single" w:color="000000" w:sz="4" w:space="0"/>
              <w:right w:val="single" w:color="000000" w:sz="4" w:space="0"/>
            </w:tcBorders>
            <w:noWrap w:val="0"/>
            <w:vAlign w:val="center"/>
          </w:tcPr>
          <w:p w14:paraId="2E76092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34BC5E3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11" w:type="pct"/>
            <w:tcBorders>
              <w:top w:val="single" w:color="000000" w:sz="4" w:space="0"/>
              <w:left w:val="single" w:color="000000" w:sz="4" w:space="0"/>
              <w:bottom w:val="single" w:color="000000" w:sz="4" w:space="0"/>
              <w:right w:val="single" w:color="000000" w:sz="4" w:space="0"/>
            </w:tcBorders>
            <w:noWrap w:val="0"/>
            <w:vAlign w:val="center"/>
          </w:tcPr>
          <w:p w14:paraId="248EED4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247.44</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2394ECC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247.44</w:t>
            </w:r>
          </w:p>
        </w:tc>
      </w:tr>
      <w:tr w14:paraId="5D28E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230" w:type="pct"/>
            <w:tcBorders>
              <w:top w:val="single" w:color="000000" w:sz="4" w:space="0"/>
              <w:left w:val="single" w:color="000000" w:sz="4" w:space="0"/>
              <w:bottom w:val="single" w:color="000000" w:sz="4" w:space="0"/>
              <w:right w:val="single" w:color="000000" w:sz="4" w:space="0"/>
            </w:tcBorders>
            <w:noWrap w:val="0"/>
            <w:vAlign w:val="center"/>
          </w:tcPr>
          <w:p w14:paraId="6EA4B4B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690" w:type="pct"/>
            <w:tcBorders>
              <w:top w:val="single" w:color="000000" w:sz="4" w:space="0"/>
              <w:left w:val="single" w:color="000000" w:sz="4" w:space="0"/>
              <w:bottom w:val="single" w:color="000000" w:sz="4" w:space="0"/>
              <w:right w:val="single" w:color="000000" w:sz="4" w:space="0"/>
            </w:tcBorders>
            <w:noWrap w:val="0"/>
            <w:vAlign w:val="center"/>
          </w:tcPr>
          <w:p w14:paraId="215C50F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电感耦合等离子体-质谱仪（ICP-MS）</w:t>
            </w:r>
          </w:p>
        </w:tc>
        <w:tc>
          <w:tcPr>
            <w:tcW w:w="1952" w:type="pct"/>
            <w:tcBorders>
              <w:top w:val="single" w:color="000000" w:sz="4" w:space="0"/>
              <w:left w:val="single" w:color="000000" w:sz="4" w:space="0"/>
              <w:bottom w:val="single" w:color="000000" w:sz="4" w:space="0"/>
              <w:right w:val="single" w:color="000000" w:sz="4" w:space="0"/>
            </w:tcBorders>
            <w:noWrap w:val="0"/>
            <w:vAlign w:val="center"/>
          </w:tcPr>
          <w:p w14:paraId="45D374F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于水产品中重金属精准检测，可快速定量砷、镉、铅、汞、铬等有毒有害元素，灵敏度高、线性范围宽，适用于鱼、虾、贝等复杂基质。海关监管中，用于进出口安全把关，严格执行国标及限量要求，实现痕量元素快速筛查与确证，防范重金属污染风险，保障贸易通关与食品安全。</w:t>
            </w:r>
          </w:p>
        </w:tc>
        <w:tc>
          <w:tcPr>
            <w:tcW w:w="310" w:type="pct"/>
            <w:tcBorders>
              <w:top w:val="single" w:color="000000" w:sz="4" w:space="0"/>
              <w:left w:val="single" w:color="000000" w:sz="4" w:space="0"/>
              <w:bottom w:val="single" w:color="000000" w:sz="4" w:space="0"/>
              <w:right w:val="single" w:color="000000" w:sz="4" w:space="0"/>
            </w:tcBorders>
            <w:noWrap w:val="0"/>
            <w:vAlign w:val="center"/>
          </w:tcPr>
          <w:p w14:paraId="15F26FD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86B5DA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11" w:type="pct"/>
            <w:tcBorders>
              <w:top w:val="single" w:color="000000" w:sz="4" w:space="0"/>
              <w:left w:val="single" w:color="000000" w:sz="4" w:space="0"/>
              <w:bottom w:val="single" w:color="000000" w:sz="4" w:space="0"/>
              <w:right w:val="single" w:color="000000" w:sz="4" w:space="0"/>
            </w:tcBorders>
            <w:noWrap w:val="0"/>
            <w:vAlign w:val="center"/>
          </w:tcPr>
          <w:p w14:paraId="51B3995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131.43</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12DED49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131.43</w:t>
            </w:r>
          </w:p>
        </w:tc>
      </w:tr>
      <w:tr w14:paraId="01EE7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30" w:type="pct"/>
            <w:tcBorders>
              <w:top w:val="single" w:color="000000" w:sz="4" w:space="0"/>
              <w:left w:val="single" w:color="000000" w:sz="4" w:space="0"/>
              <w:bottom w:val="single" w:color="000000" w:sz="4" w:space="0"/>
              <w:right w:val="single" w:color="000000" w:sz="4" w:space="0"/>
            </w:tcBorders>
            <w:noWrap w:val="0"/>
            <w:vAlign w:val="center"/>
          </w:tcPr>
          <w:p w14:paraId="0702132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690" w:type="pct"/>
            <w:tcBorders>
              <w:top w:val="single" w:color="000000" w:sz="4" w:space="0"/>
              <w:left w:val="single" w:color="000000" w:sz="4" w:space="0"/>
              <w:bottom w:val="single" w:color="000000" w:sz="4" w:space="0"/>
              <w:right w:val="single" w:color="000000" w:sz="4" w:space="0"/>
            </w:tcBorders>
            <w:noWrap w:val="0"/>
            <w:vAlign w:val="center"/>
          </w:tcPr>
          <w:p w14:paraId="25E87A9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Quechers 前处理设备</w:t>
            </w:r>
          </w:p>
        </w:tc>
        <w:tc>
          <w:tcPr>
            <w:tcW w:w="1952" w:type="pct"/>
            <w:tcBorders>
              <w:top w:val="single" w:color="000000" w:sz="4" w:space="0"/>
              <w:left w:val="single" w:color="000000" w:sz="4" w:space="0"/>
              <w:bottom w:val="single" w:color="000000" w:sz="4" w:space="0"/>
              <w:right w:val="single" w:color="000000" w:sz="4" w:space="0"/>
            </w:tcBorders>
            <w:noWrap w:val="0"/>
            <w:vAlign w:val="center"/>
          </w:tcPr>
          <w:p w14:paraId="4F4CE88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用于农、兽药残留等前处理</w:t>
            </w:r>
          </w:p>
        </w:tc>
        <w:tc>
          <w:tcPr>
            <w:tcW w:w="310" w:type="pct"/>
            <w:tcBorders>
              <w:top w:val="single" w:color="000000" w:sz="4" w:space="0"/>
              <w:left w:val="single" w:color="000000" w:sz="4" w:space="0"/>
              <w:bottom w:val="single" w:color="000000" w:sz="4" w:space="0"/>
              <w:right w:val="single" w:color="000000" w:sz="4" w:space="0"/>
            </w:tcBorders>
            <w:noWrap w:val="0"/>
            <w:vAlign w:val="center"/>
          </w:tcPr>
          <w:p w14:paraId="7935192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07425DD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11" w:type="pct"/>
            <w:tcBorders>
              <w:top w:val="single" w:color="000000" w:sz="4" w:space="0"/>
              <w:left w:val="single" w:color="000000" w:sz="4" w:space="0"/>
              <w:bottom w:val="single" w:color="000000" w:sz="4" w:space="0"/>
              <w:right w:val="single" w:color="000000" w:sz="4" w:space="0"/>
            </w:tcBorders>
            <w:noWrap w:val="0"/>
            <w:vAlign w:val="center"/>
          </w:tcPr>
          <w:p w14:paraId="36D36EC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49.04</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7F55062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49.04</w:t>
            </w:r>
          </w:p>
        </w:tc>
      </w:tr>
      <w:tr w14:paraId="2641B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0" w:type="pct"/>
            <w:tcBorders>
              <w:top w:val="single" w:color="000000" w:sz="4" w:space="0"/>
              <w:left w:val="single" w:color="000000" w:sz="4" w:space="0"/>
              <w:bottom w:val="single" w:color="000000" w:sz="4" w:space="0"/>
              <w:right w:val="single" w:color="000000" w:sz="4" w:space="0"/>
            </w:tcBorders>
            <w:noWrap w:val="0"/>
            <w:vAlign w:val="center"/>
          </w:tcPr>
          <w:p w14:paraId="24B6AEF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690" w:type="pct"/>
            <w:tcBorders>
              <w:top w:val="single" w:color="000000" w:sz="4" w:space="0"/>
              <w:left w:val="single" w:color="000000" w:sz="4" w:space="0"/>
              <w:bottom w:val="single" w:color="000000" w:sz="4" w:space="0"/>
              <w:right w:val="single" w:color="000000" w:sz="4" w:space="0"/>
            </w:tcBorders>
            <w:noWrap w:val="0"/>
            <w:vAlign w:val="center"/>
          </w:tcPr>
          <w:p w14:paraId="08F0012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超声波清洗器</w:t>
            </w:r>
          </w:p>
        </w:tc>
        <w:tc>
          <w:tcPr>
            <w:tcW w:w="1952" w:type="pct"/>
            <w:tcBorders>
              <w:top w:val="single" w:color="000000" w:sz="4" w:space="0"/>
              <w:left w:val="single" w:color="000000" w:sz="4" w:space="0"/>
              <w:bottom w:val="single" w:color="000000" w:sz="4" w:space="0"/>
              <w:right w:val="single" w:color="000000" w:sz="4" w:space="0"/>
            </w:tcBorders>
            <w:noWrap w:val="0"/>
            <w:vAlign w:val="center"/>
          </w:tcPr>
          <w:p w14:paraId="265C0E6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实验器皿清洗</w:t>
            </w:r>
          </w:p>
        </w:tc>
        <w:tc>
          <w:tcPr>
            <w:tcW w:w="310" w:type="pct"/>
            <w:tcBorders>
              <w:top w:val="single" w:color="000000" w:sz="4" w:space="0"/>
              <w:left w:val="single" w:color="000000" w:sz="4" w:space="0"/>
              <w:bottom w:val="single" w:color="000000" w:sz="4" w:space="0"/>
              <w:right w:val="single" w:color="000000" w:sz="4" w:space="0"/>
            </w:tcBorders>
            <w:noWrap w:val="0"/>
            <w:vAlign w:val="center"/>
          </w:tcPr>
          <w:p w14:paraId="2F3527E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3E799BE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11" w:type="pct"/>
            <w:tcBorders>
              <w:top w:val="single" w:color="000000" w:sz="4" w:space="0"/>
              <w:left w:val="single" w:color="000000" w:sz="4" w:space="0"/>
              <w:bottom w:val="single" w:color="000000" w:sz="4" w:space="0"/>
              <w:right w:val="single" w:color="000000" w:sz="4" w:space="0"/>
            </w:tcBorders>
            <w:noWrap w:val="0"/>
            <w:vAlign w:val="center"/>
          </w:tcPr>
          <w:p w14:paraId="1E7CD8E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0.52</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34477B0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w:t>
            </w:r>
            <w:r>
              <w:rPr>
                <w:rFonts w:hint="eastAsia" w:ascii="宋体" w:hAnsi="宋体" w:cs="宋体"/>
                <w:i w:val="0"/>
                <w:iCs w:val="0"/>
                <w:color w:val="auto"/>
                <w:kern w:val="0"/>
                <w:sz w:val="21"/>
                <w:szCs w:val="21"/>
                <w:highlight w:val="none"/>
                <w:u w:val="none"/>
                <w:lang w:val="en-US" w:eastAsia="zh-CN" w:bidi="ar"/>
              </w:rPr>
              <w:t>4</w:t>
            </w:r>
          </w:p>
        </w:tc>
      </w:tr>
      <w:tr w14:paraId="411A2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230" w:type="pct"/>
            <w:tcBorders>
              <w:top w:val="single" w:color="000000" w:sz="4" w:space="0"/>
              <w:left w:val="single" w:color="000000" w:sz="4" w:space="0"/>
              <w:bottom w:val="single" w:color="000000" w:sz="4" w:space="0"/>
              <w:right w:val="single" w:color="000000" w:sz="4" w:space="0"/>
            </w:tcBorders>
            <w:noWrap w:val="0"/>
            <w:vAlign w:val="center"/>
          </w:tcPr>
          <w:p w14:paraId="06184BE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690" w:type="pct"/>
            <w:tcBorders>
              <w:top w:val="single" w:color="000000" w:sz="4" w:space="0"/>
              <w:left w:val="single" w:color="000000" w:sz="4" w:space="0"/>
              <w:bottom w:val="single" w:color="000000" w:sz="4" w:space="0"/>
              <w:right w:val="single" w:color="000000" w:sz="4" w:space="0"/>
            </w:tcBorders>
            <w:noWrap w:val="0"/>
            <w:vAlign w:val="center"/>
          </w:tcPr>
          <w:p w14:paraId="187474A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直接测汞仪</w:t>
            </w:r>
          </w:p>
        </w:tc>
        <w:tc>
          <w:tcPr>
            <w:tcW w:w="1952" w:type="pct"/>
            <w:tcBorders>
              <w:top w:val="single" w:color="000000" w:sz="4" w:space="0"/>
              <w:left w:val="single" w:color="000000" w:sz="4" w:space="0"/>
              <w:bottom w:val="single" w:color="000000" w:sz="4" w:space="0"/>
              <w:right w:val="single" w:color="000000" w:sz="4" w:space="0"/>
            </w:tcBorders>
            <w:noWrap w:val="0"/>
            <w:vAlign w:val="center"/>
          </w:tcPr>
          <w:p w14:paraId="08CC784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直接测汞仪用于水产品中总汞快速定量检测，无需复杂前处理，直接固体 / 液体进样，高温热解、金汞齐富集后原子吸收测定，灵敏度高、速度快、无试剂污染。海关监管中，严格执行汞残留限量标准，高效防控汞污染风险，保障水产品通关安全与食用安全。</w:t>
            </w:r>
          </w:p>
        </w:tc>
        <w:tc>
          <w:tcPr>
            <w:tcW w:w="310" w:type="pct"/>
            <w:tcBorders>
              <w:top w:val="single" w:color="000000" w:sz="4" w:space="0"/>
              <w:left w:val="single" w:color="000000" w:sz="4" w:space="0"/>
              <w:bottom w:val="single" w:color="000000" w:sz="4" w:space="0"/>
              <w:right w:val="single" w:color="000000" w:sz="4" w:space="0"/>
            </w:tcBorders>
            <w:noWrap w:val="0"/>
            <w:vAlign w:val="center"/>
          </w:tcPr>
          <w:p w14:paraId="5E2D6D2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E23546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11" w:type="pct"/>
            <w:tcBorders>
              <w:top w:val="single" w:color="000000" w:sz="4" w:space="0"/>
              <w:left w:val="single" w:color="000000" w:sz="4" w:space="0"/>
              <w:bottom w:val="single" w:color="000000" w:sz="4" w:space="0"/>
              <w:right w:val="single" w:color="000000" w:sz="4" w:space="0"/>
            </w:tcBorders>
            <w:noWrap w:val="0"/>
            <w:vAlign w:val="center"/>
          </w:tcPr>
          <w:p w14:paraId="7B89640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36.71</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6FC9969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36.71</w:t>
            </w:r>
          </w:p>
        </w:tc>
      </w:tr>
      <w:tr w14:paraId="63573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30" w:type="pct"/>
            <w:tcBorders>
              <w:top w:val="single" w:color="000000" w:sz="4" w:space="0"/>
              <w:left w:val="single" w:color="000000" w:sz="4" w:space="0"/>
              <w:bottom w:val="single" w:color="000000" w:sz="4" w:space="0"/>
              <w:right w:val="single" w:color="000000" w:sz="4" w:space="0"/>
            </w:tcBorders>
            <w:noWrap w:val="0"/>
            <w:vAlign w:val="center"/>
          </w:tcPr>
          <w:p w14:paraId="2039E6D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690" w:type="pct"/>
            <w:tcBorders>
              <w:top w:val="single" w:color="000000" w:sz="4" w:space="0"/>
              <w:left w:val="single" w:color="000000" w:sz="4" w:space="0"/>
              <w:bottom w:val="single" w:color="000000" w:sz="4" w:space="0"/>
              <w:right w:val="single" w:color="000000" w:sz="4" w:space="0"/>
            </w:tcBorders>
            <w:noWrap w:val="0"/>
            <w:vAlign w:val="center"/>
          </w:tcPr>
          <w:p w14:paraId="37D6EA0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全自动固相萃取仪</w:t>
            </w:r>
          </w:p>
        </w:tc>
        <w:tc>
          <w:tcPr>
            <w:tcW w:w="1952" w:type="pct"/>
            <w:tcBorders>
              <w:top w:val="single" w:color="000000" w:sz="4" w:space="0"/>
              <w:left w:val="single" w:color="000000" w:sz="4" w:space="0"/>
              <w:bottom w:val="single" w:color="000000" w:sz="4" w:space="0"/>
              <w:right w:val="single" w:color="000000" w:sz="4" w:space="0"/>
            </w:tcBorders>
            <w:noWrap w:val="0"/>
            <w:vAlign w:val="center"/>
          </w:tcPr>
          <w:p w14:paraId="6AB1092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样品前处理自动化，完成萃取、净化、富集等步骤，减少人工误差、提高重现性，适配兽药、毒素、重金属等待测组分净化。</w:t>
            </w:r>
          </w:p>
        </w:tc>
        <w:tc>
          <w:tcPr>
            <w:tcW w:w="310" w:type="pct"/>
            <w:tcBorders>
              <w:top w:val="single" w:color="000000" w:sz="4" w:space="0"/>
              <w:left w:val="single" w:color="000000" w:sz="4" w:space="0"/>
              <w:bottom w:val="single" w:color="000000" w:sz="4" w:space="0"/>
              <w:right w:val="single" w:color="000000" w:sz="4" w:space="0"/>
            </w:tcBorders>
            <w:noWrap w:val="0"/>
            <w:vAlign w:val="center"/>
          </w:tcPr>
          <w:p w14:paraId="50DAA9D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07FFCFE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11" w:type="pct"/>
            <w:tcBorders>
              <w:top w:val="single" w:color="000000" w:sz="4" w:space="0"/>
              <w:left w:val="single" w:color="000000" w:sz="4" w:space="0"/>
              <w:bottom w:val="single" w:color="000000" w:sz="4" w:space="0"/>
              <w:right w:val="single" w:color="000000" w:sz="4" w:space="0"/>
            </w:tcBorders>
            <w:noWrap w:val="0"/>
            <w:vAlign w:val="center"/>
          </w:tcPr>
          <w:p w14:paraId="5D18A59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37.52</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704C14C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37.52</w:t>
            </w:r>
          </w:p>
        </w:tc>
      </w:tr>
      <w:tr w14:paraId="410CA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30" w:type="pct"/>
            <w:tcBorders>
              <w:top w:val="single" w:color="000000" w:sz="4" w:space="0"/>
              <w:left w:val="single" w:color="000000" w:sz="4" w:space="0"/>
              <w:bottom w:val="single" w:color="000000" w:sz="4" w:space="0"/>
              <w:right w:val="single" w:color="000000" w:sz="4" w:space="0"/>
            </w:tcBorders>
            <w:noWrap w:val="0"/>
            <w:vAlign w:val="center"/>
          </w:tcPr>
          <w:p w14:paraId="3988D94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690" w:type="pct"/>
            <w:tcBorders>
              <w:top w:val="single" w:color="000000" w:sz="4" w:space="0"/>
              <w:left w:val="single" w:color="000000" w:sz="4" w:space="0"/>
              <w:bottom w:val="single" w:color="000000" w:sz="4" w:space="0"/>
              <w:right w:val="single" w:color="000000" w:sz="4" w:space="0"/>
            </w:tcBorders>
            <w:noWrap w:val="0"/>
            <w:vAlign w:val="center"/>
          </w:tcPr>
          <w:p w14:paraId="71FC0E1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水浴氮吹仪</w:t>
            </w:r>
          </w:p>
        </w:tc>
        <w:tc>
          <w:tcPr>
            <w:tcW w:w="1952" w:type="pct"/>
            <w:tcBorders>
              <w:top w:val="single" w:color="000000" w:sz="4" w:space="0"/>
              <w:left w:val="single" w:color="000000" w:sz="4" w:space="0"/>
              <w:bottom w:val="single" w:color="000000" w:sz="4" w:space="0"/>
              <w:right w:val="single" w:color="000000" w:sz="4" w:space="0"/>
            </w:tcBorders>
            <w:noWrap w:val="0"/>
            <w:vAlign w:val="center"/>
          </w:tcPr>
          <w:p w14:paraId="04A8B43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用于水产品检测样品浓缩，通过温和加热与氮气吹扫，快速去除有机试剂，富集兽药残留、环境污染物等痕量待测物，操作简便、浓缩效率高</w:t>
            </w:r>
          </w:p>
        </w:tc>
        <w:tc>
          <w:tcPr>
            <w:tcW w:w="310" w:type="pct"/>
            <w:tcBorders>
              <w:top w:val="single" w:color="000000" w:sz="4" w:space="0"/>
              <w:left w:val="single" w:color="000000" w:sz="4" w:space="0"/>
              <w:bottom w:val="single" w:color="000000" w:sz="4" w:space="0"/>
              <w:right w:val="single" w:color="000000" w:sz="4" w:space="0"/>
            </w:tcBorders>
            <w:noWrap w:val="0"/>
            <w:vAlign w:val="center"/>
          </w:tcPr>
          <w:p w14:paraId="411F99A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30A75F9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11" w:type="pct"/>
            <w:tcBorders>
              <w:top w:val="single" w:color="000000" w:sz="4" w:space="0"/>
              <w:left w:val="single" w:color="000000" w:sz="4" w:space="0"/>
              <w:bottom w:val="single" w:color="000000" w:sz="4" w:space="0"/>
              <w:right w:val="single" w:color="000000" w:sz="4" w:space="0"/>
            </w:tcBorders>
            <w:noWrap w:val="0"/>
            <w:vAlign w:val="center"/>
          </w:tcPr>
          <w:p w14:paraId="7F5BBA8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9.35</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5D8331B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9.35</w:t>
            </w:r>
          </w:p>
        </w:tc>
      </w:tr>
      <w:tr w14:paraId="2373C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0" w:type="pct"/>
            <w:tcBorders>
              <w:top w:val="single" w:color="000000" w:sz="4" w:space="0"/>
              <w:left w:val="single" w:color="000000" w:sz="4" w:space="0"/>
              <w:bottom w:val="single" w:color="000000" w:sz="4" w:space="0"/>
              <w:right w:val="single" w:color="000000" w:sz="4" w:space="0"/>
            </w:tcBorders>
            <w:noWrap w:val="0"/>
            <w:vAlign w:val="center"/>
          </w:tcPr>
          <w:p w14:paraId="56FD11A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690" w:type="pct"/>
            <w:tcBorders>
              <w:top w:val="single" w:color="000000" w:sz="4" w:space="0"/>
              <w:left w:val="single" w:color="000000" w:sz="4" w:space="0"/>
              <w:bottom w:val="single" w:color="000000" w:sz="4" w:space="0"/>
              <w:right w:val="single" w:color="000000" w:sz="4" w:space="0"/>
            </w:tcBorders>
            <w:noWrap w:val="0"/>
            <w:vAlign w:val="center"/>
          </w:tcPr>
          <w:p w14:paraId="1D66D44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鼓风干燥箱</w:t>
            </w:r>
          </w:p>
        </w:tc>
        <w:tc>
          <w:tcPr>
            <w:tcW w:w="1952" w:type="pct"/>
            <w:tcBorders>
              <w:top w:val="single" w:color="000000" w:sz="4" w:space="0"/>
              <w:left w:val="single" w:color="000000" w:sz="4" w:space="0"/>
              <w:bottom w:val="single" w:color="000000" w:sz="4" w:space="0"/>
              <w:right w:val="single" w:color="000000" w:sz="4" w:space="0"/>
            </w:tcBorders>
            <w:noWrap w:val="0"/>
            <w:vAlign w:val="center"/>
          </w:tcPr>
          <w:p w14:paraId="26A457A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样品烘干，测水份含量等</w:t>
            </w:r>
          </w:p>
        </w:tc>
        <w:tc>
          <w:tcPr>
            <w:tcW w:w="310" w:type="pct"/>
            <w:tcBorders>
              <w:top w:val="single" w:color="000000" w:sz="4" w:space="0"/>
              <w:left w:val="single" w:color="000000" w:sz="4" w:space="0"/>
              <w:bottom w:val="single" w:color="000000" w:sz="4" w:space="0"/>
              <w:right w:val="single" w:color="000000" w:sz="4" w:space="0"/>
            </w:tcBorders>
            <w:noWrap w:val="0"/>
            <w:vAlign w:val="center"/>
          </w:tcPr>
          <w:p w14:paraId="3BABA80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1A13B8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11" w:type="pct"/>
            <w:tcBorders>
              <w:top w:val="single" w:color="000000" w:sz="4" w:space="0"/>
              <w:left w:val="single" w:color="000000" w:sz="4" w:space="0"/>
              <w:bottom w:val="single" w:color="000000" w:sz="4" w:space="0"/>
              <w:right w:val="single" w:color="000000" w:sz="4" w:space="0"/>
            </w:tcBorders>
            <w:noWrap w:val="0"/>
            <w:vAlign w:val="center"/>
          </w:tcPr>
          <w:p w14:paraId="2AE3B83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0.66</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7A1FA2F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0.66</w:t>
            </w:r>
          </w:p>
        </w:tc>
      </w:tr>
      <w:tr w14:paraId="3B1B9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0" w:type="pct"/>
            <w:tcBorders>
              <w:top w:val="single" w:color="000000" w:sz="4" w:space="0"/>
              <w:left w:val="single" w:color="000000" w:sz="4" w:space="0"/>
              <w:bottom w:val="single" w:color="000000" w:sz="4" w:space="0"/>
              <w:right w:val="single" w:color="000000" w:sz="4" w:space="0"/>
            </w:tcBorders>
            <w:noWrap w:val="0"/>
            <w:vAlign w:val="center"/>
          </w:tcPr>
          <w:p w14:paraId="351035B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690" w:type="pct"/>
            <w:tcBorders>
              <w:top w:val="single" w:color="000000" w:sz="4" w:space="0"/>
              <w:left w:val="single" w:color="000000" w:sz="4" w:space="0"/>
              <w:bottom w:val="single" w:color="000000" w:sz="4" w:space="0"/>
              <w:right w:val="single" w:color="000000" w:sz="4" w:space="0"/>
            </w:tcBorders>
            <w:noWrap w:val="0"/>
            <w:vAlign w:val="center"/>
          </w:tcPr>
          <w:p w14:paraId="1C3FC4D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水浴摇床</w:t>
            </w:r>
          </w:p>
        </w:tc>
        <w:tc>
          <w:tcPr>
            <w:tcW w:w="1952" w:type="pct"/>
            <w:tcBorders>
              <w:top w:val="single" w:color="000000" w:sz="4" w:space="0"/>
              <w:left w:val="single" w:color="000000" w:sz="4" w:space="0"/>
              <w:bottom w:val="single" w:color="000000" w:sz="4" w:space="0"/>
              <w:right w:val="single" w:color="000000" w:sz="4" w:space="0"/>
            </w:tcBorders>
            <w:noWrap w:val="0"/>
            <w:vAlign w:val="center"/>
          </w:tcPr>
          <w:p w14:paraId="6BCC833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样品衍生前处理</w:t>
            </w:r>
          </w:p>
        </w:tc>
        <w:tc>
          <w:tcPr>
            <w:tcW w:w="310" w:type="pct"/>
            <w:tcBorders>
              <w:top w:val="single" w:color="000000" w:sz="4" w:space="0"/>
              <w:left w:val="single" w:color="000000" w:sz="4" w:space="0"/>
              <w:bottom w:val="single" w:color="000000" w:sz="4" w:space="0"/>
              <w:right w:val="single" w:color="000000" w:sz="4" w:space="0"/>
            </w:tcBorders>
            <w:noWrap w:val="0"/>
            <w:vAlign w:val="center"/>
          </w:tcPr>
          <w:p w14:paraId="27079AA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327D09A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11" w:type="pct"/>
            <w:tcBorders>
              <w:top w:val="single" w:color="000000" w:sz="4" w:space="0"/>
              <w:left w:val="single" w:color="000000" w:sz="4" w:space="0"/>
              <w:bottom w:val="single" w:color="000000" w:sz="4" w:space="0"/>
              <w:right w:val="single" w:color="000000" w:sz="4" w:space="0"/>
            </w:tcBorders>
            <w:noWrap w:val="0"/>
            <w:vAlign w:val="center"/>
          </w:tcPr>
          <w:p w14:paraId="5DB8F76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0.51</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1C18112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0.51</w:t>
            </w:r>
          </w:p>
        </w:tc>
      </w:tr>
      <w:tr w14:paraId="117F4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0" w:type="pct"/>
            <w:tcBorders>
              <w:top w:val="single" w:color="000000" w:sz="4" w:space="0"/>
              <w:left w:val="single" w:color="000000" w:sz="4" w:space="0"/>
              <w:bottom w:val="single" w:color="000000" w:sz="4" w:space="0"/>
              <w:right w:val="single" w:color="000000" w:sz="4" w:space="0"/>
            </w:tcBorders>
            <w:noWrap w:val="0"/>
            <w:vAlign w:val="center"/>
          </w:tcPr>
          <w:p w14:paraId="377B38A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690" w:type="pct"/>
            <w:tcBorders>
              <w:top w:val="single" w:color="000000" w:sz="4" w:space="0"/>
              <w:left w:val="single" w:color="000000" w:sz="4" w:space="0"/>
              <w:bottom w:val="single" w:color="000000" w:sz="4" w:space="0"/>
              <w:right w:val="single" w:color="000000" w:sz="4" w:space="0"/>
            </w:tcBorders>
            <w:noWrap w:val="0"/>
            <w:vAlign w:val="center"/>
          </w:tcPr>
          <w:p w14:paraId="0DBC9AF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粉碎机</w:t>
            </w:r>
          </w:p>
        </w:tc>
        <w:tc>
          <w:tcPr>
            <w:tcW w:w="1952" w:type="pct"/>
            <w:tcBorders>
              <w:top w:val="single" w:color="000000" w:sz="4" w:space="0"/>
              <w:left w:val="single" w:color="000000" w:sz="4" w:space="0"/>
              <w:bottom w:val="single" w:color="000000" w:sz="4" w:space="0"/>
              <w:right w:val="single" w:color="000000" w:sz="4" w:space="0"/>
            </w:tcBorders>
            <w:noWrap w:val="0"/>
            <w:vAlign w:val="center"/>
          </w:tcPr>
          <w:p w14:paraId="126E38D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样品粉碎前处理</w:t>
            </w:r>
          </w:p>
        </w:tc>
        <w:tc>
          <w:tcPr>
            <w:tcW w:w="310" w:type="pct"/>
            <w:tcBorders>
              <w:top w:val="single" w:color="000000" w:sz="4" w:space="0"/>
              <w:left w:val="single" w:color="000000" w:sz="4" w:space="0"/>
              <w:bottom w:val="single" w:color="000000" w:sz="4" w:space="0"/>
              <w:right w:val="single" w:color="000000" w:sz="4" w:space="0"/>
            </w:tcBorders>
            <w:noWrap w:val="0"/>
            <w:vAlign w:val="center"/>
          </w:tcPr>
          <w:p w14:paraId="51B0639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6DAE07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11" w:type="pct"/>
            <w:tcBorders>
              <w:top w:val="single" w:color="000000" w:sz="4" w:space="0"/>
              <w:left w:val="single" w:color="000000" w:sz="4" w:space="0"/>
              <w:bottom w:val="single" w:color="000000" w:sz="4" w:space="0"/>
              <w:right w:val="single" w:color="000000" w:sz="4" w:space="0"/>
            </w:tcBorders>
            <w:noWrap w:val="0"/>
            <w:vAlign w:val="center"/>
          </w:tcPr>
          <w:p w14:paraId="476A911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0.23</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14F2F47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0.9</w:t>
            </w:r>
            <w:r>
              <w:rPr>
                <w:rFonts w:hint="eastAsia" w:ascii="宋体" w:hAnsi="宋体" w:cs="宋体"/>
                <w:i w:val="0"/>
                <w:iCs w:val="0"/>
                <w:color w:val="auto"/>
                <w:kern w:val="0"/>
                <w:sz w:val="21"/>
                <w:szCs w:val="21"/>
                <w:highlight w:val="none"/>
                <w:u w:val="none"/>
                <w:lang w:val="en-US" w:eastAsia="zh-CN" w:bidi="ar"/>
              </w:rPr>
              <w:t>2</w:t>
            </w:r>
          </w:p>
        </w:tc>
      </w:tr>
      <w:tr w14:paraId="6B75F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0" w:type="pct"/>
            <w:tcBorders>
              <w:top w:val="single" w:color="000000" w:sz="4" w:space="0"/>
              <w:left w:val="single" w:color="000000" w:sz="4" w:space="0"/>
              <w:bottom w:val="single" w:color="000000" w:sz="4" w:space="0"/>
              <w:right w:val="single" w:color="000000" w:sz="4" w:space="0"/>
            </w:tcBorders>
            <w:noWrap w:val="0"/>
            <w:vAlign w:val="center"/>
          </w:tcPr>
          <w:p w14:paraId="135DF77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690" w:type="pct"/>
            <w:tcBorders>
              <w:top w:val="single" w:color="000000" w:sz="4" w:space="0"/>
              <w:left w:val="single" w:color="000000" w:sz="4" w:space="0"/>
              <w:bottom w:val="single" w:color="000000" w:sz="4" w:space="0"/>
              <w:right w:val="single" w:color="000000" w:sz="4" w:space="0"/>
            </w:tcBorders>
            <w:noWrap w:val="0"/>
            <w:vAlign w:val="center"/>
          </w:tcPr>
          <w:p w14:paraId="68516DE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台式低速离心机</w:t>
            </w:r>
          </w:p>
        </w:tc>
        <w:tc>
          <w:tcPr>
            <w:tcW w:w="1952" w:type="pct"/>
            <w:tcBorders>
              <w:top w:val="single" w:color="000000" w:sz="4" w:space="0"/>
              <w:left w:val="single" w:color="000000" w:sz="4" w:space="0"/>
              <w:bottom w:val="single" w:color="000000" w:sz="4" w:space="0"/>
              <w:right w:val="single" w:color="000000" w:sz="4" w:space="0"/>
            </w:tcBorders>
            <w:noWrap w:val="0"/>
            <w:vAlign w:val="center"/>
          </w:tcPr>
          <w:p w14:paraId="2B7342D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样品离心</w:t>
            </w:r>
          </w:p>
        </w:tc>
        <w:tc>
          <w:tcPr>
            <w:tcW w:w="310" w:type="pct"/>
            <w:tcBorders>
              <w:top w:val="single" w:color="000000" w:sz="4" w:space="0"/>
              <w:left w:val="single" w:color="000000" w:sz="4" w:space="0"/>
              <w:bottom w:val="single" w:color="000000" w:sz="4" w:space="0"/>
              <w:right w:val="single" w:color="000000" w:sz="4" w:space="0"/>
            </w:tcBorders>
            <w:noWrap w:val="0"/>
            <w:vAlign w:val="center"/>
          </w:tcPr>
          <w:p w14:paraId="7707AC2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CFD764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11" w:type="pct"/>
            <w:tcBorders>
              <w:top w:val="single" w:color="000000" w:sz="4" w:space="0"/>
              <w:left w:val="single" w:color="000000" w:sz="4" w:space="0"/>
              <w:bottom w:val="single" w:color="000000" w:sz="4" w:space="0"/>
              <w:right w:val="single" w:color="000000" w:sz="4" w:space="0"/>
            </w:tcBorders>
            <w:noWrap w:val="0"/>
            <w:vAlign w:val="center"/>
          </w:tcPr>
          <w:p w14:paraId="3D80662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1.02</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404AF49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1.02</w:t>
            </w:r>
          </w:p>
        </w:tc>
      </w:tr>
      <w:tr w14:paraId="43508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4279" w:type="pct"/>
            <w:gridSpan w:val="6"/>
            <w:tcBorders>
              <w:top w:val="single" w:color="000000" w:sz="4" w:space="0"/>
              <w:left w:val="single" w:color="000000" w:sz="4" w:space="0"/>
              <w:bottom w:val="single" w:color="000000" w:sz="4" w:space="0"/>
              <w:right w:val="single" w:color="000000" w:sz="4" w:space="0"/>
            </w:tcBorders>
            <w:noWrap w:val="0"/>
            <w:vAlign w:val="center"/>
          </w:tcPr>
          <w:p w14:paraId="1B15FB0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        计</w:t>
            </w:r>
          </w:p>
        </w:tc>
        <w:tc>
          <w:tcPr>
            <w:tcW w:w="720" w:type="pct"/>
            <w:tcBorders>
              <w:top w:val="single" w:color="000000" w:sz="4" w:space="0"/>
              <w:left w:val="single" w:color="000000" w:sz="4" w:space="0"/>
              <w:bottom w:val="single" w:color="000000" w:sz="4" w:space="0"/>
              <w:right w:val="single" w:color="000000" w:sz="4" w:space="0"/>
            </w:tcBorders>
            <w:noWrap w:val="0"/>
            <w:vAlign w:val="center"/>
          </w:tcPr>
          <w:p w14:paraId="32A0B98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747.5</w:t>
            </w:r>
            <w:r>
              <w:rPr>
                <w:rFonts w:hint="eastAsia" w:ascii="宋体" w:hAnsi="宋体" w:cs="宋体"/>
                <w:b/>
                <w:bCs/>
                <w:i w:val="0"/>
                <w:iCs w:val="0"/>
                <w:color w:val="auto"/>
                <w:kern w:val="0"/>
                <w:sz w:val="21"/>
                <w:szCs w:val="21"/>
                <w:highlight w:val="none"/>
                <w:u w:val="none"/>
                <w:lang w:val="en-US" w:eastAsia="zh-CN" w:bidi="ar"/>
              </w:rPr>
              <w:t>3</w:t>
            </w:r>
          </w:p>
        </w:tc>
      </w:tr>
    </w:tbl>
    <w:p w14:paraId="2863C53A">
      <w:pPr>
        <w:keepNext w:val="0"/>
        <w:keepLines w:val="0"/>
        <w:pageBreakBefore w:val="0"/>
        <w:widowControl/>
        <w:kinsoku/>
        <w:wordWrap w:val="0"/>
        <w:overflowPunct/>
        <w:topLinePunct w:val="0"/>
        <w:autoSpaceDE/>
        <w:autoSpaceDN/>
        <w:bidi w:val="0"/>
        <w:adjustRightInd w:val="0"/>
        <w:snapToGrid w:val="0"/>
        <w:spacing w:line="324" w:lineRule="auto"/>
        <w:ind w:left="0" w:leftChars="0" w:firstLine="480" w:firstLineChars="20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1.6交货地点：</w:t>
      </w:r>
      <w:r>
        <w:rPr>
          <w:rFonts w:hint="eastAsia" w:ascii="宋体" w:hAnsi="宋体" w:cs="宋体"/>
          <w:color w:val="auto"/>
          <w:kern w:val="2"/>
          <w:sz w:val="24"/>
          <w:szCs w:val="24"/>
          <w:highlight w:val="none"/>
          <w:lang w:val="en-US" w:eastAsia="zh-CN" w:bidi="ar"/>
        </w:rPr>
        <w:t>采购人</w:t>
      </w:r>
      <w:r>
        <w:rPr>
          <w:rFonts w:hint="eastAsia" w:ascii="宋体" w:hAnsi="宋体" w:eastAsia="宋体" w:cs="宋体"/>
          <w:color w:val="auto"/>
          <w:kern w:val="2"/>
          <w:sz w:val="24"/>
          <w:szCs w:val="24"/>
          <w:highlight w:val="none"/>
          <w:lang w:val="en-US" w:eastAsia="zh-CN" w:bidi="ar"/>
        </w:rPr>
        <w:t>指定地点；</w:t>
      </w:r>
    </w:p>
    <w:p w14:paraId="634341E6">
      <w:pPr>
        <w:keepNext w:val="0"/>
        <w:keepLines w:val="0"/>
        <w:pageBreakBefore w:val="0"/>
        <w:widowControl/>
        <w:kinsoku/>
        <w:wordWrap w:val="0"/>
        <w:overflowPunct/>
        <w:topLinePunct w:val="0"/>
        <w:autoSpaceDE/>
        <w:autoSpaceDN/>
        <w:bidi w:val="0"/>
        <w:adjustRightInd w:val="0"/>
        <w:snapToGrid w:val="0"/>
        <w:spacing w:line="324" w:lineRule="auto"/>
        <w:ind w:left="0" w:leftChars="0" w:firstLine="480" w:firstLineChars="200"/>
        <w:jc w:val="left"/>
        <w:textAlignment w:val="auto"/>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1.7</w:t>
      </w:r>
      <w:r>
        <w:rPr>
          <w:rFonts w:hint="eastAsia" w:ascii="宋体" w:hAnsi="宋体" w:cs="宋体"/>
          <w:color w:val="auto"/>
          <w:kern w:val="2"/>
          <w:sz w:val="24"/>
          <w:szCs w:val="24"/>
          <w:highlight w:val="none"/>
          <w:lang w:val="en-US" w:eastAsia="zh-CN" w:bidi="ar"/>
        </w:rPr>
        <w:t>质量要求：</w:t>
      </w:r>
      <w:r>
        <w:rPr>
          <w:rFonts w:hint="eastAsia" w:ascii="宋体" w:hAnsi="宋体" w:eastAsia="宋体" w:cs="宋体"/>
          <w:color w:val="auto"/>
          <w:kern w:val="2"/>
          <w:sz w:val="24"/>
          <w:szCs w:val="24"/>
          <w:highlight w:val="none"/>
          <w:lang w:val="en-US" w:eastAsia="zh-CN" w:bidi="ar"/>
        </w:rPr>
        <w:t>符合国家质量验收标准，一次性验收合格。</w:t>
      </w:r>
    </w:p>
    <w:p w14:paraId="0E0F79A8">
      <w:pPr>
        <w:keepNext w:val="0"/>
        <w:keepLines w:val="0"/>
        <w:pageBreakBefore w:val="0"/>
        <w:widowControl/>
        <w:kinsoku/>
        <w:wordWrap w:val="0"/>
        <w:overflowPunct/>
        <w:topLinePunct w:val="0"/>
        <w:autoSpaceDE/>
        <w:autoSpaceDN/>
        <w:bidi w:val="0"/>
        <w:adjustRightInd w:val="0"/>
        <w:snapToGrid w:val="0"/>
        <w:spacing w:line="324" w:lineRule="auto"/>
        <w:ind w:left="0" w:leftChars="0" w:firstLine="480" w:firstLineChars="20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w:t>
      </w:r>
      <w:r>
        <w:rPr>
          <w:rFonts w:hint="eastAsia" w:ascii="宋体" w:hAnsi="宋体" w:cs="宋体"/>
          <w:color w:val="auto"/>
          <w:kern w:val="2"/>
          <w:sz w:val="24"/>
          <w:szCs w:val="24"/>
          <w:highlight w:val="none"/>
          <w:lang w:val="en-US" w:eastAsia="zh-CN" w:bidi="ar"/>
        </w:rPr>
        <w:t>8</w:t>
      </w:r>
      <w:r>
        <w:rPr>
          <w:rFonts w:hint="eastAsia" w:ascii="宋体" w:hAnsi="宋体" w:eastAsia="宋体" w:cs="宋体"/>
          <w:color w:val="auto"/>
          <w:kern w:val="2"/>
          <w:sz w:val="24"/>
          <w:szCs w:val="24"/>
          <w:highlight w:val="none"/>
          <w:lang w:val="en-US" w:eastAsia="zh-CN" w:bidi="ar"/>
        </w:rPr>
        <w:t>合同履行期限：合同签订之日起60日历天内完成交货及安装调试。</w:t>
      </w:r>
    </w:p>
    <w:p w14:paraId="31B0F1FF">
      <w:pPr>
        <w:keepNext w:val="0"/>
        <w:keepLines w:val="0"/>
        <w:pageBreakBefore w:val="0"/>
        <w:widowControl/>
        <w:kinsoku/>
        <w:wordWrap w:val="0"/>
        <w:overflowPunct/>
        <w:topLinePunct w:val="0"/>
        <w:autoSpaceDE/>
        <w:autoSpaceDN/>
        <w:bidi w:val="0"/>
        <w:adjustRightInd w:val="0"/>
        <w:snapToGrid w:val="0"/>
        <w:spacing w:line="324" w:lineRule="auto"/>
        <w:ind w:left="0" w:leftChars="0" w:firstLine="480" w:firstLineChars="20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w:t>
      </w:r>
      <w:r>
        <w:rPr>
          <w:rFonts w:hint="eastAsia" w:ascii="宋体" w:hAnsi="宋体" w:cs="宋体"/>
          <w:color w:val="auto"/>
          <w:kern w:val="2"/>
          <w:sz w:val="24"/>
          <w:szCs w:val="24"/>
          <w:highlight w:val="none"/>
          <w:lang w:val="en-US" w:eastAsia="zh-CN" w:bidi="ar"/>
        </w:rPr>
        <w:t>9</w:t>
      </w:r>
      <w:r>
        <w:rPr>
          <w:rFonts w:hint="eastAsia" w:ascii="宋体" w:hAnsi="宋体" w:eastAsia="宋体" w:cs="宋体"/>
          <w:color w:val="auto"/>
          <w:kern w:val="2"/>
          <w:sz w:val="24"/>
          <w:szCs w:val="24"/>
          <w:highlight w:val="none"/>
          <w:lang w:val="en-US" w:eastAsia="zh-CN" w:bidi="ar"/>
        </w:rPr>
        <w:t>本项目不接受联合体投标。</w:t>
      </w:r>
    </w:p>
    <w:p w14:paraId="52921810">
      <w:pPr>
        <w:pStyle w:val="3"/>
        <w:pageBreakBefore w:val="0"/>
        <w:widowControl/>
        <w:kinsoku/>
        <w:wordWrap w:val="0"/>
        <w:overflowPunct/>
        <w:autoSpaceDE/>
        <w:autoSpaceDN/>
        <w:bidi w:val="0"/>
        <w:adjustRightInd w:val="0"/>
        <w:snapToGrid w:val="0"/>
        <w:spacing w:before="0" w:after="0" w:line="324" w:lineRule="auto"/>
        <w:ind w:left="0" w:leftChars="0"/>
        <w:textAlignment w:val="auto"/>
        <w:rPr>
          <w:rFonts w:hint="eastAsia" w:ascii="宋体" w:hAnsi="宋体" w:eastAsia="宋体" w:cs="宋体"/>
          <w:b w:val="0"/>
          <w:color w:val="auto"/>
          <w:sz w:val="24"/>
          <w:szCs w:val="24"/>
          <w:highlight w:val="none"/>
        </w:rPr>
      </w:pPr>
      <w:bookmarkStart w:id="44" w:name="_Toc28359080"/>
      <w:bookmarkStart w:id="45" w:name="_Toc28359003"/>
      <w:bookmarkStart w:id="46" w:name="_Toc35393622"/>
      <w:bookmarkStart w:id="47" w:name="_Toc4117"/>
      <w:bookmarkStart w:id="48" w:name="_Toc35393791"/>
      <w:bookmarkStart w:id="49" w:name="_Toc2051"/>
      <w:r>
        <w:rPr>
          <w:rFonts w:hint="eastAsia" w:ascii="宋体" w:hAnsi="宋体" w:eastAsia="宋体" w:cs="宋体"/>
          <w:b w:val="0"/>
          <w:color w:val="auto"/>
          <w:sz w:val="24"/>
          <w:szCs w:val="24"/>
          <w:highlight w:val="none"/>
        </w:rPr>
        <w:t>二、投标人的资格要求</w:t>
      </w:r>
      <w:bookmarkEnd w:id="44"/>
      <w:bookmarkEnd w:id="45"/>
      <w:bookmarkEnd w:id="46"/>
      <w:bookmarkEnd w:id="47"/>
      <w:bookmarkEnd w:id="48"/>
      <w:bookmarkEnd w:id="49"/>
    </w:p>
    <w:p w14:paraId="3A77FB85">
      <w:pPr>
        <w:keepNext w:val="0"/>
        <w:keepLines w:val="0"/>
        <w:pageBreakBefore w:val="0"/>
        <w:widowControl/>
        <w:kinsoku/>
        <w:wordWrap w:val="0"/>
        <w:overflowPunct/>
        <w:topLinePunct w:val="0"/>
        <w:autoSpaceDE/>
        <w:autoSpaceDN/>
        <w:bidi w:val="0"/>
        <w:adjustRightInd w:val="0"/>
        <w:snapToGrid w:val="0"/>
        <w:spacing w:line="324" w:lineRule="auto"/>
        <w:ind w:left="0" w:leftChars="0" w:firstLine="480" w:firstLineChars="20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1.满足《中华人民共和国政府采购法》第二十二条规定；</w:t>
      </w:r>
    </w:p>
    <w:p w14:paraId="51F24B14">
      <w:pPr>
        <w:keepNext w:val="0"/>
        <w:keepLines w:val="0"/>
        <w:pageBreakBefore w:val="0"/>
        <w:widowControl/>
        <w:kinsoku/>
        <w:wordWrap w:val="0"/>
        <w:overflowPunct/>
        <w:topLinePunct w:val="0"/>
        <w:autoSpaceDE/>
        <w:autoSpaceDN/>
        <w:bidi w:val="0"/>
        <w:adjustRightInd w:val="0"/>
        <w:snapToGrid w:val="0"/>
        <w:spacing w:line="324" w:lineRule="auto"/>
        <w:ind w:left="0" w:leftChars="0" w:firstLine="480" w:firstLineChars="20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2.落实政府采购政策需满足的资格要求：</w:t>
      </w:r>
    </w:p>
    <w:p w14:paraId="55D08BFE">
      <w:pPr>
        <w:keepNext w:val="0"/>
        <w:keepLines w:val="0"/>
        <w:pageBreakBefore w:val="0"/>
        <w:widowControl/>
        <w:kinsoku/>
        <w:wordWrap w:val="0"/>
        <w:overflowPunct/>
        <w:topLinePunct w:val="0"/>
        <w:autoSpaceDE/>
        <w:autoSpaceDN/>
        <w:bidi w:val="0"/>
        <w:adjustRightInd w:val="0"/>
        <w:snapToGrid w:val="0"/>
        <w:spacing w:line="324" w:lineRule="auto"/>
        <w:ind w:left="0" w:leftChars="0" w:firstLine="480" w:firstLineChars="20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2.1本项目是否专门面向中小企业：本项目不属于专门面向中小企业预留份额的项目，对符合《政府采购促进中小企业发展暂行办法》(财库[2020]46号)、云南省财政厅关于贯彻《财政部关于进一步加大政府采购支持中小企业力度的通知》的通知（云财采〔2022〕19号）、《工业和信息化部、国家统计局、国家发展和改革委员会、财政部关于印发中小企业划型标准规定的通知（工信部联企业[2011]300 号）、《关于政府采购支持监狱企业发展有关问题的通知》(财库〔2014〕68号)、《关于促进残疾人就业政府采购政策的通知》(财库〔2017〕141号)和环境标志产品及节能产品相关规定的投标人，按《中华人民共和国政府采购法实施条例》第六条的规定，采用“价格评审优惠”的方式落实。</w:t>
      </w:r>
    </w:p>
    <w:p w14:paraId="031EF60A">
      <w:pPr>
        <w:keepNext w:val="0"/>
        <w:keepLines w:val="0"/>
        <w:pageBreakBefore w:val="0"/>
        <w:widowControl/>
        <w:kinsoku/>
        <w:wordWrap w:val="0"/>
        <w:overflowPunct/>
        <w:topLinePunct w:val="0"/>
        <w:autoSpaceDE/>
        <w:autoSpaceDN/>
        <w:bidi w:val="0"/>
        <w:adjustRightInd w:val="0"/>
        <w:snapToGrid w:val="0"/>
        <w:spacing w:line="324" w:lineRule="auto"/>
        <w:ind w:left="0" w:leftChars="0" w:firstLine="480" w:firstLineChars="200"/>
        <w:jc w:val="left"/>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3.本项目的特定资格要求：</w:t>
      </w:r>
      <w:r>
        <w:rPr>
          <w:rFonts w:hint="eastAsia" w:ascii="宋体" w:hAnsi="宋体" w:cs="宋体"/>
          <w:color w:val="auto"/>
          <w:kern w:val="2"/>
          <w:sz w:val="24"/>
          <w:szCs w:val="24"/>
          <w:highlight w:val="none"/>
          <w:lang w:val="en-US" w:eastAsia="zh-CN" w:bidi="ar"/>
        </w:rPr>
        <w:t>无</w:t>
      </w:r>
    </w:p>
    <w:p w14:paraId="3FC08679">
      <w:pPr>
        <w:pStyle w:val="3"/>
        <w:pageBreakBefore w:val="0"/>
        <w:widowControl/>
        <w:kinsoku/>
        <w:wordWrap w:val="0"/>
        <w:overflowPunct/>
        <w:autoSpaceDE/>
        <w:autoSpaceDN/>
        <w:bidi w:val="0"/>
        <w:adjustRightInd w:val="0"/>
        <w:snapToGrid w:val="0"/>
        <w:spacing w:before="0" w:after="0" w:line="324" w:lineRule="auto"/>
        <w:ind w:left="0" w:leftChars="0"/>
        <w:textAlignment w:val="auto"/>
        <w:rPr>
          <w:rFonts w:hint="eastAsia" w:ascii="宋体" w:hAnsi="宋体" w:eastAsia="宋体" w:cs="宋体"/>
          <w:b w:val="0"/>
          <w:color w:val="auto"/>
          <w:sz w:val="24"/>
          <w:szCs w:val="24"/>
          <w:highlight w:val="none"/>
        </w:rPr>
      </w:pPr>
      <w:bookmarkStart w:id="50" w:name="_Toc35393623"/>
      <w:bookmarkStart w:id="51" w:name="_Toc6551"/>
      <w:bookmarkStart w:id="52" w:name="_Toc28359081"/>
      <w:bookmarkStart w:id="53" w:name="_Toc35393792"/>
      <w:bookmarkStart w:id="54" w:name="_Toc29745"/>
      <w:bookmarkStart w:id="55" w:name="_Toc28359004"/>
      <w:r>
        <w:rPr>
          <w:rFonts w:hint="eastAsia" w:ascii="宋体" w:hAnsi="宋体" w:eastAsia="宋体" w:cs="宋体"/>
          <w:b w:val="0"/>
          <w:color w:val="auto"/>
          <w:sz w:val="24"/>
          <w:szCs w:val="24"/>
          <w:highlight w:val="none"/>
        </w:rPr>
        <w:t>三、获取招标文件</w:t>
      </w:r>
      <w:bookmarkEnd w:id="50"/>
      <w:bookmarkEnd w:id="51"/>
      <w:bookmarkEnd w:id="52"/>
      <w:bookmarkEnd w:id="53"/>
      <w:bookmarkEnd w:id="54"/>
      <w:bookmarkEnd w:id="55"/>
    </w:p>
    <w:p w14:paraId="10226903">
      <w:pPr>
        <w:pageBreakBefore w:val="0"/>
        <w:widowControl w:val="0"/>
        <w:kinsoku/>
        <w:wordWrap w:val="0"/>
        <w:overflowPunct/>
        <w:autoSpaceDE/>
        <w:autoSpaceDN/>
        <w:bidi w:val="0"/>
        <w:adjustRightInd w:val="0"/>
        <w:snapToGrid w:val="0"/>
        <w:spacing w:line="324" w:lineRule="auto"/>
        <w:ind w:left="0" w:leftChars="0" w:firstLine="540"/>
        <w:jc w:val="both"/>
        <w:textAlignment w:val="auto"/>
        <w:rPr>
          <w:rFonts w:hint="eastAsia" w:ascii="宋体" w:hAnsi="宋体" w:eastAsia="宋体" w:cs="宋体"/>
          <w:bCs/>
          <w:color w:val="auto"/>
          <w:sz w:val="24"/>
          <w:szCs w:val="24"/>
          <w:highlight w:val="none"/>
        </w:rPr>
      </w:pPr>
      <w:r>
        <w:rPr>
          <w:rFonts w:hint="eastAsia" w:ascii="宋体" w:hAnsi="宋体" w:eastAsia="宋体" w:cs="宋体"/>
          <w:color w:val="auto"/>
          <w:kern w:val="2"/>
          <w:sz w:val="24"/>
          <w:szCs w:val="24"/>
          <w:highlight w:val="none"/>
          <w:lang w:val="en-US" w:eastAsia="zh-CN" w:bidi="ar"/>
        </w:rPr>
        <w:t>3.1</w:t>
      </w:r>
      <w:r>
        <w:rPr>
          <w:rFonts w:hint="eastAsia" w:ascii="宋体" w:hAnsi="宋体" w:eastAsia="宋体" w:cs="宋体"/>
          <w:color w:val="auto"/>
          <w:kern w:val="2"/>
          <w:sz w:val="24"/>
          <w:szCs w:val="24"/>
          <w:highlight w:val="none"/>
          <w:lang w:bidi="ar"/>
        </w:rPr>
        <w:t>时间：</w:t>
      </w:r>
      <w:r>
        <w:rPr>
          <w:rFonts w:hint="eastAsia" w:ascii="宋体" w:hAnsi="宋体" w:eastAsia="宋体" w:cs="宋体"/>
          <w:b/>
          <w:bCs/>
          <w:color w:val="auto"/>
          <w:kern w:val="2"/>
          <w:sz w:val="24"/>
          <w:szCs w:val="24"/>
          <w:highlight w:val="none"/>
          <w:u w:val="single"/>
          <w:lang w:eastAsia="zh-CN" w:bidi="ar"/>
        </w:rPr>
        <w:t>202</w:t>
      </w:r>
      <w:r>
        <w:rPr>
          <w:rFonts w:hint="eastAsia" w:ascii="宋体" w:hAnsi="宋体" w:cs="宋体"/>
          <w:b/>
          <w:bCs/>
          <w:color w:val="auto"/>
          <w:kern w:val="2"/>
          <w:sz w:val="24"/>
          <w:szCs w:val="24"/>
          <w:highlight w:val="none"/>
          <w:u w:val="single"/>
          <w:lang w:val="en-US" w:eastAsia="zh-CN" w:bidi="ar"/>
        </w:rPr>
        <w:t>6</w:t>
      </w:r>
      <w:r>
        <w:rPr>
          <w:rFonts w:hint="eastAsia" w:ascii="宋体" w:hAnsi="宋体" w:eastAsia="宋体" w:cs="宋体"/>
          <w:b/>
          <w:bCs/>
          <w:color w:val="auto"/>
          <w:kern w:val="2"/>
          <w:sz w:val="24"/>
          <w:szCs w:val="24"/>
          <w:highlight w:val="none"/>
          <w:u w:val="single"/>
          <w:lang w:eastAsia="zh-CN" w:bidi="ar"/>
        </w:rPr>
        <w:t>年</w:t>
      </w:r>
      <w:r>
        <w:rPr>
          <w:rFonts w:hint="eastAsia" w:ascii="宋体" w:hAnsi="宋体" w:cs="宋体"/>
          <w:b/>
          <w:bCs/>
          <w:color w:val="auto"/>
          <w:kern w:val="2"/>
          <w:sz w:val="24"/>
          <w:szCs w:val="24"/>
          <w:highlight w:val="none"/>
          <w:u w:val="single"/>
          <w:lang w:val="en-US" w:eastAsia="zh-CN" w:bidi="ar"/>
        </w:rPr>
        <w:t>06</w:t>
      </w:r>
      <w:r>
        <w:rPr>
          <w:rFonts w:hint="eastAsia" w:ascii="宋体" w:hAnsi="宋体" w:eastAsia="宋体" w:cs="宋体"/>
          <w:b/>
          <w:bCs/>
          <w:color w:val="auto"/>
          <w:kern w:val="2"/>
          <w:sz w:val="24"/>
          <w:szCs w:val="24"/>
          <w:highlight w:val="none"/>
          <w:u w:val="single"/>
          <w:lang w:eastAsia="zh-CN" w:bidi="ar"/>
        </w:rPr>
        <w:t>月</w:t>
      </w:r>
      <w:r>
        <w:rPr>
          <w:rFonts w:hint="eastAsia" w:ascii="宋体" w:hAnsi="宋体" w:cs="宋体"/>
          <w:b/>
          <w:bCs/>
          <w:color w:val="auto"/>
          <w:kern w:val="2"/>
          <w:sz w:val="24"/>
          <w:szCs w:val="24"/>
          <w:highlight w:val="none"/>
          <w:u w:val="single"/>
          <w:lang w:val="en-US" w:eastAsia="zh-CN" w:bidi="ar"/>
        </w:rPr>
        <w:t>08</w:t>
      </w:r>
      <w:r>
        <w:rPr>
          <w:rFonts w:hint="eastAsia" w:ascii="宋体" w:hAnsi="宋体" w:eastAsia="宋体" w:cs="宋体"/>
          <w:b/>
          <w:bCs/>
          <w:color w:val="auto"/>
          <w:kern w:val="2"/>
          <w:sz w:val="24"/>
          <w:szCs w:val="24"/>
          <w:highlight w:val="none"/>
          <w:u w:val="single"/>
          <w:lang w:eastAsia="zh-CN" w:bidi="ar"/>
        </w:rPr>
        <w:t>日</w:t>
      </w:r>
      <w:r>
        <w:rPr>
          <w:rFonts w:hint="eastAsia" w:ascii="宋体" w:hAnsi="宋体" w:eastAsia="宋体" w:cs="宋体"/>
          <w:b/>
          <w:bCs/>
          <w:color w:val="auto"/>
          <w:kern w:val="2"/>
          <w:sz w:val="24"/>
          <w:szCs w:val="24"/>
          <w:highlight w:val="none"/>
          <w:u w:val="single"/>
          <w:lang w:val="en-US" w:eastAsia="zh-CN" w:bidi="ar"/>
        </w:rPr>
        <w:t>0</w:t>
      </w:r>
      <w:r>
        <w:rPr>
          <w:rFonts w:hint="eastAsia" w:ascii="宋体" w:hAnsi="宋体" w:cs="宋体"/>
          <w:b/>
          <w:bCs/>
          <w:color w:val="auto"/>
          <w:kern w:val="2"/>
          <w:sz w:val="24"/>
          <w:szCs w:val="24"/>
          <w:highlight w:val="none"/>
          <w:u w:val="single"/>
          <w:lang w:val="en-US" w:eastAsia="zh-CN" w:bidi="ar"/>
        </w:rPr>
        <w:t>6</w:t>
      </w:r>
      <w:r>
        <w:rPr>
          <w:rFonts w:hint="eastAsia" w:ascii="宋体" w:hAnsi="宋体" w:eastAsia="宋体" w:cs="宋体"/>
          <w:b/>
          <w:bCs/>
          <w:color w:val="auto"/>
          <w:kern w:val="2"/>
          <w:sz w:val="24"/>
          <w:szCs w:val="24"/>
          <w:highlight w:val="none"/>
          <w:u w:val="single"/>
          <w:lang w:val="en-US" w:eastAsia="zh-CN" w:bidi="ar"/>
        </w:rPr>
        <w:t>:00</w:t>
      </w:r>
      <w:r>
        <w:rPr>
          <w:rFonts w:hint="eastAsia" w:ascii="宋体" w:hAnsi="宋体" w:eastAsia="宋体" w:cs="宋体"/>
          <w:b/>
          <w:bCs/>
          <w:color w:val="auto"/>
          <w:kern w:val="2"/>
          <w:sz w:val="24"/>
          <w:szCs w:val="24"/>
          <w:highlight w:val="none"/>
          <w:u w:val="single"/>
          <w:lang w:bidi="ar"/>
        </w:rPr>
        <w:t>至202</w:t>
      </w:r>
      <w:r>
        <w:rPr>
          <w:rFonts w:hint="eastAsia" w:ascii="宋体" w:hAnsi="宋体" w:cs="宋体"/>
          <w:b/>
          <w:bCs/>
          <w:color w:val="auto"/>
          <w:kern w:val="2"/>
          <w:sz w:val="24"/>
          <w:szCs w:val="24"/>
          <w:highlight w:val="none"/>
          <w:u w:val="single"/>
          <w:lang w:val="en-US" w:eastAsia="zh-CN" w:bidi="ar"/>
        </w:rPr>
        <w:t>6</w:t>
      </w:r>
      <w:r>
        <w:rPr>
          <w:rFonts w:hint="eastAsia" w:ascii="宋体" w:hAnsi="宋体" w:eastAsia="宋体" w:cs="宋体"/>
          <w:b/>
          <w:bCs/>
          <w:color w:val="auto"/>
          <w:kern w:val="2"/>
          <w:sz w:val="24"/>
          <w:szCs w:val="24"/>
          <w:highlight w:val="none"/>
          <w:u w:val="single"/>
          <w:lang w:bidi="ar"/>
        </w:rPr>
        <w:t>年</w:t>
      </w:r>
      <w:r>
        <w:rPr>
          <w:rFonts w:hint="eastAsia" w:ascii="宋体" w:hAnsi="宋体" w:cs="宋体"/>
          <w:b/>
          <w:bCs/>
          <w:color w:val="auto"/>
          <w:kern w:val="2"/>
          <w:sz w:val="24"/>
          <w:szCs w:val="24"/>
          <w:highlight w:val="none"/>
          <w:u w:val="single"/>
          <w:lang w:val="en-US" w:eastAsia="zh-CN" w:bidi="ar"/>
        </w:rPr>
        <w:t>06</w:t>
      </w:r>
      <w:r>
        <w:rPr>
          <w:rFonts w:hint="eastAsia" w:ascii="宋体" w:hAnsi="宋体" w:eastAsia="宋体" w:cs="宋体"/>
          <w:b/>
          <w:bCs/>
          <w:color w:val="auto"/>
          <w:kern w:val="2"/>
          <w:sz w:val="24"/>
          <w:szCs w:val="24"/>
          <w:highlight w:val="none"/>
          <w:u w:val="single"/>
          <w:lang w:bidi="ar"/>
        </w:rPr>
        <w:t>月</w:t>
      </w:r>
      <w:r>
        <w:rPr>
          <w:rFonts w:hint="eastAsia" w:ascii="宋体" w:hAnsi="宋体" w:cs="宋体"/>
          <w:b/>
          <w:bCs/>
          <w:color w:val="auto"/>
          <w:kern w:val="2"/>
          <w:sz w:val="24"/>
          <w:szCs w:val="24"/>
          <w:highlight w:val="none"/>
          <w:u w:val="single"/>
          <w:lang w:val="en-US" w:eastAsia="zh-CN" w:bidi="ar"/>
        </w:rPr>
        <w:t>15</w:t>
      </w:r>
      <w:r>
        <w:rPr>
          <w:rFonts w:hint="eastAsia" w:ascii="宋体" w:hAnsi="宋体" w:eastAsia="宋体" w:cs="宋体"/>
          <w:b/>
          <w:bCs/>
          <w:color w:val="auto"/>
          <w:kern w:val="2"/>
          <w:sz w:val="24"/>
          <w:szCs w:val="24"/>
          <w:highlight w:val="none"/>
          <w:u w:val="single"/>
          <w:lang w:bidi="ar"/>
        </w:rPr>
        <w:t>日</w:t>
      </w:r>
      <w:r>
        <w:rPr>
          <w:rFonts w:hint="eastAsia" w:ascii="宋体" w:hAnsi="宋体" w:eastAsia="宋体" w:cs="宋体"/>
          <w:b/>
          <w:bCs/>
          <w:color w:val="auto"/>
          <w:kern w:val="2"/>
          <w:sz w:val="24"/>
          <w:szCs w:val="24"/>
          <w:highlight w:val="none"/>
          <w:u w:val="single"/>
          <w:lang w:val="en-US" w:eastAsia="zh-CN" w:bidi="ar"/>
        </w:rPr>
        <w:t>24</w:t>
      </w:r>
      <w:r>
        <w:rPr>
          <w:rFonts w:hint="eastAsia" w:ascii="宋体" w:hAnsi="宋体" w:eastAsia="宋体" w:cs="宋体"/>
          <w:b/>
          <w:bCs/>
          <w:color w:val="auto"/>
          <w:kern w:val="2"/>
          <w:sz w:val="24"/>
          <w:szCs w:val="24"/>
          <w:highlight w:val="none"/>
          <w:u w:val="single"/>
          <w:lang w:bidi="ar"/>
        </w:rPr>
        <w:t>:</w:t>
      </w:r>
      <w:r>
        <w:rPr>
          <w:rFonts w:hint="eastAsia" w:ascii="宋体" w:hAnsi="宋体" w:eastAsia="宋体" w:cs="宋体"/>
          <w:b/>
          <w:bCs/>
          <w:color w:val="auto"/>
          <w:kern w:val="2"/>
          <w:sz w:val="24"/>
          <w:szCs w:val="24"/>
          <w:highlight w:val="none"/>
          <w:u w:val="single"/>
          <w:lang w:val="en-US" w:eastAsia="zh-CN" w:bidi="ar"/>
        </w:rPr>
        <w:t>0</w:t>
      </w:r>
      <w:r>
        <w:rPr>
          <w:rFonts w:hint="eastAsia" w:ascii="宋体" w:hAnsi="宋体" w:eastAsia="宋体" w:cs="宋体"/>
          <w:b/>
          <w:bCs/>
          <w:color w:val="auto"/>
          <w:kern w:val="2"/>
          <w:sz w:val="24"/>
          <w:szCs w:val="24"/>
          <w:highlight w:val="none"/>
          <w:u w:val="single"/>
          <w:lang w:bidi="ar"/>
        </w:rPr>
        <w:t>0</w:t>
      </w:r>
      <w:r>
        <w:rPr>
          <w:rFonts w:hint="eastAsia" w:ascii="宋体" w:hAnsi="宋体" w:eastAsia="宋体" w:cs="宋体"/>
          <w:color w:val="auto"/>
          <w:kern w:val="2"/>
          <w:sz w:val="24"/>
          <w:szCs w:val="24"/>
          <w:highlight w:val="none"/>
          <w:lang w:bidi="ar"/>
        </w:rPr>
        <w:t>（北京时间）</w:t>
      </w:r>
      <w:bookmarkStart w:id="56" w:name="_Toc234382582"/>
      <w:bookmarkStart w:id="57" w:name="_Toc371410590"/>
      <w:bookmarkStart w:id="58" w:name="_Toc28359005"/>
      <w:bookmarkStart w:id="59" w:name="_Toc35393793"/>
      <w:bookmarkStart w:id="60" w:name="_Toc35393624"/>
      <w:bookmarkStart w:id="61" w:name="_Toc28359082"/>
      <w:bookmarkStart w:id="62" w:name="_Toc26119"/>
    </w:p>
    <w:p w14:paraId="181E20E1">
      <w:pPr>
        <w:pageBreakBefore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3.2</w:t>
      </w:r>
      <w:r>
        <w:rPr>
          <w:rFonts w:hint="eastAsia" w:ascii="宋体" w:hAnsi="宋体" w:eastAsia="宋体" w:cs="宋体"/>
          <w:bCs/>
          <w:color w:val="auto"/>
          <w:sz w:val="24"/>
          <w:szCs w:val="24"/>
          <w:highlight w:val="none"/>
        </w:rPr>
        <w:t>地点：</w:t>
      </w:r>
      <w:r>
        <w:rPr>
          <w:rFonts w:hint="eastAsia" w:ascii="宋体" w:hAnsi="宋体" w:eastAsia="宋体" w:cs="宋体"/>
          <w:bCs/>
          <w:color w:val="auto"/>
          <w:sz w:val="24"/>
          <w:szCs w:val="24"/>
          <w:highlight w:val="none"/>
          <w:u w:val="single"/>
        </w:rPr>
        <w:t>“政府采购云平台”（https://www.zcygov.cn/)（操作路径：登录“政采云”平台-项目采购-获取采购文件-找到本项目-点击“申请获取采购文件”）</w:t>
      </w:r>
      <w:r>
        <w:rPr>
          <w:rFonts w:hint="eastAsia" w:ascii="宋体" w:hAnsi="宋体" w:eastAsia="宋体" w:cs="宋体"/>
          <w:bCs/>
          <w:color w:val="auto"/>
          <w:sz w:val="24"/>
          <w:szCs w:val="24"/>
          <w:highlight w:val="none"/>
        </w:rPr>
        <w:t>。</w:t>
      </w:r>
    </w:p>
    <w:p w14:paraId="7DE24B08">
      <w:pPr>
        <w:pageBreakBefore w:val="0"/>
        <w:kinsoku/>
        <w:wordWrap w:val="0"/>
        <w:overflowPunct/>
        <w:autoSpaceDE/>
        <w:autoSpaceDN/>
        <w:bidi w:val="0"/>
        <w:adjustRightInd w:val="0"/>
        <w:snapToGrid w:val="0"/>
        <w:spacing w:line="324" w:lineRule="auto"/>
        <w:ind w:left="0" w:lef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方式：</w:t>
      </w:r>
      <w:r>
        <w:rPr>
          <w:rFonts w:hint="eastAsia" w:ascii="宋体" w:hAnsi="宋体" w:eastAsia="宋体" w:cs="宋体"/>
          <w:bCs/>
          <w:color w:val="auto"/>
          <w:sz w:val="24"/>
          <w:szCs w:val="24"/>
          <w:highlight w:val="none"/>
          <w:u w:val="single"/>
        </w:rPr>
        <w:t>网上获取</w:t>
      </w:r>
      <w:r>
        <w:rPr>
          <w:rFonts w:hint="eastAsia" w:ascii="宋体" w:hAnsi="宋体" w:eastAsia="宋体" w:cs="宋体"/>
          <w:bCs/>
          <w:color w:val="auto"/>
          <w:sz w:val="24"/>
          <w:szCs w:val="24"/>
          <w:highlight w:val="none"/>
        </w:rPr>
        <w:t>。</w:t>
      </w:r>
    </w:p>
    <w:p w14:paraId="70E10CE5">
      <w:pPr>
        <w:pageBreakBefore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凡有意参加</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者，请于本</w:t>
      </w:r>
      <w:r>
        <w:rPr>
          <w:rFonts w:hint="eastAsia" w:ascii="宋体" w:hAnsi="宋体" w:eastAsia="宋体" w:cs="宋体"/>
          <w:bCs/>
          <w:color w:val="auto"/>
          <w:sz w:val="24"/>
          <w:szCs w:val="24"/>
          <w:highlight w:val="none"/>
          <w:lang w:val="en-US" w:eastAsia="zh-CN"/>
        </w:rPr>
        <w:t>招标</w:t>
      </w:r>
      <w:r>
        <w:rPr>
          <w:rFonts w:hint="eastAsia" w:ascii="宋体" w:hAnsi="宋体" w:eastAsia="宋体" w:cs="宋体"/>
          <w:bCs/>
          <w:color w:val="auto"/>
          <w:sz w:val="24"/>
          <w:szCs w:val="24"/>
          <w:highlight w:val="none"/>
        </w:rPr>
        <w:t>文件规定的获取时间内，登录“政府采购云平台”（https://www.zcygov.cn/)，凭企业数字证书（CA）在网上获取</w:t>
      </w:r>
      <w:r>
        <w:rPr>
          <w:rFonts w:hint="eastAsia" w:ascii="宋体" w:hAnsi="宋体" w:eastAsia="宋体" w:cs="宋体"/>
          <w:bCs/>
          <w:color w:val="auto"/>
          <w:sz w:val="24"/>
          <w:szCs w:val="24"/>
          <w:highlight w:val="none"/>
          <w:lang w:val="en-US" w:eastAsia="zh-CN"/>
        </w:rPr>
        <w:t>招标</w:t>
      </w:r>
      <w:r>
        <w:rPr>
          <w:rFonts w:hint="eastAsia" w:ascii="宋体" w:hAnsi="宋体" w:eastAsia="宋体" w:cs="宋体"/>
          <w:bCs/>
          <w:color w:val="auto"/>
          <w:sz w:val="24"/>
          <w:szCs w:val="24"/>
          <w:highlight w:val="none"/>
        </w:rPr>
        <w:t>文件；未办理企业数字证书（CA）的企业需按照“政府采购云平台”电子认证的要求，在“政府采购云平台-CA管理-CA证书申领”版块中办理企业数字证书（CA）并绑定企业数字证书（CA）后在网上获取</w:t>
      </w:r>
      <w:r>
        <w:rPr>
          <w:rFonts w:hint="eastAsia" w:ascii="宋体" w:hAnsi="宋体" w:eastAsia="宋体" w:cs="宋体"/>
          <w:bCs/>
          <w:color w:val="auto"/>
          <w:sz w:val="24"/>
          <w:szCs w:val="24"/>
          <w:highlight w:val="none"/>
          <w:lang w:val="en-US" w:eastAsia="zh-CN"/>
        </w:rPr>
        <w:t>招标</w:t>
      </w:r>
      <w:r>
        <w:rPr>
          <w:rFonts w:hint="eastAsia" w:ascii="宋体" w:hAnsi="宋体" w:eastAsia="宋体" w:cs="宋体"/>
          <w:bCs/>
          <w:color w:val="auto"/>
          <w:sz w:val="24"/>
          <w:szCs w:val="24"/>
          <w:highlight w:val="none"/>
        </w:rPr>
        <w:t>文件；数字证书（CA）办理详见其办理流程。</w:t>
      </w:r>
      <w:r>
        <w:rPr>
          <w:rFonts w:hint="eastAsia" w:ascii="宋体" w:hAnsi="宋体" w:eastAsia="宋体" w:cs="宋体"/>
          <w:bCs/>
          <w:color w:val="auto"/>
          <w:sz w:val="24"/>
          <w:szCs w:val="24"/>
          <w:highlight w:val="none"/>
          <w:lang w:val="en-US" w:eastAsia="zh-CN"/>
        </w:rPr>
        <w:t>招标</w:t>
      </w:r>
      <w:r>
        <w:rPr>
          <w:rFonts w:hint="eastAsia" w:ascii="宋体" w:hAnsi="宋体" w:eastAsia="宋体" w:cs="宋体"/>
          <w:bCs/>
          <w:color w:val="auto"/>
          <w:sz w:val="24"/>
          <w:szCs w:val="24"/>
          <w:highlight w:val="none"/>
        </w:rPr>
        <w:t>文件免费提供，此为获取</w:t>
      </w:r>
      <w:r>
        <w:rPr>
          <w:rFonts w:hint="eastAsia" w:ascii="宋体" w:hAnsi="宋体" w:eastAsia="宋体" w:cs="宋体"/>
          <w:bCs/>
          <w:color w:val="auto"/>
          <w:sz w:val="24"/>
          <w:szCs w:val="24"/>
          <w:highlight w:val="none"/>
          <w:lang w:val="en-US" w:eastAsia="zh-CN"/>
        </w:rPr>
        <w:t>招标</w:t>
      </w:r>
      <w:r>
        <w:rPr>
          <w:rFonts w:hint="eastAsia" w:ascii="宋体" w:hAnsi="宋体" w:eastAsia="宋体" w:cs="宋体"/>
          <w:bCs/>
          <w:color w:val="auto"/>
          <w:sz w:val="24"/>
          <w:szCs w:val="24"/>
          <w:highlight w:val="none"/>
        </w:rPr>
        <w:t>文件的唯一途径。</w:t>
      </w:r>
    </w:p>
    <w:p w14:paraId="38CAD372">
      <w:pPr>
        <w:pageBreakBefore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注：如</w:t>
      </w:r>
      <w:r>
        <w:rPr>
          <w:rFonts w:hint="eastAsia" w:ascii="宋体" w:hAnsi="宋体" w:eastAsia="宋体" w:cs="宋体"/>
          <w:bCs/>
          <w:color w:val="auto"/>
          <w:sz w:val="24"/>
          <w:szCs w:val="24"/>
          <w:highlight w:val="none"/>
          <w:lang w:val="en-US" w:eastAsia="zh-CN"/>
        </w:rPr>
        <w:t>投标人</w:t>
      </w:r>
      <w:r>
        <w:rPr>
          <w:rFonts w:hint="eastAsia" w:ascii="宋体" w:hAnsi="宋体" w:eastAsia="宋体" w:cs="宋体"/>
          <w:bCs/>
          <w:color w:val="auto"/>
          <w:sz w:val="24"/>
          <w:szCs w:val="24"/>
          <w:highlight w:val="none"/>
        </w:rPr>
        <w:t>已在“云南省公共资源交易信息网－网上办事－CA办理”版块中注册通过并办理企业数字证书（CA）的，可直接绑定使用，无需重复办理（2022年1月1日前办理的云南CA需到云南CA办理处进行升级）。</w:t>
      </w:r>
      <w:r>
        <w:rPr>
          <w:rFonts w:hint="eastAsia" w:ascii="宋体" w:hAnsi="宋体" w:eastAsia="宋体" w:cs="宋体"/>
          <w:bCs/>
          <w:color w:val="auto"/>
          <w:sz w:val="24"/>
          <w:szCs w:val="24"/>
          <w:highlight w:val="none"/>
          <w:lang w:val="en-US" w:eastAsia="zh-CN"/>
        </w:rPr>
        <w:t>投标人</w:t>
      </w:r>
      <w:r>
        <w:rPr>
          <w:rFonts w:hint="eastAsia" w:ascii="宋体" w:hAnsi="宋体" w:eastAsia="宋体" w:cs="宋体"/>
          <w:bCs/>
          <w:color w:val="auto"/>
          <w:sz w:val="24"/>
          <w:szCs w:val="24"/>
          <w:highlight w:val="none"/>
        </w:rPr>
        <w:t>在“政府采购云平台”办理的其他CA可直接使用，无需重复办理。</w:t>
      </w:r>
    </w:p>
    <w:p w14:paraId="15BA6ED5">
      <w:pPr>
        <w:pageBreakBefore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3.4</w:t>
      </w:r>
      <w:r>
        <w:rPr>
          <w:rFonts w:hint="eastAsia" w:ascii="宋体" w:hAnsi="宋体" w:eastAsia="宋体" w:cs="宋体"/>
          <w:bCs/>
          <w:color w:val="auto"/>
          <w:sz w:val="24"/>
          <w:szCs w:val="24"/>
          <w:highlight w:val="none"/>
        </w:rPr>
        <w:t>售价：0元人民币。</w:t>
      </w:r>
    </w:p>
    <w:bookmarkEnd w:id="56"/>
    <w:bookmarkEnd w:id="57"/>
    <w:p w14:paraId="66F61DF7">
      <w:pPr>
        <w:pStyle w:val="3"/>
        <w:pageBreakBefore w:val="0"/>
        <w:widowControl/>
        <w:kinsoku/>
        <w:wordWrap w:val="0"/>
        <w:overflowPunct/>
        <w:autoSpaceDE/>
        <w:autoSpaceDN/>
        <w:bidi w:val="0"/>
        <w:adjustRightInd w:val="0"/>
        <w:snapToGrid w:val="0"/>
        <w:spacing w:before="0" w:after="0" w:line="324" w:lineRule="auto"/>
        <w:ind w:left="0" w:leftChars="0"/>
        <w:textAlignment w:val="auto"/>
        <w:rPr>
          <w:rFonts w:hint="eastAsia" w:ascii="宋体" w:hAnsi="宋体" w:eastAsia="宋体" w:cs="宋体"/>
          <w:b w:val="0"/>
          <w:color w:val="auto"/>
          <w:sz w:val="24"/>
          <w:szCs w:val="24"/>
          <w:highlight w:val="none"/>
          <w:lang w:eastAsia="zh-CN"/>
        </w:rPr>
      </w:pPr>
      <w:bookmarkStart w:id="63" w:name="_Toc17577"/>
      <w:r>
        <w:rPr>
          <w:rFonts w:hint="eastAsia" w:ascii="宋体" w:hAnsi="宋体" w:eastAsia="宋体" w:cs="宋体"/>
          <w:b w:val="0"/>
          <w:color w:val="auto"/>
          <w:sz w:val="24"/>
          <w:szCs w:val="24"/>
          <w:highlight w:val="none"/>
        </w:rPr>
        <w:t>四、</w:t>
      </w:r>
      <w:bookmarkEnd w:id="58"/>
      <w:bookmarkEnd w:id="59"/>
      <w:bookmarkEnd w:id="60"/>
      <w:bookmarkEnd w:id="61"/>
      <w:bookmarkEnd w:id="62"/>
      <w:r>
        <w:rPr>
          <w:rFonts w:hint="eastAsia" w:ascii="宋体" w:hAnsi="宋体" w:eastAsia="宋体" w:cs="宋体"/>
          <w:b w:val="0"/>
          <w:color w:val="auto"/>
          <w:sz w:val="24"/>
          <w:szCs w:val="24"/>
          <w:highlight w:val="none"/>
        </w:rPr>
        <w:t>提交投标文件截止时间、开标时间和地点</w:t>
      </w:r>
      <w:bookmarkEnd w:id="63"/>
    </w:p>
    <w:p w14:paraId="3F7D0578">
      <w:pPr>
        <w:pageBreakBefore w:val="0"/>
        <w:widowControl w:val="0"/>
        <w:kinsoku/>
        <w:wordWrap w:val="0"/>
        <w:overflowPunct/>
        <w:autoSpaceDE/>
        <w:autoSpaceDN/>
        <w:bidi w:val="0"/>
        <w:adjustRightInd w:val="0"/>
        <w:snapToGrid w:val="0"/>
        <w:spacing w:line="324" w:lineRule="auto"/>
        <w:ind w:left="0" w:leftChars="0" w:firstLine="480" w:firstLineChars="200"/>
        <w:jc w:val="both"/>
        <w:textAlignment w:val="auto"/>
        <w:rPr>
          <w:rFonts w:hint="eastAsia" w:ascii="宋体" w:hAnsi="宋体" w:eastAsia="宋体" w:cs="宋体"/>
          <w:bCs/>
          <w:color w:val="auto"/>
          <w:kern w:val="2"/>
          <w:sz w:val="24"/>
          <w:szCs w:val="24"/>
          <w:highlight w:val="none"/>
          <w:lang w:bidi="ar"/>
        </w:rPr>
      </w:pPr>
      <w:r>
        <w:rPr>
          <w:rFonts w:hint="eastAsia" w:ascii="宋体" w:hAnsi="宋体" w:eastAsia="宋体" w:cs="宋体"/>
          <w:b w:val="0"/>
          <w:color w:val="auto"/>
          <w:sz w:val="24"/>
          <w:szCs w:val="24"/>
          <w:highlight w:val="none"/>
          <w:lang w:val="en-US" w:eastAsia="zh-CN"/>
        </w:rPr>
        <w:t>4.1</w:t>
      </w:r>
      <w:r>
        <w:rPr>
          <w:rFonts w:hint="eastAsia" w:ascii="宋体" w:hAnsi="宋体" w:eastAsia="宋体" w:cs="宋体"/>
          <w:b w:val="0"/>
          <w:color w:val="auto"/>
          <w:sz w:val="24"/>
          <w:szCs w:val="24"/>
          <w:highlight w:val="none"/>
        </w:rPr>
        <w:t>提交投标文件截止时间</w:t>
      </w:r>
      <w:r>
        <w:rPr>
          <w:rFonts w:hint="eastAsia" w:ascii="宋体" w:hAnsi="宋体" w:eastAsia="宋体" w:cs="宋体"/>
          <w:b/>
          <w:bCs/>
          <w:color w:val="auto"/>
          <w:kern w:val="2"/>
          <w:sz w:val="24"/>
          <w:szCs w:val="24"/>
          <w:highlight w:val="none"/>
          <w:u w:val="none"/>
          <w:lang w:val="en-US" w:eastAsia="zh-CN" w:bidi="ar"/>
        </w:rPr>
        <w:t>：</w:t>
      </w:r>
      <w:r>
        <w:rPr>
          <w:rFonts w:hint="eastAsia" w:ascii="宋体" w:hAnsi="宋体" w:eastAsia="宋体" w:cs="宋体"/>
          <w:b/>
          <w:bCs/>
          <w:color w:val="auto"/>
          <w:kern w:val="2"/>
          <w:sz w:val="24"/>
          <w:szCs w:val="24"/>
          <w:highlight w:val="none"/>
          <w:u w:val="single"/>
          <w:lang w:val="en-US" w:eastAsia="zh-CN" w:bidi="ar"/>
        </w:rPr>
        <w:t>202</w:t>
      </w:r>
      <w:r>
        <w:rPr>
          <w:rFonts w:hint="eastAsia" w:ascii="宋体" w:hAnsi="宋体" w:cs="宋体"/>
          <w:b/>
          <w:bCs/>
          <w:color w:val="auto"/>
          <w:kern w:val="2"/>
          <w:sz w:val="24"/>
          <w:szCs w:val="24"/>
          <w:highlight w:val="none"/>
          <w:u w:val="single"/>
          <w:lang w:val="en-US" w:eastAsia="zh-CN" w:bidi="ar"/>
        </w:rPr>
        <w:t>6</w:t>
      </w:r>
      <w:r>
        <w:rPr>
          <w:rFonts w:hint="eastAsia" w:ascii="宋体" w:hAnsi="宋体" w:eastAsia="宋体" w:cs="宋体"/>
          <w:b/>
          <w:bCs/>
          <w:color w:val="auto"/>
          <w:kern w:val="2"/>
          <w:sz w:val="24"/>
          <w:szCs w:val="24"/>
          <w:highlight w:val="none"/>
          <w:u w:val="single"/>
          <w:lang w:val="en-US" w:eastAsia="zh-CN" w:bidi="ar"/>
        </w:rPr>
        <w:t>年</w:t>
      </w:r>
      <w:r>
        <w:rPr>
          <w:rFonts w:hint="eastAsia" w:ascii="宋体" w:hAnsi="宋体" w:cs="宋体"/>
          <w:b/>
          <w:bCs/>
          <w:color w:val="auto"/>
          <w:kern w:val="2"/>
          <w:sz w:val="24"/>
          <w:szCs w:val="24"/>
          <w:highlight w:val="none"/>
          <w:u w:val="single"/>
          <w:lang w:val="en-US" w:eastAsia="zh-CN" w:bidi="ar"/>
        </w:rPr>
        <w:t>07</w:t>
      </w:r>
      <w:r>
        <w:rPr>
          <w:rFonts w:hint="eastAsia" w:ascii="宋体" w:hAnsi="宋体" w:eastAsia="宋体" w:cs="宋体"/>
          <w:b/>
          <w:bCs/>
          <w:color w:val="auto"/>
          <w:kern w:val="2"/>
          <w:sz w:val="24"/>
          <w:szCs w:val="24"/>
          <w:highlight w:val="none"/>
          <w:u w:val="single"/>
          <w:lang w:val="en-US" w:eastAsia="zh-CN" w:bidi="ar"/>
        </w:rPr>
        <w:t>月</w:t>
      </w:r>
      <w:r>
        <w:rPr>
          <w:rFonts w:hint="eastAsia" w:ascii="宋体" w:hAnsi="宋体" w:cs="宋体"/>
          <w:b/>
          <w:bCs/>
          <w:color w:val="auto"/>
          <w:kern w:val="2"/>
          <w:sz w:val="24"/>
          <w:szCs w:val="24"/>
          <w:highlight w:val="none"/>
          <w:u w:val="single"/>
          <w:lang w:val="en-US" w:eastAsia="zh-CN" w:bidi="ar"/>
        </w:rPr>
        <w:t>07</w:t>
      </w:r>
      <w:r>
        <w:rPr>
          <w:rFonts w:hint="eastAsia" w:ascii="宋体" w:hAnsi="宋体" w:eastAsia="宋体" w:cs="宋体"/>
          <w:b/>
          <w:bCs/>
          <w:color w:val="auto"/>
          <w:kern w:val="2"/>
          <w:sz w:val="24"/>
          <w:szCs w:val="24"/>
          <w:highlight w:val="none"/>
          <w:u w:val="single"/>
          <w:lang w:val="en-US" w:eastAsia="zh-CN" w:bidi="ar"/>
        </w:rPr>
        <w:t>日</w:t>
      </w:r>
      <w:r>
        <w:rPr>
          <w:rFonts w:hint="eastAsia" w:ascii="宋体" w:hAnsi="宋体" w:cs="宋体"/>
          <w:b/>
          <w:bCs/>
          <w:color w:val="auto"/>
          <w:kern w:val="2"/>
          <w:sz w:val="24"/>
          <w:szCs w:val="24"/>
          <w:highlight w:val="none"/>
          <w:u w:val="single"/>
          <w:lang w:val="en-US" w:eastAsia="zh-CN" w:bidi="ar"/>
        </w:rPr>
        <w:t>09</w:t>
      </w:r>
      <w:r>
        <w:rPr>
          <w:rFonts w:hint="eastAsia" w:ascii="宋体" w:hAnsi="宋体" w:eastAsia="宋体" w:cs="宋体"/>
          <w:b/>
          <w:bCs/>
          <w:color w:val="auto"/>
          <w:kern w:val="2"/>
          <w:sz w:val="24"/>
          <w:szCs w:val="24"/>
          <w:highlight w:val="none"/>
          <w:u w:val="single"/>
          <w:lang w:val="en-US" w:eastAsia="zh-CN" w:bidi="ar"/>
        </w:rPr>
        <w:t>时00分</w:t>
      </w:r>
      <w:r>
        <w:rPr>
          <w:rFonts w:hint="eastAsia" w:ascii="宋体" w:hAnsi="宋体" w:eastAsia="宋体" w:cs="宋体"/>
          <w:bCs/>
          <w:color w:val="auto"/>
          <w:kern w:val="2"/>
          <w:sz w:val="24"/>
          <w:szCs w:val="24"/>
          <w:highlight w:val="none"/>
          <w:lang w:bidi="ar"/>
        </w:rPr>
        <w:t>（北京时间）</w:t>
      </w:r>
    </w:p>
    <w:p w14:paraId="3F8A3F94">
      <w:pPr>
        <w:pageBreakBefore w:val="0"/>
        <w:widowControl w:val="0"/>
        <w:kinsoku/>
        <w:wordWrap w:val="0"/>
        <w:overflowPunct/>
        <w:autoSpaceDE/>
        <w:autoSpaceDN/>
        <w:bidi w:val="0"/>
        <w:adjustRightInd w:val="0"/>
        <w:snapToGrid w:val="0"/>
        <w:spacing w:line="324" w:lineRule="auto"/>
        <w:ind w:left="0" w:leftChars="0" w:firstLine="480" w:firstLineChars="200"/>
        <w:jc w:val="both"/>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4.2开标时间：同</w:t>
      </w:r>
      <w:r>
        <w:rPr>
          <w:rFonts w:hint="eastAsia" w:ascii="宋体" w:hAnsi="宋体" w:eastAsia="宋体" w:cs="宋体"/>
          <w:b w:val="0"/>
          <w:color w:val="auto"/>
          <w:sz w:val="24"/>
          <w:szCs w:val="24"/>
          <w:highlight w:val="none"/>
        </w:rPr>
        <w:t>提交投标文件截止时间</w:t>
      </w:r>
    </w:p>
    <w:p w14:paraId="2DD7906B">
      <w:pPr>
        <w:pageBreakBefore w:val="0"/>
        <w:kinsoku/>
        <w:wordWrap w:val="0"/>
        <w:overflowPunct/>
        <w:topLine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sz w:val="24"/>
          <w:szCs w:val="24"/>
          <w:highlight w:val="none"/>
        </w:rPr>
      </w:pPr>
      <w:bookmarkStart w:id="64" w:name="_Toc28359007"/>
      <w:bookmarkStart w:id="65" w:name="_Toc28359084"/>
      <w:bookmarkStart w:id="66" w:name="_Toc35393794"/>
      <w:bookmarkStart w:id="67" w:name="_Toc35393625"/>
      <w:bookmarkStart w:id="68" w:name="_Toc13971"/>
      <w:r>
        <w:rPr>
          <w:rFonts w:hint="eastAsia" w:ascii="宋体" w:hAnsi="宋体" w:eastAsia="宋体" w:cs="宋体"/>
          <w:color w:val="auto"/>
          <w:sz w:val="24"/>
          <w:szCs w:val="24"/>
          <w:highlight w:val="none"/>
          <w:lang w:val="en-US" w:eastAsia="zh-CN"/>
        </w:rPr>
        <w:t>4.3开标</w:t>
      </w:r>
      <w:r>
        <w:rPr>
          <w:rFonts w:hint="eastAsia" w:ascii="宋体" w:hAnsi="宋体" w:eastAsia="宋体" w:cs="宋体"/>
          <w:color w:val="auto"/>
          <w:sz w:val="24"/>
          <w:szCs w:val="24"/>
          <w:highlight w:val="none"/>
        </w:rPr>
        <w:t>地点：</w:t>
      </w:r>
      <w:r>
        <w:rPr>
          <w:rFonts w:hint="eastAsia" w:ascii="宋体" w:hAnsi="宋体" w:eastAsia="宋体" w:cs="宋体"/>
          <w:color w:val="auto"/>
          <w:kern w:val="2"/>
          <w:sz w:val="24"/>
          <w:szCs w:val="24"/>
          <w:highlight w:val="none"/>
          <w:u w:val="single"/>
          <w:lang w:bidi="ar"/>
        </w:rPr>
        <w:t>云南省德宏州芒市文蚌街中缅友谊馆</w:t>
      </w:r>
      <w:r>
        <w:rPr>
          <w:rFonts w:hint="eastAsia" w:ascii="宋体" w:hAnsi="宋体" w:cs="宋体"/>
          <w:color w:val="auto"/>
          <w:kern w:val="2"/>
          <w:sz w:val="24"/>
          <w:szCs w:val="24"/>
          <w:highlight w:val="none"/>
          <w:u w:val="single"/>
          <w:lang w:val="en-US" w:eastAsia="zh-CN" w:bidi="ar"/>
        </w:rPr>
        <w:t>三</w:t>
      </w:r>
      <w:r>
        <w:rPr>
          <w:rFonts w:hint="eastAsia" w:ascii="宋体" w:hAnsi="宋体" w:eastAsia="宋体" w:cs="宋体"/>
          <w:color w:val="auto"/>
          <w:kern w:val="2"/>
          <w:sz w:val="24"/>
          <w:szCs w:val="24"/>
          <w:highlight w:val="none"/>
          <w:u w:val="single"/>
          <w:lang w:bidi="ar"/>
        </w:rPr>
        <w:t>楼</w:t>
      </w:r>
      <w:r>
        <w:rPr>
          <w:rFonts w:hint="eastAsia" w:ascii="宋体" w:hAnsi="宋体" w:cs="宋体"/>
          <w:color w:val="auto"/>
          <w:kern w:val="2"/>
          <w:sz w:val="24"/>
          <w:szCs w:val="24"/>
          <w:highlight w:val="none"/>
          <w:u w:val="single"/>
          <w:lang w:eastAsia="zh-CN" w:bidi="ar"/>
        </w:rPr>
        <w:t>（</w:t>
      </w:r>
      <w:r>
        <w:rPr>
          <w:rFonts w:hint="eastAsia" w:ascii="宋体" w:hAnsi="宋体" w:eastAsia="宋体" w:cs="宋体"/>
          <w:color w:val="auto"/>
          <w:kern w:val="2"/>
          <w:sz w:val="24"/>
          <w:szCs w:val="24"/>
          <w:highlight w:val="none"/>
          <w:u w:val="single"/>
          <w:lang w:bidi="ar"/>
        </w:rPr>
        <w:t>德宏州</w:t>
      </w:r>
      <w:r>
        <w:rPr>
          <w:rFonts w:hint="eastAsia" w:ascii="宋体" w:hAnsi="宋体" w:cs="宋体"/>
          <w:color w:val="auto"/>
          <w:kern w:val="2"/>
          <w:sz w:val="24"/>
          <w:szCs w:val="24"/>
          <w:highlight w:val="none"/>
          <w:u w:val="single"/>
          <w:lang w:val="en-US" w:eastAsia="zh-CN" w:bidi="ar"/>
        </w:rPr>
        <w:t>公共资源交易中心</w:t>
      </w:r>
      <w:r>
        <w:rPr>
          <w:rFonts w:hint="eastAsia" w:ascii="宋体" w:hAnsi="宋体" w:cs="宋体"/>
          <w:color w:val="auto"/>
          <w:kern w:val="2"/>
          <w:sz w:val="24"/>
          <w:szCs w:val="24"/>
          <w:highlight w:val="none"/>
          <w:u w:val="single"/>
          <w:lang w:eastAsia="zh-CN" w:bidi="ar"/>
        </w:rPr>
        <w:t>）</w:t>
      </w:r>
      <w:r>
        <w:rPr>
          <w:rFonts w:hint="eastAsia" w:ascii="宋体" w:hAnsi="宋体" w:eastAsia="宋体" w:cs="宋体"/>
          <w:color w:val="auto"/>
          <w:kern w:val="2"/>
          <w:sz w:val="24"/>
          <w:szCs w:val="24"/>
          <w:highlight w:val="none"/>
          <w:u w:val="single"/>
          <w:lang w:val="en-US" w:eastAsia="zh-CN" w:bidi="ar"/>
        </w:rPr>
        <w:t>，</w:t>
      </w:r>
      <w:r>
        <w:rPr>
          <w:rFonts w:hint="eastAsia" w:ascii="宋体" w:hAnsi="宋体" w:eastAsia="宋体" w:cs="宋体"/>
          <w:color w:val="auto"/>
          <w:sz w:val="24"/>
          <w:szCs w:val="24"/>
          <w:highlight w:val="none"/>
          <w:u w:val="single"/>
        </w:rPr>
        <w:t>“政府采购云平台</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（https://www.zcygov.cn/)</w:t>
      </w:r>
      <w:r>
        <w:rPr>
          <w:rFonts w:hint="eastAsia" w:ascii="宋体" w:hAnsi="宋体" w:eastAsia="宋体" w:cs="宋体"/>
          <w:color w:val="auto"/>
          <w:sz w:val="24"/>
          <w:szCs w:val="24"/>
          <w:highlight w:val="none"/>
        </w:rPr>
        <w:t>。</w:t>
      </w:r>
    </w:p>
    <w:p w14:paraId="1A3C00DD">
      <w:pPr>
        <w:pageBreakBefore w:val="0"/>
        <w:kinsoku/>
        <w:wordWrap w:val="0"/>
        <w:overflowPunct/>
        <w:topLine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w:t>
      </w:r>
      <w:r>
        <w:rPr>
          <w:rFonts w:hint="eastAsia" w:ascii="宋体" w:hAnsi="宋体" w:eastAsia="宋体" w:cs="宋体"/>
          <w:color w:val="auto"/>
          <w:sz w:val="24"/>
          <w:szCs w:val="24"/>
          <w:highlight w:val="none"/>
        </w:rPr>
        <w:t>开标方式：“现场开标”和“网上智能开标”</w:t>
      </w:r>
      <w:r>
        <w:rPr>
          <w:rFonts w:hint="eastAsia" w:ascii="宋体" w:hAnsi="宋体" w:eastAsia="宋体" w:cs="宋体"/>
          <w:color w:val="auto"/>
          <w:sz w:val="24"/>
          <w:szCs w:val="24"/>
          <w:highlight w:val="none"/>
          <w:lang w:eastAsia="zh-CN"/>
        </w:rPr>
        <w:t>。</w:t>
      </w:r>
    </w:p>
    <w:p w14:paraId="1836B1EE">
      <w:pPr>
        <w:pageBreakBefore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注：①</w:t>
      </w:r>
      <w:r>
        <w:rPr>
          <w:rFonts w:hint="eastAsia" w:ascii="宋体" w:hAnsi="宋体" w:eastAsia="宋体" w:cs="宋体"/>
          <w:bCs/>
          <w:color w:val="auto"/>
          <w:sz w:val="24"/>
          <w:szCs w:val="24"/>
          <w:highlight w:val="none"/>
          <w:lang w:val="en-US" w:eastAsia="zh-CN"/>
        </w:rPr>
        <w:t>投标人</w:t>
      </w:r>
      <w:r>
        <w:rPr>
          <w:rFonts w:hint="eastAsia" w:ascii="宋体" w:hAnsi="宋体" w:eastAsia="宋体" w:cs="宋体"/>
          <w:bCs/>
          <w:color w:val="auto"/>
          <w:sz w:val="24"/>
          <w:szCs w:val="24"/>
          <w:highlight w:val="none"/>
        </w:rPr>
        <w:t>应按照本项目</w:t>
      </w:r>
      <w:r>
        <w:rPr>
          <w:rFonts w:hint="eastAsia" w:ascii="宋体" w:hAnsi="宋体" w:eastAsia="宋体" w:cs="宋体"/>
          <w:bCs/>
          <w:color w:val="auto"/>
          <w:sz w:val="24"/>
          <w:szCs w:val="24"/>
          <w:highlight w:val="none"/>
          <w:lang w:val="en-US" w:eastAsia="zh-CN"/>
        </w:rPr>
        <w:t>招标</w:t>
      </w:r>
      <w:r>
        <w:rPr>
          <w:rFonts w:hint="eastAsia" w:ascii="宋体" w:hAnsi="宋体" w:eastAsia="宋体" w:cs="宋体"/>
          <w:bCs/>
          <w:color w:val="auto"/>
          <w:sz w:val="24"/>
          <w:szCs w:val="24"/>
          <w:highlight w:val="none"/>
        </w:rPr>
        <w:t>文件和“政府采购云平台”的要求编制、加密</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文件，并在提交</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文件截止时间前上传至“政府采购云平台”（https://www.zcygov.cn/)，</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文件提交截止时间前未完成</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文件上传的，视为撤回</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w:t>
      </w:r>
    </w:p>
    <w:p w14:paraId="05922D59">
      <w:pPr>
        <w:pageBreakBefore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②</w:t>
      </w:r>
      <w:r>
        <w:rPr>
          <w:rFonts w:hint="eastAsia" w:ascii="宋体" w:hAnsi="宋体" w:eastAsia="宋体" w:cs="宋体"/>
          <w:bCs/>
          <w:color w:val="auto"/>
          <w:sz w:val="24"/>
          <w:szCs w:val="24"/>
          <w:highlight w:val="none"/>
          <w:lang w:val="en-US" w:eastAsia="zh-CN"/>
        </w:rPr>
        <w:t>投标人可选择现场解密或远程解密。</w:t>
      </w:r>
    </w:p>
    <w:p w14:paraId="3CFC9157">
      <w:pPr>
        <w:pStyle w:val="3"/>
        <w:pageBreakBefore w:val="0"/>
        <w:widowControl/>
        <w:kinsoku/>
        <w:wordWrap w:val="0"/>
        <w:overflowPunct/>
        <w:autoSpaceDE/>
        <w:autoSpaceDN/>
        <w:bidi w:val="0"/>
        <w:adjustRightInd w:val="0"/>
        <w:snapToGrid w:val="0"/>
        <w:spacing w:before="0" w:after="0" w:line="324" w:lineRule="auto"/>
        <w:ind w:left="0" w:leftChars="0"/>
        <w:textAlignment w:val="auto"/>
        <w:rPr>
          <w:rFonts w:hint="eastAsia" w:ascii="宋体" w:hAnsi="宋体" w:eastAsia="宋体" w:cs="宋体"/>
          <w:b w:val="0"/>
          <w:color w:val="auto"/>
          <w:sz w:val="24"/>
          <w:szCs w:val="24"/>
          <w:highlight w:val="none"/>
        </w:rPr>
      </w:pPr>
      <w:bookmarkStart w:id="69" w:name="_Toc22300"/>
      <w:r>
        <w:rPr>
          <w:rFonts w:hint="eastAsia" w:ascii="宋体" w:hAnsi="宋体" w:eastAsia="宋体" w:cs="宋体"/>
          <w:b w:val="0"/>
          <w:color w:val="auto"/>
          <w:sz w:val="24"/>
          <w:szCs w:val="24"/>
          <w:highlight w:val="none"/>
        </w:rPr>
        <w:t>五、公告期限</w:t>
      </w:r>
      <w:bookmarkEnd w:id="64"/>
      <w:bookmarkEnd w:id="65"/>
      <w:bookmarkEnd w:id="66"/>
      <w:bookmarkEnd w:id="67"/>
      <w:bookmarkEnd w:id="68"/>
      <w:bookmarkEnd w:id="69"/>
    </w:p>
    <w:p w14:paraId="356F439E">
      <w:pPr>
        <w:pageBreakBefore w:val="0"/>
        <w:widowControl w:val="0"/>
        <w:kinsoku/>
        <w:wordWrap w:val="0"/>
        <w:overflowPunct/>
        <w:autoSpaceDE/>
        <w:autoSpaceDN/>
        <w:bidi w:val="0"/>
        <w:adjustRightInd w:val="0"/>
        <w:snapToGrid w:val="0"/>
        <w:spacing w:line="324" w:lineRule="auto"/>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自本公告发布之日起5个工作日。</w:t>
      </w:r>
    </w:p>
    <w:p w14:paraId="3F29B730">
      <w:pPr>
        <w:pStyle w:val="3"/>
        <w:pageBreakBefore w:val="0"/>
        <w:widowControl/>
        <w:kinsoku/>
        <w:wordWrap w:val="0"/>
        <w:overflowPunct/>
        <w:autoSpaceDE/>
        <w:autoSpaceDN/>
        <w:bidi w:val="0"/>
        <w:adjustRightInd w:val="0"/>
        <w:snapToGrid w:val="0"/>
        <w:spacing w:before="0" w:after="0" w:line="324" w:lineRule="auto"/>
        <w:ind w:left="0" w:leftChars="0"/>
        <w:textAlignment w:val="auto"/>
        <w:rPr>
          <w:rFonts w:hint="eastAsia" w:ascii="宋体" w:hAnsi="宋体" w:eastAsia="宋体" w:cs="宋体"/>
          <w:b w:val="0"/>
          <w:color w:val="auto"/>
          <w:sz w:val="24"/>
          <w:szCs w:val="24"/>
          <w:highlight w:val="none"/>
        </w:rPr>
      </w:pPr>
      <w:bookmarkStart w:id="70" w:name="_Toc35393795"/>
      <w:bookmarkStart w:id="71" w:name="_Toc35393626"/>
      <w:bookmarkStart w:id="72" w:name="_Toc14132"/>
      <w:bookmarkStart w:id="73" w:name="_Toc25980"/>
      <w:r>
        <w:rPr>
          <w:rFonts w:hint="eastAsia" w:ascii="宋体" w:hAnsi="宋体" w:eastAsia="宋体" w:cs="宋体"/>
          <w:b w:val="0"/>
          <w:color w:val="auto"/>
          <w:sz w:val="24"/>
          <w:szCs w:val="24"/>
          <w:highlight w:val="none"/>
        </w:rPr>
        <w:t>六、其他补充事宜</w:t>
      </w:r>
      <w:bookmarkEnd w:id="70"/>
      <w:bookmarkEnd w:id="71"/>
      <w:bookmarkEnd w:id="72"/>
      <w:bookmarkEnd w:id="73"/>
    </w:p>
    <w:p w14:paraId="0EE98CC0">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sz w:val="24"/>
          <w:szCs w:val="24"/>
          <w:highlight w:val="none"/>
        </w:rPr>
      </w:pPr>
      <w:bookmarkStart w:id="74" w:name="_Toc43909986"/>
      <w:bookmarkStart w:id="75" w:name="_Toc28979"/>
      <w:bookmarkStart w:id="76" w:name="_Toc35393627"/>
      <w:bookmarkStart w:id="77" w:name="_Toc35393796"/>
      <w:bookmarkStart w:id="78" w:name="_Toc28359008"/>
      <w:bookmarkStart w:id="79" w:name="_Toc28359085"/>
      <w:r>
        <w:rPr>
          <w:rFonts w:hint="eastAsia" w:ascii="宋体" w:hAnsi="宋体" w:eastAsia="宋体" w:cs="宋体"/>
          <w:color w:val="auto"/>
          <w:sz w:val="24"/>
          <w:szCs w:val="24"/>
          <w:highlight w:val="none"/>
        </w:rPr>
        <w:t>1.投标保证金</w:t>
      </w:r>
    </w:p>
    <w:p w14:paraId="4BDFDE8A">
      <w:pPr>
        <w:pageBreakBefore w:val="0"/>
        <w:widowControl w:val="0"/>
        <w:kinsoku/>
        <w:wordWrap w:val="0"/>
        <w:overflowPunct/>
        <w:autoSpaceDE/>
        <w:autoSpaceDN/>
        <w:bidi w:val="0"/>
        <w:adjustRightInd w:val="0"/>
        <w:snapToGrid w:val="0"/>
        <w:spacing w:line="324" w:lineRule="auto"/>
        <w:ind w:left="0" w:leftChars="0"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投标保证金</w:t>
      </w:r>
      <w:r>
        <w:rPr>
          <w:rFonts w:hint="eastAsia" w:ascii="宋体" w:hAnsi="宋体" w:cs="宋体"/>
          <w:color w:val="auto"/>
          <w:sz w:val="24"/>
          <w:szCs w:val="24"/>
          <w:highlight w:val="none"/>
          <w:lang w:val="en-US" w:eastAsia="zh-CN"/>
        </w:rPr>
        <w:t>70000元</w:t>
      </w:r>
      <w:r>
        <w:rPr>
          <w:rFonts w:hint="eastAsia" w:ascii="宋体" w:hAnsi="宋体" w:eastAsia="宋体" w:cs="宋体"/>
          <w:color w:val="auto"/>
          <w:sz w:val="24"/>
          <w:szCs w:val="24"/>
          <w:highlight w:val="none"/>
          <w:lang w:val="en-US" w:eastAsia="zh-CN"/>
        </w:rPr>
        <w:t>；</w:t>
      </w:r>
    </w:p>
    <w:p w14:paraId="6B1AB041">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2.需落实的政府采购政策：</w:t>
      </w:r>
    </w:p>
    <w:p w14:paraId="3A1D979B">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本项目是否适用</w:t>
      </w:r>
      <w:r>
        <w:rPr>
          <w:rFonts w:hint="eastAsia" w:ascii="宋体" w:hAnsi="宋体" w:eastAsia="宋体" w:cs="宋体"/>
          <w:color w:val="auto"/>
          <w:sz w:val="24"/>
          <w:szCs w:val="24"/>
          <w:highlight w:val="none"/>
          <w:lang w:val="en-US" w:eastAsia="zh-CN"/>
        </w:rPr>
        <w:t>小微</w:t>
      </w:r>
      <w:r>
        <w:rPr>
          <w:rFonts w:hint="eastAsia" w:ascii="宋体" w:hAnsi="宋体" w:eastAsia="宋体" w:cs="宋体"/>
          <w:color w:val="auto"/>
          <w:sz w:val="24"/>
          <w:szCs w:val="24"/>
          <w:highlight w:val="none"/>
        </w:rPr>
        <w:t>企业政策：是。</w:t>
      </w:r>
    </w:p>
    <w:p w14:paraId="6E347568">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本项目是否适用监狱企业政策：是。</w:t>
      </w:r>
    </w:p>
    <w:p w14:paraId="67193E61">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本项目是否适用残疾人福利性单位政策：是。</w:t>
      </w:r>
    </w:p>
    <w:p w14:paraId="4549010C">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本项目是否适用节能产品、环境标志产品政策：</w:t>
      </w:r>
      <w:r>
        <w:rPr>
          <w:rFonts w:hint="eastAsia" w:ascii="宋体" w:hAnsi="宋体" w:cs="宋体"/>
          <w:color w:val="auto"/>
          <w:sz w:val="24"/>
          <w:szCs w:val="24"/>
          <w:highlight w:val="none"/>
          <w:lang w:val="en-US" w:eastAsia="zh-CN"/>
        </w:rPr>
        <w:t>是</w:t>
      </w:r>
      <w:r>
        <w:rPr>
          <w:rFonts w:hint="eastAsia" w:ascii="宋体" w:hAnsi="宋体" w:eastAsia="宋体" w:cs="宋体"/>
          <w:color w:val="auto"/>
          <w:sz w:val="24"/>
          <w:szCs w:val="24"/>
          <w:highlight w:val="none"/>
        </w:rPr>
        <w:t>。</w:t>
      </w:r>
    </w:p>
    <w:p w14:paraId="55D2162B">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本项目是否适用脱贫攻坚政策：否。</w:t>
      </w:r>
    </w:p>
    <w:p w14:paraId="4ED92084">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.本项目采购标的对应所属行业为：</w:t>
      </w:r>
      <w:r>
        <w:rPr>
          <w:rFonts w:hint="eastAsia" w:ascii="宋体" w:hAnsi="宋体" w:cs="宋体"/>
          <w:color w:val="auto"/>
          <w:sz w:val="24"/>
          <w:szCs w:val="24"/>
          <w:highlight w:val="none"/>
          <w:u w:val="single"/>
          <w:lang w:val="en-US" w:eastAsia="zh-CN"/>
        </w:rPr>
        <w:t>工业</w:t>
      </w:r>
      <w:r>
        <w:rPr>
          <w:rFonts w:hint="eastAsia" w:ascii="宋体" w:hAnsi="宋体" w:eastAsia="宋体" w:cs="宋体"/>
          <w:color w:val="auto"/>
          <w:sz w:val="24"/>
          <w:szCs w:val="24"/>
          <w:highlight w:val="none"/>
        </w:rPr>
        <w:t>，按照《关于印发中小企业划型标准规定的通知》（工信部联企业〔2011〕300 号）确定。</w:t>
      </w:r>
    </w:p>
    <w:p w14:paraId="78A0AED4">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监督：行业监督部门及联系电话：</w:t>
      </w:r>
      <w:r>
        <w:rPr>
          <w:rFonts w:hint="eastAsia" w:ascii="宋体" w:hAnsi="宋体" w:cs="宋体"/>
          <w:color w:val="auto"/>
          <w:sz w:val="24"/>
          <w:szCs w:val="24"/>
          <w:highlight w:val="none"/>
          <w:lang w:val="en-US" w:eastAsia="zh-CN"/>
        </w:rPr>
        <w:t>芒市</w:t>
      </w:r>
      <w:r>
        <w:rPr>
          <w:rFonts w:hint="eastAsia" w:ascii="宋体" w:hAnsi="宋体" w:eastAsia="宋体" w:cs="宋体"/>
          <w:color w:val="auto"/>
          <w:sz w:val="24"/>
          <w:szCs w:val="24"/>
          <w:highlight w:val="none"/>
          <w:lang w:val="zh-CN" w:eastAsia="zh-CN"/>
        </w:rPr>
        <w:t>财政局 0692-2121910，纪检监督电话：0692-12388。</w:t>
      </w:r>
    </w:p>
    <w:p w14:paraId="7107D934">
      <w:pPr>
        <w:keepNext w:val="0"/>
        <w:keepLines w:val="0"/>
        <w:pageBreakBefore w:val="0"/>
        <w:widowControl w:val="0"/>
        <w:kinsoku/>
        <w:wordWrap w:val="0"/>
        <w:overflowPunct/>
        <w:topLinePunct w:val="0"/>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.本次</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val="zh-CN" w:eastAsia="zh-CN"/>
        </w:rPr>
        <w:t>公告在云南省政府采购网（网址：www.yngp.com）、“政府采购云平台”（https://www.zcygov.cn/)上发布。</w:t>
      </w:r>
      <w:r>
        <w:rPr>
          <w:rFonts w:hint="eastAsia" w:ascii="宋体" w:hAnsi="宋体" w:cs="宋体"/>
          <w:color w:val="auto"/>
          <w:sz w:val="24"/>
          <w:szCs w:val="24"/>
          <w:highlight w:val="none"/>
          <w:lang w:val="zh-CN" w:eastAsia="zh-CN"/>
        </w:rPr>
        <w:t>采购人</w:t>
      </w:r>
      <w:r>
        <w:rPr>
          <w:rFonts w:hint="eastAsia" w:ascii="宋体" w:hAnsi="宋体" w:eastAsia="宋体" w:cs="宋体"/>
          <w:color w:val="auto"/>
          <w:sz w:val="24"/>
          <w:szCs w:val="24"/>
          <w:highlight w:val="none"/>
          <w:lang w:val="zh-CN" w:eastAsia="zh-CN"/>
        </w:rPr>
        <w:t>和</w:t>
      </w:r>
      <w:r>
        <w:rPr>
          <w:rFonts w:hint="eastAsia" w:ascii="宋体" w:hAnsi="宋体" w:cs="宋体"/>
          <w:color w:val="auto"/>
          <w:sz w:val="24"/>
          <w:szCs w:val="24"/>
          <w:highlight w:val="none"/>
          <w:lang w:val="zh-CN" w:eastAsia="zh-CN"/>
        </w:rPr>
        <w:t>采购代理机构</w:t>
      </w:r>
      <w:r>
        <w:rPr>
          <w:rFonts w:hint="eastAsia" w:ascii="宋体" w:hAnsi="宋体" w:eastAsia="宋体" w:cs="宋体"/>
          <w:color w:val="auto"/>
          <w:sz w:val="24"/>
          <w:szCs w:val="24"/>
          <w:highlight w:val="none"/>
          <w:lang w:val="zh-CN" w:eastAsia="zh-CN"/>
        </w:rPr>
        <w:t>对其他网站或媒体转载的公告内容不承担任何责任。</w:t>
      </w:r>
    </w:p>
    <w:p w14:paraId="6D441A09">
      <w:pPr>
        <w:keepNext w:val="0"/>
        <w:keepLines w:val="0"/>
        <w:pageBreakBefore w:val="0"/>
        <w:widowControl w:val="0"/>
        <w:kinsoku/>
        <w:wordWrap w:val="0"/>
        <w:overflowPunct/>
        <w:topLinePunct w:val="0"/>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7.请各报名参与投标人在该项目未开标之前密切关注信息发布网站，如该项目需发布更正公告或者补充（变更）通知均在“政府采购云平台”（https://www.zcygov.cn/)、云南省政府采购网（网址：</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"http://www.yngp.com）上发布，不再另行通知，因各投标人未及时上网看到更正公告或者下载补充（变更）通知的后果由投标人自行承担。"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www.yngp.com）上发布，不再另行通知，因各投标人未及时上网看到更正公告或者下载补充（变更）通知的后果由投标人自行承担。</w:t>
      </w:r>
      <w:r>
        <w:rPr>
          <w:rFonts w:hint="eastAsia" w:ascii="宋体" w:hAnsi="宋体" w:eastAsia="宋体" w:cs="宋体"/>
          <w:color w:val="auto"/>
          <w:sz w:val="24"/>
          <w:szCs w:val="24"/>
          <w:highlight w:val="none"/>
          <w:lang w:val="en-US" w:eastAsia="zh-CN"/>
        </w:rPr>
        <w:fldChar w:fldCharType="end"/>
      </w:r>
    </w:p>
    <w:p w14:paraId="38A0B62C">
      <w:pPr>
        <w:keepNext w:val="0"/>
        <w:keepLines w:val="0"/>
        <w:pageBreakBefore w:val="0"/>
        <w:widowControl w:val="0"/>
        <w:kinsoku/>
        <w:wordWrap w:val="0"/>
        <w:overflowPunct/>
        <w:topLinePunct w:val="0"/>
        <w:autoSpaceDE/>
        <w:autoSpaceDN/>
        <w:bidi w:val="0"/>
        <w:adjustRightInd w:val="0"/>
        <w:snapToGrid w:val="0"/>
        <w:spacing w:line="324" w:lineRule="auto"/>
        <w:ind w:left="0" w:leftChars="0"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8.</w:t>
      </w:r>
      <w:r>
        <w:rPr>
          <w:rFonts w:hint="eastAsia" w:ascii="宋体" w:hAnsi="宋体" w:eastAsia="宋体" w:cs="宋体"/>
          <w:b w:val="0"/>
          <w:bCs/>
          <w:color w:val="auto"/>
          <w:sz w:val="24"/>
          <w:szCs w:val="24"/>
          <w:highlight w:val="none"/>
          <w:lang w:val="zh-CN" w:eastAsia="zh-CN" w:bidi="ar-SA"/>
        </w:rPr>
        <w:t>政采云服务热线：95763 （服务时间：工作日8：00-20：00）</w:t>
      </w:r>
    </w:p>
    <w:bookmarkEnd w:id="74"/>
    <w:p w14:paraId="5DF9FC79">
      <w:pPr>
        <w:pStyle w:val="3"/>
        <w:pageBreakBefore w:val="0"/>
        <w:widowControl/>
        <w:kinsoku/>
        <w:wordWrap w:val="0"/>
        <w:overflowPunct/>
        <w:autoSpaceDE/>
        <w:autoSpaceDN/>
        <w:bidi w:val="0"/>
        <w:adjustRightInd w:val="0"/>
        <w:snapToGrid w:val="0"/>
        <w:spacing w:before="0" w:after="0" w:line="324" w:lineRule="auto"/>
        <w:ind w:left="0" w:leftChars="0"/>
        <w:textAlignment w:val="auto"/>
        <w:rPr>
          <w:rFonts w:hint="eastAsia" w:ascii="宋体" w:hAnsi="宋体" w:eastAsia="宋体" w:cs="宋体"/>
          <w:b w:val="0"/>
          <w:color w:val="auto"/>
          <w:sz w:val="24"/>
          <w:szCs w:val="24"/>
          <w:highlight w:val="none"/>
        </w:rPr>
      </w:pPr>
      <w:bookmarkStart w:id="80" w:name="_Toc10023"/>
      <w:r>
        <w:rPr>
          <w:rFonts w:hint="eastAsia" w:ascii="宋体" w:hAnsi="宋体" w:eastAsia="宋体" w:cs="宋体"/>
          <w:b w:val="0"/>
          <w:color w:val="auto"/>
          <w:sz w:val="24"/>
          <w:szCs w:val="24"/>
          <w:highlight w:val="none"/>
        </w:rPr>
        <w:t>七、对本次招标提出询问，请按以下方式联系</w:t>
      </w:r>
      <w:bookmarkEnd w:id="75"/>
      <w:bookmarkEnd w:id="76"/>
      <w:bookmarkEnd w:id="77"/>
      <w:bookmarkEnd w:id="78"/>
      <w:bookmarkEnd w:id="79"/>
      <w:bookmarkEnd w:id="80"/>
    </w:p>
    <w:p w14:paraId="225B8CB9">
      <w:pPr>
        <w:pageBreakBefore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bidi="ar"/>
        </w:rPr>
        <w:t>1.</w:t>
      </w:r>
      <w:r>
        <w:rPr>
          <w:rFonts w:hint="eastAsia" w:ascii="宋体" w:hAnsi="宋体" w:cs="宋体"/>
          <w:color w:val="auto"/>
          <w:kern w:val="2"/>
          <w:sz w:val="24"/>
          <w:szCs w:val="24"/>
          <w:highlight w:val="none"/>
          <w:lang w:eastAsia="zh-CN" w:bidi="ar"/>
        </w:rPr>
        <w:t>采购人</w:t>
      </w:r>
      <w:r>
        <w:rPr>
          <w:rFonts w:hint="eastAsia" w:ascii="宋体" w:hAnsi="宋体" w:eastAsia="宋体" w:cs="宋体"/>
          <w:color w:val="auto"/>
          <w:kern w:val="2"/>
          <w:sz w:val="24"/>
          <w:szCs w:val="24"/>
          <w:highlight w:val="none"/>
          <w:lang w:bidi="ar"/>
        </w:rPr>
        <w:t>信息</w:t>
      </w:r>
    </w:p>
    <w:p w14:paraId="3DEF8214">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u w:val="none"/>
          <w:lang w:val="en-US" w:eastAsia="zh-CN" w:bidi="ar"/>
        </w:rPr>
        <w:t>名</w:t>
      </w:r>
      <w:r>
        <w:rPr>
          <w:rFonts w:hint="eastAsia" w:ascii="宋体" w:hAnsi="宋体" w:eastAsia="宋体" w:cs="宋体"/>
          <w:color w:val="auto"/>
          <w:kern w:val="2"/>
          <w:sz w:val="24"/>
          <w:szCs w:val="24"/>
          <w:highlight w:val="none"/>
          <w:lang w:val="en-US" w:eastAsia="zh-CN" w:bidi="ar"/>
        </w:rPr>
        <w:t>称：</w:t>
      </w:r>
      <w:r>
        <w:rPr>
          <w:rFonts w:hint="eastAsia" w:ascii="宋体" w:hAnsi="宋体" w:cs="宋体"/>
          <w:color w:val="auto"/>
          <w:kern w:val="2"/>
          <w:sz w:val="24"/>
          <w:szCs w:val="24"/>
          <w:highlight w:val="none"/>
          <w:lang w:val="en-US" w:eastAsia="zh-CN" w:bidi="ar"/>
        </w:rPr>
        <w:t>芒市商务局</w:t>
      </w:r>
    </w:p>
    <w:p w14:paraId="081B7D6F">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kern w:val="2"/>
          <w:sz w:val="24"/>
          <w:szCs w:val="24"/>
          <w:highlight w:val="none"/>
          <w:lang w:eastAsia="zh-CN" w:bidi="ar"/>
        </w:rPr>
      </w:pPr>
      <w:r>
        <w:rPr>
          <w:rFonts w:hint="eastAsia" w:ascii="宋体" w:hAnsi="宋体" w:eastAsia="宋体" w:cs="宋体"/>
          <w:color w:val="auto"/>
          <w:kern w:val="2"/>
          <w:sz w:val="24"/>
          <w:szCs w:val="24"/>
          <w:highlight w:val="none"/>
          <w:lang w:eastAsia="zh-CN" w:bidi="ar"/>
        </w:rPr>
        <w:t>地址：芒市大街109号残联综合楼5楼</w:t>
      </w:r>
    </w:p>
    <w:p w14:paraId="628D6F8E">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eastAsia="zh-CN" w:bidi="ar"/>
        </w:rPr>
        <w:t>联系</w:t>
      </w:r>
      <w:r>
        <w:rPr>
          <w:rFonts w:hint="eastAsia" w:ascii="宋体" w:hAnsi="宋体" w:eastAsia="宋体" w:cs="宋体"/>
          <w:color w:val="auto"/>
          <w:kern w:val="2"/>
          <w:sz w:val="24"/>
          <w:szCs w:val="24"/>
          <w:highlight w:val="none"/>
          <w:lang w:val="en-US" w:eastAsia="zh-CN" w:bidi="ar"/>
        </w:rPr>
        <w:t>人：</w:t>
      </w:r>
      <w:r>
        <w:rPr>
          <w:rFonts w:hint="eastAsia" w:ascii="宋体" w:hAnsi="宋体" w:cs="宋体"/>
          <w:color w:val="auto"/>
          <w:kern w:val="2"/>
          <w:sz w:val="24"/>
          <w:szCs w:val="24"/>
          <w:highlight w:val="none"/>
          <w:lang w:val="en-US" w:eastAsia="zh-CN" w:bidi="ar"/>
        </w:rPr>
        <w:t>祁宁</w:t>
      </w:r>
    </w:p>
    <w:p w14:paraId="216031EB">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联系电话</w:t>
      </w:r>
      <w:r>
        <w:rPr>
          <w:rFonts w:hint="eastAsia" w:ascii="宋体" w:hAnsi="宋体" w:eastAsia="宋体" w:cs="宋体"/>
          <w:color w:val="auto"/>
          <w:kern w:val="2"/>
          <w:sz w:val="24"/>
          <w:szCs w:val="24"/>
          <w:highlight w:val="none"/>
          <w:lang w:eastAsia="zh-CN" w:bidi="ar"/>
        </w:rPr>
        <w:t>：</w:t>
      </w:r>
      <w:r>
        <w:rPr>
          <w:rFonts w:hint="eastAsia" w:ascii="宋体" w:hAnsi="宋体" w:cs="宋体"/>
          <w:color w:val="auto"/>
          <w:kern w:val="2"/>
          <w:sz w:val="24"/>
          <w:szCs w:val="24"/>
          <w:highlight w:val="none"/>
          <w:lang w:val="en-US" w:eastAsia="zh-CN" w:bidi="ar"/>
        </w:rPr>
        <w:t>14787300035</w:t>
      </w:r>
    </w:p>
    <w:p w14:paraId="53ADC8B8">
      <w:pPr>
        <w:pStyle w:val="20"/>
        <w:pageBreakBefore w:val="0"/>
        <w:kinsoku/>
        <w:wordWrap w:val="0"/>
        <w:overflowPunct/>
        <w:autoSpaceDE/>
        <w:autoSpaceDN/>
        <w:bidi w:val="0"/>
        <w:adjustRightInd w:val="0"/>
        <w:snapToGrid w:val="0"/>
        <w:spacing w:after="0" w:line="324" w:lineRule="auto"/>
        <w:ind w:left="0" w:leftChars="0"/>
        <w:textAlignment w:val="auto"/>
        <w:rPr>
          <w:rFonts w:hint="eastAsia" w:ascii="宋体" w:hAnsi="宋体" w:eastAsia="宋体" w:cs="宋体"/>
          <w:color w:val="auto"/>
          <w:sz w:val="24"/>
          <w:szCs w:val="24"/>
          <w:highlight w:val="none"/>
        </w:rPr>
      </w:pPr>
    </w:p>
    <w:p w14:paraId="0B9105BF">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kern w:val="2"/>
          <w:sz w:val="24"/>
          <w:szCs w:val="24"/>
          <w:highlight w:val="none"/>
          <w:lang w:bidi="ar"/>
        </w:rPr>
      </w:pPr>
      <w:bookmarkStart w:id="81" w:name="_Toc28359009"/>
      <w:bookmarkStart w:id="82" w:name="_Toc28359086"/>
      <w:r>
        <w:rPr>
          <w:rFonts w:hint="eastAsia" w:ascii="宋体" w:hAnsi="宋体" w:eastAsia="宋体" w:cs="宋体"/>
          <w:color w:val="auto"/>
          <w:kern w:val="2"/>
          <w:sz w:val="24"/>
          <w:szCs w:val="24"/>
          <w:highlight w:val="none"/>
          <w:lang w:bidi="ar"/>
        </w:rPr>
        <w:t>2.</w:t>
      </w:r>
      <w:r>
        <w:rPr>
          <w:rFonts w:hint="eastAsia" w:ascii="宋体" w:hAnsi="宋体" w:cs="宋体"/>
          <w:color w:val="auto"/>
          <w:kern w:val="2"/>
          <w:sz w:val="24"/>
          <w:szCs w:val="24"/>
          <w:highlight w:val="none"/>
          <w:lang w:eastAsia="zh-CN" w:bidi="ar"/>
        </w:rPr>
        <w:t>采购代理机构</w:t>
      </w:r>
      <w:r>
        <w:rPr>
          <w:rFonts w:hint="eastAsia" w:ascii="宋体" w:hAnsi="宋体" w:eastAsia="宋体" w:cs="宋体"/>
          <w:color w:val="auto"/>
          <w:kern w:val="2"/>
          <w:sz w:val="24"/>
          <w:szCs w:val="24"/>
          <w:highlight w:val="none"/>
          <w:lang w:bidi="ar"/>
        </w:rPr>
        <w:t>信息</w:t>
      </w:r>
      <w:bookmarkEnd w:id="81"/>
      <w:bookmarkEnd w:id="82"/>
    </w:p>
    <w:p w14:paraId="042B1622">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kern w:val="2"/>
          <w:sz w:val="24"/>
          <w:szCs w:val="24"/>
          <w:highlight w:val="none"/>
          <w:lang w:eastAsia="zh-CN" w:bidi="ar"/>
        </w:rPr>
      </w:pPr>
      <w:bookmarkStart w:id="83" w:name="_Toc28359010"/>
      <w:bookmarkStart w:id="84" w:name="_Toc28359087"/>
      <w:r>
        <w:rPr>
          <w:rFonts w:hint="eastAsia" w:ascii="宋体" w:hAnsi="宋体" w:eastAsia="宋体" w:cs="宋体"/>
          <w:color w:val="auto"/>
          <w:kern w:val="2"/>
          <w:sz w:val="24"/>
          <w:szCs w:val="24"/>
          <w:highlight w:val="none"/>
          <w:lang w:bidi="ar"/>
        </w:rPr>
        <w:t>名    称：</w:t>
      </w:r>
      <w:r>
        <w:rPr>
          <w:rFonts w:hint="eastAsia" w:ascii="宋体" w:hAnsi="宋体" w:eastAsia="宋体" w:cs="宋体"/>
          <w:color w:val="auto"/>
          <w:kern w:val="2"/>
          <w:sz w:val="24"/>
          <w:szCs w:val="24"/>
          <w:highlight w:val="none"/>
          <w:lang w:eastAsia="zh-CN" w:bidi="ar"/>
        </w:rPr>
        <w:t>德宏杉和工程咨询有限公司</w:t>
      </w:r>
    </w:p>
    <w:p w14:paraId="6FA7AAC7">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地　　址：云南省德宏州</w:t>
      </w:r>
      <w:r>
        <w:rPr>
          <w:rFonts w:hint="eastAsia" w:ascii="宋体" w:hAnsi="宋体" w:eastAsia="宋体" w:cs="宋体"/>
          <w:color w:val="auto"/>
          <w:kern w:val="2"/>
          <w:sz w:val="24"/>
          <w:szCs w:val="24"/>
          <w:highlight w:val="none"/>
          <w:lang w:val="en-US" w:eastAsia="zh-CN" w:bidi="ar"/>
        </w:rPr>
        <w:t>陇川县勐宛南路勐宛山水116栋3号</w:t>
      </w:r>
    </w:p>
    <w:p w14:paraId="2FD25B09">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bidi="ar"/>
        </w:rPr>
        <w:t>联系</w:t>
      </w:r>
      <w:r>
        <w:rPr>
          <w:rFonts w:hint="eastAsia" w:ascii="宋体" w:hAnsi="宋体" w:eastAsia="宋体" w:cs="宋体"/>
          <w:color w:val="auto"/>
          <w:kern w:val="2"/>
          <w:sz w:val="24"/>
          <w:szCs w:val="24"/>
          <w:highlight w:val="none"/>
          <w:lang w:val="en-US" w:eastAsia="zh-CN" w:bidi="ar"/>
        </w:rPr>
        <w:t>人</w:t>
      </w:r>
      <w:r>
        <w:rPr>
          <w:rFonts w:hint="eastAsia" w:ascii="宋体" w:hAnsi="宋体" w:eastAsia="宋体" w:cs="宋体"/>
          <w:color w:val="auto"/>
          <w:kern w:val="2"/>
          <w:sz w:val="24"/>
          <w:szCs w:val="24"/>
          <w:highlight w:val="none"/>
          <w:lang w:bidi="ar"/>
        </w:rPr>
        <w:t>：</w:t>
      </w:r>
      <w:r>
        <w:rPr>
          <w:rFonts w:hint="eastAsia" w:ascii="宋体" w:hAnsi="宋体" w:cs="宋体"/>
          <w:color w:val="auto"/>
          <w:kern w:val="2"/>
          <w:sz w:val="24"/>
          <w:szCs w:val="24"/>
          <w:highlight w:val="none"/>
          <w:lang w:val="en-US" w:eastAsia="zh-CN" w:bidi="ar"/>
        </w:rPr>
        <w:t>周舟</w:t>
      </w:r>
    </w:p>
    <w:p w14:paraId="68ADBA01">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 xml:space="preserve">联系电话：0692-2990423  </w:t>
      </w:r>
      <w:r>
        <w:rPr>
          <w:rFonts w:hint="eastAsia" w:ascii="宋体" w:hAnsi="宋体" w:cs="宋体"/>
          <w:color w:val="auto"/>
          <w:kern w:val="2"/>
          <w:sz w:val="24"/>
          <w:szCs w:val="24"/>
          <w:highlight w:val="none"/>
          <w:lang w:val="en-US" w:eastAsia="zh-CN" w:bidi="ar"/>
        </w:rPr>
        <w:t>13908827135</w:t>
      </w:r>
    </w:p>
    <w:p w14:paraId="611C20A9">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kern w:val="2"/>
          <w:sz w:val="24"/>
          <w:szCs w:val="24"/>
          <w:highlight w:val="none"/>
          <w:lang w:bidi="ar"/>
        </w:rPr>
      </w:pPr>
    </w:p>
    <w:p w14:paraId="5396833A">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3.项目联系方式</w:t>
      </w:r>
      <w:bookmarkEnd w:id="83"/>
      <w:bookmarkEnd w:id="84"/>
    </w:p>
    <w:p w14:paraId="39A3993C">
      <w:pPr>
        <w:pageBreakBefore w:val="0"/>
        <w:widowControl w:val="0"/>
        <w:kinsoku/>
        <w:wordWrap w:val="0"/>
        <w:overflowPunct/>
        <w:autoSpaceDE/>
        <w:autoSpaceDN/>
        <w:bidi w:val="0"/>
        <w:adjustRightInd w:val="0"/>
        <w:snapToGrid w:val="0"/>
        <w:spacing w:line="324" w:lineRule="auto"/>
        <w:ind w:left="0" w:leftChars="0" w:firstLine="480" w:firstLineChars="200"/>
        <w:textAlignment w:val="auto"/>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bidi="ar"/>
        </w:rPr>
        <w:t>项目联系人：</w:t>
      </w:r>
      <w:r>
        <w:rPr>
          <w:rFonts w:hint="eastAsia" w:ascii="宋体" w:hAnsi="宋体" w:cs="宋体"/>
          <w:color w:val="auto"/>
          <w:kern w:val="2"/>
          <w:sz w:val="24"/>
          <w:szCs w:val="24"/>
          <w:highlight w:val="none"/>
          <w:lang w:val="en-US" w:eastAsia="zh-CN" w:bidi="ar"/>
        </w:rPr>
        <w:t>周舟</w:t>
      </w:r>
    </w:p>
    <w:p w14:paraId="225F6AE9">
      <w:pPr>
        <w:pStyle w:val="67"/>
        <w:pageBreakBefore w:val="0"/>
        <w:kinsoku/>
        <w:wordWrap w:val="0"/>
        <w:overflowPunct/>
        <w:autoSpaceDE/>
        <w:autoSpaceDN/>
        <w:bidi w:val="0"/>
        <w:adjustRightInd w:val="0"/>
        <w:snapToGrid w:val="0"/>
        <w:spacing w:line="324" w:lineRule="auto"/>
        <w:ind w:left="0" w:leftChars="0"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kern w:val="2"/>
          <w:sz w:val="24"/>
          <w:szCs w:val="24"/>
          <w:highlight w:val="none"/>
          <w:lang w:bidi="ar"/>
        </w:rPr>
        <w:t>电话：</w:t>
      </w:r>
      <w:r>
        <w:rPr>
          <w:rFonts w:hint="eastAsia" w:ascii="宋体" w:hAnsi="宋体" w:eastAsia="宋体" w:cs="宋体"/>
          <w:color w:val="auto"/>
          <w:kern w:val="2"/>
          <w:sz w:val="24"/>
          <w:szCs w:val="24"/>
          <w:highlight w:val="none"/>
          <w:lang w:val="en-US" w:eastAsia="zh-CN" w:bidi="ar"/>
        </w:rPr>
        <w:t xml:space="preserve">0692-2990423  </w:t>
      </w:r>
      <w:r>
        <w:rPr>
          <w:rFonts w:hint="eastAsia" w:ascii="宋体" w:hAnsi="宋体" w:cs="宋体"/>
          <w:color w:val="auto"/>
          <w:kern w:val="2"/>
          <w:sz w:val="24"/>
          <w:szCs w:val="24"/>
          <w:highlight w:val="none"/>
          <w:lang w:val="en-US" w:eastAsia="zh-CN" w:bidi="ar"/>
        </w:rPr>
        <w:t>13908827135</w:t>
      </w:r>
    </w:p>
    <w:p w14:paraId="67C96FB2">
      <w:pPr>
        <w:pageBreakBefore w:val="0"/>
        <w:kinsoku/>
        <w:wordWrap w:val="0"/>
        <w:overflowPunct/>
        <w:bidi w:val="0"/>
        <w:jc w:val="right"/>
        <w:rPr>
          <w:rStyle w:val="61"/>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u w:val="none"/>
          <w:lang w:val="en-US" w:eastAsia="zh-CN"/>
        </w:rPr>
        <w:t>202</w:t>
      </w: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lang w:val="en-US" w:eastAsia="zh-CN"/>
        </w:rPr>
        <w:t>年</w:t>
      </w:r>
      <w:r>
        <w:rPr>
          <w:rFonts w:hint="eastAsia" w:ascii="宋体" w:hAnsi="宋体" w:cs="宋体"/>
          <w:color w:val="auto"/>
          <w:sz w:val="24"/>
          <w:szCs w:val="24"/>
          <w:highlight w:val="none"/>
          <w:u w:val="none"/>
          <w:lang w:val="en-US" w:eastAsia="zh-CN"/>
        </w:rPr>
        <w:t>06</w:t>
      </w:r>
      <w:r>
        <w:rPr>
          <w:rFonts w:hint="eastAsia" w:ascii="宋体" w:hAnsi="宋体" w:eastAsia="宋体" w:cs="宋体"/>
          <w:color w:val="auto"/>
          <w:sz w:val="24"/>
          <w:szCs w:val="24"/>
          <w:highlight w:val="none"/>
          <w:u w:val="none"/>
          <w:lang w:val="en-US" w:eastAsia="zh-CN"/>
        </w:rPr>
        <w:t>月</w:t>
      </w:r>
      <w:r>
        <w:rPr>
          <w:rFonts w:hint="eastAsia" w:ascii="宋体" w:hAnsi="宋体" w:cs="宋体"/>
          <w:color w:val="auto"/>
          <w:sz w:val="24"/>
          <w:szCs w:val="24"/>
          <w:highlight w:val="none"/>
          <w:u w:val="none"/>
          <w:lang w:val="en-US" w:eastAsia="zh-CN"/>
        </w:rPr>
        <w:t>20</w:t>
      </w:r>
      <w:bookmarkStart w:id="354" w:name="_GoBack"/>
      <w:bookmarkEnd w:id="354"/>
      <w:r>
        <w:rPr>
          <w:rFonts w:hint="eastAsia" w:ascii="宋体" w:hAnsi="宋体" w:eastAsia="宋体" w:cs="宋体"/>
          <w:color w:val="auto"/>
          <w:sz w:val="24"/>
          <w:szCs w:val="24"/>
          <w:highlight w:val="none"/>
          <w:u w:val="none"/>
          <w:lang w:val="en-US" w:eastAsia="zh-CN"/>
        </w:rPr>
        <w:t>日</w:t>
      </w:r>
      <w:r>
        <w:rPr>
          <w:rStyle w:val="61"/>
          <w:rFonts w:hint="eastAsia" w:ascii="宋体" w:hAnsi="宋体" w:eastAsia="宋体" w:cs="宋体"/>
          <w:b w:val="0"/>
          <w:bCs w:val="0"/>
          <w:color w:val="auto"/>
          <w:sz w:val="24"/>
          <w:szCs w:val="24"/>
          <w:highlight w:val="none"/>
        </w:rPr>
        <w:br w:type="page"/>
      </w:r>
    </w:p>
    <w:p w14:paraId="154BFD98">
      <w:pPr>
        <w:pageBreakBefore w:val="0"/>
        <w:kinsoku/>
        <w:wordWrap w:val="0"/>
        <w:overflowPunct/>
        <w:bidi w:val="0"/>
        <w:rPr>
          <w:rFonts w:hint="eastAsia" w:ascii="宋体" w:hAnsi="宋体" w:eastAsia="宋体" w:cs="宋体"/>
          <w:color w:val="auto"/>
          <w:highlight w:val="none"/>
        </w:rPr>
      </w:pPr>
    </w:p>
    <w:p w14:paraId="347DB27A">
      <w:pPr>
        <w:pStyle w:val="2"/>
        <w:pageBreakBefore w:val="0"/>
        <w:kinsoku/>
        <w:wordWrap w:val="0"/>
        <w:overflowPunct/>
        <w:bidi w:val="0"/>
        <w:spacing w:before="0" w:after="0" w:line="360" w:lineRule="auto"/>
        <w:jc w:val="center"/>
        <w:rPr>
          <w:rStyle w:val="61"/>
          <w:rFonts w:hint="eastAsia" w:ascii="宋体" w:hAnsi="宋体" w:eastAsia="宋体" w:cs="宋体"/>
          <w:b w:val="0"/>
          <w:bCs w:val="0"/>
          <w:color w:val="auto"/>
          <w:sz w:val="24"/>
          <w:szCs w:val="24"/>
          <w:highlight w:val="none"/>
        </w:rPr>
      </w:pPr>
    </w:p>
    <w:p w14:paraId="672C4D53">
      <w:pPr>
        <w:pStyle w:val="2"/>
        <w:pageBreakBefore w:val="0"/>
        <w:kinsoku/>
        <w:wordWrap w:val="0"/>
        <w:overflowPunct/>
        <w:bidi w:val="0"/>
        <w:spacing w:before="0" w:after="0" w:line="360" w:lineRule="auto"/>
        <w:jc w:val="center"/>
        <w:rPr>
          <w:rStyle w:val="61"/>
          <w:rFonts w:hint="eastAsia" w:ascii="宋体" w:hAnsi="宋体" w:eastAsia="宋体" w:cs="宋体"/>
          <w:b w:val="0"/>
          <w:bCs w:val="0"/>
          <w:color w:val="auto"/>
          <w:sz w:val="24"/>
          <w:szCs w:val="24"/>
          <w:highlight w:val="none"/>
        </w:rPr>
      </w:pPr>
    </w:p>
    <w:p w14:paraId="379F0B08">
      <w:pPr>
        <w:pStyle w:val="2"/>
        <w:pageBreakBefore w:val="0"/>
        <w:kinsoku/>
        <w:wordWrap w:val="0"/>
        <w:overflowPunct/>
        <w:bidi w:val="0"/>
        <w:spacing w:before="0" w:after="0" w:line="360" w:lineRule="auto"/>
        <w:jc w:val="center"/>
        <w:rPr>
          <w:rStyle w:val="61"/>
          <w:rFonts w:hint="eastAsia" w:ascii="宋体" w:hAnsi="宋体" w:eastAsia="宋体" w:cs="宋体"/>
          <w:b w:val="0"/>
          <w:bCs w:val="0"/>
          <w:color w:val="auto"/>
          <w:sz w:val="24"/>
          <w:szCs w:val="24"/>
          <w:highlight w:val="none"/>
        </w:rPr>
      </w:pPr>
    </w:p>
    <w:p w14:paraId="1C4D4695">
      <w:pPr>
        <w:pStyle w:val="2"/>
        <w:pageBreakBefore w:val="0"/>
        <w:kinsoku/>
        <w:wordWrap w:val="0"/>
        <w:overflowPunct/>
        <w:bidi w:val="0"/>
        <w:spacing w:before="0" w:after="0" w:line="360" w:lineRule="auto"/>
        <w:jc w:val="center"/>
        <w:rPr>
          <w:rStyle w:val="61"/>
          <w:rFonts w:hint="eastAsia" w:ascii="宋体" w:hAnsi="宋体" w:eastAsia="宋体" w:cs="宋体"/>
          <w:b w:val="0"/>
          <w:bCs w:val="0"/>
          <w:color w:val="auto"/>
          <w:sz w:val="24"/>
          <w:szCs w:val="24"/>
          <w:highlight w:val="none"/>
        </w:rPr>
      </w:pPr>
    </w:p>
    <w:p w14:paraId="59309509">
      <w:pPr>
        <w:pStyle w:val="2"/>
        <w:pageBreakBefore w:val="0"/>
        <w:kinsoku/>
        <w:wordWrap w:val="0"/>
        <w:overflowPunct/>
        <w:bidi w:val="0"/>
        <w:spacing w:before="0" w:after="0" w:line="360" w:lineRule="auto"/>
        <w:jc w:val="center"/>
        <w:rPr>
          <w:rStyle w:val="61"/>
          <w:rFonts w:hint="eastAsia" w:ascii="宋体" w:hAnsi="宋体" w:eastAsia="宋体" w:cs="宋体"/>
          <w:b w:val="0"/>
          <w:bCs w:val="0"/>
          <w:color w:val="auto"/>
          <w:sz w:val="24"/>
          <w:szCs w:val="24"/>
          <w:highlight w:val="none"/>
        </w:rPr>
      </w:pPr>
    </w:p>
    <w:p w14:paraId="4A870D18">
      <w:pPr>
        <w:pStyle w:val="2"/>
        <w:pageBreakBefore w:val="0"/>
        <w:kinsoku/>
        <w:wordWrap w:val="0"/>
        <w:overflowPunct/>
        <w:bidi w:val="0"/>
        <w:spacing w:before="0" w:after="0" w:line="360" w:lineRule="auto"/>
        <w:jc w:val="center"/>
        <w:rPr>
          <w:rStyle w:val="61"/>
          <w:rFonts w:hint="eastAsia" w:ascii="宋体" w:hAnsi="宋体" w:eastAsia="宋体" w:cs="宋体"/>
          <w:b w:val="0"/>
          <w:bCs w:val="0"/>
          <w:color w:val="auto"/>
          <w:sz w:val="24"/>
          <w:szCs w:val="24"/>
          <w:highlight w:val="none"/>
        </w:rPr>
      </w:pPr>
    </w:p>
    <w:p w14:paraId="4CB55A65">
      <w:pPr>
        <w:pStyle w:val="2"/>
        <w:pageBreakBefore w:val="0"/>
        <w:kinsoku/>
        <w:wordWrap w:val="0"/>
        <w:overflowPunct/>
        <w:bidi w:val="0"/>
        <w:spacing w:before="0" w:after="0" w:line="360" w:lineRule="auto"/>
        <w:jc w:val="center"/>
        <w:rPr>
          <w:rStyle w:val="61"/>
          <w:rFonts w:hint="eastAsia" w:ascii="宋体" w:hAnsi="宋体" w:eastAsia="宋体" w:cs="宋体"/>
          <w:b w:val="0"/>
          <w:bCs w:val="0"/>
          <w:color w:val="auto"/>
          <w:sz w:val="24"/>
          <w:szCs w:val="24"/>
          <w:highlight w:val="none"/>
        </w:rPr>
      </w:pPr>
    </w:p>
    <w:p w14:paraId="14EC61E6">
      <w:pPr>
        <w:pStyle w:val="2"/>
        <w:pageBreakBefore w:val="0"/>
        <w:kinsoku/>
        <w:wordWrap w:val="0"/>
        <w:overflowPunct/>
        <w:bidi w:val="0"/>
        <w:spacing w:before="0" w:after="0" w:line="360" w:lineRule="auto"/>
        <w:jc w:val="center"/>
        <w:rPr>
          <w:rStyle w:val="61"/>
          <w:rFonts w:hint="eastAsia" w:ascii="宋体" w:hAnsi="宋体" w:eastAsia="宋体" w:cs="宋体"/>
          <w:b w:val="0"/>
          <w:bCs w:val="0"/>
          <w:color w:val="auto"/>
          <w:sz w:val="24"/>
          <w:szCs w:val="24"/>
          <w:highlight w:val="none"/>
        </w:rPr>
      </w:pPr>
    </w:p>
    <w:p w14:paraId="4903C3C3">
      <w:pPr>
        <w:pStyle w:val="3"/>
        <w:pageBreakBefore w:val="0"/>
        <w:kinsoku/>
        <w:wordWrap w:val="0"/>
        <w:overflowPunct/>
        <w:bidi w:val="0"/>
        <w:jc w:val="center"/>
        <w:rPr>
          <w:rFonts w:hint="eastAsia" w:ascii="宋体" w:hAnsi="宋体" w:eastAsia="宋体" w:cs="宋体"/>
          <w:color w:val="auto"/>
          <w:highlight w:val="none"/>
        </w:rPr>
      </w:pPr>
      <w:bookmarkStart w:id="85" w:name="_Toc8691"/>
      <w:r>
        <w:rPr>
          <w:rFonts w:hint="eastAsia" w:ascii="宋体" w:hAnsi="宋体" w:eastAsia="宋体" w:cs="宋体"/>
          <w:color w:val="auto"/>
          <w:highlight w:val="none"/>
        </w:rPr>
        <w:t>第二章 投标人须知</w:t>
      </w:r>
      <w:bookmarkEnd w:id="34"/>
      <w:bookmarkEnd w:id="85"/>
    </w:p>
    <w:p w14:paraId="4E4F101D">
      <w:pPr>
        <w:pageBreakBefore w:val="0"/>
        <w:kinsoku/>
        <w:wordWrap w:val="0"/>
        <w:overflowPunct/>
        <w:bidi w:val="0"/>
        <w:rPr>
          <w:rStyle w:val="61"/>
          <w:rFonts w:hint="eastAsia" w:ascii="宋体" w:hAnsi="宋体" w:eastAsia="宋体" w:cs="宋体"/>
          <w:b w:val="0"/>
          <w:bCs w:val="0"/>
          <w:color w:val="auto"/>
          <w:sz w:val="24"/>
          <w:szCs w:val="24"/>
          <w:highlight w:val="none"/>
        </w:rPr>
      </w:pPr>
      <w:r>
        <w:rPr>
          <w:rStyle w:val="61"/>
          <w:rFonts w:hint="eastAsia" w:ascii="宋体" w:hAnsi="宋体" w:eastAsia="宋体" w:cs="宋体"/>
          <w:b w:val="0"/>
          <w:bCs w:val="0"/>
          <w:color w:val="auto"/>
          <w:sz w:val="24"/>
          <w:szCs w:val="24"/>
          <w:highlight w:val="none"/>
        </w:rPr>
        <w:br w:type="page"/>
      </w:r>
    </w:p>
    <w:p w14:paraId="4389D416">
      <w:pPr>
        <w:pStyle w:val="3"/>
        <w:pageBreakBefore w:val="0"/>
        <w:kinsoku/>
        <w:wordWrap w:val="0"/>
        <w:overflowPunct/>
        <w:bidi w:val="0"/>
        <w:spacing w:before="0" w:after="0" w:line="360" w:lineRule="auto"/>
        <w:ind w:firstLine="420"/>
        <w:jc w:val="center"/>
        <w:rPr>
          <w:rFonts w:hint="eastAsia" w:ascii="宋体" w:hAnsi="宋体" w:eastAsia="宋体" w:cs="宋体"/>
          <w:color w:val="auto"/>
          <w:sz w:val="24"/>
          <w:szCs w:val="24"/>
          <w:highlight w:val="none"/>
        </w:rPr>
      </w:pPr>
      <w:bookmarkStart w:id="86" w:name="_Toc13590"/>
      <w:bookmarkEnd w:id="86"/>
      <w:bookmarkStart w:id="87" w:name="_Toc21714"/>
      <w:bookmarkEnd w:id="87"/>
      <w:bookmarkStart w:id="88" w:name="_Toc8090"/>
      <w:bookmarkStart w:id="89" w:name="_Toc26144"/>
      <w:r>
        <w:rPr>
          <w:rFonts w:hint="eastAsia" w:ascii="宋体" w:hAnsi="宋体" w:eastAsia="宋体" w:cs="宋体"/>
          <w:color w:val="auto"/>
          <w:sz w:val="24"/>
          <w:szCs w:val="24"/>
          <w:highlight w:val="none"/>
        </w:rPr>
        <w:t>投标人须知前附表</w:t>
      </w:r>
      <w:bookmarkEnd w:id="88"/>
      <w:bookmarkEnd w:id="89"/>
    </w:p>
    <w:p w14:paraId="2750C5FB">
      <w:pPr>
        <w:pageBreakBefore w:val="0"/>
        <w:kinsoku/>
        <w:wordWrap w:val="0"/>
        <w:overflowPunct/>
        <w:bidi w:val="0"/>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bl>
      <w:tblPr>
        <w:tblStyle w:val="38"/>
        <w:tblW w:w="9882" w:type="dxa"/>
        <w:jc w:val="center"/>
        <w:tblLayout w:type="fixed"/>
        <w:tblCellMar>
          <w:top w:w="0" w:type="dxa"/>
          <w:left w:w="0" w:type="dxa"/>
          <w:bottom w:w="0" w:type="dxa"/>
          <w:right w:w="0" w:type="dxa"/>
        </w:tblCellMar>
      </w:tblPr>
      <w:tblGrid>
        <w:gridCol w:w="1047"/>
        <w:gridCol w:w="1496"/>
        <w:gridCol w:w="7339"/>
      </w:tblGrid>
      <w:tr w14:paraId="41F17AEA">
        <w:tblPrEx>
          <w:tblCellMar>
            <w:top w:w="0" w:type="dxa"/>
            <w:left w:w="0" w:type="dxa"/>
            <w:bottom w:w="0" w:type="dxa"/>
            <w:right w:w="0" w:type="dxa"/>
          </w:tblCellMar>
        </w:tblPrEx>
        <w:trPr>
          <w:trHeight w:val="390" w:hRule="atLeast"/>
          <w:tblHeader/>
          <w:jc w:val="center"/>
        </w:trPr>
        <w:tc>
          <w:tcPr>
            <w:tcW w:w="1047" w:type="dxa"/>
            <w:tcBorders>
              <w:top w:val="single" w:color="auto" w:sz="8" w:space="0"/>
              <w:left w:val="single" w:color="auto" w:sz="8" w:space="0"/>
              <w:bottom w:val="single" w:color="auto" w:sz="8" w:space="0"/>
              <w:right w:val="single" w:color="auto" w:sz="8" w:space="0"/>
            </w:tcBorders>
            <w:vAlign w:val="center"/>
          </w:tcPr>
          <w:p w14:paraId="25296587">
            <w:pPr>
              <w:pageBreakBefore w:val="0"/>
              <w:kinsoku/>
              <w:wordWrap w:val="0"/>
              <w:overflowPunct/>
              <w:bidi w:val="0"/>
              <w:spacing w:line="460" w:lineRule="exact"/>
              <w:jc w:val="center"/>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条款号</w:t>
            </w:r>
          </w:p>
        </w:tc>
        <w:tc>
          <w:tcPr>
            <w:tcW w:w="1496" w:type="dxa"/>
            <w:tcBorders>
              <w:top w:val="single" w:color="auto" w:sz="8" w:space="0"/>
              <w:left w:val="nil"/>
              <w:bottom w:val="single" w:color="auto" w:sz="8" w:space="0"/>
              <w:right w:val="single" w:color="auto" w:sz="8" w:space="0"/>
            </w:tcBorders>
            <w:vAlign w:val="bottom"/>
          </w:tcPr>
          <w:p w14:paraId="21B14087">
            <w:pPr>
              <w:pageBreakBefore w:val="0"/>
              <w:kinsoku/>
              <w:wordWrap w:val="0"/>
              <w:overflowPunct/>
              <w:bidi w:val="0"/>
              <w:spacing w:line="460" w:lineRule="exact"/>
              <w:jc w:val="center"/>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条 款 名 称</w:t>
            </w:r>
          </w:p>
        </w:tc>
        <w:tc>
          <w:tcPr>
            <w:tcW w:w="7339" w:type="dxa"/>
            <w:tcBorders>
              <w:top w:val="single" w:color="auto" w:sz="8" w:space="0"/>
              <w:left w:val="nil"/>
              <w:bottom w:val="single" w:color="auto" w:sz="8" w:space="0"/>
              <w:right w:val="single" w:color="auto" w:sz="8" w:space="0"/>
            </w:tcBorders>
            <w:vAlign w:val="bottom"/>
          </w:tcPr>
          <w:p w14:paraId="0D9DEB23">
            <w:pPr>
              <w:pageBreakBefore w:val="0"/>
              <w:kinsoku/>
              <w:wordWrap w:val="0"/>
              <w:overflowPunct/>
              <w:bidi w:val="0"/>
              <w:spacing w:line="460" w:lineRule="exact"/>
              <w:ind w:left="168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编 列 内 容</w:t>
            </w:r>
          </w:p>
        </w:tc>
      </w:tr>
      <w:tr w14:paraId="7DEB743F">
        <w:tblPrEx>
          <w:tblCellMar>
            <w:top w:w="0" w:type="dxa"/>
            <w:left w:w="0" w:type="dxa"/>
            <w:bottom w:w="0" w:type="dxa"/>
            <w:right w:w="0" w:type="dxa"/>
          </w:tblCellMar>
        </w:tblPrEx>
        <w:trPr>
          <w:trHeight w:val="151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145558E">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1.1.2</w:t>
            </w:r>
          </w:p>
        </w:tc>
        <w:tc>
          <w:tcPr>
            <w:tcW w:w="1496" w:type="dxa"/>
            <w:tcBorders>
              <w:top w:val="single" w:color="auto" w:sz="8" w:space="0"/>
              <w:left w:val="nil"/>
              <w:bottom w:val="single" w:color="auto" w:sz="8" w:space="0"/>
              <w:right w:val="single" w:color="auto" w:sz="8" w:space="0"/>
            </w:tcBorders>
            <w:vAlign w:val="center"/>
          </w:tcPr>
          <w:p w14:paraId="5BEBA869">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eastAsia="zh-CN"/>
              </w:rPr>
              <w:t>采购人</w:t>
            </w:r>
          </w:p>
        </w:tc>
        <w:tc>
          <w:tcPr>
            <w:tcW w:w="7339" w:type="dxa"/>
            <w:tcBorders>
              <w:top w:val="single" w:color="auto" w:sz="8" w:space="0"/>
              <w:left w:val="nil"/>
              <w:bottom w:val="single" w:color="auto" w:sz="8" w:space="0"/>
              <w:right w:val="single" w:color="auto" w:sz="8" w:space="0"/>
            </w:tcBorders>
            <w:vAlign w:val="center"/>
          </w:tcPr>
          <w:p w14:paraId="5A5F62F4">
            <w:pPr>
              <w:pageBreakBefore w:val="0"/>
              <w:widowControl w:val="0"/>
              <w:kinsoku/>
              <w:wordWrap w:val="0"/>
              <w:overflowPunct/>
              <w:bidi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名称：</w:t>
            </w:r>
            <w:r>
              <w:rPr>
                <w:rFonts w:hint="eastAsia" w:ascii="宋体" w:hAnsi="宋体" w:cs="宋体"/>
                <w:color w:val="auto"/>
                <w:sz w:val="24"/>
                <w:szCs w:val="24"/>
                <w:highlight w:val="none"/>
                <w:u w:val="none"/>
                <w:lang w:val="en-US" w:eastAsia="zh-CN"/>
              </w:rPr>
              <w:t>芒市商务局</w:t>
            </w:r>
          </w:p>
          <w:p w14:paraId="598D99CA">
            <w:pPr>
              <w:pageBreakBefore w:val="0"/>
              <w:widowControl w:val="0"/>
              <w:kinsoku/>
              <w:wordWrap w:val="0"/>
              <w:overflowPunct/>
              <w:bidi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地址：</w:t>
            </w:r>
            <w:r>
              <w:rPr>
                <w:rFonts w:hint="eastAsia" w:ascii="宋体" w:hAnsi="宋体" w:eastAsia="宋体" w:cs="宋体"/>
                <w:color w:val="auto"/>
                <w:kern w:val="2"/>
                <w:sz w:val="24"/>
                <w:szCs w:val="24"/>
                <w:highlight w:val="none"/>
                <w:lang w:eastAsia="zh-CN" w:bidi="ar"/>
              </w:rPr>
              <w:t>芒市大街109号残联综合楼5楼</w:t>
            </w:r>
          </w:p>
          <w:p w14:paraId="2CDAB22F">
            <w:pPr>
              <w:pageBreakBefore w:val="0"/>
              <w:widowControl w:val="0"/>
              <w:kinsoku/>
              <w:wordWrap w:val="0"/>
              <w:overflowPunct/>
              <w:bidi w:val="0"/>
              <w:spacing w:line="360" w:lineRule="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eastAsia="zh-CN"/>
              </w:rPr>
              <w:t>联系</w:t>
            </w:r>
            <w:r>
              <w:rPr>
                <w:rFonts w:hint="eastAsia" w:ascii="宋体" w:hAnsi="宋体" w:eastAsia="宋体" w:cs="宋体"/>
                <w:color w:val="auto"/>
                <w:sz w:val="24"/>
                <w:szCs w:val="24"/>
                <w:highlight w:val="none"/>
                <w:u w:val="none"/>
                <w:lang w:val="en-US" w:eastAsia="zh-CN"/>
              </w:rPr>
              <w:t>人：</w:t>
            </w:r>
            <w:r>
              <w:rPr>
                <w:rFonts w:hint="eastAsia" w:ascii="宋体" w:hAnsi="宋体" w:cs="宋体"/>
                <w:color w:val="auto"/>
                <w:sz w:val="24"/>
                <w:szCs w:val="24"/>
                <w:highlight w:val="none"/>
                <w:u w:val="none"/>
                <w:lang w:val="en-US" w:eastAsia="zh-CN"/>
              </w:rPr>
              <w:t>祁宁</w:t>
            </w:r>
          </w:p>
          <w:p w14:paraId="7F0F0B05">
            <w:pPr>
              <w:pageBreakBefore w:val="0"/>
              <w:widowControl w:val="0"/>
              <w:kinsoku/>
              <w:wordWrap w:val="0"/>
              <w:overflowPunct/>
              <w:bidi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联系电话</w:t>
            </w:r>
            <w:r>
              <w:rPr>
                <w:rFonts w:hint="eastAsia" w:ascii="宋体" w:hAnsi="宋体" w:eastAsia="宋体" w:cs="宋体"/>
                <w:color w:val="auto"/>
                <w:sz w:val="24"/>
                <w:szCs w:val="24"/>
                <w:highlight w:val="none"/>
                <w:u w:val="none"/>
                <w:lang w:eastAsia="zh-CN"/>
              </w:rPr>
              <w:t>：</w:t>
            </w:r>
            <w:r>
              <w:rPr>
                <w:rFonts w:hint="eastAsia" w:ascii="宋体" w:hAnsi="宋体" w:cs="宋体"/>
                <w:color w:val="auto"/>
                <w:kern w:val="2"/>
                <w:sz w:val="24"/>
                <w:szCs w:val="24"/>
                <w:highlight w:val="none"/>
                <w:lang w:val="en-US" w:eastAsia="zh-CN" w:bidi="ar"/>
              </w:rPr>
              <w:t>14787300035</w:t>
            </w:r>
          </w:p>
        </w:tc>
      </w:tr>
      <w:tr w14:paraId="69FCDB99">
        <w:tblPrEx>
          <w:tblCellMar>
            <w:top w:w="0" w:type="dxa"/>
            <w:left w:w="0" w:type="dxa"/>
            <w:bottom w:w="0" w:type="dxa"/>
            <w:right w:w="0" w:type="dxa"/>
          </w:tblCellMar>
        </w:tblPrEx>
        <w:trPr>
          <w:trHeight w:val="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2C47E4E">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1.1.3</w:t>
            </w:r>
          </w:p>
        </w:tc>
        <w:tc>
          <w:tcPr>
            <w:tcW w:w="1496" w:type="dxa"/>
            <w:tcBorders>
              <w:top w:val="single" w:color="auto" w:sz="8" w:space="0"/>
              <w:left w:val="nil"/>
              <w:bottom w:val="single" w:color="auto" w:sz="8" w:space="0"/>
              <w:right w:val="single" w:color="auto" w:sz="8" w:space="0"/>
            </w:tcBorders>
            <w:vAlign w:val="center"/>
          </w:tcPr>
          <w:p w14:paraId="6C6FE196">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eastAsia="zh-CN"/>
              </w:rPr>
              <w:t>采购代理机构</w:t>
            </w:r>
          </w:p>
        </w:tc>
        <w:tc>
          <w:tcPr>
            <w:tcW w:w="7339" w:type="dxa"/>
            <w:tcBorders>
              <w:top w:val="single" w:color="auto" w:sz="8" w:space="0"/>
              <w:left w:val="nil"/>
              <w:bottom w:val="single" w:color="auto" w:sz="8" w:space="0"/>
              <w:right w:val="single" w:color="auto" w:sz="8" w:space="0"/>
            </w:tcBorders>
            <w:vAlign w:val="center"/>
          </w:tcPr>
          <w:p w14:paraId="01BA8F22">
            <w:pPr>
              <w:pageBreakBefore w:val="0"/>
              <w:widowControl w:val="0"/>
              <w:kinsoku/>
              <w:wordWrap w:val="0"/>
              <w:overflowPunct/>
              <w:bidi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名称：德宏杉和工程咨询有限公司</w:t>
            </w:r>
          </w:p>
          <w:p w14:paraId="155230E4">
            <w:pPr>
              <w:pageBreakBefore w:val="0"/>
              <w:widowControl w:val="0"/>
              <w:kinsoku/>
              <w:wordWrap w:val="0"/>
              <w:overflowPunct/>
              <w:bidi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地址：云南省德宏州</w:t>
            </w:r>
            <w:r>
              <w:rPr>
                <w:rFonts w:hint="eastAsia" w:ascii="宋体" w:hAnsi="宋体" w:eastAsia="宋体" w:cs="宋体"/>
                <w:color w:val="auto"/>
                <w:sz w:val="24"/>
                <w:szCs w:val="24"/>
                <w:highlight w:val="none"/>
                <w:u w:val="none"/>
                <w:lang w:val="en-US" w:eastAsia="zh-CN"/>
              </w:rPr>
              <w:t>陇川县勐宛南路勐宛山水116-3号</w:t>
            </w:r>
          </w:p>
          <w:p w14:paraId="75B5F2E0">
            <w:pPr>
              <w:pageBreakBefore w:val="0"/>
              <w:widowControl w:val="0"/>
              <w:kinsoku/>
              <w:wordWrap w:val="0"/>
              <w:overflowPunct/>
              <w:bidi w:val="0"/>
              <w:spacing w:line="360" w:lineRule="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eastAsia="zh-CN"/>
              </w:rPr>
              <w:t>联系人：</w:t>
            </w:r>
            <w:r>
              <w:rPr>
                <w:rFonts w:hint="eastAsia" w:ascii="宋体" w:hAnsi="宋体" w:cs="宋体"/>
                <w:color w:val="auto"/>
                <w:sz w:val="24"/>
                <w:szCs w:val="24"/>
                <w:highlight w:val="none"/>
                <w:u w:val="none"/>
                <w:lang w:val="en-US" w:eastAsia="zh-CN"/>
              </w:rPr>
              <w:t>周舟</w:t>
            </w:r>
          </w:p>
          <w:p w14:paraId="6D717D04">
            <w:pPr>
              <w:pageBreakBefore w:val="0"/>
              <w:widowControl w:val="0"/>
              <w:kinsoku/>
              <w:wordWrap w:val="0"/>
              <w:overflowPunct/>
              <w:bidi w:val="0"/>
              <w:spacing w:line="360" w:lineRule="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eastAsia="zh-CN"/>
              </w:rPr>
              <w:t xml:space="preserve">联系电话：0692-2990423  </w:t>
            </w:r>
            <w:r>
              <w:rPr>
                <w:rFonts w:hint="eastAsia" w:ascii="宋体" w:hAnsi="宋体" w:cs="宋体"/>
                <w:color w:val="auto"/>
                <w:sz w:val="24"/>
                <w:szCs w:val="24"/>
                <w:highlight w:val="none"/>
                <w:u w:val="none"/>
                <w:lang w:val="en-US" w:eastAsia="zh-CN"/>
              </w:rPr>
              <w:t>13908827135</w:t>
            </w:r>
          </w:p>
        </w:tc>
      </w:tr>
      <w:tr w14:paraId="3213365F">
        <w:tblPrEx>
          <w:tblCellMar>
            <w:top w:w="0" w:type="dxa"/>
            <w:left w:w="0" w:type="dxa"/>
            <w:bottom w:w="0" w:type="dxa"/>
            <w:right w:w="0" w:type="dxa"/>
          </w:tblCellMar>
        </w:tblPrEx>
        <w:trPr>
          <w:trHeight w:val="64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7485E19">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1.1.4</w:t>
            </w:r>
          </w:p>
        </w:tc>
        <w:tc>
          <w:tcPr>
            <w:tcW w:w="1496" w:type="dxa"/>
            <w:tcBorders>
              <w:top w:val="single" w:color="auto" w:sz="8" w:space="0"/>
              <w:left w:val="nil"/>
              <w:bottom w:val="single" w:color="auto" w:sz="8" w:space="0"/>
              <w:right w:val="single" w:color="auto" w:sz="8" w:space="0"/>
            </w:tcBorders>
            <w:vAlign w:val="center"/>
          </w:tcPr>
          <w:p w14:paraId="5830A790">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招标项目名称</w:t>
            </w:r>
          </w:p>
        </w:tc>
        <w:tc>
          <w:tcPr>
            <w:tcW w:w="7339" w:type="dxa"/>
            <w:tcBorders>
              <w:top w:val="single" w:color="auto" w:sz="8" w:space="0"/>
              <w:left w:val="nil"/>
              <w:bottom w:val="single" w:color="auto" w:sz="8" w:space="0"/>
              <w:right w:val="single" w:color="auto" w:sz="8" w:space="0"/>
            </w:tcBorders>
            <w:vAlign w:val="center"/>
          </w:tcPr>
          <w:p w14:paraId="5F610A7E">
            <w:pPr>
              <w:pageBreakBefore w:val="0"/>
              <w:kinsoku/>
              <w:wordWrap w:val="0"/>
              <w:overflowPunct/>
              <w:bidi w:val="0"/>
              <w:spacing w:line="380" w:lineRule="exact"/>
              <w:jc w:val="both"/>
              <w:rPr>
                <w:rFonts w:hint="eastAsia" w:ascii="宋体" w:hAnsi="宋体" w:eastAsia="宋体" w:cs="宋体"/>
                <w:color w:val="auto"/>
                <w:kern w:val="2"/>
                <w:sz w:val="24"/>
                <w:szCs w:val="24"/>
                <w:highlight w:val="none"/>
                <w:u w:val="none"/>
              </w:rPr>
            </w:pPr>
            <w:r>
              <w:rPr>
                <w:rFonts w:hint="eastAsia" w:ascii="宋体" w:hAnsi="宋体" w:cs="宋体"/>
                <w:color w:val="auto"/>
                <w:kern w:val="2"/>
                <w:sz w:val="24"/>
                <w:szCs w:val="24"/>
                <w:highlight w:val="none"/>
                <w:u w:val="none"/>
                <w:lang w:eastAsia="zh-CN"/>
              </w:rPr>
              <w:t>芒市海关进境食用水生动物实验室检测能力提升项目实验室仪器设备采购</w:t>
            </w:r>
          </w:p>
        </w:tc>
      </w:tr>
      <w:tr w14:paraId="36A67BA8">
        <w:tblPrEx>
          <w:tblCellMar>
            <w:top w:w="0" w:type="dxa"/>
            <w:left w:w="0" w:type="dxa"/>
            <w:bottom w:w="0" w:type="dxa"/>
            <w:right w:w="0" w:type="dxa"/>
          </w:tblCellMar>
        </w:tblPrEx>
        <w:trPr>
          <w:trHeight w:val="66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DCAA369">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1.2.1</w:t>
            </w:r>
          </w:p>
        </w:tc>
        <w:tc>
          <w:tcPr>
            <w:tcW w:w="1496" w:type="dxa"/>
            <w:tcBorders>
              <w:top w:val="single" w:color="auto" w:sz="8" w:space="0"/>
              <w:left w:val="nil"/>
              <w:bottom w:val="single" w:color="auto" w:sz="8" w:space="0"/>
              <w:right w:val="single" w:color="auto" w:sz="8" w:space="0"/>
            </w:tcBorders>
            <w:vAlign w:val="center"/>
          </w:tcPr>
          <w:p w14:paraId="20924890">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资金落实情况</w:t>
            </w:r>
          </w:p>
        </w:tc>
        <w:tc>
          <w:tcPr>
            <w:tcW w:w="7339" w:type="dxa"/>
            <w:tcBorders>
              <w:top w:val="single" w:color="auto" w:sz="8" w:space="0"/>
              <w:left w:val="nil"/>
              <w:bottom w:val="single" w:color="auto" w:sz="8" w:space="0"/>
              <w:right w:val="single" w:color="auto" w:sz="8" w:space="0"/>
            </w:tcBorders>
            <w:vAlign w:val="center"/>
          </w:tcPr>
          <w:p w14:paraId="0D4D2EC1">
            <w:pPr>
              <w:pageBreakBefore w:val="0"/>
              <w:kinsoku/>
              <w:wordWrap w:val="0"/>
              <w:overflowPunct/>
              <w:bidi w:val="0"/>
              <w:spacing w:line="380" w:lineRule="exact"/>
              <w:jc w:val="both"/>
              <w:rPr>
                <w:rFonts w:hint="eastAsia" w:ascii="宋体" w:hAnsi="宋体" w:eastAsia="宋体" w:cs="宋体"/>
                <w:color w:val="auto"/>
                <w:kern w:val="2"/>
                <w:sz w:val="24"/>
                <w:szCs w:val="24"/>
                <w:highlight w:val="none"/>
                <w:u w:val="none"/>
              </w:rPr>
            </w:pPr>
            <w:r>
              <w:rPr>
                <w:rFonts w:hint="eastAsia" w:ascii="宋体" w:hAnsi="宋体" w:eastAsia="宋体" w:cs="宋体"/>
                <w:color w:val="auto"/>
                <w:kern w:val="2"/>
                <w:sz w:val="24"/>
                <w:szCs w:val="24"/>
                <w:highlight w:val="none"/>
                <w:u w:val="none"/>
              </w:rPr>
              <w:t>已落实</w:t>
            </w:r>
          </w:p>
        </w:tc>
      </w:tr>
      <w:tr w14:paraId="7AE61837">
        <w:tblPrEx>
          <w:tblCellMar>
            <w:top w:w="0" w:type="dxa"/>
            <w:left w:w="0" w:type="dxa"/>
            <w:bottom w:w="0" w:type="dxa"/>
            <w:right w:w="0" w:type="dxa"/>
          </w:tblCellMar>
        </w:tblPrEx>
        <w:trPr>
          <w:trHeight w:val="608"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CA8760B">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1.2.2</w:t>
            </w:r>
          </w:p>
        </w:tc>
        <w:tc>
          <w:tcPr>
            <w:tcW w:w="1496" w:type="dxa"/>
            <w:tcBorders>
              <w:top w:val="single" w:color="auto" w:sz="8" w:space="0"/>
              <w:left w:val="nil"/>
              <w:bottom w:val="single" w:color="auto" w:sz="8" w:space="0"/>
              <w:right w:val="single" w:color="auto" w:sz="8" w:space="0"/>
            </w:tcBorders>
            <w:vAlign w:val="center"/>
          </w:tcPr>
          <w:p w14:paraId="614EAAD8">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预算金额</w:t>
            </w:r>
          </w:p>
        </w:tc>
        <w:tc>
          <w:tcPr>
            <w:tcW w:w="7339" w:type="dxa"/>
            <w:tcBorders>
              <w:top w:val="single" w:color="auto" w:sz="8" w:space="0"/>
              <w:left w:val="nil"/>
              <w:bottom w:val="single" w:color="auto" w:sz="8" w:space="0"/>
              <w:right w:val="single" w:color="auto" w:sz="8" w:space="0"/>
            </w:tcBorders>
            <w:vAlign w:val="center"/>
          </w:tcPr>
          <w:p w14:paraId="30EAB068">
            <w:pPr>
              <w:keepNext w:val="0"/>
              <w:keepLines w:val="0"/>
              <w:pageBreakBefore w:val="0"/>
              <w:widowControl/>
              <w:kinsoku/>
              <w:wordWrap w:val="0"/>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4"/>
                <w:szCs w:val="24"/>
                <w:highlight w:val="none"/>
                <w:u w:val="none"/>
              </w:rPr>
            </w:pPr>
            <w:r>
              <w:rPr>
                <w:rFonts w:hint="eastAsia" w:ascii="宋体" w:hAnsi="宋体" w:eastAsia="宋体" w:cs="宋体"/>
                <w:color w:val="auto"/>
                <w:kern w:val="2"/>
                <w:sz w:val="24"/>
                <w:szCs w:val="24"/>
                <w:highlight w:val="none"/>
                <w:lang w:val="en-US" w:eastAsia="zh-CN" w:bidi="ar"/>
              </w:rPr>
              <w:t>¥</w:t>
            </w:r>
            <w:r>
              <w:rPr>
                <w:rFonts w:hint="eastAsia" w:ascii="宋体" w:hAnsi="宋体" w:cs="宋体"/>
                <w:color w:val="auto"/>
                <w:kern w:val="2"/>
                <w:sz w:val="24"/>
                <w:szCs w:val="24"/>
                <w:highlight w:val="none"/>
                <w:lang w:val="en-US" w:eastAsia="zh-CN" w:bidi="ar"/>
              </w:rPr>
              <w:t>7475300</w:t>
            </w:r>
            <w:r>
              <w:rPr>
                <w:rFonts w:hint="eastAsia" w:ascii="宋体" w:hAnsi="宋体" w:eastAsia="宋体" w:cs="宋体"/>
                <w:color w:val="auto"/>
                <w:kern w:val="2"/>
                <w:sz w:val="24"/>
                <w:szCs w:val="24"/>
                <w:highlight w:val="none"/>
                <w:lang w:val="en-US" w:eastAsia="zh-CN" w:bidi="ar"/>
              </w:rPr>
              <w:t>.00元</w:t>
            </w:r>
          </w:p>
        </w:tc>
      </w:tr>
      <w:tr w14:paraId="4597E057">
        <w:tblPrEx>
          <w:tblCellMar>
            <w:top w:w="0" w:type="dxa"/>
            <w:left w:w="0" w:type="dxa"/>
            <w:bottom w:w="0" w:type="dxa"/>
            <w:right w:w="0" w:type="dxa"/>
          </w:tblCellMar>
        </w:tblPrEx>
        <w:trPr>
          <w:trHeight w:val="60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3D5C69A6">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1.3.1</w:t>
            </w:r>
          </w:p>
        </w:tc>
        <w:tc>
          <w:tcPr>
            <w:tcW w:w="1496" w:type="dxa"/>
            <w:tcBorders>
              <w:top w:val="single" w:color="auto" w:sz="8" w:space="0"/>
              <w:left w:val="nil"/>
              <w:bottom w:val="single" w:color="auto" w:sz="8" w:space="0"/>
              <w:right w:val="single" w:color="auto" w:sz="8" w:space="0"/>
            </w:tcBorders>
            <w:vAlign w:val="center"/>
          </w:tcPr>
          <w:p w14:paraId="3EEC7ED8">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采购</w:t>
            </w:r>
            <w:r>
              <w:rPr>
                <w:rFonts w:hint="eastAsia" w:ascii="宋体" w:hAnsi="宋体" w:eastAsia="宋体" w:cs="宋体"/>
                <w:color w:val="auto"/>
                <w:kern w:val="2"/>
                <w:sz w:val="24"/>
                <w:szCs w:val="24"/>
                <w:highlight w:val="none"/>
                <w:lang w:val="en-US" w:eastAsia="zh-CN"/>
              </w:rPr>
              <w:t>内容</w:t>
            </w:r>
          </w:p>
        </w:tc>
        <w:tc>
          <w:tcPr>
            <w:tcW w:w="7339" w:type="dxa"/>
            <w:tcBorders>
              <w:top w:val="single" w:color="auto" w:sz="8" w:space="0"/>
              <w:left w:val="nil"/>
              <w:bottom w:val="single" w:color="auto" w:sz="8" w:space="0"/>
              <w:right w:val="single" w:color="auto" w:sz="8" w:space="0"/>
            </w:tcBorders>
            <w:vAlign w:val="center"/>
          </w:tcPr>
          <w:p w14:paraId="3BC0F864">
            <w:pPr>
              <w:keepNext w:val="0"/>
              <w:keepLines w:val="0"/>
              <w:pageBreakBefore w:val="0"/>
              <w:widowControl/>
              <w:kinsoku/>
              <w:wordWrap w:val="0"/>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采购芒市海关进境食用水生动物实验室检测能力提升项目实验室仪器设备采购实验室仪器设备一批，详见招标文件第六章“采购需求及技术规格要求”。</w:t>
            </w:r>
          </w:p>
        </w:tc>
      </w:tr>
      <w:tr w14:paraId="7F382289">
        <w:tblPrEx>
          <w:tblCellMar>
            <w:top w:w="0" w:type="dxa"/>
            <w:left w:w="0" w:type="dxa"/>
            <w:bottom w:w="0" w:type="dxa"/>
            <w:right w:w="0" w:type="dxa"/>
          </w:tblCellMar>
        </w:tblPrEx>
        <w:trPr>
          <w:trHeight w:val="518"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CCE1E81">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1.3.2</w:t>
            </w:r>
          </w:p>
        </w:tc>
        <w:tc>
          <w:tcPr>
            <w:tcW w:w="1496" w:type="dxa"/>
            <w:tcBorders>
              <w:top w:val="single" w:color="auto" w:sz="8" w:space="0"/>
              <w:left w:val="nil"/>
              <w:bottom w:val="single" w:color="auto" w:sz="8" w:space="0"/>
              <w:right w:val="single" w:color="auto" w:sz="8" w:space="0"/>
            </w:tcBorders>
            <w:vAlign w:val="center"/>
          </w:tcPr>
          <w:p w14:paraId="5ECB42E4">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sz w:val="24"/>
                <w:highlight w:val="none"/>
              </w:rPr>
              <w:t>合同履行期限</w:t>
            </w:r>
          </w:p>
        </w:tc>
        <w:tc>
          <w:tcPr>
            <w:tcW w:w="7339" w:type="dxa"/>
            <w:tcBorders>
              <w:top w:val="single" w:color="auto" w:sz="8" w:space="0"/>
              <w:left w:val="nil"/>
              <w:bottom w:val="single" w:color="auto" w:sz="8" w:space="0"/>
              <w:right w:val="single" w:color="auto" w:sz="8" w:space="0"/>
            </w:tcBorders>
          </w:tcPr>
          <w:p w14:paraId="707D8CB6">
            <w:pPr>
              <w:keepNext w:val="0"/>
              <w:keepLines w:val="0"/>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sz w:val="24"/>
                <w:highlight w:val="none"/>
              </w:rPr>
              <w:t>交货</w:t>
            </w:r>
            <w:r>
              <w:rPr>
                <w:rFonts w:hint="eastAsia" w:ascii="宋体" w:hAnsi="宋体" w:eastAsia="宋体" w:cs="宋体"/>
                <w:color w:val="auto"/>
                <w:sz w:val="24"/>
                <w:highlight w:val="none"/>
                <w:lang w:val="en-US" w:eastAsia="zh-CN"/>
              </w:rPr>
              <w:t>及安装调试</w:t>
            </w:r>
            <w:r>
              <w:rPr>
                <w:rFonts w:hint="eastAsia" w:ascii="宋体" w:hAnsi="宋体" w:eastAsia="宋体" w:cs="宋体"/>
                <w:color w:val="auto"/>
                <w:sz w:val="24"/>
                <w:highlight w:val="none"/>
              </w:rPr>
              <w:t>期：合同签订之日起</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0日历天内完成交货及安装调试。</w:t>
            </w:r>
          </w:p>
        </w:tc>
      </w:tr>
      <w:tr w14:paraId="2F3FAAC2">
        <w:tblPrEx>
          <w:tblCellMar>
            <w:top w:w="0" w:type="dxa"/>
            <w:left w:w="0" w:type="dxa"/>
            <w:bottom w:w="0" w:type="dxa"/>
            <w:right w:w="0" w:type="dxa"/>
          </w:tblCellMar>
        </w:tblPrEx>
        <w:trPr>
          <w:trHeight w:val="55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AB3D971">
            <w:pPr>
              <w:keepNext w:val="0"/>
              <w:keepLines w:val="0"/>
              <w:pageBreakBefore w:val="0"/>
              <w:widowControl/>
              <w:kinsoku/>
              <w:wordWrap w:val="0"/>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1.3.3</w:t>
            </w:r>
          </w:p>
        </w:tc>
        <w:tc>
          <w:tcPr>
            <w:tcW w:w="1496" w:type="dxa"/>
            <w:tcBorders>
              <w:top w:val="single" w:color="auto" w:sz="8" w:space="0"/>
              <w:left w:val="nil"/>
              <w:bottom w:val="single" w:color="auto" w:sz="8" w:space="0"/>
              <w:right w:val="single" w:color="auto" w:sz="8" w:space="0"/>
            </w:tcBorders>
            <w:vAlign w:val="center"/>
          </w:tcPr>
          <w:p w14:paraId="77E20DB3">
            <w:pPr>
              <w:keepNext w:val="0"/>
              <w:keepLines w:val="0"/>
              <w:pageBreakBefore w:val="0"/>
              <w:widowControl/>
              <w:kinsoku/>
              <w:wordWrap w:val="0"/>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质量要求</w:t>
            </w:r>
          </w:p>
        </w:tc>
        <w:tc>
          <w:tcPr>
            <w:tcW w:w="7339" w:type="dxa"/>
            <w:tcBorders>
              <w:top w:val="single" w:color="auto" w:sz="8" w:space="0"/>
              <w:left w:val="nil"/>
              <w:bottom w:val="single" w:color="auto" w:sz="8" w:space="0"/>
              <w:right w:val="single" w:color="auto" w:sz="8" w:space="0"/>
            </w:tcBorders>
            <w:vAlign w:val="center"/>
          </w:tcPr>
          <w:p w14:paraId="1807EC42">
            <w:pPr>
              <w:keepNext w:val="0"/>
              <w:keepLines w:val="0"/>
              <w:pageBreakBefore w:val="0"/>
              <w:widowControl/>
              <w:kinsoku/>
              <w:wordWrap w:val="0"/>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符合国家质量验收标准，一次性验收合格。</w:t>
            </w:r>
          </w:p>
        </w:tc>
      </w:tr>
      <w:tr w14:paraId="28150396">
        <w:tblPrEx>
          <w:tblCellMar>
            <w:top w:w="0" w:type="dxa"/>
            <w:left w:w="0" w:type="dxa"/>
            <w:bottom w:w="0" w:type="dxa"/>
            <w:right w:w="0" w:type="dxa"/>
          </w:tblCellMar>
        </w:tblPrEx>
        <w:trPr>
          <w:trHeight w:val="3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B5E1350">
            <w:pPr>
              <w:keepNext w:val="0"/>
              <w:keepLines w:val="0"/>
              <w:pageBreakBefore w:val="0"/>
              <w:widowControl/>
              <w:kinsoku/>
              <w:wordWrap w:val="0"/>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1.3.4</w:t>
            </w:r>
          </w:p>
        </w:tc>
        <w:tc>
          <w:tcPr>
            <w:tcW w:w="1496" w:type="dxa"/>
            <w:tcBorders>
              <w:top w:val="single" w:color="auto" w:sz="8" w:space="0"/>
              <w:left w:val="nil"/>
              <w:bottom w:val="single" w:color="auto" w:sz="8" w:space="0"/>
              <w:right w:val="single" w:color="auto" w:sz="8" w:space="0"/>
            </w:tcBorders>
            <w:vAlign w:val="center"/>
          </w:tcPr>
          <w:p w14:paraId="65626EEA">
            <w:pPr>
              <w:keepNext w:val="0"/>
              <w:keepLines w:val="0"/>
              <w:pageBreakBefore w:val="0"/>
              <w:widowControl/>
              <w:kinsoku/>
              <w:wordWrap w:val="0"/>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交货地点</w:t>
            </w:r>
          </w:p>
        </w:tc>
        <w:tc>
          <w:tcPr>
            <w:tcW w:w="7339" w:type="dxa"/>
            <w:tcBorders>
              <w:top w:val="single" w:color="auto" w:sz="8" w:space="0"/>
              <w:left w:val="nil"/>
              <w:bottom w:val="single" w:color="auto" w:sz="8" w:space="0"/>
              <w:right w:val="single" w:color="auto" w:sz="8" w:space="0"/>
            </w:tcBorders>
            <w:vAlign w:val="center"/>
          </w:tcPr>
          <w:p w14:paraId="182F0898">
            <w:pPr>
              <w:keepNext w:val="0"/>
              <w:keepLines w:val="0"/>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cs="宋体"/>
                <w:color w:val="auto"/>
                <w:kern w:val="2"/>
                <w:sz w:val="24"/>
                <w:szCs w:val="24"/>
                <w:highlight w:val="none"/>
                <w:lang w:val="en-US" w:eastAsia="zh-CN" w:bidi="ar"/>
              </w:rPr>
              <w:t>采购人</w:t>
            </w:r>
            <w:r>
              <w:rPr>
                <w:rFonts w:hint="eastAsia" w:ascii="宋体" w:hAnsi="宋体" w:eastAsia="宋体" w:cs="宋体"/>
                <w:color w:val="auto"/>
                <w:kern w:val="2"/>
                <w:sz w:val="24"/>
                <w:szCs w:val="24"/>
                <w:highlight w:val="none"/>
                <w:lang w:val="en-US" w:eastAsia="zh-CN" w:bidi="ar"/>
              </w:rPr>
              <w:t>指定地点；</w:t>
            </w:r>
          </w:p>
        </w:tc>
      </w:tr>
      <w:tr w14:paraId="0DF70AD3">
        <w:tblPrEx>
          <w:tblCellMar>
            <w:top w:w="0" w:type="dxa"/>
            <w:left w:w="0" w:type="dxa"/>
            <w:bottom w:w="0" w:type="dxa"/>
            <w:right w:w="0" w:type="dxa"/>
          </w:tblCellMar>
        </w:tblPrEx>
        <w:trPr>
          <w:trHeight w:val="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53BE535">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1.4.1</w:t>
            </w:r>
          </w:p>
        </w:tc>
        <w:tc>
          <w:tcPr>
            <w:tcW w:w="1496" w:type="dxa"/>
            <w:tcBorders>
              <w:top w:val="single" w:color="auto" w:sz="8" w:space="0"/>
              <w:left w:val="nil"/>
              <w:bottom w:val="single" w:color="auto" w:sz="8" w:space="0"/>
              <w:right w:val="single" w:color="auto" w:sz="8" w:space="0"/>
            </w:tcBorders>
            <w:vAlign w:val="center"/>
          </w:tcPr>
          <w:p w14:paraId="5469E1E3">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投标人资格要求</w:t>
            </w:r>
          </w:p>
        </w:tc>
        <w:tc>
          <w:tcPr>
            <w:tcW w:w="7339" w:type="dxa"/>
            <w:tcBorders>
              <w:top w:val="single" w:color="auto" w:sz="8" w:space="0"/>
              <w:left w:val="nil"/>
              <w:bottom w:val="single" w:color="auto" w:sz="8" w:space="0"/>
              <w:right w:val="single" w:color="auto" w:sz="8" w:space="0"/>
            </w:tcBorders>
            <w:vAlign w:val="center"/>
          </w:tcPr>
          <w:p w14:paraId="6145C9D2">
            <w:pPr>
              <w:keepNext w:val="0"/>
              <w:keepLines w:val="0"/>
              <w:pageBreakBefore w:val="0"/>
              <w:widowControl/>
              <w:numPr>
                <w:ilvl w:val="0"/>
                <w:numId w:val="0"/>
              </w:numPr>
              <w:kinsoku/>
              <w:wordWrap w:val="0"/>
              <w:overflowPunct/>
              <w:topLinePunct w:val="0"/>
              <w:autoSpaceDE/>
              <w:autoSpaceDN/>
              <w:bidi w:val="0"/>
              <w:adjustRightInd w:val="0"/>
              <w:snapToGrid/>
              <w:spacing w:line="360" w:lineRule="auto"/>
              <w:ind w:firstLine="482" w:firstLineChars="200"/>
              <w:jc w:val="left"/>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1.满足《中华人民共和国政府采购法》第二十二条规定；</w:t>
            </w:r>
          </w:p>
          <w:p w14:paraId="4FFA6C02">
            <w:pPr>
              <w:pageBreakBefore w:val="0"/>
              <w:widowControl/>
              <w:shd w:val="clear"/>
              <w:kinsoku/>
              <w:wordWrap w:val="0"/>
              <w:overflowPunct/>
              <w:bidi w:val="0"/>
              <w:spacing w:line="440" w:lineRule="exact"/>
              <w:ind w:firstLine="600" w:firstLineChars="250"/>
              <w:rPr>
                <w:rFonts w:hint="eastAsia" w:ascii="宋体" w:hAnsi="宋体" w:eastAsia="宋体" w:cs="宋体"/>
                <w:color w:val="auto"/>
                <w:kern w:val="0"/>
                <w:sz w:val="24"/>
                <w:szCs w:val="21"/>
                <w:highlight w:val="none"/>
                <w:lang w:eastAsia="zh-CN"/>
              </w:rPr>
            </w:pPr>
            <w:r>
              <w:rPr>
                <w:rFonts w:hint="eastAsia" w:ascii="宋体" w:hAnsi="宋体" w:eastAsia="宋体" w:cs="宋体"/>
                <w:color w:val="auto"/>
                <w:kern w:val="0"/>
                <w:sz w:val="24"/>
                <w:szCs w:val="21"/>
                <w:highlight w:val="none"/>
                <w:lang w:val="en-US" w:eastAsia="zh-CN"/>
              </w:rPr>
              <w:t>1.1</w:t>
            </w:r>
            <w:r>
              <w:rPr>
                <w:rFonts w:hint="eastAsia" w:ascii="宋体" w:hAnsi="宋体" w:eastAsia="宋体" w:cs="宋体"/>
                <w:color w:val="auto"/>
                <w:kern w:val="0"/>
                <w:sz w:val="24"/>
                <w:szCs w:val="21"/>
                <w:highlight w:val="none"/>
                <w:lang w:eastAsia="zh-CN"/>
              </w:rPr>
              <w:t>具有独立承担民事责任的能力；</w:t>
            </w:r>
            <w:r>
              <w:rPr>
                <w:rFonts w:hint="eastAsia" w:ascii="宋体" w:hAnsi="宋体" w:eastAsia="宋体" w:cs="宋体"/>
                <w:color w:val="auto"/>
                <w:kern w:val="0"/>
                <w:sz w:val="24"/>
                <w:szCs w:val="21"/>
                <w:highlight w:val="none"/>
              </w:rPr>
              <w:t>提供法人或者其他组织的营业执照等证明文件</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lang w:val="en-US" w:eastAsia="zh-CN"/>
              </w:rPr>
              <w:t>自然人的身份证明</w:t>
            </w:r>
            <w:r>
              <w:rPr>
                <w:rFonts w:hint="eastAsia" w:ascii="宋体" w:hAnsi="宋体" w:eastAsia="宋体" w:cs="宋体"/>
                <w:color w:val="auto"/>
                <w:kern w:val="0"/>
                <w:sz w:val="24"/>
                <w:szCs w:val="21"/>
                <w:highlight w:val="none"/>
              </w:rPr>
              <w:t>；</w:t>
            </w:r>
          </w:p>
          <w:p w14:paraId="09F86E67">
            <w:pPr>
              <w:pageBreakBefore w:val="0"/>
              <w:widowControl/>
              <w:shd w:val="clear"/>
              <w:kinsoku/>
              <w:wordWrap w:val="0"/>
              <w:overflowPunct/>
              <w:bidi w:val="0"/>
              <w:spacing w:line="440" w:lineRule="exact"/>
              <w:ind w:firstLine="600" w:firstLineChars="250"/>
              <w:rPr>
                <w:rFonts w:hint="eastAsia" w:ascii="宋体" w:hAnsi="宋体" w:eastAsia="宋体" w:cs="宋体"/>
                <w:color w:val="auto"/>
                <w:kern w:val="0"/>
                <w:sz w:val="24"/>
                <w:szCs w:val="21"/>
                <w:highlight w:val="none"/>
                <w:lang w:eastAsia="zh-CN"/>
              </w:rPr>
            </w:pPr>
            <w:r>
              <w:rPr>
                <w:rFonts w:hint="eastAsia" w:ascii="宋体" w:hAnsi="宋体" w:eastAsia="宋体" w:cs="宋体"/>
                <w:color w:val="auto"/>
                <w:kern w:val="0"/>
                <w:sz w:val="24"/>
                <w:szCs w:val="21"/>
                <w:highlight w:val="none"/>
                <w:lang w:val="en-US" w:eastAsia="zh-CN"/>
              </w:rPr>
              <w:t>1.2</w:t>
            </w:r>
            <w:r>
              <w:rPr>
                <w:rFonts w:hint="eastAsia" w:ascii="宋体" w:hAnsi="宋体" w:eastAsia="宋体" w:cs="宋体"/>
                <w:color w:val="auto"/>
                <w:kern w:val="0"/>
                <w:sz w:val="24"/>
                <w:szCs w:val="21"/>
                <w:highlight w:val="none"/>
                <w:lang w:eastAsia="zh-CN"/>
              </w:rPr>
              <w:t>具有良好的商业信誉和健全的财务会计制度；</w:t>
            </w:r>
          </w:p>
          <w:p w14:paraId="3E1A3555">
            <w:pPr>
              <w:keepNext w:val="0"/>
              <w:keepLines w:val="0"/>
              <w:pageBreakBefore w:val="0"/>
              <w:widowControl/>
              <w:shd w:val="clear"/>
              <w:kinsoku/>
              <w:wordWrap w:val="0"/>
              <w:overflowPunct/>
              <w:topLinePunct w:val="0"/>
              <w:autoSpaceDE/>
              <w:autoSpaceDN/>
              <w:bidi w:val="0"/>
              <w:adjustRightInd/>
              <w:snapToGrid/>
              <w:spacing w:line="440" w:lineRule="exact"/>
              <w:ind w:firstLine="600" w:firstLineChars="250"/>
              <w:textAlignment w:val="auto"/>
              <w:rPr>
                <w:rFonts w:hint="eastAsia" w:ascii="宋体" w:hAnsi="宋体" w:eastAsia="宋体" w:cs="宋体"/>
                <w:color w:val="auto"/>
                <w:kern w:val="0"/>
                <w:sz w:val="24"/>
                <w:szCs w:val="21"/>
                <w:highlight w:val="none"/>
                <w:lang w:eastAsia="zh-CN"/>
              </w:rPr>
            </w:pPr>
            <w:r>
              <w:rPr>
                <w:rFonts w:hint="eastAsia" w:ascii="宋体" w:hAnsi="宋体" w:eastAsia="宋体" w:cs="宋体"/>
                <w:color w:val="auto"/>
                <w:kern w:val="0"/>
                <w:sz w:val="24"/>
                <w:szCs w:val="21"/>
                <w:highlight w:val="none"/>
                <w:lang w:val="en-US" w:eastAsia="zh-CN"/>
              </w:rPr>
              <w:t>①未被列入“信用中国”网站（https://www.creditchina.gov.cn/）重大税收违法失信主体、政府采购严重违法失信行为记录名单，未被列入“中国</w:t>
            </w:r>
            <w:r>
              <w:rPr>
                <w:rFonts w:hint="eastAsia" w:ascii="宋体" w:hAnsi="宋体" w:eastAsia="宋体" w:cs="宋体"/>
                <w:color w:val="auto"/>
                <w:kern w:val="0"/>
                <w:sz w:val="24"/>
                <w:szCs w:val="21"/>
                <w:highlight w:val="none"/>
                <w:lang w:eastAsia="zh-CN"/>
              </w:rPr>
              <w:t>执行信息公开网”（网址：</w:t>
            </w:r>
            <w:r>
              <w:rPr>
                <w:rFonts w:hint="eastAsia" w:ascii="宋体" w:hAnsi="宋体" w:eastAsia="宋体" w:cs="宋体"/>
                <w:color w:val="auto"/>
                <w:kern w:val="0"/>
                <w:sz w:val="24"/>
                <w:szCs w:val="21"/>
                <w:highlight w:val="none"/>
                <w:lang w:eastAsia="zh-CN"/>
              </w:rPr>
              <w:fldChar w:fldCharType="begin"/>
            </w:r>
            <w:r>
              <w:rPr>
                <w:rFonts w:hint="eastAsia" w:ascii="宋体" w:hAnsi="宋体" w:eastAsia="宋体" w:cs="宋体"/>
                <w:color w:val="auto"/>
                <w:kern w:val="0"/>
                <w:sz w:val="24"/>
                <w:szCs w:val="21"/>
                <w:highlight w:val="none"/>
                <w:lang w:eastAsia="zh-CN"/>
              </w:rPr>
              <w:instrText xml:space="preserve"> HYPERLINK "http://zxgk.court.gov.cn）失信被执行人及中国政府采购网（www.ccgp.gov.cn）\“政府采购严重违法失信行为信息记录\”（评审前采购人或采购代理机构将通过相关网站查询，并留存网站查询结果截图或打印件，提供给评标委员会）；" </w:instrText>
            </w:r>
            <w:r>
              <w:rPr>
                <w:rFonts w:hint="eastAsia" w:ascii="宋体" w:hAnsi="宋体" w:eastAsia="宋体" w:cs="宋体"/>
                <w:color w:val="auto"/>
                <w:kern w:val="0"/>
                <w:sz w:val="24"/>
                <w:szCs w:val="21"/>
                <w:highlight w:val="none"/>
                <w:lang w:eastAsia="zh-CN"/>
              </w:rPr>
              <w:fldChar w:fldCharType="separate"/>
            </w:r>
            <w:r>
              <w:rPr>
                <w:rFonts w:hint="eastAsia" w:ascii="宋体" w:hAnsi="宋体" w:eastAsia="宋体" w:cs="宋体"/>
                <w:color w:val="auto"/>
                <w:kern w:val="0"/>
                <w:sz w:val="24"/>
                <w:szCs w:val="21"/>
                <w:highlight w:val="none"/>
                <w:lang w:eastAsia="zh-CN"/>
              </w:rPr>
              <w:t>http://zxgk.court.gov.cn）</w:t>
            </w:r>
            <w:r>
              <w:rPr>
                <w:rFonts w:hint="eastAsia" w:ascii="宋体" w:hAnsi="宋体" w:eastAsia="宋体" w:cs="宋体"/>
                <w:color w:val="auto"/>
                <w:kern w:val="0"/>
                <w:sz w:val="24"/>
                <w:szCs w:val="21"/>
                <w:highlight w:val="none"/>
                <w:lang w:val="en-US" w:eastAsia="zh-CN"/>
              </w:rPr>
              <w:t>失信被执行人及中国政府采购网（www.ccgp.gov.cn）“政府采购严重违法失信行为信息记录”（评审前</w:t>
            </w:r>
            <w:r>
              <w:rPr>
                <w:rFonts w:hint="eastAsia" w:ascii="宋体" w:hAnsi="宋体" w:cs="宋体"/>
                <w:color w:val="auto"/>
                <w:kern w:val="0"/>
                <w:sz w:val="24"/>
                <w:szCs w:val="21"/>
                <w:highlight w:val="none"/>
                <w:lang w:val="en-US" w:eastAsia="zh-CN"/>
              </w:rPr>
              <w:t>采购人</w:t>
            </w:r>
            <w:r>
              <w:rPr>
                <w:rFonts w:hint="eastAsia" w:ascii="宋体" w:hAnsi="宋体" w:eastAsia="宋体" w:cs="宋体"/>
                <w:color w:val="auto"/>
                <w:kern w:val="0"/>
                <w:sz w:val="24"/>
                <w:szCs w:val="21"/>
                <w:highlight w:val="none"/>
                <w:lang w:val="en-US" w:eastAsia="zh-CN"/>
              </w:rPr>
              <w:t>或</w:t>
            </w:r>
            <w:r>
              <w:rPr>
                <w:rFonts w:hint="eastAsia" w:ascii="宋体" w:hAnsi="宋体" w:cs="宋体"/>
                <w:color w:val="auto"/>
                <w:kern w:val="0"/>
                <w:sz w:val="24"/>
                <w:szCs w:val="21"/>
                <w:highlight w:val="none"/>
                <w:lang w:val="en-US" w:eastAsia="zh-CN"/>
              </w:rPr>
              <w:t>采购代理机构</w:t>
            </w:r>
            <w:r>
              <w:rPr>
                <w:rFonts w:hint="eastAsia" w:ascii="宋体" w:hAnsi="宋体" w:eastAsia="宋体" w:cs="宋体"/>
                <w:color w:val="auto"/>
                <w:kern w:val="0"/>
                <w:sz w:val="24"/>
                <w:szCs w:val="21"/>
                <w:highlight w:val="none"/>
                <w:lang w:val="en-US" w:eastAsia="zh-CN"/>
              </w:rPr>
              <w:t>将通过相关网站查询，并留存网站查询结果截图或打印件，提供给评标委员会）；</w:t>
            </w:r>
            <w:r>
              <w:rPr>
                <w:rFonts w:hint="eastAsia" w:ascii="宋体" w:hAnsi="宋体" w:eastAsia="宋体" w:cs="宋体"/>
                <w:color w:val="auto"/>
                <w:kern w:val="0"/>
                <w:sz w:val="24"/>
                <w:szCs w:val="21"/>
                <w:highlight w:val="none"/>
                <w:lang w:eastAsia="zh-CN"/>
              </w:rPr>
              <w:fldChar w:fldCharType="end"/>
            </w:r>
          </w:p>
          <w:p w14:paraId="47167BA7">
            <w:pPr>
              <w:pageBreakBefore w:val="0"/>
              <w:widowControl/>
              <w:shd w:val="clear"/>
              <w:kinsoku/>
              <w:wordWrap w:val="0"/>
              <w:overflowPunct/>
              <w:bidi w:val="0"/>
              <w:spacing w:line="440" w:lineRule="exact"/>
              <w:ind w:firstLine="600" w:firstLineChars="250"/>
              <w:rPr>
                <w:rFonts w:hint="eastAsia" w:ascii="宋体" w:hAnsi="宋体" w:eastAsia="宋体" w:cs="宋体"/>
                <w:color w:val="auto"/>
                <w:kern w:val="0"/>
                <w:sz w:val="24"/>
                <w:szCs w:val="21"/>
                <w:highlight w:val="none"/>
                <w:lang w:eastAsia="zh-CN"/>
              </w:rPr>
            </w:pPr>
            <w:r>
              <w:rPr>
                <w:rFonts w:hint="eastAsia" w:ascii="宋体" w:hAnsi="宋体" w:eastAsia="宋体" w:cs="宋体"/>
                <w:color w:val="auto"/>
                <w:kern w:val="0"/>
                <w:sz w:val="24"/>
                <w:szCs w:val="21"/>
                <w:highlight w:val="none"/>
                <w:lang w:eastAsia="zh-CN"/>
              </w:rPr>
              <w:t>②提供202</w:t>
            </w:r>
            <w:r>
              <w:rPr>
                <w:rFonts w:hint="eastAsia" w:ascii="宋体" w:hAnsi="宋体" w:cs="宋体"/>
                <w:color w:val="auto"/>
                <w:kern w:val="0"/>
                <w:sz w:val="24"/>
                <w:szCs w:val="21"/>
                <w:highlight w:val="none"/>
                <w:lang w:val="en-US" w:eastAsia="zh-CN"/>
              </w:rPr>
              <w:t>4</w:t>
            </w:r>
            <w:r>
              <w:rPr>
                <w:rFonts w:hint="eastAsia" w:ascii="宋体" w:hAnsi="宋体" w:eastAsia="宋体" w:cs="宋体"/>
                <w:color w:val="auto"/>
                <w:kern w:val="0"/>
                <w:sz w:val="24"/>
                <w:szCs w:val="21"/>
                <w:highlight w:val="none"/>
                <w:lang w:eastAsia="zh-CN"/>
              </w:rPr>
              <w:t>年</w:t>
            </w:r>
            <w:r>
              <w:rPr>
                <w:rFonts w:hint="eastAsia" w:ascii="宋体" w:hAnsi="宋体" w:cs="宋体"/>
                <w:color w:val="auto"/>
                <w:kern w:val="0"/>
                <w:sz w:val="24"/>
                <w:szCs w:val="21"/>
                <w:highlight w:val="none"/>
                <w:lang w:val="en-US" w:eastAsia="zh-CN"/>
              </w:rPr>
              <w:t>或2025</w:t>
            </w:r>
            <w:r>
              <w:rPr>
                <w:rFonts w:hint="eastAsia" w:ascii="宋体" w:hAnsi="宋体" w:eastAsia="宋体" w:cs="宋体"/>
                <w:color w:val="auto"/>
                <w:kern w:val="0"/>
                <w:sz w:val="24"/>
                <w:szCs w:val="21"/>
                <w:highlight w:val="none"/>
                <w:lang w:eastAsia="zh-CN"/>
              </w:rPr>
              <w:t>年度经第三方审计的财务报告及报表（包括资产负债表、利润表、现金流量表）；2026年新成立企业，未经审计则需提供公司企业成立至今内部自行编制的财务报表</w:t>
            </w:r>
            <w:r>
              <w:rPr>
                <w:rFonts w:hint="eastAsia" w:ascii="宋体" w:hAnsi="宋体" w:cs="宋体"/>
                <w:color w:val="auto"/>
                <w:kern w:val="0"/>
                <w:sz w:val="24"/>
                <w:szCs w:val="21"/>
                <w:highlight w:val="none"/>
                <w:lang w:eastAsia="zh-CN"/>
              </w:rPr>
              <w:t>。</w:t>
            </w:r>
          </w:p>
          <w:p w14:paraId="13C6BB00">
            <w:pPr>
              <w:pageBreakBefore w:val="0"/>
              <w:widowControl/>
              <w:shd w:val="clear"/>
              <w:kinsoku/>
              <w:wordWrap w:val="0"/>
              <w:overflowPunct/>
              <w:bidi w:val="0"/>
              <w:spacing w:line="440" w:lineRule="exact"/>
              <w:ind w:firstLine="600" w:firstLineChars="250"/>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1"/>
                <w:highlight w:val="none"/>
                <w:lang w:val="en-US" w:eastAsia="zh-CN"/>
              </w:rPr>
              <w:t>1.3</w:t>
            </w:r>
            <w:r>
              <w:rPr>
                <w:rFonts w:hint="eastAsia" w:ascii="宋体" w:hAnsi="宋体" w:eastAsia="宋体" w:cs="宋体"/>
                <w:color w:val="auto"/>
                <w:kern w:val="0"/>
                <w:sz w:val="24"/>
                <w:szCs w:val="21"/>
                <w:highlight w:val="none"/>
                <w:lang w:eastAsia="zh-CN"/>
              </w:rPr>
              <w:t>具有履行合同所必需的设备和专</w:t>
            </w:r>
            <w:r>
              <w:rPr>
                <w:rFonts w:hint="eastAsia" w:ascii="宋体" w:hAnsi="宋体" w:eastAsia="宋体" w:cs="宋体"/>
                <w:color w:val="auto"/>
                <w:sz w:val="24"/>
                <w:szCs w:val="24"/>
                <w:highlight w:val="none"/>
                <w:lang w:eastAsia="zh-CN"/>
              </w:rPr>
              <w:t>业技术能力；</w:t>
            </w:r>
            <w:r>
              <w:rPr>
                <w:rFonts w:hint="eastAsia" w:ascii="宋体" w:hAnsi="宋体" w:eastAsia="宋体" w:cs="宋体"/>
                <w:color w:val="auto"/>
                <w:sz w:val="24"/>
                <w:szCs w:val="24"/>
                <w:highlight w:val="none"/>
                <w:lang w:val="en-US" w:eastAsia="zh-CN"/>
              </w:rPr>
              <w:t>提供相关证明材料或声明。</w:t>
            </w:r>
          </w:p>
          <w:p w14:paraId="2E2FEC31">
            <w:pPr>
              <w:keepNext w:val="0"/>
              <w:keepLines w:val="0"/>
              <w:pageBreakBefore w:val="0"/>
              <w:kinsoku/>
              <w:wordWrap w:val="0"/>
              <w:overflowPunct/>
              <w:topLinePunct w:val="0"/>
              <w:autoSpaceDE/>
              <w:autoSpaceDN/>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lang w:eastAsia="zh-CN"/>
              </w:rPr>
              <w:t>有依法缴纳税收和社会保障资金的良好记录；</w:t>
            </w:r>
          </w:p>
          <w:p w14:paraId="394B6FE0">
            <w:pPr>
              <w:keepNext w:val="0"/>
              <w:keepLines w:val="0"/>
              <w:pageBreakBefore w:val="0"/>
              <w:kinsoku/>
              <w:wordWrap w:val="0"/>
              <w:overflowPunct/>
              <w:topLinePunct w:val="0"/>
              <w:autoSpaceDE/>
              <w:autoSpaceDN/>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①提供缴税所属时间在202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月至本项目</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文件提交截止时间前</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任意3</w:t>
            </w:r>
            <w:r>
              <w:rPr>
                <w:rFonts w:hint="eastAsia" w:ascii="宋体" w:hAnsi="宋体" w:eastAsia="宋体" w:cs="宋体"/>
                <w:color w:val="auto"/>
                <w:sz w:val="24"/>
                <w:szCs w:val="24"/>
                <w:highlight w:val="none"/>
                <w:lang w:eastAsia="zh-CN"/>
              </w:rPr>
              <w:t>个月的税务局税收通用缴款书或银行电子缴税（费）凭证或税务局出具纳税情况的相关证明，依法免税的，应提供依法免税的相关证明文件；成立时间不足</w:t>
            </w:r>
            <w:r>
              <w:rPr>
                <w:rFonts w:hint="eastAsia" w:ascii="宋体" w:hAnsi="宋体" w:eastAsia="宋体" w:cs="宋体"/>
                <w:color w:val="auto"/>
                <w:sz w:val="24"/>
                <w:szCs w:val="24"/>
                <w:highlight w:val="none"/>
                <w:lang w:val="en-US" w:eastAsia="zh-CN"/>
              </w:rPr>
              <w:t>3个月或非企业原因无法提供</w:t>
            </w:r>
            <w:r>
              <w:rPr>
                <w:rFonts w:hint="eastAsia" w:ascii="宋体" w:hAnsi="宋体" w:eastAsia="宋体" w:cs="宋体"/>
                <w:color w:val="auto"/>
                <w:sz w:val="24"/>
                <w:szCs w:val="24"/>
                <w:highlight w:val="none"/>
                <w:lang w:eastAsia="zh-CN"/>
              </w:rPr>
              <w:t>纳税证明</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eastAsia="zh-CN"/>
              </w:rPr>
              <w:t>作特别说明。</w:t>
            </w:r>
          </w:p>
          <w:p w14:paraId="25CF6D4E">
            <w:pPr>
              <w:keepNext w:val="0"/>
              <w:keepLines w:val="0"/>
              <w:pageBreakBefore w:val="0"/>
              <w:kinsoku/>
              <w:wordWrap w:val="0"/>
              <w:overflowPunct/>
              <w:topLinePunct w:val="0"/>
              <w:autoSpaceDE/>
              <w:autoSpaceDN/>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②提供缴费所属时间在202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月至本项目</w:t>
            </w:r>
            <w:r>
              <w:rPr>
                <w:rFonts w:hint="eastAsia" w:ascii="宋体" w:hAnsi="宋体" w:cs="宋体"/>
                <w:color w:val="auto"/>
                <w:sz w:val="24"/>
                <w:szCs w:val="24"/>
                <w:highlight w:val="none"/>
                <w:lang w:val="en-US" w:eastAsia="zh-CN"/>
              </w:rPr>
              <w:t>投标文件</w:t>
            </w:r>
            <w:r>
              <w:rPr>
                <w:rFonts w:hint="eastAsia" w:ascii="宋体" w:hAnsi="宋体" w:eastAsia="宋体" w:cs="宋体"/>
                <w:color w:val="auto"/>
                <w:sz w:val="24"/>
                <w:szCs w:val="24"/>
                <w:highlight w:val="none"/>
                <w:lang w:eastAsia="zh-CN"/>
              </w:rPr>
              <w:t>提交截止时间前</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任意3</w:t>
            </w:r>
            <w:r>
              <w:rPr>
                <w:rFonts w:hint="eastAsia" w:ascii="宋体" w:hAnsi="宋体" w:eastAsia="宋体" w:cs="宋体"/>
                <w:color w:val="auto"/>
                <w:sz w:val="24"/>
                <w:szCs w:val="24"/>
                <w:highlight w:val="none"/>
                <w:lang w:eastAsia="zh-CN"/>
              </w:rPr>
              <w:t>个月的社会保障资金缴款书或银行电子缴税（费）凭证或社保管理部门出具的有效的缴款证明，依法不需要缴纳的，应提供依法不需要缴纳的相关证明文件；成立时间不足</w:t>
            </w:r>
            <w:r>
              <w:rPr>
                <w:rFonts w:hint="eastAsia" w:ascii="宋体" w:hAnsi="宋体" w:eastAsia="宋体" w:cs="宋体"/>
                <w:color w:val="auto"/>
                <w:sz w:val="24"/>
                <w:szCs w:val="24"/>
                <w:highlight w:val="none"/>
                <w:lang w:val="en-US" w:eastAsia="zh-CN"/>
              </w:rPr>
              <w:t>3个月或非企业原因无法提供</w:t>
            </w:r>
            <w:r>
              <w:rPr>
                <w:rFonts w:hint="eastAsia" w:ascii="宋体" w:hAnsi="宋体" w:eastAsia="宋体" w:cs="宋体"/>
                <w:color w:val="auto"/>
                <w:sz w:val="24"/>
                <w:szCs w:val="24"/>
                <w:highlight w:val="none"/>
                <w:lang w:eastAsia="zh-CN"/>
              </w:rPr>
              <w:t>缴纳社保证明</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eastAsia="zh-CN"/>
              </w:rPr>
              <w:t>作特别说明。</w:t>
            </w:r>
          </w:p>
          <w:p w14:paraId="1C8EDBE8">
            <w:pPr>
              <w:keepNext w:val="0"/>
              <w:keepLines w:val="0"/>
              <w:pageBreakBefore w:val="0"/>
              <w:kinsoku/>
              <w:wordWrap w:val="0"/>
              <w:overflowPunct/>
              <w:topLinePunct w:val="0"/>
              <w:autoSpaceDE/>
              <w:autoSpaceDN/>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参加政府采购活动前三年内，在经营活动中没有重大违</w:t>
            </w:r>
          </w:p>
          <w:p w14:paraId="772B8487">
            <w:pPr>
              <w:keepNext w:val="0"/>
              <w:keepLines w:val="0"/>
              <w:pageBreakBefore w:val="0"/>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法记录；</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书面声明（重大违法记录是指</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因违法经营受到刑事处罚或者责令停产停业、吊销许可证或者执照、较大数额罚款等行政处罚）；</w:t>
            </w:r>
          </w:p>
          <w:p w14:paraId="7B9E82A6">
            <w:pPr>
              <w:keepNext w:val="0"/>
              <w:keepLines w:val="0"/>
              <w:pageBreakBefore w:val="0"/>
              <w:numPr>
                <w:ilvl w:val="0"/>
                <w:numId w:val="0"/>
              </w:numPr>
              <w:kinsoku/>
              <w:wordWrap w:val="0"/>
              <w:overflowPunct/>
              <w:topLinePunct w:val="0"/>
              <w:autoSpaceDE/>
              <w:autoSpaceDN/>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lang w:eastAsia="zh-CN"/>
              </w:rPr>
              <w:t>法律、行政法规规定的其他条件。</w:t>
            </w:r>
          </w:p>
          <w:p w14:paraId="5EF70E62">
            <w:pPr>
              <w:keepNext w:val="0"/>
              <w:keepLines w:val="0"/>
              <w:pageBreakBefore w:val="0"/>
              <w:numPr>
                <w:ilvl w:val="0"/>
                <w:numId w:val="0"/>
              </w:numPr>
              <w:kinsoku/>
              <w:wordWrap w:val="0"/>
              <w:overflowPunct/>
              <w:topLinePunct w:val="0"/>
              <w:autoSpaceDE/>
              <w:autoSpaceDN/>
              <w:bidi w:val="0"/>
              <w:adjustRightInd w:val="0"/>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1.6.1单位负责人为同一人或者存在直接控股、管理关系的不同投标人，不得参加同一合同项下的政府采购活动（评审前</w:t>
            </w:r>
            <w:r>
              <w:rPr>
                <w:rFonts w:hint="eastAsia" w:ascii="宋体" w:hAnsi="宋体" w:cs="宋体"/>
                <w:color w:val="auto"/>
                <w:kern w:val="2"/>
                <w:sz w:val="24"/>
                <w:szCs w:val="24"/>
                <w:highlight w:val="none"/>
                <w:lang w:val="en-US" w:eastAsia="zh-CN" w:bidi="ar"/>
              </w:rPr>
              <w:t>采购人</w:t>
            </w:r>
            <w:r>
              <w:rPr>
                <w:rFonts w:hint="eastAsia" w:ascii="宋体" w:hAnsi="宋体" w:eastAsia="宋体" w:cs="宋体"/>
                <w:color w:val="auto"/>
                <w:kern w:val="2"/>
                <w:sz w:val="24"/>
                <w:szCs w:val="24"/>
                <w:highlight w:val="none"/>
                <w:lang w:val="en-US" w:eastAsia="zh-CN" w:bidi="ar"/>
              </w:rPr>
              <w:t>或</w:t>
            </w:r>
            <w:r>
              <w:rPr>
                <w:rFonts w:hint="eastAsia" w:ascii="宋体" w:hAnsi="宋体" w:cs="宋体"/>
                <w:color w:val="auto"/>
                <w:kern w:val="2"/>
                <w:sz w:val="24"/>
                <w:szCs w:val="24"/>
                <w:highlight w:val="none"/>
                <w:lang w:val="en-US" w:eastAsia="zh-CN" w:bidi="ar"/>
              </w:rPr>
              <w:t>采购代理机构</w:t>
            </w:r>
            <w:r>
              <w:rPr>
                <w:rFonts w:hint="eastAsia" w:ascii="宋体" w:hAnsi="宋体" w:eastAsia="宋体" w:cs="宋体"/>
                <w:color w:val="auto"/>
                <w:kern w:val="2"/>
                <w:sz w:val="24"/>
                <w:szCs w:val="24"/>
                <w:highlight w:val="none"/>
                <w:lang w:val="en-US" w:eastAsia="zh-CN" w:bidi="ar"/>
              </w:rPr>
              <w:t>将通过国家企业信用信息公示系统查询，并留存网站查询结果截图或打印件，提供给评标委员会）。</w:t>
            </w:r>
          </w:p>
          <w:p w14:paraId="0A3CC182">
            <w:pPr>
              <w:keepNext w:val="0"/>
              <w:keepLines w:val="0"/>
              <w:pageBreakBefore w:val="0"/>
              <w:numPr>
                <w:ilvl w:val="0"/>
                <w:numId w:val="0"/>
              </w:numPr>
              <w:kinsoku/>
              <w:wordWrap w:val="0"/>
              <w:overflowPunct/>
              <w:topLinePunct w:val="0"/>
              <w:autoSpaceDE/>
              <w:autoSpaceDN/>
              <w:bidi w:val="0"/>
              <w:adjustRightInd w:val="0"/>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1.6.2投标人未对本项目提供整体设计、规范编制或者项目管理、监理、检测等服务，提供承诺函（格式自拟）。</w:t>
            </w:r>
          </w:p>
          <w:p w14:paraId="1CB0F0B5">
            <w:pPr>
              <w:keepNext w:val="0"/>
              <w:keepLines w:val="0"/>
              <w:pageBreakBefore w:val="0"/>
              <w:numPr>
                <w:ilvl w:val="0"/>
                <w:numId w:val="0"/>
              </w:numPr>
              <w:kinsoku/>
              <w:wordWrap w:val="0"/>
              <w:overflowPunct/>
              <w:topLinePunct w:val="0"/>
              <w:autoSpaceDE/>
              <w:autoSpaceDN/>
              <w:bidi w:val="0"/>
              <w:adjustRightInd w:val="0"/>
              <w:snapToGrid/>
              <w:spacing w:line="360" w:lineRule="auto"/>
              <w:ind w:firstLine="482" w:firstLineChars="20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2.落实政府采购政策需满足的资格要求：</w:t>
            </w:r>
          </w:p>
          <w:p w14:paraId="39773977">
            <w:pPr>
              <w:keepNext w:val="0"/>
              <w:keepLines w:val="0"/>
              <w:pageBreakBefore w:val="0"/>
              <w:widowControl/>
              <w:kinsoku/>
              <w:wordWrap w:val="0"/>
              <w:overflowPunct/>
              <w:topLinePunct w:val="0"/>
              <w:autoSpaceDE/>
              <w:autoSpaceDN/>
              <w:bidi w:val="0"/>
              <w:adjustRightInd w:val="0"/>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本项目是否专门面向中小企业：本项目不属于专门面向中小企业预留份额的项目，对符合《政府采购促进中小企业发展暂行办法》(财库[2020]46号)、云南省财政厅关于贯彻《财政部关于进一步加大政府采购支持中小企业力度的通知》的通知（云财采〔2022〕9号）、《工业和信息化部、国家统计局、国家发展和改革委员会、财政部关于印发中小企业划型标准规定的通知（工信部联企业[2011]300 号）、《关于政府采购支持监狱企业发展有关问题的通知》(财库〔2014〕68号)、《关于促进残疾人就业政府采购政策的通知》(财库〔2017〕141号)和环境标志产品及节能产品相关规定的投标人，按《中华人民共和国政府采购法实施条例》第六条的规定，采用“价格评审优惠”的方式落实。 </w:t>
            </w:r>
          </w:p>
          <w:p w14:paraId="6194FEB6">
            <w:pPr>
              <w:keepNext w:val="0"/>
              <w:keepLines w:val="0"/>
              <w:pageBreakBefore w:val="0"/>
              <w:widowControl/>
              <w:kinsoku/>
              <w:wordWrap w:val="0"/>
              <w:overflowPunct/>
              <w:topLinePunct w:val="0"/>
              <w:autoSpaceDE/>
              <w:autoSpaceDN/>
              <w:bidi w:val="0"/>
              <w:adjustRightInd w:val="0"/>
              <w:snapToGrid/>
              <w:spacing w:line="360" w:lineRule="auto"/>
              <w:ind w:firstLine="482"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
              </w:rPr>
              <w:t>3.本项目的特定资格要求：</w:t>
            </w:r>
            <w:r>
              <w:rPr>
                <w:rFonts w:hint="eastAsia" w:ascii="宋体" w:hAnsi="宋体" w:cs="宋体"/>
                <w:b/>
                <w:bCs/>
                <w:color w:val="auto"/>
                <w:kern w:val="2"/>
                <w:sz w:val="24"/>
                <w:szCs w:val="24"/>
                <w:highlight w:val="none"/>
                <w:lang w:val="en-US" w:eastAsia="zh-CN" w:bidi="ar"/>
              </w:rPr>
              <w:t>无</w:t>
            </w:r>
          </w:p>
        </w:tc>
      </w:tr>
      <w:tr w14:paraId="37A75A69">
        <w:tblPrEx>
          <w:tblCellMar>
            <w:top w:w="0" w:type="dxa"/>
            <w:left w:w="0" w:type="dxa"/>
            <w:bottom w:w="0" w:type="dxa"/>
            <w:right w:w="0" w:type="dxa"/>
          </w:tblCellMar>
        </w:tblPrEx>
        <w:trPr>
          <w:trHeight w:val="54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96B1B3A">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1.4.2</w:t>
            </w:r>
          </w:p>
        </w:tc>
        <w:tc>
          <w:tcPr>
            <w:tcW w:w="1496" w:type="dxa"/>
            <w:tcBorders>
              <w:top w:val="single" w:color="auto" w:sz="8" w:space="0"/>
              <w:left w:val="nil"/>
              <w:bottom w:val="single" w:color="auto" w:sz="8" w:space="0"/>
              <w:right w:val="single" w:color="auto" w:sz="8" w:space="0"/>
            </w:tcBorders>
            <w:vAlign w:val="center"/>
          </w:tcPr>
          <w:p w14:paraId="01B168D3">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是否接受联合体投标</w:t>
            </w:r>
          </w:p>
        </w:tc>
        <w:tc>
          <w:tcPr>
            <w:tcW w:w="7339" w:type="dxa"/>
            <w:tcBorders>
              <w:top w:val="single" w:color="auto" w:sz="8" w:space="0"/>
              <w:left w:val="nil"/>
              <w:bottom w:val="single" w:color="auto" w:sz="8" w:space="0"/>
              <w:right w:val="single" w:color="auto" w:sz="8" w:space="0"/>
            </w:tcBorders>
            <w:vAlign w:val="bottom"/>
          </w:tcPr>
          <w:p w14:paraId="558D0F54">
            <w:pPr>
              <w:pageBreakBefore w:val="0"/>
              <w:kinsoku/>
              <w:wordWrap w:val="0"/>
              <w:overflowPunct/>
              <w:bidi w:val="0"/>
              <w:spacing w:line="380" w:lineRule="exact"/>
              <w:rPr>
                <w:rFonts w:hint="eastAsia" w:ascii="宋体" w:hAnsi="宋体" w:eastAsia="宋体" w:cs="宋体"/>
                <w:color w:val="auto"/>
                <w:sz w:val="24"/>
                <w:szCs w:val="24"/>
                <w:highlight w:val="none"/>
              </w:rPr>
            </w:pPr>
            <w:r>
              <w:rPr>
                <w:rFonts w:hint="eastAsia" w:ascii="宋体" w:hAnsi="宋体" w:cs="宋体"/>
                <w:color w:val="auto"/>
                <w:kern w:val="2"/>
                <w:sz w:val="24"/>
                <w:szCs w:val="24"/>
                <w:highlight w:val="none"/>
                <w:lang w:eastAsia="zh-CN"/>
              </w:rPr>
              <w:t>☑</w:t>
            </w:r>
            <w:r>
              <w:rPr>
                <w:rFonts w:hint="eastAsia" w:ascii="宋体" w:hAnsi="宋体" w:eastAsia="宋体" w:cs="宋体"/>
                <w:color w:val="auto"/>
                <w:sz w:val="24"/>
                <w:szCs w:val="24"/>
                <w:highlight w:val="none"/>
              </w:rPr>
              <w:t>不接受</w:t>
            </w:r>
          </w:p>
          <w:p w14:paraId="6AE3B155">
            <w:pPr>
              <w:keepNext w:val="0"/>
              <w:keepLines w:val="0"/>
              <w:pageBreakBefore w:val="0"/>
              <w:widowControl/>
              <w:kinsoku/>
              <w:wordWrap w:val="0"/>
              <w:overflowPunct/>
              <w:topLinePunct w:val="0"/>
              <w:autoSpaceDE/>
              <w:autoSpaceDN/>
              <w:bidi w:val="0"/>
              <w:adjustRightInd/>
              <w:snapToGrid/>
              <w:spacing w:line="360" w:lineRule="auto"/>
              <w:jc w:val="left"/>
              <w:textAlignment w:val="auto"/>
              <w:rPr>
                <w:rFonts w:hint="eastAsia"/>
                <w:color w:val="auto"/>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接受，应满足下列要求：</w:t>
            </w:r>
          </w:p>
        </w:tc>
      </w:tr>
      <w:tr w14:paraId="23041DEE">
        <w:tblPrEx>
          <w:tblCellMar>
            <w:top w:w="0" w:type="dxa"/>
            <w:left w:w="0" w:type="dxa"/>
            <w:bottom w:w="0" w:type="dxa"/>
            <w:right w:w="0" w:type="dxa"/>
          </w:tblCellMar>
        </w:tblPrEx>
        <w:trPr>
          <w:trHeight w:val="1238"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D46F017">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1.9.1</w:t>
            </w:r>
          </w:p>
        </w:tc>
        <w:tc>
          <w:tcPr>
            <w:tcW w:w="1496" w:type="dxa"/>
            <w:tcBorders>
              <w:top w:val="single" w:color="auto" w:sz="8" w:space="0"/>
              <w:left w:val="nil"/>
              <w:bottom w:val="single" w:color="auto" w:sz="8" w:space="0"/>
              <w:right w:val="single" w:color="auto" w:sz="8" w:space="0"/>
            </w:tcBorders>
            <w:vAlign w:val="center"/>
          </w:tcPr>
          <w:p w14:paraId="275B1F8C">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现场考察</w:t>
            </w:r>
          </w:p>
        </w:tc>
        <w:tc>
          <w:tcPr>
            <w:tcW w:w="7339" w:type="dxa"/>
            <w:tcBorders>
              <w:top w:val="single" w:color="auto" w:sz="8" w:space="0"/>
              <w:left w:val="nil"/>
              <w:bottom w:val="single" w:color="auto" w:sz="8" w:space="0"/>
              <w:right w:val="single" w:color="auto" w:sz="8" w:space="0"/>
            </w:tcBorders>
            <w:vAlign w:val="center"/>
          </w:tcPr>
          <w:p w14:paraId="76B73377">
            <w:pPr>
              <w:pStyle w:val="12"/>
              <w:pageBreakBefore w:val="0"/>
              <w:kinsoku/>
              <w:wordWrap w:val="0"/>
              <w:overflowPunct/>
              <w:topLinePunct/>
              <w:bidi w:val="0"/>
              <w:spacing w:line="380" w:lineRule="exact"/>
              <w:ind w:firstLine="480" w:firstLineChars="200"/>
              <w:rPr>
                <w:rFonts w:hint="eastAsia" w:ascii="宋体" w:hAnsi="宋体" w:eastAsia="宋体" w:cs="宋体"/>
                <w:color w:val="auto"/>
                <w:kern w:val="2"/>
                <w:sz w:val="24"/>
                <w:szCs w:val="24"/>
                <w:highlight w:val="none"/>
                <w:lang w:val="en-US"/>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rPr>
              <w:t>不组织</w:t>
            </w:r>
          </w:p>
          <w:p w14:paraId="17B1EACE">
            <w:pPr>
              <w:pageBreakBefore w:val="0"/>
              <w:kinsoku/>
              <w:wordWrap w:val="0"/>
              <w:overflowPunct/>
              <w:bidi w:val="0"/>
              <w:spacing w:line="380" w:lineRule="exact"/>
              <w:ind w:left="990" w:leftChars="228" w:hanging="511" w:hangingChars="213"/>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组织，考察时间：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kern w:val="2"/>
                <w:sz w:val="24"/>
                <w:szCs w:val="24"/>
                <w:highlight w:val="none"/>
                <w:u w:val="single"/>
              </w:rPr>
              <w:t>(在招标文件提供期限截止后，开标前)</w:t>
            </w:r>
          </w:p>
          <w:p w14:paraId="67661A77">
            <w:pPr>
              <w:pageBreakBefore w:val="0"/>
              <w:kinsoku/>
              <w:wordWrap w:val="0"/>
              <w:overflowPunct/>
              <w:bidi w:val="0"/>
              <w:spacing w:line="38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        考察集中地点：</w:t>
            </w:r>
            <w:r>
              <w:rPr>
                <w:rFonts w:hint="eastAsia" w:ascii="宋体" w:hAnsi="宋体" w:eastAsia="宋体" w:cs="宋体"/>
                <w:color w:val="auto"/>
                <w:kern w:val="2"/>
                <w:sz w:val="24"/>
                <w:szCs w:val="24"/>
                <w:highlight w:val="none"/>
                <w:u w:val="single"/>
              </w:rPr>
              <w:t xml:space="preserve">                 </w:t>
            </w:r>
          </w:p>
        </w:tc>
      </w:tr>
      <w:tr w14:paraId="0FF3B47B">
        <w:tblPrEx>
          <w:tblCellMar>
            <w:top w:w="0" w:type="dxa"/>
            <w:left w:w="0" w:type="dxa"/>
            <w:bottom w:w="0" w:type="dxa"/>
            <w:right w:w="0" w:type="dxa"/>
          </w:tblCellMar>
        </w:tblPrEx>
        <w:trPr>
          <w:trHeight w:val="2028"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5A99B49">
            <w:pPr>
              <w:pageBreakBefore w:val="0"/>
              <w:kinsoku/>
              <w:wordWrap w:val="0"/>
              <w:overflowPunct/>
              <w:bidi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w:t>
            </w:r>
          </w:p>
        </w:tc>
        <w:tc>
          <w:tcPr>
            <w:tcW w:w="1496" w:type="dxa"/>
            <w:tcBorders>
              <w:top w:val="single" w:color="auto" w:sz="8" w:space="0"/>
              <w:left w:val="nil"/>
              <w:bottom w:val="single" w:color="auto" w:sz="8" w:space="0"/>
              <w:right w:val="single" w:color="auto" w:sz="8" w:space="0"/>
            </w:tcBorders>
            <w:vAlign w:val="center"/>
          </w:tcPr>
          <w:p w14:paraId="067253CD">
            <w:pPr>
              <w:pageBreakBefore w:val="0"/>
              <w:kinsoku/>
              <w:wordWrap w:val="0"/>
              <w:overflowPunct/>
              <w:bidi w:val="0"/>
              <w:spacing w:line="38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是否允许分包</w:t>
            </w:r>
          </w:p>
        </w:tc>
        <w:tc>
          <w:tcPr>
            <w:tcW w:w="7339" w:type="dxa"/>
            <w:tcBorders>
              <w:top w:val="single" w:color="auto" w:sz="8" w:space="0"/>
              <w:left w:val="nil"/>
              <w:bottom w:val="single" w:color="auto" w:sz="8" w:space="0"/>
              <w:right w:val="single" w:color="auto" w:sz="8" w:space="0"/>
            </w:tcBorders>
            <w:vAlign w:val="center"/>
          </w:tcPr>
          <w:p w14:paraId="09E30EE3">
            <w:pPr>
              <w:pageBreakBefore w:val="0"/>
              <w:kinsoku/>
              <w:wordWrap w:val="0"/>
              <w:overflowPunct/>
              <w:bidi w:val="0"/>
              <w:spacing w:line="3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sz w:val="24"/>
                <w:szCs w:val="24"/>
                <w:highlight w:val="none"/>
              </w:rPr>
              <w:t>不允许</w:t>
            </w:r>
          </w:p>
          <w:p w14:paraId="5896946F">
            <w:pPr>
              <w:pageBreakBefore w:val="0"/>
              <w:kinsoku/>
              <w:wordWrap w:val="0"/>
              <w:overflowPunct/>
              <w:bidi w:val="0"/>
              <w:spacing w:line="3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sz w:val="24"/>
                <w:szCs w:val="24"/>
                <w:highlight w:val="none"/>
              </w:rPr>
              <w:t>允许：</w:t>
            </w:r>
          </w:p>
          <w:p w14:paraId="2501A20E">
            <w:pPr>
              <w:pageBreakBefore w:val="0"/>
              <w:kinsoku/>
              <w:wordWrap w:val="0"/>
              <w:overflowPunct/>
              <w:bidi w:val="0"/>
              <w:spacing w:line="3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依据《政府采购促进中小企业发展管理办法》（财库〔2020〕46号）规定享受扶持政策获得政府采购合同的，小微企业不得将合同分包给大中型企业，中型企业不得将合同分包给大型企业。</w:t>
            </w:r>
          </w:p>
        </w:tc>
      </w:tr>
      <w:tr w14:paraId="20CF2894">
        <w:tblPrEx>
          <w:tblCellMar>
            <w:top w:w="0" w:type="dxa"/>
            <w:left w:w="0" w:type="dxa"/>
            <w:bottom w:w="0" w:type="dxa"/>
            <w:right w:w="0" w:type="dxa"/>
          </w:tblCellMar>
        </w:tblPrEx>
        <w:trPr>
          <w:trHeight w:val="428"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6F7C0FE">
            <w:pPr>
              <w:pageBreakBefore w:val="0"/>
              <w:kinsoku/>
              <w:wordWrap w:val="0"/>
              <w:overflowPunct/>
              <w:bidi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w:t>
            </w:r>
          </w:p>
        </w:tc>
        <w:tc>
          <w:tcPr>
            <w:tcW w:w="1496" w:type="dxa"/>
            <w:tcBorders>
              <w:top w:val="single" w:color="auto" w:sz="8" w:space="0"/>
              <w:left w:val="nil"/>
              <w:bottom w:val="single" w:color="auto" w:sz="8" w:space="0"/>
              <w:right w:val="single" w:color="auto" w:sz="8" w:space="0"/>
            </w:tcBorders>
            <w:vAlign w:val="center"/>
          </w:tcPr>
          <w:p w14:paraId="0A0E4D8D">
            <w:pPr>
              <w:pageBreakBefore w:val="0"/>
              <w:kinsoku/>
              <w:wordWrap w:val="0"/>
              <w:overflowPunct/>
              <w:bidi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样品要求</w:t>
            </w:r>
          </w:p>
        </w:tc>
        <w:tc>
          <w:tcPr>
            <w:tcW w:w="7339" w:type="dxa"/>
            <w:tcBorders>
              <w:top w:val="single" w:color="auto" w:sz="8" w:space="0"/>
              <w:left w:val="nil"/>
              <w:bottom w:val="single" w:color="auto" w:sz="8" w:space="0"/>
              <w:right w:val="single" w:color="auto" w:sz="8" w:space="0"/>
            </w:tcBorders>
            <w:vAlign w:val="center"/>
          </w:tcPr>
          <w:p w14:paraId="119FDC2E">
            <w:pPr>
              <w:pageBreakBefore w:val="0"/>
              <w:kinsoku/>
              <w:wordWrap w:val="0"/>
              <w:overflowPunct/>
              <w:bidi w:val="0"/>
              <w:spacing w:line="3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是否要求提交样品：</w:t>
            </w:r>
          </w:p>
          <w:p w14:paraId="191A2637">
            <w:pPr>
              <w:pageBreakBefore w:val="0"/>
              <w:kinsoku/>
              <w:wordWrap w:val="0"/>
              <w:overflowPunct/>
              <w:bidi w:val="0"/>
              <w:spacing w:line="3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sz w:val="24"/>
                <w:szCs w:val="24"/>
                <w:highlight w:val="none"/>
              </w:rPr>
              <w:t>不要求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本项目不强制要求提供样品，但投标人可根据自身情况选择是否提供样品。如果投标人提供样品，请在样品上标识本公司名称。</w:t>
            </w:r>
          </w:p>
          <w:p w14:paraId="76D06D4E">
            <w:pPr>
              <w:pageBreakBefore w:val="0"/>
              <w:kinsoku/>
              <w:wordWrap w:val="0"/>
              <w:overflowPunct/>
              <w:bidi w:val="0"/>
              <w:spacing w:line="3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w:t>
            </w:r>
          </w:p>
        </w:tc>
      </w:tr>
      <w:tr w14:paraId="2054044F">
        <w:tblPrEx>
          <w:tblCellMar>
            <w:top w:w="0" w:type="dxa"/>
            <w:left w:w="0" w:type="dxa"/>
            <w:bottom w:w="0" w:type="dxa"/>
            <w:right w:w="0" w:type="dxa"/>
          </w:tblCellMar>
        </w:tblPrEx>
        <w:trPr>
          <w:trHeight w:val="428"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8E79B1E">
            <w:pPr>
              <w:pageBreakBefore w:val="0"/>
              <w:kinsoku/>
              <w:wordWrap w:val="0"/>
              <w:overflowPunct/>
              <w:bidi w:val="0"/>
              <w:spacing w:line="3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1.11.2</w:t>
            </w:r>
          </w:p>
        </w:tc>
        <w:tc>
          <w:tcPr>
            <w:tcW w:w="1496" w:type="dxa"/>
            <w:tcBorders>
              <w:top w:val="single" w:color="auto" w:sz="8" w:space="0"/>
              <w:left w:val="nil"/>
              <w:bottom w:val="single" w:color="auto" w:sz="8" w:space="0"/>
              <w:right w:val="single" w:color="auto" w:sz="8" w:space="0"/>
            </w:tcBorders>
            <w:vAlign w:val="center"/>
          </w:tcPr>
          <w:p w14:paraId="7F6841AF">
            <w:pPr>
              <w:pageBreakBefore w:val="0"/>
              <w:kinsoku/>
              <w:wordWrap w:val="0"/>
              <w:overflowPunct/>
              <w:bidi w:val="0"/>
              <w:spacing w:line="3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检测报告</w:t>
            </w:r>
          </w:p>
        </w:tc>
        <w:tc>
          <w:tcPr>
            <w:tcW w:w="7339" w:type="dxa"/>
            <w:tcBorders>
              <w:top w:val="single" w:color="auto" w:sz="8" w:space="0"/>
              <w:left w:val="nil"/>
              <w:bottom w:val="single" w:color="auto" w:sz="8" w:space="0"/>
              <w:right w:val="single" w:color="auto" w:sz="8" w:space="0"/>
            </w:tcBorders>
            <w:vAlign w:val="center"/>
          </w:tcPr>
          <w:p w14:paraId="3FD42BFF">
            <w:pPr>
              <w:pageBreakBefore w:val="0"/>
              <w:kinsoku/>
              <w:wordWrap w:val="0"/>
              <w:overflowPunct/>
              <w:bidi w:val="0"/>
              <w:spacing w:line="3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是否要求随样品提交检测报告：</w:t>
            </w:r>
          </w:p>
          <w:p w14:paraId="2F23427E">
            <w:pPr>
              <w:pageBreakBefore w:val="0"/>
              <w:kinsoku/>
              <w:wordWrap w:val="0"/>
              <w:overflowPunct/>
              <w:bidi w:val="0"/>
              <w:spacing w:line="3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sz w:val="24"/>
                <w:szCs w:val="24"/>
                <w:highlight w:val="none"/>
              </w:rPr>
              <w:t>不要求</w:t>
            </w:r>
          </w:p>
          <w:p w14:paraId="38F91CAD">
            <w:pPr>
              <w:pageBreakBefore w:val="0"/>
              <w:kinsoku/>
              <w:wordWrap w:val="0"/>
              <w:overflowPunct/>
              <w:bidi w:val="0"/>
              <w:spacing w:line="3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w:t>
            </w:r>
          </w:p>
          <w:p w14:paraId="1BE623D8">
            <w:pPr>
              <w:pageBreakBefore w:val="0"/>
              <w:kinsoku/>
              <w:wordWrap w:val="0"/>
              <w:overflowPunct/>
              <w:bidi w:val="0"/>
              <w:spacing w:line="3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检测机构要求：</w:t>
            </w:r>
          </w:p>
          <w:p w14:paraId="04DE12C9">
            <w:pPr>
              <w:pageBreakBefore w:val="0"/>
              <w:kinsoku/>
              <w:wordWrap w:val="0"/>
              <w:overflowPunct/>
              <w:bidi w:val="0"/>
              <w:spacing w:line="3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检测内容要求：</w:t>
            </w:r>
          </w:p>
          <w:p w14:paraId="5CC58C0B">
            <w:pPr>
              <w:pageBreakBefore w:val="0"/>
              <w:kinsoku/>
              <w:wordWrap w:val="0"/>
              <w:overflowPunct/>
              <w:bidi w:val="0"/>
              <w:spacing w:line="3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成交人样品封存</w:t>
            </w:r>
          </w:p>
        </w:tc>
      </w:tr>
      <w:tr w14:paraId="1B5470C2">
        <w:tblPrEx>
          <w:tblCellMar>
            <w:top w:w="0" w:type="dxa"/>
            <w:left w:w="0" w:type="dxa"/>
            <w:bottom w:w="0" w:type="dxa"/>
            <w:right w:w="0" w:type="dxa"/>
          </w:tblCellMar>
        </w:tblPrEx>
        <w:trPr>
          <w:trHeight w:val="83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517731B">
            <w:pPr>
              <w:pageBreakBefore w:val="0"/>
              <w:kinsoku/>
              <w:wordWrap w:val="0"/>
              <w:overflowPunct/>
              <w:bidi w:val="0"/>
              <w:spacing w:line="380" w:lineRule="exact"/>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kern w:val="2"/>
                <w:sz w:val="24"/>
                <w:szCs w:val="24"/>
                <w:highlight w:val="none"/>
              </w:rPr>
              <w:t>1.1</w:t>
            </w:r>
            <w:r>
              <w:rPr>
                <w:rFonts w:hint="eastAsia" w:ascii="宋体" w:hAnsi="宋体" w:eastAsia="宋体" w:cs="宋体"/>
                <w:b w:val="0"/>
                <w:bCs w:val="0"/>
                <w:color w:val="auto"/>
                <w:kern w:val="2"/>
                <w:sz w:val="24"/>
                <w:szCs w:val="24"/>
                <w:highlight w:val="none"/>
                <w:lang w:val="en-US" w:eastAsia="zh-CN"/>
              </w:rPr>
              <w:t>2</w:t>
            </w:r>
          </w:p>
        </w:tc>
        <w:tc>
          <w:tcPr>
            <w:tcW w:w="1496" w:type="dxa"/>
            <w:tcBorders>
              <w:top w:val="single" w:color="auto" w:sz="8" w:space="0"/>
              <w:left w:val="nil"/>
              <w:bottom w:val="single" w:color="auto" w:sz="8" w:space="0"/>
              <w:right w:val="single" w:color="auto" w:sz="8" w:space="0"/>
            </w:tcBorders>
            <w:vAlign w:val="center"/>
          </w:tcPr>
          <w:p w14:paraId="1726F200">
            <w:pPr>
              <w:pageBreakBefore w:val="0"/>
              <w:kinsoku/>
              <w:wordWrap w:val="0"/>
              <w:overflowPunct/>
              <w:bidi w:val="0"/>
              <w:spacing w:line="38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2"/>
                <w:sz w:val="24"/>
                <w:szCs w:val="24"/>
                <w:highlight w:val="none"/>
              </w:rPr>
              <w:t>不允许偏离的实质性要求和条件</w:t>
            </w:r>
          </w:p>
        </w:tc>
        <w:tc>
          <w:tcPr>
            <w:tcW w:w="7339" w:type="dxa"/>
            <w:tcBorders>
              <w:top w:val="single" w:color="auto" w:sz="8" w:space="0"/>
              <w:left w:val="nil"/>
              <w:bottom w:val="single" w:color="auto" w:sz="8" w:space="0"/>
              <w:right w:val="single" w:color="auto" w:sz="8" w:space="0"/>
            </w:tcBorders>
            <w:vAlign w:val="center"/>
          </w:tcPr>
          <w:p w14:paraId="3BE25484">
            <w:pPr>
              <w:pageBreakBefore w:val="0"/>
              <w:kinsoku/>
              <w:wordWrap w:val="0"/>
              <w:overflowPunct/>
              <w:bidi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kern w:val="2"/>
                <w:sz w:val="24"/>
                <w:szCs w:val="24"/>
                <w:highlight w:val="none"/>
              </w:rPr>
              <w:t>资格要求</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rPr>
              <w:t>符合性审查不允许负偏离</w:t>
            </w:r>
          </w:p>
        </w:tc>
      </w:tr>
      <w:tr w14:paraId="2C7DB9ED">
        <w:tblPrEx>
          <w:tblCellMar>
            <w:top w:w="0" w:type="dxa"/>
            <w:left w:w="0" w:type="dxa"/>
            <w:bottom w:w="0" w:type="dxa"/>
            <w:right w:w="0" w:type="dxa"/>
          </w:tblCellMar>
        </w:tblPrEx>
        <w:trPr>
          <w:trHeight w:val="82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F20E67A">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bookmarkStart w:id="90" w:name="page17"/>
            <w:bookmarkEnd w:id="90"/>
            <w:r>
              <w:rPr>
                <w:rFonts w:hint="eastAsia" w:ascii="宋体" w:hAnsi="宋体" w:eastAsia="宋体" w:cs="宋体"/>
                <w:color w:val="auto"/>
                <w:kern w:val="2"/>
                <w:sz w:val="24"/>
                <w:szCs w:val="24"/>
                <w:highlight w:val="none"/>
              </w:rPr>
              <w:t>2.1</w:t>
            </w:r>
          </w:p>
        </w:tc>
        <w:tc>
          <w:tcPr>
            <w:tcW w:w="1496" w:type="dxa"/>
            <w:tcBorders>
              <w:top w:val="single" w:color="auto" w:sz="8" w:space="0"/>
              <w:left w:val="nil"/>
              <w:bottom w:val="single" w:color="auto" w:sz="8" w:space="0"/>
              <w:right w:val="single" w:color="auto" w:sz="8" w:space="0"/>
            </w:tcBorders>
            <w:vAlign w:val="center"/>
          </w:tcPr>
          <w:p w14:paraId="747EA0C8">
            <w:pPr>
              <w:pStyle w:val="66"/>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构成招标文件的其他资料</w:t>
            </w:r>
          </w:p>
        </w:tc>
        <w:tc>
          <w:tcPr>
            <w:tcW w:w="7339" w:type="dxa"/>
            <w:tcBorders>
              <w:top w:val="single" w:color="auto" w:sz="8" w:space="0"/>
              <w:left w:val="nil"/>
              <w:bottom w:val="single" w:color="auto" w:sz="8" w:space="0"/>
              <w:right w:val="single" w:color="auto" w:sz="8" w:space="0"/>
            </w:tcBorders>
            <w:vAlign w:val="center"/>
          </w:tcPr>
          <w:p w14:paraId="74D00683">
            <w:pPr>
              <w:pStyle w:val="66"/>
              <w:pageBreakBefore w:val="0"/>
              <w:kinsoku/>
              <w:wordWrap w:val="0"/>
              <w:overflowPunct/>
              <w:bidi w:val="0"/>
              <w:spacing w:line="38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根据本章第2.2款和第2.3款对招标文件所作的澄清、修改，构成招标文件的组成部分。</w:t>
            </w:r>
          </w:p>
        </w:tc>
      </w:tr>
      <w:tr w14:paraId="38091C07">
        <w:tblPrEx>
          <w:tblCellMar>
            <w:top w:w="0" w:type="dxa"/>
            <w:left w:w="0" w:type="dxa"/>
            <w:bottom w:w="0" w:type="dxa"/>
            <w:right w:w="0" w:type="dxa"/>
          </w:tblCellMar>
        </w:tblPrEx>
        <w:trPr>
          <w:trHeight w:val="3025" w:hRule="atLeast"/>
          <w:jc w:val="center"/>
        </w:trPr>
        <w:tc>
          <w:tcPr>
            <w:tcW w:w="1047" w:type="dxa"/>
            <w:tcBorders>
              <w:top w:val="nil"/>
              <w:left w:val="single" w:color="auto" w:sz="8" w:space="0"/>
              <w:bottom w:val="single" w:color="auto" w:sz="8" w:space="0"/>
              <w:right w:val="single" w:color="auto" w:sz="8" w:space="0"/>
            </w:tcBorders>
            <w:vAlign w:val="center"/>
          </w:tcPr>
          <w:p w14:paraId="2F879C22">
            <w:pPr>
              <w:pageBreakBefore w:val="0"/>
              <w:kinsoku/>
              <w:wordWrap w:val="0"/>
              <w:overflowPunct/>
              <w:bidi w:val="0"/>
              <w:spacing w:line="38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val="en-US" w:eastAsia="zh-CN"/>
              </w:rPr>
              <w:t>1</w:t>
            </w:r>
          </w:p>
        </w:tc>
        <w:tc>
          <w:tcPr>
            <w:tcW w:w="1496" w:type="dxa"/>
            <w:tcBorders>
              <w:top w:val="nil"/>
              <w:left w:val="nil"/>
              <w:bottom w:val="single" w:color="auto" w:sz="8" w:space="0"/>
              <w:right w:val="single" w:color="auto" w:sz="8" w:space="0"/>
            </w:tcBorders>
            <w:vAlign w:val="center"/>
          </w:tcPr>
          <w:p w14:paraId="75F94DDA">
            <w:pPr>
              <w:pageBreakBefore w:val="0"/>
              <w:kinsoku/>
              <w:wordWrap w:val="0"/>
              <w:overflowPunct/>
              <w:bidi w:val="0"/>
              <w:spacing w:line="38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投标人要求澄清招标文件的截止时间</w:t>
            </w:r>
          </w:p>
        </w:tc>
        <w:tc>
          <w:tcPr>
            <w:tcW w:w="7339" w:type="dxa"/>
            <w:tcBorders>
              <w:top w:val="single" w:color="auto" w:sz="8" w:space="0"/>
              <w:left w:val="nil"/>
              <w:bottom w:val="single" w:color="auto" w:sz="8" w:space="0"/>
              <w:right w:val="single" w:color="auto" w:sz="8" w:space="0"/>
            </w:tcBorders>
            <w:vAlign w:val="center"/>
          </w:tcPr>
          <w:p w14:paraId="5396DF85">
            <w:pPr>
              <w:keepNext w:val="0"/>
              <w:keepLines w:val="0"/>
              <w:pageBreakBefore w:val="0"/>
              <w:widowControl/>
              <w:kinsoku/>
              <w:wordWrap w:val="0"/>
              <w:overflowPunct/>
              <w:topLinePunct w:val="0"/>
              <w:autoSpaceDE/>
              <w:autoSpaceDN/>
              <w:bidi w:val="0"/>
              <w:adjustRightInd/>
              <w:snapToGrid/>
              <w:spacing w:line="3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在投标截止时间10日前，所有获取了招标文件的潜在投标人凭企业数字证书（CA）登录“政府采购云平台”（https://www.zcygov.cn/)，通过网络在线方式进行不署名提问。</w:t>
            </w:r>
          </w:p>
          <w:p w14:paraId="499A7812">
            <w:pPr>
              <w:pageBreakBefore w:val="0"/>
              <w:kinsoku/>
              <w:wordWrap w:val="0"/>
              <w:overflowPunct/>
              <w:bidi w:val="0"/>
              <w:spacing w:line="3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投标人应仔细阅读和检查招标文件的全部内容。如发现缺页或附件不全，应及时向</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提出，以便补齐。如有疑问，应在投标人须知前附表规定的时间前以在线不署名提交方式登录“政府采购云平台”（https://www.zcygov.cn/)，要求</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对招标文件予以澄清。</w:t>
            </w:r>
          </w:p>
        </w:tc>
      </w:tr>
      <w:tr w14:paraId="4B41DFF6">
        <w:tblPrEx>
          <w:tblCellMar>
            <w:top w:w="0" w:type="dxa"/>
            <w:left w:w="0" w:type="dxa"/>
            <w:bottom w:w="0" w:type="dxa"/>
            <w:right w:w="0" w:type="dxa"/>
          </w:tblCellMar>
        </w:tblPrEx>
        <w:trPr>
          <w:trHeight w:val="1326" w:hRule="atLeast"/>
          <w:jc w:val="center"/>
        </w:trPr>
        <w:tc>
          <w:tcPr>
            <w:tcW w:w="1047" w:type="dxa"/>
            <w:tcBorders>
              <w:top w:val="nil"/>
              <w:left w:val="single" w:color="auto" w:sz="8" w:space="0"/>
              <w:bottom w:val="single" w:color="auto" w:sz="8" w:space="0"/>
              <w:right w:val="single" w:color="auto" w:sz="8" w:space="0"/>
            </w:tcBorders>
            <w:vAlign w:val="center"/>
          </w:tcPr>
          <w:p w14:paraId="129C1C45">
            <w:pPr>
              <w:pageBreakBefore w:val="0"/>
              <w:kinsoku/>
              <w:wordWrap w:val="0"/>
              <w:overflowPunct/>
              <w:bidi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val="en-US" w:eastAsia="zh-CN"/>
              </w:rPr>
              <w:t>2</w:t>
            </w:r>
          </w:p>
        </w:tc>
        <w:tc>
          <w:tcPr>
            <w:tcW w:w="1496" w:type="dxa"/>
            <w:tcBorders>
              <w:top w:val="nil"/>
              <w:left w:val="nil"/>
              <w:bottom w:val="single" w:color="auto" w:sz="8" w:space="0"/>
              <w:right w:val="single" w:color="auto" w:sz="8" w:space="0"/>
            </w:tcBorders>
            <w:vAlign w:val="center"/>
          </w:tcPr>
          <w:p w14:paraId="4F529668">
            <w:pPr>
              <w:pageBreakBefore w:val="0"/>
              <w:kinsoku/>
              <w:wordWrap w:val="0"/>
              <w:overflowPunct/>
              <w:bidi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投标人确认收到招标文件澄清的</w:t>
            </w:r>
            <w:r>
              <w:rPr>
                <w:rFonts w:hint="eastAsia" w:ascii="宋体" w:hAnsi="宋体" w:eastAsia="宋体" w:cs="宋体"/>
                <w:color w:val="auto"/>
                <w:sz w:val="24"/>
                <w:szCs w:val="24"/>
                <w:highlight w:val="none"/>
                <w:lang w:val="en-US" w:eastAsia="zh-CN"/>
              </w:rPr>
              <w:t>形式</w:t>
            </w:r>
          </w:p>
        </w:tc>
        <w:tc>
          <w:tcPr>
            <w:tcW w:w="7339" w:type="dxa"/>
            <w:tcBorders>
              <w:top w:val="single" w:color="auto" w:sz="8" w:space="0"/>
              <w:left w:val="nil"/>
              <w:bottom w:val="single" w:color="auto" w:sz="8" w:space="0"/>
              <w:right w:val="single" w:color="auto" w:sz="8" w:space="0"/>
            </w:tcBorders>
            <w:vAlign w:val="center"/>
          </w:tcPr>
          <w:p w14:paraId="331C2BB7">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招标澄清和补遗全部通过网络送达，投标人自行登录“政府采购云平台”（https://www.zcygov.cn/)获取澄清，无须回复确认已收到该澄清</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不再另行通知。</w:t>
            </w:r>
          </w:p>
        </w:tc>
      </w:tr>
      <w:tr w14:paraId="72277BAA">
        <w:tblPrEx>
          <w:tblCellMar>
            <w:top w:w="0" w:type="dxa"/>
            <w:left w:w="0" w:type="dxa"/>
            <w:bottom w:w="0" w:type="dxa"/>
            <w:right w:w="0" w:type="dxa"/>
          </w:tblCellMar>
        </w:tblPrEx>
        <w:trPr>
          <w:trHeight w:val="894" w:hRule="atLeast"/>
          <w:jc w:val="center"/>
        </w:trPr>
        <w:tc>
          <w:tcPr>
            <w:tcW w:w="1047" w:type="dxa"/>
            <w:tcBorders>
              <w:top w:val="nil"/>
              <w:left w:val="single" w:color="auto" w:sz="8" w:space="0"/>
              <w:bottom w:val="single" w:color="auto" w:sz="8" w:space="0"/>
              <w:right w:val="single" w:color="auto" w:sz="8" w:space="0"/>
            </w:tcBorders>
            <w:vAlign w:val="center"/>
          </w:tcPr>
          <w:p w14:paraId="12EE7F2D">
            <w:pPr>
              <w:pageBreakBefore w:val="0"/>
              <w:kinsoku/>
              <w:wordWrap w:val="0"/>
              <w:overflowPunct/>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2.3.1</w:t>
            </w:r>
          </w:p>
        </w:tc>
        <w:tc>
          <w:tcPr>
            <w:tcW w:w="1496" w:type="dxa"/>
            <w:tcBorders>
              <w:top w:val="nil"/>
              <w:left w:val="nil"/>
              <w:bottom w:val="single" w:color="auto" w:sz="8" w:space="0"/>
              <w:right w:val="single" w:color="auto" w:sz="8" w:space="0"/>
            </w:tcBorders>
            <w:vAlign w:val="center"/>
          </w:tcPr>
          <w:p w14:paraId="770A58EA">
            <w:pPr>
              <w:pageBreakBefore w:val="0"/>
              <w:kinsoku/>
              <w:wordWrap w:val="0"/>
              <w:overflowPunct/>
              <w:bidi w:val="0"/>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书面</w:t>
            </w:r>
            <w:r>
              <w:rPr>
                <w:rFonts w:hint="eastAsia" w:ascii="宋体" w:hAnsi="宋体" w:eastAsia="宋体" w:cs="宋体"/>
                <w:color w:val="auto"/>
                <w:sz w:val="24"/>
                <w:szCs w:val="24"/>
                <w:highlight w:val="none"/>
                <w:lang w:val="en-US" w:eastAsia="zh-CN"/>
              </w:rPr>
              <w:t>修改招标文件</w:t>
            </w:r>
            <w:r>
              <w:rPr>
                <w:rFonts w:hint="eastAsia" w:ascii="宋体" w:hAnsi="宋体" w:eastAsia="宋体" w:cs="宋体"/>
                <w:color w:val="auto"/>
                <w:sz w:val="24"/>
                <w:szCs w:val="24"/>
                <w:highlight w:val="none"/>
              </w:rPr>
              <w:t>的时间</w:t>
            </w:r>
          </w:p>
        </w:tc>
        <w:tc>
          <w:tcPr>
            <w:tcW w:w="7339" w:type="dxa"/>
            <w:tcBorders>
              <w:top w:val="single" w:color="auto" w:sz="8" w:space="0"/>
              <w:left w:val="nil"/>
              <w:bottom w:val="single" w:color="auto" w:sz="8" w:space="0"/>
              <w:right w:val="single" w:color="auto" w:sz="8" w:space="0"/>
            </w:tcBorders>
            <w:vAlign w:val="center"/>
          </w:tcPr>
          <w:p w14:paraId="2DAA3AAC">
            <w:pPr>
              <w:keepNext w:val="0"/>
              <w:keepLines w:val="0"/>
              <w:pageBreakBefore w:val="0"/>
              <w:widowControl/>
              <w:kinsoku/>
              <w:wordWrap w:val="0"/>
              <w:overflowPunct/>
              <w:topLinePunct w:val="0"/>
              <w:autoSpaceDE/>
              <w:autoSpaceDN/>
              <w:bidi w:val="0"/>
              <w:adjustRightInd/>
              <w:snapToGrid/>
              <w:spacing w:line="3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在投标截止时间15日前，</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确需要变更招标文件内容的，</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可主动或在解答投标人提出的澄清问题时对招标文件进行修改，并同时报主管部门备案，提交“政府采购云平台”（https://www.zcygov.cn/)统一通过网络向潜在投标人发布</w:t>
            </w:r>
            <w:r>
              <w:rPr>
                <w:rFonts w:hint="eastAsia" w:ascii="宋体" w:hAnsi="宋体" w:eastAsia="宋体" w:cs="宋体"/>
                <w:color w:val="auto"/>
                <w:sz w:val="24"/>
                <w:szCs w:val="24"/>
                <w:highlight w:val="none"/>
                <w:lang w:eastAsia="zh-CN"/>
              </w:rPr>
              <w:t>。</w:t>
            </w:r>
          </w:p>
        </w:tc>
      </w:tr>
      <w:tr w14:paraId="4550344A">
        <w:tblPrEx>
          <w:tblCellMar>
            <w:top w:w="0" w:type="dxa"/>
            <w:left w:w="0" w:type="dxa"/>
            <w:bottom w:w="0" w:type="dxa"/>
            <w:right w:w="0" w:type="dxa"/>
          </w:tblCellMar>
        </w:tblPrEx>
        <w:trPr>
          <w:trHeight w:val="894" w:hRule="atLeast"/>
          <w:jc w:val="center"/>
        </w:trPr>
        <w:tc>
          <w:tcPr>
            <w:tcW w:w="1047" w:type="dxa"/>
            <w:tcBorders>
              <w:top w:val="nil"/>
              <w:left w:val="single" w:color="auto" w:sz="8" w:space="0"/>
              <w:bottom w:val="single" w:color="auto" w:sz="8" w:space="0"/>
              <w:right w:val="single" w:color="auto" w:sz="8" w:space="0"/>
            </w:tcBorders>
            <w:vAlign w:val="center"/>
          </w:tcPr>
          <w:p w14:paraId="6390D6C9">
            <w:pPr>
              <w:pageBreakBefore w:val="0"/>
              <w:kinsoku/>
              <w:wordWrap w:val="0"/>
              <w:overflowPunct/>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w:t>
            </w:r>
          </w:p>
        </w:tc>
        <w:tc>
          <w:tcPr>
            <w:tcW w:w="1496" w:type="dxa"/>
            <w:tcBorders>
              <w:top w:val="nil"/>
              <w:left w:val="nil"/>
              <w:bottom w:val="single" w:color="auto" w:sz="8" w:space="0"/>
              <w:right w:val="single" w:color="auto" w:sz="8" w:space="0"/>
            </w:tcBorders>
            <w:vAlign w:val="center"/>
          </w:tcPr>
          <w:p w14:paraId="3A6421CC">
            <w:pPr>
              <w:pageBreakBefore w:val="0"/>
              <w:kinsoku/>
              <w:wordWrap w:val="0"/>
              <w:overflowPunct/>
              <w:bidi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投标人确认收到招标文件修改的</w:t>
            </w:r>
            <w:r>
              <w:rPr>
                <w:rFonts w:hint="eastAsia" w:ascii="宋体" w:hAnsi="宋体" w:eastAsia="宋体" w:cs="宋体"/>
                <w:color w:val="auto"/>
                <w:sz w:val="24"/>
                <w:szCs w:val="24"/>
                <w:highlight w:val="none"/>
                <w:lang w:val="en-US" w:eastAsia="zh-CN"/>
              </w:rPr>
              <w:t>形式</w:t>
            </w:r>
          </w:p>
        </w:tc>
        <w:tc>
          <w:tcPr>
            <w:tcW w:w="7339" w:type="dxa"/>
            <w:tcBorders>
              <w:top w:val="single" w:color="auto" w:sz="8" w:space="0"/>
              <w:left w:val="nil"/>
              <w:bottom w:val="single" w:color="auto" w:sz="8" w:space="0"/>
              <w:right w:val="single" w:color="auto" w:sz="8" w:space="0"/>
            </w:tcBorders>
            <w:vAlign w:val="center"/>
          </w:tcPr>
          <w:p w14:paraId="48C6D6C3">
            <w:pPr>
              <w:pageBreakBefore w:val="0"/>
              <w:kinsoku/>
              <w:wordWrap w:val="0"/>
              <w:overflowPunct/>
              <w:bidi w:val="0"/>
              <w:spacing w:line="3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投标人自行登录“政府采购云平台”（https://www.zcygov.cn/)收取修改内容，无须回复确认已收到该修改。</w:t>
            </w:r>
          </w:p>
        </w:tc>
      </w:tr>
      <w:tr w14:paraId="0AB76ECB">
        <w:tblPrEx>
          <w:tblCellMar>
            <w:top w:w="0" w:type="dxa"/>
            <w:left w:w="0" w:type="dxa"/>
            <w:bottom w:w="0" w:type="dxa"/>
            <w:right w:w="0" w:type="dxa"/>
          </w:tblCellMar>
        </w:tblPrEx>
        <w:trPr>
          <w:trHeight w:val="38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AA3334A">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3.2.3</w:t>
            </w:r>
          </w:p>
        </w:tc>
        <w:tc>
          <w:tcPr>
            <w:tcW w:w="1496" w:type="dxa"/>
            <w:tcBorders>
              <w:top w:val="single" w:color="auto" w:sz="8" w:space="0"/>
              <w:left w:val="nil"/>
              <w:bottom w:val="single" w:color="auto" w:sz="8" w:space="0"/>
              <w:right w:val="single" w:color="auto" w:sz="8" w:space="0"/>
            </w:tcBorders>
            <w:vAlign w:val="center"/>
          </w:tcPr>
          <w:p w14:paraId="56D0E89D">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最高投标限价</w:t>
            </w:r>
          </w:p>
        </w:tc>
        <w:tc>
          <w:tcPr>
            <w:tcW w:w="7339" w:type="dxa"/>
            <w:tcBorders>
              <w:top w:val="single" w:color="auto" w:sz="8" w:space="0"/>
              <w:left w:val="nil"/>
              <w:bottom w:val="single" w:color="auto" w:sz="8" w:space="0"/>
              <w:right w:val="single" w:color="auto" w:sz="8" w:space="0"/>
            </w:tcBorders>
            <w:vAlign w:val="center"/>
          </w:tcPr>
          <w:p w14:paraId="784A31B2">
            <w:pPr>
              <w:keepNext w:val="0"/>
              <w:keepLines w:val="0"/>
              <w:pageBreakBefore w:val="0"/>
              <w:widowControl/>
              <w:suppressLineNumbers w:val="0"/>
              <w:kinsoku/>
              <w:wordWrap w:val="0"/>
              <w:overflowPunct/>
              <w:bidi w:val="0"/>
              <w:jc w:val="lef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kern w:val="2"/>
                <w:sz w:val="24"/>
                <w:szCs w:val="24"/>
                <w:highlight w:val="none"/>
              </w:rPr>
              <w:t>□无</w:t>
            </w:r>
          </w:p>
          <w:p w14:paraId="4C5FB39C">
            <w:pPr>
              <w:keepNext w:val="0"/>
              <w:keepLines w:val="0"/>
              <w:pageBreakBefore w:val="0"/>
              <w:widowControl/>
              <w:suppressLineNumbers w:val="0"/>
              <w:kinsoku/>
              <w:wordWrap w:val="0"/>
              <w:overflowPunct/>
              <w:bidi w:val="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☑有，</w:t>
            </w:r>
            <w:r>
              <w:rPr>
                <w:rFonts w:hint="eastAsia" w:ascii="宋体" w:hAnsi="宋体" w:eastAsia="宋体" w:cs="宋体"/>
                <w:b/>
                <w:bCs/>
                <w:color w:val="auto"/>
                <w:kern w:val="2"/>
                <w:sz w:val="24"/>
                <w:szCs w:val="24"/>
                <w:highlight w:val="none"/>
              </w:rPr>
              <w:t>最高投标限</w:t>
            </w:r>
            <w:r>
              <w:rPr>
                <w:rFonts w:hint="eastAsia" w:ascii="宋体" w:hAnsi="宋体" w:eastAsia="宋体" w:cs="宋体"/>
                <w:b/>
                <w:bCs/>
                <w:color w:val="auto"/>
                <w:sz w:val="24"/>
                <w:szCs w:val="24"/>
                <w:highlight w:val="none"/>
                <w:lang w:val="en-US" w:eastAsia="zh-CN" w:bidi="ar-SA"/>
              </w:rPr>
              <w:t>价：</w:t>
            </w:r>
            <w:r>
              <w:rPr>
                <w:rFonts w:hint="eastAsia" w:ascii="宋体" w:hAnsi="宋体" w:eastAsia="宋体" w:cs="宋体"/>
                <w:color w:val="auto"/>
                <w:kern w:val="2"/>
                <w:sz w:val="24"/>
                <w:szCs w:val="24"/>
                <w:highlight w:val="none"/>
                <w:lang w:val="en-US" w:eastAsia="zh-CN" w:bidi="ar"/>
              </w:rPr>
              <w:t>¥</w:t>
            </w:r>
            <w:r>
              <w:rPr>
                <w:rFonts w:hint="eastAsia" w:ascii="宋体" w:hAnsi="宋体" w:cs="宋体"/>
                <w:color w:val="auto"/>
                <w:kern w:val="2"/>
                <w:sz w:val="24"/>
                <w:szCs w:val="24"/>
                <w:highlight w:val="none"/>
                <w:lang w:val="en-US" w:eastAsia="zh-CN" w:bidi="ar"/>
              </w:rPr>
              <w:t>7475300.00</w:t>
            </w:r>
            <w:r>
              <w:rPr>
                <w:rFonts w:hint="eastAsia" w:ascii="宋体" w:hAnsi="宋体" w:eastAsia="宋体" w:cs="宋体"/>
                <w:color w:val="auto"/>
                <w:kern w:val="2"/>
                <w:sz w:val="24"/>
                <w:szCs w:val="24"/>
                <w:highlight w:val="none"/>
                <w:lang w:val="en-US" w:eastAsia="zh-CN" w:bidi="ar"/>
              </w:rPr>
              <w:t>元（</w:t>
            </w:r>
            <w:r>
              <w:rPr>
                <w:rFonts w:hint="eastAsia" w:ascii="宋体" w:hAnsi="宋体" w:eastAsia="宋体" w:cs="宋体"/>
                <w:b w:val="0"/>
                <w:bCs/>
                <w:color w:val="auto"/>
                <w:sz w:val="24"/>
                <w:szCs w:val="24"/>
                <w:highlight w:val="none"/>
                <w:lang w:val="en-US" w:eastAsia="zh-CN" w:bidi="ar-SA"/>
              </w:rPr>
              <w:t>投标人投标报价不得高于最高投标限价，各单价不得高于控制价单价，否则否决投标）。</w:t>
            </w:r>
          </w:p>
        </w:tc>
      </w:tr>
      <w:tr w14:paraId="580EF21B">
        <w:tblPrEx>
          <w:tblCellMar>
            <w:top w:w="0" w:type="dxa"/>
            <w:left w:w="0" w:type="dxa"/>
            <w:bottom w:w="0" w:type="dxa"/>
            <w:right w:w="0" w:type="dxa"/>
          </w:tblCellMar>
        </w:tblPrEx>
        <w:trPr>
          <w:trHeight w:val="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C153BF7">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3.2.4</w:t>
            </w:r>
          </w:p>
        </w:tc>
        <w:tc>
          <w:tcPr>
            <w:tcW w:w="1496" w:type="dxa"/>
            <w:tcBorders>
              <w:top w:val="single" w:color="auto" w:sz="8" w:space="0"/>
              <w:left w:val="nil"/>
              <w:bottom w:val="single" w:color="auto" w:sz="8" w:space="0"/>
              <w:right w:val="single" w:color="auto" w:sz="8" w:space="0"/>
            </w:tcBorders>
            <w:vAlign w:val="center"/>
          </w:tcPr>
          <w:p w14:paraId="0FA96207">
            <w:pPr>
              <w:pStyle w:val="66"/>
              <w:pageBreakBefore w:val="0"/>
              <w:kinsoku/>
              <w:wordWrap w:val="0"/>
              <w:overflowPunct/>
              <w:bidi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投标报价的其他要求</w:t>
            </w:r>
          </w:p>
        </w:tc>
        <w:tc>
          <w:tcPr>
            <w:tcW w:w="7339" w:type="dxa"/>
            <w:tcBorders>
              <w:top w:val="single" w:color="auto" w:sz="8" w:space="0"/>
              <w:left w:val="nil"/>
              <w:bottom w:val="single" w:color="auto" w:sz="8" w:space="0"/>
              <w:right w:val="single" w:color="auto" w:sz="8" w:space="0"/>
            </w:tcBorders>
            <w:vAlign w:val="center"/>
          </w:tcPr>
          <w:p w14:paraId="71F937EC">
            <w:pPr>
              <w:pStyle w:val="66"/>
              <w:pageBreakBefore w:val="0"/>
              <w:kinsoku/>
              <w:wordWrap w:val="0"/>
              <w:overflowPunct/>
              <w:bidi w:val="0"/>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本次报价为固定</w:t>
            </w:r>
            <w:r>
              <w:rPr>
                <w:rFonts w:hint="eastAsia" w:ascii="宋体" w:hAnsi="宋体" w:cs="宋体"/>
                <w:color w:val="auto"/>
                <w:sz w:val="24"/>
                <w:szCs w:val="24"/>
                <w:highlight w:val="none"/>
                <w:lang w:val="en-US" w:eastAsia="zh-CN"/>
              </w:rPr>
              <w:t>单</w:t>
            </w:r>
            <w:r>
              <w:rPr>
                <w:rFonts w:hint="eastAsia" w:ascii="宋体" w:hAnsi="宋体" w:eastAsia="宋体" w:cs="宋体"/>
                <w:color w:val="auto"/>
                <w:sz w:val="24"/>
                <w:szCs w:val="24"/>
                <w:highlight w:val="none"/>
                <w:lang w:val="en-US" w:eastAsia="zh-CN"/>
              </w:rPr>
              <w:t>价报价</w:t>
            </w:r>
            <w:r>
              <w:rPr>
                <w:rFonts w:hint="eastAsia" w:ascii="宋体" w:hAnsi="宋体" w:eastAsia="宋体" w:cs="宋体"/>
                <w:color w:val="auto"/>
                <w:sz w:val="24"/>
                <w:szCs w:val="24"/>
                <w:highlight w:val="none"/>
              </w:rPr>
              <w:t>，报价应为人民币含税价（元），包括</w:t>
            </w:r>
            <w:r>
              <w:rPr>
                <w:rFonts w:hint="eastAsia" w:ascii="宋体" w:hAnsi="宋体" w:eastAsia="宋体" w:cs="宋体"/>
                <w:color w:val="auto"/>
                <w:sz w:val="24"/>
                <w:szCs w:val="24"/>
                <w:highlight w:val="none"/>
                <w:lang w:val="en-US" w:eastAsia="zh-CN"/>
              </w:rPr>
              <w:t>设备原价、包装费、运输费、装卸费、安装调试费、税费、质保期内所有服务费及其他相关费用，</w:t>
            </w:r>
            <w:r>
              <w:rPr>
                <w:rFonts w:hint="eastAsia" w:ascii="宋体" w:hAnsi="宋体" w:eastAsia="宋体" w:cs="宋体"/>
                <w:color w:val="auto"/>
                <w:sz w:val="24"/>
                <w:szCs w:val="24"/>
                <w:highlight w:val="none"/>
              </w:rPr>
              <w:t>也包含</w:t>
            </w:r>
            <w:r>
              <w:rPr>
                <w:rFonts w:hint="eastAsia" w:ascii="宋体" w:hAnsi="宋体" w:eastAsia="宋体" w:cs="宋体"/>
                <w:color w:val="auto"/>
                <w:sz w:val="24"/>
                <w:szCs w:val="24"/>
                <w:highlight w:val="none"/>
                <w:lang w:eastAsia="zh-CN"/>
              </w:rPr>
              <w:t>运维过程中由于不可抗力因素导致系统出现故障的维护费用、</w:t>
            </w:r>
            <w:r>
              <w:rPr>
                <w:rFonts w:hint="eastAsia" w:ascii="宋体" w:hAnsi="宋体" w:eastAsia="宋体" w:cs="宋体"/>
                <w:color w:val="auto"/>
                <w:sz w:val="24"/>
                <w:szCs w:val="24"/>
                <w:highlight w:val="none"/>
              </w:rPr>
              <w:t>乙方应当提供的伴随服务/售后服务费用，以及甲方指定地点</w:t>
            </w:r>
            <w:r>
              <w:rPr>
                <w:rFonts w:hint="eastAsia" w:ascii="宋体" w:hAnsi="宋体" w:eastAsia="宋体" w:cs="宋体"/>
                <w:color w:val="auto"/>
                <w:sz w:val="24"/>
                <w:szCs w:val="24"/>
                <w:highlight w:val="none"/>
                <w:lang w:val="en-US" w:eastAsia="zh-CN"/>
              </w:rPr>
              <w:t>安装</w:t>
            </w:r>
            <w:r>
              <w:rPr>
                <w:rFonts w:hint="eastAsia" w:ascii="宋体" w:hAnsi="宋体" w:eastAsia="宋体" w:cs="宋体"/>
                <w:color w:val="auto"/>
                <w:sz w:val="24"/>
                <w:szCs w:val="24"/>
                <w:highlight w:val="none"/>
              </w:rPr>
              <w:t>等所需全部费用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一口价不变，后续不再追加任何额外费用</w:t>
            </w:r>
            <w:r>
              <w:rPr>
                <w:rFonts w:hint="eastAsia" w:ascii="宋体" w:hAnsi="宋体" w:cs="宋体"/>
                <w:color w:val="auto"/>
                <w:sz w:val="24"/>
                <w:szCs w:val="24"/>
                <w:highlight w:val="none"/>
                <w:lang w:val="en-US" w:eastAsia="zh-CN"/>
              </w:rPr>
              <w:t>。</w:t>
            </w:r>
          </w:p>
          <w:p w14:paraId="67AEE343">
            <w:pPr>
              <w:pStyle w:val="66"/>
              <w:pageBreakBefore w:val="0"/>
              <w:kinsoku/>
              <w:wordWrap w:val="0"/>
              <w:overflowPunct/>
              <w:bidi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注：</w:t>
            </w:r>
            <w:r>
              <w:rPr>
                <w:rFonts w:hint="eastAsia" w:ascii="宋体" w:hAnsi="宋体" w:eastAsia="宋体" w:cs="宋体"/>
                <w:color w:val="auto"/>
                <w:sz w:val="24"/>
                <w:szCs w:val="24"/>
                <w:highlight w:val="none"/>
                <w:lang w:eastAsia="zh-CN"/>
              </w:rPr>
              <w:t>不可抗力因素包括：1、重大自然灾害，如：重大的地震、海啸、台风、海浪、洪水、蝗灾、风暴、冰雹、沙尘暴、火山爆发、山体滑坡、雪崩、泥石流等；2、重大的社会非正常事件，如：如战争、武装冲突、罢工、骚乱、暴动等。</w:t>
            </w:r>
          </w:p>
        </w:tc>
      </w:tr>
      <w:tr w14:paraId="1F631106">
        <w:tblPrEx>
          <w:tblCellMar>
            <w:top w:w="0" w:type="dxa"/>
            <w:left w:w="0" w:type="dxa"/>
            <w:bottom w:w="0" w:type="dxa"/>
            <w:right w:w="0" w:type="dxa"/>
          </w:tblCellMar>
        </w:tblPrEx>
        <w:trPr>
          <w:trHeight w:val="49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C76BDC6">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3.3.1</w:t>
            </w:r>
          </w:p>
        </w:tc>
        <w:tc>
          <w:tcPr>
            <w:tcW w:w="1496" w:type="dxa"/>
            <w:tcBorders>
              <w:top w:val="single" w:color="auto" w:sz="8" w:space="0"/>
              <w:left w:val="nil"/>
              <w:bottom w:val="single" w:color="auto" w:sz="8" w:space="0"/>
              <w:right w:val="single" w:color="auto" w:sz="8" w:space="0"/>
            </w:tcBorders>
            <w:vAlign w:val="center"/>
          </w:tcPr>
          <w:p w14:paraId="57E33651">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投标有效期</w:t>
            </w:r>
          </w:p>
        </w:tc>
        <w:tc>
          <w:tcPr>
            <w:tcW w:w="7339" w:type="dxa"/>
            <w:tcBorders>
              <w:top w:val="single" w:color="auto" w:sz="8" w:space="0"/>
              <w:left w:val="nil"/>
              <w:bottom w:val="single" w:color="auto" w:sz="8" w:space="0"/>
              <w:right w:val="single" w:color="auto" w:sz="8" w:space="0"/>
            </w:tcBorders>
            <w:vAlign w:val="center"/>
          </w:tcPr>
          <w:p w14:paraId="2E9338B3">
            <w:pPr>
              <w:pStyle w:val="66"/>
              <w:pageBreakBefore w:val="0"/>
              <w:kinsoku/>
              <w:wordWrap w:val="0"/>
              <w:overflowPunct/>
              <w:bidi w:val="0"/>
              <w:spacing w:line="380" w:lineRule="exact"/>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投标有效期为</w:t>
            </w:r>
            <w:r>
              <w:rPr>
                <w:rFonts w:hint="eastAsia" w:ascii="宋体" w:hAnsi="宋体" w:eastAsia="宋体" w:cs="宋体"/>
                <w:color w:val="auto"/>
                <w:kern w:val="2"/>
                <w:sz w:val="24"/>
                <w:szCs w:val="24"/>
                <w:highlight w:val="none"/>
                <w:u w:val="single"/>
              </w:rPr>
              <w:t>90</w:t>
            </w:r>
            <w:r>
              <w:rPr>
                <w:rFonts w:hint="eastAsia" w:ascii="宋体" w:hAnsi="宋体" w:eastAsia="宋体" w:cs="宋体"/>
                <w:color w:val="auto"/>
                <w:kern w:val="2"/>
                <w:sz w:val="24"/>
                <w:szCs w:val="24"/>
                <w:highlight w:val="none"/>
              </w:rPr>
              <w:t>日历天</w:t>
            </w:r>
            <w:r>
              <w:rPr>
                <w:rFonts w:hint="eastAsia" w:ascii="宋体" w:hAnsi="宋体" w:eastAsia="宋体" w:cs="宋体"/>
                <w:color w:val="auto"/>
                <w:sz w:val="24"/>
                <w:szCs w:val="24"/>
                <w:highlight w:val="none"/>
              </w:rPr>
              <w:t>(从投标截止之日算起)</w:t>
            </w:r>
            <w:r>
              <w:rPr>
                <w:rFonts w:hint="eastAsia" w:ascii="宋体" w:hAnsi="宋体" w:eastAsia="宋体" w:cs="宋体"/>
                <w:color w:val="auto"/>
                <w:kern w:val="2"/>
                <w:sz w:val="24"/>
                <w:szCs w:val="24"/>
                <w:highlight w:val="none"/>
              </w:rPr>
              <w:t>。</w:t>
            </w:r>
          </w:p>
        </w:tc>
      </w:tr>
      <w:tr w14:paraId="1541E155">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E5C9C56">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3.4.1</w:t>
            </w:r>
          </w:p>
        </w:tc>
        <w:tc>
          <w:tcPr>
            <w:tcW w:w="1496" w:type="dxa"/>
            <w:tcBorders>
              <w:top w:val="single" w:color="auto" w:sz="8" w:space="0"/>
              <w:left w:val="nil"/>
              <w:bottom w:val="single" w:color="auto" w:sz="8" w:space="0"/>
              <w:right w:val="single" w:color="auto" w:sz="8" w:space="0"/>
            </w:tcBorders>
            <w:vAlign w:val="center"/>
          </w:tcPr>
          <w:p w14:paraId="7719A01C">
            <w:pPr>
              <w:pageBreakBefore w:val="0"/>
              <w:kinsoku/>
              <w:wordWrap w:val="0"/>
              <w:overflowPunct/>
              <w:bidi w:val="0"/>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投标保证金</w:t>
            </w:r>
          </w:p>
        </w:tc>
        <w:tc>
          <w:tcPr>
            <w:tcW w:w="7339" w:type="dxa"/>
            <w:tcBorders>
              <w:top w:val="single" w:color="auto" w:sz="8" w:space="0"/>
              <w:left w:val="nil"/>
              <w:bottom w:val="single" w:color="auto" w:sz="8" w:space="0"/>
              <w:right w:val="single" w:color="auto" w:sz="8" w:space="0"/>
            </w:tcBorders>
            <w:vAlign w:val="center"/>
          </w:tcPr>
          <w:p w14:paraId="01C80EFB">
            <w:pPr>
              <w:pStyle w:val="66"/>
              <w:pageBreakBefore w:val="0"/>
              <w:numPr>
                <w:ilvl w:val="0"/>
                <w:numId w:val="2"/>
              </w:numPr>
              <w:kinsoku/>
              <w:wordWrap w:val="0"/>
              <w:overflowPunct/>
              <w:bidi w:val="0"/>
              <w:spacing w:line="38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投标保证金金额</w:t>
            </w:r>
          </w:p>
          <w:p w14:paraId="04F28313">
            <w:pPr>
              <w:pStyle w:val="66"/>
              <w:pageBreakBefore w:val="0"/>
              <w:numPr>
                <w:ilvl w:val="0"/>
                <w:numId w:val="0"/>
              </w:numPr>
              <w:kinsoku/>
              <w:wordWrap w:val="0"/>
              <w:overflowPunct/>
              <w:bidi w:val="0"/>
              <w:spacing w:line="380" w:lineRule="exact"/>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根据《云南省财政厅关于促进政府采购公平竞争优化营商环境的实施意⻅》云财规</w:t>
            </w:r>
            <w:r>
              <w:rPr>
                <w:rFonts w:hint="eastAsia" w:ascii="宋体" w:hAnsi="宋体" w:eastAsia="宋体" w:cs="宋体"/>
                <w:bCs/>
                <w:color w:val="auto"/>
                <w:sz w:val="24"/>
                <w:highlight w:val="none"/>
                <w:lang w:eastAsia="zh-CN"/>
              </w:rPr>
              <w:t>〔2019〕5号</w:t>
            </w:r>
            <w:r>
              <w:rPr>
                <w:rFonts w:hint="eastAsia" w:ascii="宋体" w:hAnsi="宋体" w:eastAsia="宋体" w:cs="宋体"/>
                <w:bCs/>
                <w:color w:val="auto"/>
                <w:sz w:val="24"/>
                <w:highlight w:val="none"/>
              </w:rPr>
              <w:t>文件精神，本项目投标保证金在标准收取金额基础上下浮</w:t>
            </w:r>
            <w:r>
              <w:rPr>
                <w:rFonts w:hint="eastAsia" w:ascii="宋体" w:hAnsi="宋体" w:eastAsia="宋体" w:cs="宋体"/>
                <w:bCs/>
                <w:color w:val="auto"/>
                <w:sz w:val="24"/>
                <w:highlight w:val="none"/>
                <w:lang w:eastAsia="zh-CN"/>
              </w:rPr>
              <w:t>。</w:t>
            </w:r>
          </w:p>
          <w:p w14:paraId="7F36EC64">
            <w:pPr>
              <w:pStyle w:val="66"/>
              <w:pageBreakBefore w:val="0"/>
              <w:kinsoku/>
              <w:wordWrap w:val="0"/>
              <w:overflowPunct/>
              <w:bidi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项目名称：</w:t>
            </w:r>
            <w:r>
              <w:rPr>
                <w:rFonts w:hint="eastAsia" w:ascii="宋体" w:hAnsi="宋体" w:cs="宋体"/>
                <w:color w:val="auto"/>
                <w:kern w:val="2"/>
                <w:sz w:val="24"/>
                <w:szCs w:val="24"/>
                <w:highlight w:val="none"/>
                <w:lang w:eastAsia="zh-CN" w:bidi="ar"/>
              </w:rPr>
              <w:t>芒市海关进境食用水生动物实验室检测能力提升项目实验室仪器设备采购</w:t>
            </w:r>
          </w:p>
          <w:p w14:paraId="3E2C89C9">
            <w:pPr>
              <w:pStyle w:val="66"/>
              <w:pageBreakBefore w:val="0"/>
              <w:kinsoku/>
              <w:wordWrap w:val="0"/>
              <w:overflowPunct/>
              <w:bidi w:val="0"/>
              <w:spacing w:line="380" w:lineRule="exact"/>
              <w:ind w:firstLine="240" w:firstLineChars="100"/>
              <w:rPr>
                <w:rFonts w:hint="eastAsia" w:ascii="宋体" w:hAnsi="宋体" w:eastAsia="宋体" w:cs="宋体"/>
                <w:color w:val="auto"/>
                <w:kern w:val="2"/>
                <w:sz w:val="24"/>
                <w:szCs w:val="24"/>
                <w:highlight w:val="none"/>
                <w:lang w:eastAsia="zh-CN" w:bidi="ar"/>
              </w:rPr>
            </w:pPr>
            <w:r>
              <w:rPr>
                <w:rFonts w:hint="eastAsia" w:ascii="宋体" w:hAnsi="宋体" w:eastAsia="宋体" w:cs="宋体"/>
                <w:color w:val="auto"/>
                <w:sz w:val="24"/>
                <w:szCs w:val="24"/>
                <w:highlight w:val="none"/>
                <w:lang w:eastAsia="zh-CN"/>
              </w:rPr>
              <w:t>项目编号：</w:t>
            </w:r>
            <w:r>
              <w:rPr>
                <w:rFonts w:hint="eastAsia" w:ascii="宋体" w:hAnsi="宋体" w:cs="宋体"/>
                <w:color w:val="auto"/>
                <w:kern w:val="2"/>
                <w:sz w:val="24"/>
                <w:szCs w:val="24"/>
                <w:highlight w:val="none"/>
                <w:lang w:eastAsia="zh-CN" w:bidi="ar"/>
              </w:rPr>
              <w:t>DHZC2026-G1-00447-DHSH-0014</w:t>
            </w:r>
          </w:p>
          <w:p w14:paraId="6E8193D5">
            <w:pPr>
              <w:pStyle w:val="66"/>
              <w:pageBreakBefore w:val="0"/>
              <w:kinsoku/>
              <w:wordWrap w:val="0"/>
              <w:overflowPunct/>
              <w:bidi w:val="0"/>
              <w:spacing w:line="380" w:lineRule="exact"/>
              <w:ind w:firstLine="240" w:firstLineChars="100"/>
              <w:rPr>
                <w:rFonts w:ascii="宋体" w:hAnsi="宋体" w:cs="宋体"/>
                <w:color w:val="auto"/>
                <w:highlight w:val="none"/>
              </w:rPr>
            </w:pPr>
            <w:r>
              <w:rPr>
                <w:rFonts w:hint="eastAsia" w:ascii="宋体" w:hAnsi="宋体" w:eastAsia="宋体" w:cs="宋体"/>
                <w:color w:val="auto"/>
                <w:sz w:val="24"/>
                <w:szCs w:val="24"/>
                <w:highlight w:val="none"/>
                <w:lang w:eastAsia="zh-CN"/>
              </w:rPr>
              <w:t>投标保证金的形式：</w:t>
            </w:r>
            <w:r>
              <w:rPr>
                <w:rFonts w:hint="eastAsia" w:ascii="宋体" w:hAnsi="宋体" w:eastAsia="宋体" w:cs="宋体"/>
                <w:color w:val="auto"/>
                <w:sz w:val="24"/>
                <w:szCs w:val="24"/>
                <w:highlight w:val="none"/>
                <w:u w:val="single"/>
                <w:lang w:eastAsia="zh-CN"/>
              </w:rPr>
              <w:t>银行转账、电汇、支票、汇票、本票或者金融机构、担保机构出具的</w:t>
            </w:r>
            <w:r>
              <w:rPr>
                <w:rFonts w:hint="eastAsia" w:ascii="宋体" w:hAnsi="宋体" w:eastAsia="宋体" w:cs="宋体"/>
                <w:color w:val="auto"/>
                <w:kern w:val="2"/>
                <w:sz w:val="24"/>
                <w:szCs w:val="24"/>
                <w:highlight w:val="none"/>
                <w:u w:val="single"/>
              </w:rPr>
              <w:t>保函或保证保险</w:t>
            </w:r>
            <w:r>
              <w:rPr>
                <w:rFonts w:hint="eastAsia" w:ascii="宋体" w:hAnsi="宋体" w:eastAsia="宋体" w:cs="宋体"/>
                <w:color w:val="auto"/>
                <w:sz w:val="24"/>
                <w:szCs w:val="24"/>
                <w:highlight w:val="none"/>
                <w:lang w:eastAsia="zh-CN"/>
              </w:rPr>
              <w:t>等非现金形式提交。</w:t>
            </w:r>
          </w:p>
          <w:p w14:paraId="4C3558DE">
            <w:pPr>
              <w:pStyle w:val="66"/>
              <w:pageBreakBefore w:val="0"/>
              <w:kinsoku/>
              <w:wordWrap w:val="0"/>
              <w:overflowPunct/>
              <w:bidi w:val="0"/>
              <w:spacing w:line="38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投标保证金金额：</w:t>
            </w:r>
            <w:r>
              <w:rPr>
                <w:rFonts w:hint="eastAsia" w:ascii="宋体" w:hAnsi="宋体" w:eastAsia="宋体" w:cs="宋体"/>
                <w:b/>
                <w:bCs/>
                <w:color w:val="auto"/>
                <w:sz w:val="24"/>
                <w:szCs w:val="24"/>
                <w:highlight w:val="none"/>
                <w:lang w:val="en-US" w:eastAsia="zh-CN"/>
              </w:rPr>
              <w:t>70000</w:t>
            </w:r>
            <w:r>
              <w:rPr>
                <w:rFonts w:hint="eastAsia" w:ascii="宋体" w:hAnsi="宋体" w:eastAsia="宋体" w:cs="宋体"/>
                <w:b/>
                <w:bCs/>
                <w:color w:val="auto"/>
                <w:sz w:val="24"/>
                <w:szCs w:val="24"/>
                <w:highlight w:val="none"/>
                <w:lang w:eastAsia="zh-CN"/>
              </w:rPr>
              <w:t>.00元（大写：</w:t>
            </w:r>
            <w:r>
              <w:rPr>
                <w:rFonts w:hint="eastAsia" w:ascii="宋体" w:hAnsi="宋体" w:eastAsia="宋体" w:cs="宋体"/>
                <w:b/>
                <w:bCs/>
                <w:color w:val="auto"/>
                <w:sz w:val="24"/>
                <w:szCs w:val="24"/>
                <w:highlight w:val="none"/>
                <w:lang w:val="en-US" w:eastAsia="zh-CN"/>
              </w:rPr>
              <w:t>柒万元整</w:t>
            </w:r>
            <w:r>
              <w:rPr>
                <w:rFonts w:hint="eastAsia" w:ascii="宋体" w:hAnsi="宋体" w:eastAsia="宋体" w:cs="宋体"/>
                <w:b/>
                <w:bCs/>
                <w:color w:val="auto"/>
                <w:sz w:val="24"/>
                <w:szCs w:val="24"/>
                <w:highlight w:val="none"/>
                <w:lang w:eastAsia="zh-CN"/>
              </w:rPr>
              <w:t>）</w:t>
            </w:r>
          </w:p>
          <w:p w14:paraId="08E66EF9">
            <w:pPr>
              <w:pStyle w:val="66"/>
              <w:pageBreakBefore w:val="0"/>
              <w:kinsoku/>
              <w:wordWrap w:val="0"/>
              <w:overflowPunct/>
              <w:bidi w:val="0"/>
              <w:spacing w:line="38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二、投标保证金提交方式</w:t>
            </w:r>
          </w:p>
          <w:p w14:paraId="68CEA30A">
            <w:pPr>
              <w:pStyle w:val="66"/>
              <w:pageBreakBefore w:val="0"/>
              <w:numPr>
                <w:ilvl w:val="0"/>
                <w:numId w:val="0"/>
              </w:numPr>
              <w:kinsoku/>
              <w:wordWrap w:val="0"/>
              <w:overflowPunct/>
              <w:bidi w:val="0"/>
              <w:spacing w:line="380" w:lineRule="exact"/>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一）电汇、银行转账、支票、汇票、本票等（非现金形式）：投标保证金应以投标人自身的名义提交，并且必须从其基本账户转出，不得以分支机构或其他名义提交，不得个人账户（按照规定投标人可以为自然人的项目除外）</w:t>
            </w:r>
          </w:p>
          <w:p w14:paraId="6331EE79">
            <w:pPr>
              <w:pStyle w:val="66"/>
              <w:pageBreakBefore w:val="0"/>
              <w:numPr>
                <w:ilvl w:val="0"/>
                <w:numId w:val="0"/>
              </w:numPr>
              <w:kinsoku/>
              <w:wordWrap w:val="0"/>
              <w:overflowPunct/>
              <w:bidi w:val="0"/>
              <w:spacing w:line="380" w:lineRule="exact"/>
              <w:ind w:firstLine="480" w:firstLineChars="200"/>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附：保证金收款账户信息。</w:t>
            </w:r>
          </w:p>
          <w:p w14:paraId="6697DD15">
            <w:pPr>
              <w:pStyle w:val="66"/>
              <w:pageBreakBefore w:val="0"/>
              <w:kinsoku/>
              <w:wordWrap w:val="0"/>
              <w:overflowPunct/>
              <w:bidi w:val="0"/>
              <w:spacing w:line="3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账户名称：德宏杉和工程咨询有限公司</w:t>
            </w:r>
          </w:p>
          <w:p w14:paraId="28B00EEC">
            <w:pPr>
              <w:pStyle w:val="66"/>
              <w:pageBreakBefore w:val="0"/>
              <w:kinsoku/>
              <w:wordWrap w:val="0"/>
              <w:overflowPunct/>
              <w:bidi w:val="0"/>
              <w:spacing w:line="3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开户行名称：中国农业银行股份有限公司陇川县支行</w:t>
            </w:r>
          </w:p>
          <w:p w14:paraId="2D4D7B04">
            <w:pPr>
              <w:pStyle w:val="66"/>
              <w:pageBreakBefore w:val="0"/>
              <w:kinsoku/>
              <w:wordWrap w:val="0"/>
              <w:overflowPunct/>
              <w:bidi w:val="0"/>
              <w:spacing w:line="3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开户行账号：24139601040020967</w:t>
            </w:r>
          </w:p>
          <w:p w14:paraId="5DC9AD90">
            <w:pPr>
              <w:pStyle w:val="66"/>
              <w:pageBreakBefore w:val="0"/>
              <w:numPr>
                <w:ilvl w:val="0"/>
                <w:numId w:val="0"/>
              </w:numPr>
              <w:kinsoku/>
              <w:wordWrap w:val="0"/>
              <w:overflowPunct/>
              <w:bidi w:val="0"/>
              <w:spacing w:line="380" w:lineRule="exact"/>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（二）银行保函：保函申请人必须是投标人，受益人必须是</w:t>
            </w:r>
            <w:r>
              <w:rPr>
                <w:rFonts w:hint="eastAsia" w:ascii="宋体" w:hAnsi="宋体" w:cs="宋体"/>
                <w:bCs/>
                <w:color w:val="auto"/>
                <w:sz w:val="24"/>
                <w:highlight w:val="none"/>
                <w:lang w:val="en-US" w:eastAsia="zh-CN"/>
              </w:rPr>
              <w:t>采购人</w:t>
            </w:r>
            <w:r>
              <w:rPr>
                <w:rFonts w:hint="eastAsia" w:ascii="宋体" w:hAnsi="宋体" w:eastAsia="宋体" w:cs="宋体"/>
                <w:bCs/>
                <w:color w:val="auto"/>
                <w:sz w:val="24"/>
                <w:highlight w:val="none"/>
                <w:lang w:val="en-US" w:eastAsia="zh-CN"/>
              </w:rPr>
              <w:t>，保证人必须是投标人基本账号的开户银行；银行保函必须正确填写受益人和申请人的全称，并与招标文件规定的名称相一致，以免造成投标无效。</w:t>
            </w:r>
          </w:p>
          <w:p w14:paraId="5715194B">
            <w:pPr>
              <w:pStyle w:val="66"/>
              <w:pageBreakBefore w:val="0"/>
              <w:numPr>
                <w:ilvl w:val="0"/>
                <w:numId w:val="0"/>
              </w:numPr>
              <w:kinsoku/>
              <w:wordWrap w:val="0"/>
              <w:overflowPunct/>
              <w:bidi w:val="0"/>
              <w:spacing w:line="380" w:lineRule="exact"/>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（三）保证保险：1.当投标人未能按照招标文件要求履行投标义务而导致</w:t>
            </w:r>
            <w:r>
              <w:rPr>
                <w:rFonts w:hint="eastAsia" w:ascii="宋体" w:hAnsi="宋体" w:cs="宋体"/>
                <w:bCs/>
                <w:color w:val="auto"/>
                <w:sz w:val="24"/>
                <w:highlight w:val="none"/>
                <w:lang w:val="en-US" w:eastAsia="zh-CN"/>
              </w:rPr>
              <w:t>采购人</w:t>
            </w:r>
            <w:r>
              <w:rPr>
                <w:rFonts w:hint="eastAsia" w:ascii="宋体" w:hAnsi="宋体" w:eastAsia="宋体" w:cs="宋体"/>
                <w:bCs/>
                <w:color w:val="auto"/>
                <w:sz w:val="24"/>
                <w:highlight w:val="none"/>
                <w:lang w:val="en-US" w:eastAsia="zh-CN"/>
              </w:rPr>
              <w:t>受到损失时，由保险公司按照保险合同对</w:t>
            </w:r>
            <w:r>
              <w:rPr>
                <w:rFonts w:hint="eastAsia" w:ascii="宋体" w:hAnsi="宋体" w:cs="宋体"/>
                <w:bCs/>
                <w:color w:val="auto"/>
                <w:sz w:val="24"/>
                <w:highlight w:val="none"/>
                <w:lang w:val="en-US" w:eastAsia="zh-CN"/>
              </w:rPr>
              <w:t>采购人</w:t>
            </w:r>
            <w:r>
              <w:rPr>
                <w:rFonts w:hint="eastAsia" w:ascii="宋体" w:hAnsi="宋体" w:eastAsia="宋体" w:cs="宋体"/>
                <w:bCs/>
                <w:color w:val="auto"/>
                <w:sz w:val="24"/>
                <w:highlight w:val="none"/>
                <w:lang w:val="en-US" w:eastAsia="zh-CN"/>
              </w:rPr>
              <w:t>的损失承担代偿责任。2.投标人在支付投标保证金保险费时，必须使用基本账号资金支付购买，未从基本账户转出支付保险费造成经济纠纷的应由企业自行承担。3.在投标保证保险中，投标人为投保人，</w:t>
            </w:r>
            <w:r>
              <w:rPr>
                <w:rFonts w:hint="eastAsia" w:ascii="宋体" w:hAnsi="宋体" w:cs="宋体"/>
                <w:bCs/>
                <w:color w:val="auto"/>
                <w:sz w:val="24"/>
                <w:highlight w:val="none"/>
                <w:lang w:val="en-US" w:eastAsia="zh-CN"/>
              </w:rPr>
              <w:t>采购人</w:t>
            </w:r>
            <w:r>
              <w:rPr>
                <w:rFonts w:hint="eastAsia" w:ascii="宋体" w:hAnsi="宋体" w:eastAsia="宋体" w:cs="宋体"/>
                <w:bCs/>
                <w:color w:val="auto"/>
                <w:sz w:val="24"/>
                <w:highlight w:val="none"/>
                <w:lang w:val="en-US" w:eastAsia="zh-CN"/>
              </w:rPr>
              <w:t>为被保险人。</w:t>
            </w:r>
          </w:p>
          <w:p w14:paraId="41799490">
            <w:pPr>
              <w:pStyle w:val="66"/>
              <w:pageBreakBefore w:val="0"/>
              <w:numPr>
                <w:ilvl w:val="0"/>
                <w:numId w:val="0"/>
              </w:numPr>
              <w:kinsoku/>
              <w:wordWrap w:val="0"/>
              <w:overflowPunct/>
              <w:bidi w:val="0"/>
              <w:spacing w:line="380" w:lineRule="exact"/>
              <w:ind w:firstLine="482" w:firstLineChars="200"/>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缴纳时间：保证金必须在递交投标文件的截止时间之前缴纳。</w:t>
            </w:r>
          </w:p>
          <w:p w14:paraId="2B98AB91">
            <w:pPr>
              <w:pStyle w:val="66"/>
              <w:pageBreakBefore w:val="0"/>
              <w:numPr>
                <w:ilvl w:val="0"/>
                <w:numId w:val="0"/>
              </w:numPr>
              <w:kinsoku/>
              <w:wordWrap w:val="0"/>
              <w:overflowPunct/>
              <w:bidi w:val="0"/>
              <w:spacing w:line="380" w:lineRule="exact"/>
              <w:ind w:firstLine="482" w:firstLineChars="200"/>
              <w:rPr>
                <w:rFonts w:hint="default" w:ascii="宋体" w:hAnsi="宋体" w:eastAsia="宋体" w:cs="宋体"/>
                <w:b/>
                <w:bCs w:val="0"/>
                <w:color w:val="auto"/>
                <w:sz w:val="24"/>
                <w:highlight w:val="none"/>
                <w:lang w:val="en-US" w:eastAsia="zh-CN"/>
              </w:rPr>
            </w:pPr>
            <w:r>
              <w:rPr>
                <w:rFonts w:hint="default" w:ascii="宋体" w:hAnsi="宋体" w:eastAsia="宋体" w:cs="宋体"/>
                <w:b/>
                <w:bCs w:val="0"/>
                <w:color w:val="auto"/>
                <w:sz w:val="24"/>
                <w:highlight w:val="none"/>
                <w:lang w:val="en-US" w:eastAsia="zh-CN"/>
              </w:rPr>
              <w:t>有效期：与投标有效期一致。</w:t>
            </w:r>
          </w:p>
          <w:p w14:paraId="7960D554">
            <w:pPr>
              <w:pStyle w:val="66"/>
              <w:pageBreakBefore w:val="0"/>
              <w:numPr>
                <w:ilvl w:val="0"/>
                <w:numId w:val="0"/>
              </w:numPr>
              <w:kinsoku/>
              <w:wordWrap w:val="0"/>
              <w:overflowPunct/>
              <w:bidi w:val="0"/>
              <w:spacing w:line="380" w:lineRule="exact"/>
              <w:ind w:firstLine="482" w:firstLineChars="200"/>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退还：除招标文件规定不予退还情形外，自中标通知书发出之日起5个工作日内退还未中标供应商的投标保证金，自政府采购合同签订之日起5个工作日内退还中标供应商的投标保证金。银行保函、保证金保险无须退还，有效期过后自动失效。</w:t>
            </w:r>
          </w:p>
          <w:p w14:paraId="3B23F146">
            <w:pPr>
              <w:pStyle w:val="66"/>
              <w:pageBreakBefore w:val="0"/>
              <w:numPr>
                <w:ilvl w:val="0"/>
                <w:numId w:val="0"/>
              </w:numPr>
              <w:kinsoku/>
              <w:wordWrap w:val="0"/>
              <w:overflowPunct/>
              <w:bidi w:val="0"/>
              <w:spacing w:line="380" w:lineRule="exact"/>
              <w:ind w:firstLine="482" w:firstLineChars="200"/>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缴纳凭证：以非现金形式</w:t>
            </w:r>
            <w:r>
              <w:rPr>
                <w:rFonts w:hint="default" w:ascii="宋体" w:hAnsi="宋体" w:eastAsia="宋体" w:cs="宋体"/>
                <w:b/>
                <w:bCs w:val="0"/>
                <w:color w:val="auto"/>
                <w:sz w:val="24"/>
                <w:highlight w:val="none"/>
                <w:lang w:val="en-US" w:eastAsia="zh-CN"/>
              </w:rPr>
              <w:t>提交的，</w:t>
            </w:r>
            <w:r>
              <w:rPr>
                <w:rFonts w:hint="eastAsia" w:ascii="宋体" w:hAnsi="宋体" w:eastAsia="宋体" w:cs="宋体"/>
                <w:b/>
                <w:bCs w:val="0"/>
                <w:color w:val="auto"/>
                <w:sz w:val="24"/>
                <w:highlight w:val="none"/>
                <w:lang w:val="en-US" w:eastAsia="zh-CN"/>
              </w:rPr>
              <w:t>转账凭证等</w:t>
            </w:r>
            <w:r>
              <w:rPr>
                <w:rFonts w:hint="default" w:ascii="宋体" w:hAnsi="宋体" w:eastAsia="宋体" w:cs="宋体"/>
                <w:b/>
                <w:bCs w:val="0"/>
                <w:color w:val="auto"/>
                <w:sz w:val="24"/>
                <w:highlight w:val="none"/>
                <w:lang w:val="en-US" w:eastAsia="zh-CN"/>
              </w:rPr>
              <w:t>即为缴纳凭证（需注明项目编号或项目简称）；</w:t>
            </w:r>
            <w:r>
              <w:rPr>
                <w:rFonts w:hint="eastAsia" w:ascii="宋体" w:hAnsi="宋体" w:eastAsia="宋体" w:cs="宋体"/>
                <w:b/>
                <w:bCs w:val="0"/>
                <w:color w:val="auto"/>
                <w:sz w:val="24"/>
                <w:highlight w:val="none"/>
                <w:lang w:val="en-US" w:eastAsia="zh-CN"/>
              </w:rPr>
              <w:t>以</w:t>
            </w:r>
            <w:r>
              <w:rPr>
                <w:rFonts w:hint="default" w:ascii="宋体" w:hAnsi="宋体" w:eastAsia="宋体" w:cs="宋体"/>
                <w:b/>
                <w:bCs w:val="0"/>
                <w:color w:val="auto"/>
                <w:sz w:val="24"/>
                <w:highlight w:val="none"/>
                <w:lang w:val="en-US" w:eastAsia="zh-CN"/>
              </w:rPr>
              <w:t>其他方式</w:t>
            </w:r>
            <w:r>
              <w:rPr>
                <w:rFonts w:hint="eastAsia" w:ascii="宋体" w:hAnsi="宋体" w:eastAsia="宋体" w:cs="宋体"/>
                <w:b/>
                <w:bCs w:val="0"/>
                <w:color w:val="auto"/>
                <w:sz w:val="24"/>
                <w:highlight w:val="none"/>
                <w:lang w:val="en-US" w:eastAsia="zh-CN"/>
              </w:rPr>
              <w:t>提交的，</w:t>
            </w:r>
            <w:r>
              <w:rPr>
                <w:rFonts w:hint="default" w:ascii="宋体" w:hAnsi="宋体" w:eastAsia="宋体" w:cs="宋体"/>
                <w:b/>
                <w:bCs w:val="0"/>
                <w:color w:val="auto"/>
                <w:sz w:val="24"/>
                <w:highlight w:val="none"/>
                <w:lang w:val="en-US" w:eastAsia="zh-CN"/>
              </w:rPr>
              <w:t>附有效付款凭证</w:t>
            </w:r>
            <w:r>
              <w:rPr>
                <w:rFonts w:hint="eastAsia" w:ascii="宋体" w:hAnsi="宋体" w:eastAsia="宋体" w:cs="宋体"/>
                <w:b/>
                <w:bCs w:val="0"/>
                <w:color w:val="auto"/>
                <w:sz w:val="24"/>
                <w:highlight w:val="none"/>
                <w:lang w:val="en-US" w:eastAsia="zh-CN"/>
              </w:rPr>
              <w:t>以及</w:t>
            </w:r>
            <w:r>
              <w:rPr>
                <w:rFonts w:hint="default" w:ascii="宋体" w:hAnsi="宋体" w:eastAsia="宋体" w:cs="宋体"/>
                <w:b/>
                <w:bCs w:val="0"/>
                <w:color w:val="auto"/>
                <w:sz w:val="24"/>
                <w:highlight w:val="none"/>
                <w:lang w:val="en-US" w:eastAsia="zh-CN"/>
              </w:rPr>
              <w:t>保函</w:t>
            </w:r>
            <w:r>
              <w:rPr>
                <w:rFonts w:hint="eastAsia" w:ascii="宋体" w:hAnsi="宋体" w:eastAsia="宋体" w:cs="宋体"/>
                <w:b/>
                <w:bCs w:val="0"/>
                <w:color w:val="auto"/>
                <w:sz w:val="24"/>
                <w:highlight w:val="none"/>
                <w:lang w:val="en-US" w:eastAsia="zh-CN"/>
              </w:rPr>
              <w:t>或保险的彩色扫描件。</w:t>
            </w:r>
          </w:p>
        </w:tc>
      </w:tr>
      <w:tr w14:paraId="2D86D5D1">
        <w:tblPrEx>
          <w:tblCellMar>
            <w:top w:w="0" w:type="dxa"/>
            <w:left w:w="0" w:type="dxa"/>
            <w:bottom w:w="0" w:type="dxa"/>
            <w:right w:w="0" w:type="dxa"/>
          </w:tblCellMar>
        </w:tblPrEx>
        <w:trPr>
          <w:trHeight w:val="84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C3D2AD6">
            <w:pPr>
              <w:pageBreakBefore w:val="0"/>
              <w:kinsoku/>
              <w:wordWrap w:val="0"/>
              <w:overflowPunct/>
              <w:bidi w:val="0"/>
              <w:spacing w:line="360" w:lineRule="auto"/>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3.5.2</w:t>
            </w:r>
          </w:p>
        </w:tc>
        <w:tc>
          <w:tcPr>
            <w:tcW w:w="1496" w:type="dxa"/>
            <w:tcBorders>
              <w:top w:val="single" w:color="auto" w:sz="8" w:space="0"/>
              <w:left w:val="nil"/>
              <w:bottom w:val="single" w:color="auto" w:sz="8" w:space="0"/>
              <w:right w:val="single" w:color="auto" w:sz="8" w:space="0"/>
            </w:tcBorders>
            <w:vAlign w:val="center"/>
          </w:tcPr>
          <w:p w14:paraId="756A9459">
            <w:pPr>
              <w:pageBreakBefore w:val="0"/>
              <w:kinsoku/>
              <w:wordWrap w:val="0"/>
              <w:overflowPunct/>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rPr>
              <w:t>投标文件的签署</w:t>
            </w:r>
          </w:p>
        </w:tc>
        <w:tc>
          <w:tcPr>
            <w:tcW w:w="7339" w:type="dxa"/>
            <w:tcBorders>
              <w:top w:val="single" w:color="auto" w:sz="8" w:space="0"/>
              <w:left w:val="nil"/>
              <w:bottom w:val="single" w:color="auto" w:sz="8" w:space="0"/>
              <w:right w:val="single" w:color="auto" w:sz="8" w:space="0"/>
            </w:tcBorders>
            <w:vAlign w:val="center"/>
          </w:tcPr>
          <w:p w14:paraId="377749F5">
            <w:pPr>
              <w:pageBreakBefore w:val="0"/>
              <w:kinsoku/>
              <w:wordWrap w:val="0"/>
              <w:overflowPunct/>
              <w:bidi w:val="0"/>
              <w:spacing w:line="360" w:lineRule="auto"/>
              <w:ind w:firstLine="480" w:firstLineChars="200"/>
              <w:jc w:val="left"/>
              <w:rPr>
                <w:rFonts w:hint="eastAsia" w:ascii="宋体" w:hAnsi="宋体" w:eastAsia="宋体" w:cs="宋体"/>
                <w:color w:val="auto"/>
                <w:kern w:val="2"/>
                <w:sz w:val="24"/>
                <w:szCs w:val="21"/>
                <w:highlight w:val="none"/>
                <w:lang w:val="en-US" w:eastAsia="zh-CN"/>
              </w:rPr>
            </w:pPr>
            <w:r>
              <w:rPr>
                <w:rFonts w:hint="eastAsia" w:ascii="宋体" w:hAnsi="宋体" w:eastAsia="宋体" w:cs="宋体"/>
                <w:color w:val="auto"/>
                <w:kern w:val="2"/>
                <w:sz w:val="24"/>
                <w:szCs w:val="21"/>
                <w:highlight w:val="none"/>
                <w:lang w:val="en-US" w:eastAsia="zh-CN"/>
              </w:rPr>
              <w:t>按照文件要求，采用单位或个人的签章或签名。</w:t>
            </w:r>
            <w:r>
              <w:rPr>
                <w:rFonts w:hint="eastAsia" w:ascii="宋体" w:hAnsi="宋体" w:eastAsia="宋体" w:cs="宋体"/>
                <w:b/>
                <w:bCs/>
                <w:color w:val="auto"/>
                <w:kern w:val="2"/>
                <w:sz w:val="24"/>
                <w:szCs w:val="21"/>
                <w:highlight w:val="none"/>
                <w:lang w:val="en-US" w:eastAsia="zh-CN"/>
              </w:rPr>
              <w:t>（注：在需要签字盖章的地方进行签字盖章，无需逐页签字盖章）</w:t>
            </w:r>
          </w:p>
        </w:tc>
      </w:tr>
      <w:tr w14:paraId="66E0407A">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37420E31">
            <w:pPr>
              <w:pageBreakBefore w:val="0"/>
              <w:kinsoku/>
              <w:wordWrap w:val="0"/>
              <w:overflowPunct/>
              <w:bidi w:val="0"/>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3.5.3</w:t>
            </w:r>
          </w:p>
        </w:tc>
        <w:tc>
          <w:tcPr>
            <w:tcW w:w="1496" w:type="dxa"/>
            <w:tcBorders>
              <w:top w:val="single" w:color="auto" w:sz="8" w:space="0"/>
              <w:left w:val="nil"/>
              <w:bottom w:val="single" w:color="auto" w:sz="8" w:space="0"/>
              <w:right w:val="single" w:color="auto" w:sz="8" w:space="0"/>
            </w:tcBorders>
            <w:vAlign w:val="center"/>
          </w:tcPr>
          <w:p w14:paraId="1ECAAE82">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电子投标文件格式</w:t>
            </w:r>
          </w:p>
        </w:tc>
        <w:tc>
          <w:tcPr>
            <w:tcW w:w="7339" w:type="dxa"/>
            <w:tcBorders>
              <w:top w:val="single" w:color="auto" w:sz="8" w:space="0"/>
              <w:left w:val="nil"/>
              <w:bottom w:val="single" w:color="auto" w:sz="8" w:space="0"/>
              <w:right w:val="single" w:color="auto" w:sz="8" w:space="0"/>
            </w:tcBorders>
            <w:vAlign w:val="center"/>
          </w:tcPr>
          <w:p w14:paraId="5F2B2161">
            <w:pPr>
              <w:keepNext w:val="0"/>
              <w:keepLines w:val="0"/>
              <w:pageBreakBefore w:val="0"/>
              <w:widowControl w:val="0"/>
              <w:kinsoku/>
              <w:wordWrap w:val="0"/>
              <w:overflowPunct/>
              <w:topLinePunct w:val="0"/>
              <w:autoSpaceDE/>
              <w:autoSpaceDN/>
              <w:bidi w:val="0"/>
              <w:adjustRightInd/>
              <w:snapToGrid/>
              <w:spacing w:line="30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投标文件全部采用电子文档，使用“政采云电子投标客户端”制作加密生成。</w:t>
            </w:r>
          </w:p>
        </w:tc>
      </w:tr>
      <w:tr w14:paraId="3917EE19">
        <w:tblPrEx>
          <w:tblCellMar>
            <w:top w:w="0" w:type="dxa"/>
            <w:left w:w="0" w:type="dxa"/>
            <w:bottom w:w="0" w:type="dxa"/>
            <w:right w:w="0" w:type="dxa"/>
          </w:tblCellMar>
        </w:tblPrEx>
        <w:trPr>
          <w:trHeight w:val="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232E0AE">
            <w:pPr>
              <w:pageBreakBefore w:val="0"/>
              <w:kinsoku/>
              <w:wordWrap w:val="0"/>
              <w:overflowPunct/>
              <w:bidi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w:t>
            </w:r>
          </w:p>
        </w:tc>
        <w:tc>
          <w:tcPr>
            <w:tcW w:w="1496" w:type="dxa"/>
            <w:tcBorders>
              <w:top w:val="single" w:color="auto" w:sz="8" w:space="0"/>
              <w:left w:val="nil"/>
              <w:bottom w:val="single" w:color="auto" w:sz="8" w:space="0"/>
              <w:right w:val="single" w:color="auto" w:sz="8" w:space="0"/>
            </w:tcBorders>
            <w:vAlign w:val="center"/>
          </w:tcPr>
          <w:p w14:paraId="23BDC044">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投标截止时间</w:t>
            </w:r>
          </w:p>
        </w:tc>
        <w:tc>
          <w:tcPr>
            <w:tcW w:w="7339" w:type="dxa"/>
            <w:tcBorders>
              <w:top w:val="single" w:color="auto" w:sz="8" w:space="0"/>
              <w:left w:val="nil"/>
              <w:bottom w:val="single" w:color="auto" w:sz="8" w:space="0"/>
              <w:right w:val="single" w:color="auto" w:sz="8" w:space="0"/>
            </w:tcBorders>
            <w:vAlign w:val="center"/>
          </w:tcPr>
          <w:p w14:paraId="29449A72">
            <w:pPr>
              <w:pageBreakBefore w:val="0"/>
              <w:widowControl w:val="0"/>
              <w:kinsoku/>
              <w:wordWrap w:val="0"/>
              <w:overflowPunct/>
              <w:bidi w:val="0"/>
              <w:spacing w:line="360" w:lineRule="auto"/>
              <w:ind w:firstLine="480" w:firstLineChars="200"/>
              <w:jc w:val="both"/>
              <w:rPr>
                <w:rFonts w:hint="eastAsia" w:ascii="宋体" w:hAnsi="宋体" w:eastAsia="宋体" w:cs="宋体"/>
                <w:color w:val="auto"/>
                <w:kern w:val="2"/>
                <w:sz w:val="24"/>
                <w:szCs w:val="24"/>
                <w:highlight w:val="none"/>
                <w:lang w:val="en-US"/>
              </w:rPr>
            </w:pPr>
            <w:r>
              <w:rPr>
                <w:rFonts w:hint="eastAsia" w:ascii="宋体" w:hAnsi="宋体" w:eastAsia="宋体" w:cs="宋体"/>
                <w:b w:val="0"/>
                <w:bCs w:val="0"/>
                <w:color w:val="auto"/>
                <w:kern w:val="2"/>
                <w:sz w:val="24"/>
                <w:szCs w:val="24"/>
                <w:highlight w:val="none"/>
                <w:u w:val="none"/>
                <w:lang w:val="en-US" w:eastAsia="zh-CN" w:bidi="ar"/>
              </w:rPr>
              <w:t>详见招标公告</w:t>
            </w:r>
          </w:p>
        </w:tc>
      </w:tr>
      <w:tr w14:paraId="1D749129">
        <w:tblPrEx>
          <w:tblCellMar>
            <w:top w:w="0" w:type="dxa"/>
            <w:left w:w="0" w:type="dxa"/>
            <w:bottom w:w="0" w:type="dxa"/>
            <w:right w:w="0" w:type="dxa"/>
          </w:tblCellMar>
        </w:tblPrEx>
        <w:trPr>
          <w:trHeight w:val="54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4CFF030">
            <w:pPr>
              <w:pageBreakBefore w:val="0"/>
              <w:kinsoku/>
              <w:wordWrap w:val="0"/>
              <w:overflowPunct/>
              <w:bidi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4.2.</w:t>
            </w:r>
            <w:r>
              <w:rPr>
                <w:rFonts w:hint="eastAsia" w:ascii="宋体" w:hAnsi="宋体" w:eastAsia="宋体" w:cs="宋体"/>
                <w:color w:val="auto"/>
                <w:kern w:val="2"/>
                <w:sz w:val="24"/>
                <w:szCs w:val="24"/>
                <w:highlight w:val="none"/>
                <w:lang w:val="en-US" w:eastAsia="zh-CN"/>
              </w:rPr>
              <w:t>2</w:t>
            </w:r>
          </w:p>
        </w:tc>
        <w:tc>
          <w:tcPr>
            <w:tcW w:w="1496" w:type="dxa"/>
            <w:tcBorders>
              <w:top w:val="single" w:color="auto" w:sz="8" w:space="0"/>
              <w:left w:val="nil"/>
              <w:bottom w:val="single" w:color="auto" w:sz="8" w:space="0"/>
              <w:right w:val="single" w:color="auto" w:sz="8" w:space="0"/>
            </w:tcBorders>
            <w:vAlign w:val="center"/>
          </w:tcPr>
          <w:p w14:paraId="08A2DB82">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递交投标文件截止</w:t>
            </w:r>
            <w:r>
              <w:rPr>
                <w:rFonts w:hint="eastAsia" w:ascii="宋体" w:hAnsi="宋体" w:eastAsia="宋体" w:cs="宋体"/>
                <w:color w:val="auto"/>
                <w:kern w:val="2"/>
                <w:sz w:val="24"/>
                <w:szCs w:val="24"/>
                <w:highlight w:val="none"/>
              </w:rPr>
              <w:t>时间和地点</w:t>
            </w:r>
          </w:p>
        </w:tc>
        <w:tc>
          <w:tcPr>
            <w:tcW w:w="7339" w:type="dxa"/>
            <w:tcBorders>
              <w:top w:val="single" w:color="auto" w:sz="8" w:space="0"/>
              <w:left w:val="nil"/>
              <w:bottom w:val="single" w:color="auto" w:sz="8" w:space="0"/>
              <w:right w:val="single" w:color="auto" w:sz="8" w:space="0"/>
            </w:tcBorders>
            <w:vAlign w:val="center"/>
          </w:tcPr>
          <w:p w14:paraId="0B3DB155">
            <w:pPr>
              <w:pageBreakBefore w:val="0"/>
              <w:widowControl w:val="0"/>
              <w:kinsoku/>
              <w:wordWrap w:val="0"/>
              <w:overflowPunct/>
              <w:bidi w:val="0"/>
              <w:spacing w:line="360" w:lineRule="auto"/>
              <w:ind w:firstLine="480" w:firstLineChars="200"/>
              <w:jc w:val="both"/>
              <w:rPr>
                <w:rFonts w:hint="eastAsia" w:ascii="宋体" w:hAnsi="宋体" w:eastAsia="宋体" w:cs="宋体"/>
                <w:b w:val="0"/>
                <w:bCs w:val="0"/>
                <w:color w:val="auto"/>
                <w:kern w:val="2"/>
                <w:sz w:val="24"/>
                <w:szCs w:val="24"/>
                <w:highlight w:val="none"/>
                <w:u w:val="none"/>
                <w:lang w:val="en-US" w:eastAsia="zh-CN" w:bidi="ar"/>
              </w:rPr>
            </w:pPr>
            <w:r>
              <w:rPr>
                <w:rFonts w:hint="eastAsia" w:ascii="宋体" w:hAnsi="宋体" w:eastAsia="宋体" w:cs="宋体"/>
                <w:b w:val="0"/>
                <w:bCs w:val="0"/>
                <w:color w:val="auto"/>
                <w:kern w:val="2"/>
                <w:sz w:val="24"/>
                <w:szCs w:val="24"/>
                <w:highlight w:val="none"/>
                <w:u w:val="none"/>
                <w:lang w:val="en-US" w:eastAsia="zh-CN" w:bidi="ar"/>
              </w:rPr>
              <w:t>投标文件递交的截止时间：</w:t>
            </w:r>
            <w:r>
              <w:rPr>
                <w:rFonts w:hint="eastAsia" w:ascii="宋体" w:hAnsi="宋体" w:eastAsia="宋体" w:cs="宋体"/>
                <w:b w:val="0"/>
                <w:bCs w:val="0"/>
                <w:color w:val="auto"/>
                <w:kern w:val="2"/>
                <w:sz w:val="24"/>
                <w:szCs w:val="24"/>
                <w:highlight w:val="none"/>
                <w:u w:val="single"/>
                <w:lang w:val="en-US" w:eastAsia="zh-CN" w:bidi="ar"/>
              </w:rPr>
              <w:t>同投标截止时间</w:t>
            </w:r>
          </w:p>
          <w:p w14:paraId="1C8D70EB">
            <w:pPr>
              <w:pageBreakBefore w:val="0"/>
              <w:widowControl w:val="0"/>
              <w:kinsoku/>
              <w:wordWrap w:val="0"/>
              <w:overflowPunct/>
              <w:bidi w:val="0"/>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b w:val="0"/>
                <w:bCs w:val="0"/>
                <w:color w:val="auto"/>
                <w:kern w:val="2"/>
                <w:sz w:val="24"/>
                <w:szCs w:val="24"/>
                <w:highlight w:val="none"/>
                <w:u w:val="none"/>
                <w:lang w:val="en-US" w:eastAsia="zh-CN" w:bidi="ar"/>
              </w:rPr>
              <w:t>递交地点：“政府采购云平台”（https://www.zcygov.cn/)。投标人应在投标截止时间前完成所有投标文件的上传，逾期未完成上传或未按规定加密的投标文件，视为放弃投标。</w:t>
            </w:r>
          </w:p>
        </w:tc>
      </w:tr>
      <w:tr w14:paraId="7A31A886">
        <w:tblPrEx>
          <w:tblCellMar>
            <w:top w:w="0" w:type="dxa"/>
            <w:left w:w="0" w:type="dxa"/>
            <w:bottom w:w="0" w:type="dxa"/>
            <w:right w:w="0" w:type="dxa"/>
          </w:tblCellMar>
        </w:tblPrEx>
        <w:trPr>
          <w:trHeight w:val="94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AFEEDA9">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4.2.</w:t>
            </w:r>
            <w:r>
              <w:rPr>
                <w:rFonts w:hint="eastAsia" w:ascii="宋体" w:hAnsi="宋体" w:eastAsia="宋体" w:cs="宋体"/>
                <w:color w:val="auto"/>
                <w:kern w:val="2"/>
                <w:sz w:val="24"/>
                <w:szCs w:val="24"/>
                <w:highlight w:val="none"/>
                <w:lang w:val="en-US" w:eastAsia="zh-CN"/>
              </w:rPr>
              <w:t>3</w:t>
            </w:r>
          </w:p>
        </w:tc>
        <w:tc>
          <w:tcPr>
            <w:tcW w:w="1496" w:type="dxa"/>
            <w:tcBorders>
              <w:top w:val="single" w:color="auto" w:sz="8" w:space="0"/>
              <w:left w:val="nil"/>
              <w:bottom w:val="single" w:color="auto" w:sz="8" w:space="0"/>
              <w:right w:val="single" w:color="auto" w:sz="8" w:space="0"/>
            </w:tcBorders>
            <w:vAlign w:val="center"/>
          </w:tcPr>
          <w:p w14:paraId="4EF449C9">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投标文件是否退还</w:t>
            </w:r>
          </w:p>
        </w:tc>
        <w:tc>
          <w:tcPr>
            <w:tcW w:w="7339" w:type="dxa"/>
            <w:tcBorders>
              <w:top w:val="single" w:color="auto" w:sz="8" w:space="0"/>
              <w:left w:val="nil"/>
              <w:bottom w:val="single" w:color="auto" w:sz="8" w:space="0"/>
              <w:right w:val="single" w:color="auto" w:sz="8" w:space="0"/>
            </w:tcBorders>
            <w:vAlign w:val="center"/>
          </w:tcPr>
          <w:p w14:paraId="7B54DC6C">
            <w:pPr>
              <w:pageBreakBefore w:val="0"/>
              <w:kinsoku/>
              <w:wordWrap w:val="0"/>
              <w:overflowPunct/>
              <w:bidi w:val="0"/>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投标文件退还：☑否</w:t>
            </w:r>
          </w:p>
          <w:p w14:paraId="0307050A">
            <w:pPr>
              <w:pageBreakBefore w:val="0"/>
              <w:kinsoku/>
              <w:wordWrap w:val="0"/>
              <w:overflowPunct/>
              <w:bidi w:val="0"/>
              <w:spacing w:line="400" w:lineRule="exact"/>
              <w:ind w:firstLine="16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□是，退还时间：</w:t>
            </w:r>
            <w:r>
              <w:rPr>
                <w:rFonts w:hint="eastAsia" w:ascii="宋体" w:hAnsi="宋体" w:eastAsia="宋体" w:cs="宋体"/>
                <w:color w:val="auto"/>
                <w:kern w:val="2"/>
                <w:sz w:val="24"/>
                <w:szCs w:val="24"/>
                <w:highlight w:val="none"/>
                <w:u w:val="single"/>
              </w:rPr>
              <w:t xml:space="preserve">          </w:t>
            </w:r>
          </w:p>
        </w:tc>
      </w:tr>
      <w:tr w14:paraId="22A48928">
        <w:tblPrEx>
          <w:tblCellMar>
            <w:top w:w="0" w:type="dxa"/>
            <w:left w:w="0" w:type="dxa"/>
            <w:bottom w:w="0" w:type="dxa"/>
            <w:right w:w="0" w:type="dxa"/>
          </w:tblCellMar>
        </w:tblPrEx>
        <w:trPr>
          <w:trHeight w:val="90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C9B9D77">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5.1</w:t>
            </w:r>
          </w:p>
        </w:tc>
        <w:tc>
          <w:tcPr>
            <w:tcW w:w="1496" w:type="dxa"/>
            <w:tcBorders>
              <w:top w:val="single" w:color="auto" w:sz="8" w:space="0"/>
              <w:left w:val="nil"/>
              <w:bottom w:val="single" w:color="auto" w:sz="8" w:space="0"/>
              <w:right w:val="single" w:color="auto" w:sz="8" w:space="0"/>
            </w:tcBorders>
            <w:vAlign w:val="center"/>
          </w:tcPr>
          <w:p w14:paraId="46F08547">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开标时间和地点</w:t>
            </w:r>
          </w:p>
        </w:tc>
        <w:tc>
          <w:tcPr>
            <w:tcW w:w="7339" w:type="dxa"/>
            <w:tcBorders>
              <w:top w:val="single" w:color="auto" w:sz="8" w:space="0"/>
              <w:left w:val="nil"/>
              <w:bottom w:val="single" w:color="auto" w:sz="8" w:space="0"/>
              <w:right w:val="single" w:color="auto" w:sz="8" w:space="0"/>
            </w:tcBorders>
            <w:vAlign w:val="center"/>
          </w:tcPr>
          <w:p w14:paraId="7534033A">
            <w:pPr>
              <w:pageBreakBefore w:val="0"/>
              <w:kinsoku/>
              <w:wordWrap w:val="0"/>
              <w:overflowPunct/>
              <w:bidi w:val="0"/>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开标时间：同投标截止时间</w:t>
            </w:r>
          </w:p>
          <w:p w14:paraId="01F06FE9">
            <w:pPr>
              <w:pageBreakBefore w:val="0"/>
              <w:widowControl w:val="0"/>
              <w:kinsoku/>
              <w:wordWrap w:val="0"/>
              <w:overflowPunct/>
              <w:bidi w:val="0"/>
              <w:spacing w:line="360" w:lineRule="auto"/>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u w:val="none"/>
                <w:lang w:val="en-US" w:eastAsia="zh-CN" w:bidi="ar"/>
              </w:rPr>
              <w:t>开标解密投标文件地点：</w:t>
            </w:r>
            <w:r>
              <w:rPr>
                <w:rFonts w:hint="eastAsia" w:ascii="宋体" w:hAnsi="宋体" w:eastAsia="宋体" w:cs="宋体"/>
                <w:color w:val="auto"/>
                <w:kern w:val="2"/>
                <w:sz w:val="24"/>
                <w:szCs w:val="24"/>
                <w:highlight w:val="none"/>
                <w:u w:val="single"/>
                <w:lang w:val="en-US" w:eastAsia="zh-CN" w:bidi="ar"/>
              </w:rPr>
              <w:t>云南省德宏州芒市文蚌街中缅友谊馆二楼（德宏州公共资源交易中心），</w:t>
            </w:r>
            <w:r>
              <w:rPr>
                <w:rFonts w:hint="eastAsia" w:ascii="宋体" w:hAnsi="宋体" w:eastAsia="宋体" w:cs="宋体"/>
                <w:color w:val="auto"/>
                <w:sz w:val="24"/>
                <w:szCs w:val="24"/>
                <w:highlight w:val="none"/>
                <w:u w:val="single"/>
              </w:rPr>
              <w:t>“政府采购云平台”（https://www.zcygov.cn/)</w:t>
            </w:r>
            <w:r>
              <w:rPr>
                <w:rFonts w:hint="eastAsia" w:ascii="宋体" w:hAnsi="宋体" w:eastAsia="宋体" w:cs="宋体"/>
                <w:b w:val="0"/>
                <w:bCs w:val="0"/>
                <w:color w:val="auto"/>
                <w:kern w:val="2"/>
                <w:sz w:val="24"/>
                <w:szCs w:val="24"/>
                <w:highlight w:val="none"/>
                <w:u w:val="none"/>
                <w:lang w:val="en-US" w:eastAsia="zh-CN" w:bidi="ar"/>
              </w:rPr>
              <w:t>。</w:t>
            </w:r>
          </w:p>
        </w:tc>
      </w:tr>
      <w:tr w14:paraId="3D80F08C">
        <w:tblPrEx>
          <w:tblCellMar>
            <w:top w:w="0" w:type="dxa"/>
            <w:left w:w="0" w:type="dxa"/>
            <w:bottom w:w="0" w:type="dxa"/>
            <w:right w:w="0" w:type="dxa"/>
          </w:tblCellMar>
        </w:tblPrEx>
        <w:trPr>
          <w:trHeight w:val="48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C143833">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5.3</w:t>
            </w:r>
          </w:p>
        </w:tc>
        <w:tc>
          <w:tcPr>
            <w:tcW w:w="1496" w:type="dxa"/>
            <w:tcBorders>
              <w:top w:val="single" w:color="auto" w:sz="8" w:space="0"/>
              <w:left w:val="nil"/>
              <w:bottom w:val="single" w:color="auto" w:sz="8" w:space="0"/>
              <w:right w:val="single" w:color="auto" w:sz="8" w:space="0"/>
            </w:tcBorders>
            <w:vAlign w:val="center"/>
          </w:tcPr>
          <w:p w14:paraId="2D49F0D0">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电子开标及投标文件解密</w:t>
            </w:r>
          </w:p>
        </w:tc>
        <w:tc>
          <w:tcPr>
            <w:tcW w:w="7339" w:type="dxa"/>
            <w:tcBorders>
              <w:top w:val="single" w:color="auto" w:sz="8" w:space="0"/>
              <w:left w:val="nil"/>
              <w:bottom w:val="single" w:color="auto" w:sz="8" w:space="0"/>
              <w:right w:val="single" w:color="auto" w:sz="8" w:space="0"/>
            </w:tcBorders>
            <w:vAlign w:val="center"/>
          </w:tcPr>
          <w:p w14:paraId="24927AD9">
            <w:pPr>
              <w:pageBreakBefore w:val="0"/>
              <w:widowControl w:val="0"/>
              <w:kinsoku/>
              <w:wordWrap w:val="0"/>
              <w:overflowPunct/>
              <w:bidi w:val="0"/>
              <w:spacing w:line="360" w:lineRule="auto"/>
              <w:ind w:firstLine="480" w:firstLineChars="200"/>
              <w:jc w:val="both"/>
              <w:rPr>
                <w:rFonts w:hint="eastAsia" w:ascii="宋体" w:hAnsi="宋体" w:eastAsia="宋体" w:cs="宋体"/>
                <w:b w:val="0"/>
                <w:bCs w:val="0"/>
                <w:color w:val="auto"/>
                <w:kern w:val="2"/>
                <w:sz w:val="24"/>
                <w:szCs w:val="24"/>
                <w:highlight w:val="none"/>
                <w:u w:val="none"/>
                <w:lang w:val="en-US" w:eastAsia="zh-CN" w:bidi="ar"/>
              </w:rPr>
            </w:pPr>
            <w:r>
              <w:rPr>
                <w:rFonts w:hint="eastAsia" w:ascii="宋体" w:hAnsi="宋体" w:eastAsia="宋体" w:cs="宋体"/>
                <w:b w:val="0"/>
                <w:bCs w:val="0"/>
                <w:color w:val="auto"/>
                <w:kern w:val="2"/>
                <w:sz w:val="24"/>
                <w:szCs w:val="24"/>
                <w:highlight w:val="none"/>
                <w:u w:val="none"/>
                <w:lang w:val="en-US" w:eastAsia="zh-CN" w:bidi="ar"/>
              </w:rPr>
              <w:t>网上递交投标文件后，投标人可根据自身情况选择到现场开标解密投标文件或者网上开标远程解密投标文件。</w:t>
            </w:r>
          </w:p>
          <w:p w14:paraId="1F6B5586">
            <w:pPr>
              <w:pageBreakBefore w:val="0"/>
              <w:kinsoku/>
              <w:wordWrap w:val="0"/>
              <w:overflowPunct/>
              <w:bidi w:val="0"/>
              <w:spacing w:before="78" w:beforeLines="25" w:after="78" w:afterLines="25" w:line="300" w:lineRule="auto"/>
              <w:ind w:firstLine="480" w:firstLineChars="200"/>
              <w:rPr>
                <w:rFonts w:hint="eastAsia" w:ascii="宋体" w:hAnsi="宋体" w:eastAsia="宋体" w:cs="宋体"/>
                <w:b w:val="0"/>
                <w:bCs/>
                <w:color w:val="auto"/>
                <w:sz w:val="24"/>
                <w:szCs w:val="24"/>
                <w:highlight w:val="none"/>
                <w:lang w:val="zh-CN" w:eastAsia="zh-CN" w:bidi="ar-SA"/>
              </w:rPr>
            </w:pPr>
            <w:r>
              <w:rPr>
                <w:rFonts w:hint="eastAsia" w:ascii="宋体" w:hAnsi="宋体" w:eastAsia="宋体" w:cs="宋体"/>
                <w:bCs/>
                <w:color w:val="auto"/>
                <w:sz w:val="24"/>
                <w:szCs w:val="24"/>
                <w:highlight w:val="none"/>
                <w:lang w:val="en-US" w:eastAsia="zh-CN"/>
              </w:rPr>
              <w:t>远程解密：</w:t>
            </w:r>
            <w:r>
              <w:rPr>
                <w:rFonts w:hint="eastAsia" w:ascii="宋体" w:hAnsi="宋体" w:eastAsia="宋体" w:cs="宋体"/>
                <w:b w:val="0"/>
                <w:bCs/>
                <w:color w:val="auto"/>
                <w:sz w:val="24"/>
                <w:szCs w:val="24"/>
                <w:highlight w:val="none"/>
                <w:lang w:val="en-US" w:eastAsia="zh-CN" w:bidi="ar-SA"/>
              </w:rPr>
              <w:t>投标人</w:t>
            </w:r>
            <w:r>
              <w:rPr>
                <w:rFonts w:hint="eastAsia" w:ascii="宋体" w:hAnsi="宋体" w:eastAsia="宋体" w:cs="宋体"/>
                <w:b w:val="0"/>
                <w:bCs/>
                <w:color w:val="auto"/>
                <w:sz w:val="24"/>
                <w:szCs w:val="24"/>
                <w:highlight w:val="none"/>
                <w:lang w:val="zh-CN" w:eastAsia="zh-CN" w:bidi="ar-SA"/>
              </w:rPr>
              <w:t>无需到达开标地点，须按“政府采购云平台”（https://www.zcygov.cn/)远程解密、开标的要求在规定时间完成签到、在线解密、开标一览表确认等相关操作,若</w:t>
            </w:r>
            <w:r>
              <w:rPr>
                <w:rFonts w:hint="eastAsia" w:ascii="宋体" w:hAnsi="宋体" w:eastAsia="宋体" w:cs="宋体"/>
                <w:b w:val="0"/>
                <w:bCs/>
                <w:color w:val="auto"/>
                <w:sz w:val="24"/>
                <w:szCs w:val="24"/>
                <w:highlight w:val="none"/>
                <w:lang w:val="en-US" w:eastAsia="zh-CN" w:bidi="ar-SA"/>
              </w:rPr>
              <w:t>投标人</w:t>
            </w:r>
            <w:r>
              <w:rPr>
                <w:rFonts w:hint="eastAsia" w:ascii="宋体" w:hAnsi="宋体" w:eastAsia="宋体" w:cs="宋体"/>
                <w:b w:val="0"/>
                <w:bCs/>
                <w:color w:val="auto"/>
                <w:sz w:val="24"/>
                <w:szCs w:val="24"/>
                <w:highlight w:val="none"/>
                <w:lang w:val="zh-CN" w:eastAsia="zh-CN" w:bidi="ar-SA"/>
              </w:rPr>
              <w:t>没有在规定时间完成以上相关操作，则视为撤</w:t>
            </w:r>
            <w:r>
              <w:rPr>
                <w:rFonts w:hint="eastAsia" w:ascii="宋体" w:hAnsi="宋体" w:eastAsia="宋体" w:cs="宋体"/>
                <w:b w:val="0"/>
                <w:bCs/>
                <w:color w:val="auto"/>
                <w:sz w:val="24"/>
                <w:szCs w:val="24"/>
                <w:highlight w:val="none"/>
                <w:lang w:val="en-US" w:eastAsia="zh-CN" w:bidi="ar-SA"/>
              </w:rPr>
              <w:t>回</w:t>
            </w:r>
            <w:r>
              <w:rPr>
                <w:rFonts w:hint="eastAsia" w:ascii="宋体" w:hAnsi="宋体" w:eastAsia="宋体" w:cs="宋体"/>
                <w:b w:val="0"/>
                <w:bCs/>
                <w:color w:val="auto"/>
                <w:sz w:val="24"/>
                <w:szCs w:val="24"/>
                <w:highlight w:val="none"/>
                <w:lang w:val="zh-CN" w:eastAsia="zh-CN" w:bidi="ar-SA"/>
              </w:rPr>
              <w:t>其</w:t>
            </w:r>
            <w:r>
              <w:rPr>
                <w:rFonts w:hint="eastAsia" w:ascii="宋体" w:hAnsi="宋体" w:eastAsia="宋体" w:cs="宋体"/>
                <w:b w:val="0"/>
                <w:bCs/>
                <w:color w:val="auto"/>
                <w:sz w:val="24"/>
                <w:szCs w:val="24"/>
                <w:highlight w:val="none"/>
                <w:lang w:val="en-US" w:eastAsia="zh-CN" w:bidi="ar-SA"/>
              </w:rPr>
              <w:t>投标</w:t>
            </w:r>
            <w:r>
              <w:rPr>
                <w:rFonts w:hint="eastAsia" w:ascii="宋体" w:hAnsi="宋体" w:eastAsia="宋体" w:cs="宋体"/>
                <w:b w:val="0"/>
                <w:bCs/>
                <w:color w:val="auto"/>
                <w:sz w:val="24"/>
                <w:szCs w:val="24"/>
                <w:highlight w:val="none"/>
                <w:lang w:val="zh-CN" w:eastAsia="zh-CN" w:bidi="ar-SA"/>
              </w:rPr>
              <w:t>文件，不再进入评标阶段。请</w:t>
            </w:r>
            <w:r>
              <w:rPr>
                <w:rFonts w:hint="eastAsia" w:ascii="宋体" w:hAnsi="宋体" w:eastAsia="宋体" w:cs="宋体"/>
                <w:b w:val="0"/>
                <w:bCs/>
                <w:color w:val="auto"/>
                <w:sz w:val="24"/>
                <w:szCs w:val="24"/>
                <w:highlight w:val="none"/>
                <w:lang w:val="en-US" w:eastAsia="zh-CN" w:bidi="ar-SA"/>
              </w:rPr>
              <w:t>投标人</w:t>
            </w:r>
            <w:r>
              <w:rPr>
                <w:rFonts w:hint="eastAsia" w:ascii="宋体" w:hAnsi="宋体" w:eastAsia="宋体" w:cs="宋体"/>
                <w:b w:val="0"/>
                <w:bCs/>
                <w:color w:val="auto"/>
                <w:sz w:val="24"/>
                <w:szCs w:val="24"/>
                <w:highlight w:val="none"/>
                <w:lang w:val="zh-CN" w:eastAsia="zh-CN" w:bidi="ar-SA"/>
              </w:rPr>
              <w:t>提前熟悉“政府采购云平台”操作手册。任何因忽视或误解而导致</w:t>
            </w:r>
            <w:r>
              <w:rPr>
                <w:rFonts w:hint="eastAsia" w:ascii="宋体" w:hAnsi="宋体" w:eastAsia="宋体" w:cs="宋体"/>
                <w:b w:val="0"/>
                <w:bCs/>
                <w:color w:val="auto"/>
                <w:sz w:val="24"/>
                <w:szCs w:val="24"/>
                <w:highlight w:val="none"/>
                <w:lang w:val="en-US" w:eastAsia="zh-CN" w:bidi="ar-SA"/>
              </w:rPr>
              <w:t>投标</w:t>
            </w:r>
            <w:r>
              <w:rPr>
                <w:rFonts w:hint="eastAsia" w:ascii="宋体" w:hAnsi="宋体" w:eastAsia="宋体" w:cs="宋体"/>
                <w:b w:val="0"/>
                <w:bCs/>
                <w:color w:val="auto"/>
                <w:sz w:val="24"/>
                <w:szCs w:val="24"/>
                <w:highlight w:val="none"/>
                <w:lang w:val="zh-CN" w:eastAsia="zh-CN" w:bidi="ar-SA"/>
              </w:rPr>
              <w:t>文件未上传或已上传但未按规定的操作流程及时间要求进行解密的，由</w:t>
            </w:r>
            <w:r>
              <w:rPr>
                <w:rFonts w:hint="eastAsia" w:ascii="宋体" w:hAnsi="宋体" w:eastAsia="宋体" w:cs="宋体"/>
                <w:b w:val="0"/>
                <w:bCs/>
                <w:color w:val="auto"/>
                <w:sz w:val="24"/>
                <w:szCs w:val="24"/>
                <w:highlight w:val="none"/>
                <w:lang w:val="en-US" w:eastAsia="zh-CN" w:bidi="ar-SA"/>
              </w:rPr>
              <w:t>投标人</w:t>
            </w:r>
            <w:r>
              <w:rPr>
                <w:rFonts w:hint="eastAsia" w:ascii="宋体" w:hAnsi="宋体" w:eastAsia="宋体" w:cs="宋体"/>
                <w:b w:val="0"/>
                <w:bCs/>
                <w:color w:val="auto"/>
                <w:sz w:val="24"/>
                <w:szCs w:val="24"/>
                <w:highlight w:val="none"/>
                <w:lang w:val="zh-CN" w:eastAsia="zh-CN" w:bidi="ar-SA"/>
              </w:rPr>
              <w:t>自行负责。</w:t>
            </w:r>
          </w:p>
          <w:p w14:paraId="2FC38AC8">
            <w:pPr>
              <w:pageBreakBefore w:val="0"/>
              <w:kinsoku/>
              <w:wordWrap w:val="0"/>
              <w:overflowPunct/>
              <w:bidi w:val="0"/>
              <w:spacing w:before="78" w:beforeLines="25" w:after="78" w:afterLines="25" w:line="30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bCs/>
                <w:color w:val="auto"/>
                <w:sz w:val="24"/>
                <w:szCs w:val="24"/>
                <w:highlight w:val="none"/>
                <w:lang w:val="en-US" w:eastAsia="zh-CN"/>
              </w:rPr>
              <w:t>现场解密：投标人携带加密锁在投标文件截止时间前到达现场解密。逾期到达或未</w:t>
            </w:r>
            <w:r>
              <w:rPr>
                <w:rFonts w:hint="eastAsia" w:ascii="宋体" w:hAnsi="宋体" w:eastAsia="宋体" w:cs="宋体"/>
                <w:bCs/>
                <w:color w:val="auto"/>
                <w:sz w:val="24"/>
                <w:szCs w:val="24"/>
                <w:highlight w:val="none"/>
              </w:rPr>
              <w:t>在规定时间内完成解密</w:t>
            </w:r>
            <w:r>
              <w:rPr>
                <w:rFonts w:hint="eastAsia" w:ascii="宋体" w:hAnsi="宋体" w:eastAsia="宋体" w:cs="宋体"/>
                <w:b w:val="0"/>
                <w:bCs/>
                <w:color w:val="auto"/>
                <w:sz w:val="24"/>
                <w:szCs w:val="24"/>
                <w:highlight w:val="none"/>
                <w:lang w:val="zh-CN" w:eastAsia="zh-CN" w:bidi="ar-SA"/>
              </w:rPr>
              <w:t>则视为撤</w:t>
            </w:r>
            <w:r>
              <w:rPr>
                <w:rFonts w:hint="eastAsia" w:ascii="宋体" w:hAnsi="宋体" w:eastAsia="宋体" w:cs="宋体"/>
                <w:b w:val="0"/>
                <w:bCs/>
                <w:color w:val="auto"/>
                <w:sz w:val="24"/>
                <w:szCs w:val="24"/>
                <w:highlight w:val="none"/>
                <w:lang w:val="en-US" w:eastAsia="zh-CN" w:bidi="ar-SA"/>
              </w:rPr>
              <w:t>回</w:t>
            </w:r>
            <w:r>
              <w:rPr>
                <w:rFonts w:hint="eastAsia" w:ascii="宋体" w:hAnsi="宋体" w:eastAsia="宋体" w:cs="宋体"/>
                <w:b w:val="0"/>
                <w:bCs/>
                <w:color w:val="auto"/>
                <w:sz w:val="24"/>
                <w:szCs w:val="24"/>
                <w:highlight w:val="none"/>
                <w:lang w:val="zh-CN" w:eastAsia="zh-CN" w:bidi="ar-SA"/>
              </w:rPr>
              <w:t>其</w:t>
            </w:r>
            <w:r>
              <w:rPr>
                <w:rFonts w:hint="eastAsia" w:ascii="宋体" w:hAnsi="宋体" w:eastAsia="宋体" w:cs="宋体"/>
                <w:b w:val="0"/>
                <w:bCs/>
                <w:color w:val="auto"/>
                <w:sz w:val="24"/>
                <w:szCs w:val="24"/>
                <w:highlight w:val="none"/>
                <w:lang w:val="en-US" w:eastAsia="zh-CN" w:bidi="ar-SA"/>
              </w:rPr>
              <w:t>投标</w:t>
            </w:r>
            <w:r>
              <w:rPr>
                <w:rFonts w:hint="eastAsia" w:ascii="宋体" w:hAnsi="宋体" w:eastAsia="宋体" w:cs="宋体"/>
                <w:b w:val="0"/>
                <w:bCs/>
                <w:color w:val="auto"/>
                <w:sz w:val="24"/>
                <w:szCs w:val="24"/>
                <w:highlight w:val="none"/>
                <w:lang w:val="zh-CN" w:eastAsia="zh-CN" w:bidi="ar-SA"/>
              </w:rPr>
              <w:t>文件，不再进入评标阶段</w:t>
            </w:r>
            <w:r>
              <w:rPr>
                <w:rFonts w:hint="eastAsia" w:ascii="宋体" w:hAnsi="宋体" w:eastAsia="宋体" w:cs="宋体"/>
                <w:bCs/>
                <w:color w:val="auto"/>
                <w:sz w:val="24"/>
                <w:szCs w:val="24"/>
                <w:highlight w:val="none"/>
                <w:lang w:val="en-US" w:eastAsia="zh-CN"/>
              </w:rPr>
              <w:t>。</w:t>
            </w:r>
            <w:r>
              <w:rPr>
                <w:rFonts w:hint="eastAsia" w:ascii="宋体" w:hAnsi="宋体" w:eastAsia="宋体" w:cs="宋体"/>
                <w:b w:val="0"/>
                <w:bCs w:val="0"/>
                <w:color w:val="auto"/>
                <w:kern w:val="2"/>
                <w:sz w:val="24"/>
                <w:szCs w:val="24"/>
                <w:highlight w:val="none"/>
                <w:u w:val="none"/>
                <w:lang w:val="en-US" w:eastAsia="zh-CN" w:bidi="ar"/>
              </w:rPr>
              <w:t xml:space="preserve"> </w:t>
            </w:r>
          </w:p>
        </w:tc>
      </w:tr>
      <w:tr w14:paraId="5F41934E">
        <w:tblPrEx>
          <w:tblCellMar>
            <w:top w:w="0" w:type="dxa"/>
            <w:left w:w="0" w:type="dxa"/>
            <w:bottom w:w="0" w:type="dxa"/>
            <w:right w:w="0" w:type="dxa"/>
          </w:tblCellMar>
        </w:tblPrEx>
        <w:trPr>
          <w:trHeight w:val="90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303617B1">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5.4</w:t>
            </w:r>
          </w:p>
        </w:tc>
        <w:tc>
          <w:tcPr>
            <w:tcW w:w="1496" w:type="dxa"/>
            <w:tcBorders>
              <w:top w:val="single" w:color="auto" w:sz="8" w:space="0"/>
              <w:left w:val="nil"/>
              <w:bottom w:val="single" w:color="auto" w:sz="8" w:space="0"/>
              <w:right w:val="single" w:color="auto" w:sz="8" w:space="0"/>
            </w:tcBorders>
            <w:vAlign w:val="center"/>
          </w:tcPr>
          <w:p w14:paraId="127DD965">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开标异议</w:t>
            </w:r>
          </w:p>
        </w:tc>
        <w:tc>
          <w:tcPr>
            <w:tcW w:w="7339" w:type="dxa"/>
            <w:tcBorders>
              <w:top w:val="single" w:color="auto" w:sz="8" w:space="0"/>
              <w:left w:val="nil"/>
              <w:bottom w:val="single" w:color="auto" w:sz="8" w:space="0"/>
              <w:right w:val="single" w:color="auto" w:sz="8" w:space="0"/>
            </w:tcBorders>
            <w:vAlign w:val="center"/>
          </w:tcPr>
          <w:p w14:paraId="600E705C">
            <w:pPr>
              <w:pageBreakBefore w:val="0"/>
              <w:kinsoku/>
              <w:wordWrap w:val="0"/>
              <w:overflowPunct/>
              <w:bidi w:val="0"/>
              <w:spacing w:line="400" w:lineRule="exact"/>
              <w:ind w:firstLine="480" w:firstLineChars="200"/>
              <w:rPr>
                <w:rFonts w:hint="eastAsia" w:ascii="宋体" w:hAnsi="宋体" w:eastAsia="宋体" w:cs="宋体"/>
                <w:b w:val="0"/>
                <w:bCs w:val="0"/>
                <w:color w:val="auto"/>
                <w:kern w:val="2"/>
                <w:sz w:val="24"/>
                <w:szCs w:val="24"/>
                <w:highlight w:val="none"/>
                <w:u w:val="none"/>
                <w:lang w:val="en-US" w:eastAsia="zh-CN" w:bidi="ar"/>
              </w:rPr>
            </w:pPr>
            <w:r>
              <w:rPr>
                <w:rFonts w:hint="eastAsia" w:ascii="宋体" w:hAnsi="宋体" w:eastAsia="宋体" w:cs="宋体"/>
                <w:b w:val="0"/>
                <w:bCs/>
                <w:color w:val="auto"/>
                <w:sz w:val="24"/>
                <w:szCs w:val="24"/>
                <w:highlight w:val="none"/>
                <w:lang w:val="zh-CN" w:eastAsia="zh-CN" w:bidi="ar-SA"/>
              </w:rPr>
              <w:t>开标过程中如有问题，可以发起在线异议</w:t>
            </w:r>
            <w:r>
              <w:rPr>
                <w:rFonts w:hint="eastAsia" w:ascii="宋体" w:hAnsi="宋体" w:eastAsia="宋体" w:cs="宋体"/>
                <w:b w:val="0"/>
                <w:bCs/>
                <w:color w:val="auto"/>
                <w:sz w:val="24"/>
                <w:szCs w:val="24"/>
                <w:highlight w:val="none"/>
                <w:lang w:val="en-US" w:eastAsia="zh-CN" w:bidi="ar-SA"/>
              </w:rPr>
              <w:t>或现场提出异议</w:t>
            </w:r>
            <w:r>
              <w:rPr>
                <w:rFonts w:hint="eastAsia" w:ascii="宋体" w:hAnsi="宋体" w:eastAsia="宋体" w:cs="宋体"/>
                <w:b w:val="0"/>
                <w:bCs/>
                <w:color w:val="auto"/>
                <w:sz w:val="24"/>
                <w:szCs w:val="24"/>
                <w:highlight w:val="none"/>
                <w:lang w:val="zh-CN" w:eastAsia="zh-CN" w:bidi="ar-SA"/>
              </w:rPr>
              <w:t>，由</w:t>
            </w:r>
            <w:r>
              <w:rPr>
                <w:rFonts w:hint="eastAsia" w:ascii="宋体" w:hAnsi="宋体" w:cs="宋体"/>
                <w:b w:val="0"/>
                <w:bCs/>
                <w:color w:val="auto"/>
                <w:sz w:val="24"/>
                <w:szCs w:val="24"/>
                <w:highlight w:val="none"/>
                <w:lang w:val="zh-CN" w:eastAsia="zh-CN" w:bidi="ar-SA"/>
              </w:rPr>
              <w:t>采购代理机构</w:t>
            </w:r>
            <w:r>
              <w:rPr>
                <w:rFonts w:hint="eastAsia" w:ascii="宋体" w:hAnsi="宋体" w:eastAsia="宋体" w:cs="宋体"/>
                <w:b w:val="0"/>
                <w:bCs/>
                <w:color w:val="auto"/>
                <w:sz w:val="24"/>
                <w:szCs w:val="24"/>
                <w:highlight w:val="none"/>
                <w:lang w:val="zh-CN" w:eastAsia="zh-CN" w:bidi="ar-SA"/>
              </w:rPr>
              <w:t>给予对应的回复。</w:t>
            </w:r>
            <w:r>
              <w:rPr>
                <w:rFonts w:hint="eastAsia" w:ascii="宋体" w:hAnsi="宋体" w:eastAsia="宋体" w:cs="宋体"/>
                <w:b w:val="0"/>
                <w:bCs w:val="0"/>
                <w:color w:val="auto"/>
                <w:kern w:val="2"/>
                <w:sz w:val="24"/>
                <w:szCs w:val="24"/>
                <w:highlight w:val="none"/>
                <w:u w:val="none"/>
                <w:lang w:val="en-US" w:eastAsia="zh-CN" w:bidi="ar"/>
              </w:rPr>
              <w:t>唱标结束后，投标人在</w:t>
            </w:r>
            <w:r>
              <w:rPr>
                <w:rFonts w:hint="eastAsia" w:ascii="宋体" w:hAnsi="宋体" w:cs="宋体"/>
                <w:b w:val="0"/>
                <w:bCs w:val="0"/>
                <w:color w:val="auto"/>
                <w:kern w:val="2"/>
                <w:sz w:val="24"/>
                <w:szCs w:val="24"/>
                <w:highlight w:val="none"/>
                <w:u w:val="none"/>
                <w:lang w:val="en-US" w:eastAsia="zh-CN" w:bidi="ar"/>
              </w:rPr>
              <w:t>采购人</w:t>
            </w:r>
            <w:r>
              <w:rPr>
                <w:rFonts w:hint="eastAsia" w:ascii="宋体" w:hAnsi="宋体" w:eastAsia="宋体" w:cs="宋体"/>
                <w:b w:val="0"/>
                <w:bCs w:val="0"/>
                <w:color w:val="auto"/>
                <w:kern w:val="2"/>
                <w:sz w:val="24"/>
                <w:szCs w:val="24"/>
                <w:highlight w:val="none"/>
                <w:u w:val="none"/>
                <w:lang w:val="en-US" w:eastAsia="zh-CN" w:bidi="ar"/>
              </w:rPr>
              <w:t>规定时间内未提出异议的，视为无异议。</w:t>
            </w:r>
          </w:p>
        </w:tc>
      </w:tr>
      <w:tr w14:paraId="4628F9B6">
        <w:tblPrEx>
          <w:tblCellMar>
            <w:top w:w="0" w:type="dxa"/>
            <w:left w:w="0" w:type="dxa"/>
            <w:bottom w:w="0" w:type="dxa"/>
            <w:right w:w="0" w:type="dxa"/>
          </w:tblCellMar>
        </w:tblPrEx>
        <w:trPr>
          <w:trHeight w:val="1265"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3596A583">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7.1.1</w:t>
            </w:r>
          </w:p>
        </w:tc>
        <w:tc>
          <w:tcPr>
            <w:tcW w:w="1496" w:type="dxa"/>
            <w:tcBorders>
              <w:top w:val="single" w:color="auto" w:sz="8" w:space="0"/>
              <w:left w:val="nil"/>
              <w:bottom w:val="single" w:color="auto" w:sz="8" w:space="0"/>
              <w:right w:val="single" w:color="auto" w:sz="8" w:space="0"/>
            </w:tcBorders>
            <w:vAlign w:val="center"/>
          </w:tcPr>
          <w:p w14:paraId="18F4A5AA">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评标委员会的组成</w:t>
            </w:r>
          </w:p>
        </w:tc>
        <w:tc>
          <w:tcPr>
            <w:tcW w:w="7339" w:type="dxa"/>
            <w:tcBorders>
              <w:top w:val="single" w:color="auto" w:sz="8" w:space="0"/>
              <w:left w:val="nil"/>
              <w:bottom w:val="single" w:color="auto" w:sz="8" w:space="0"/>
              <w:right w:val="single" w:color="auto" w:sz="8" w:space="0"/>
            </w:tcBorders>
            <w:vAlign w:val="center"/>
          </w:tcPr>
          <w:p w14:paraId="68F1EB87">
            <w:pPr>
              <w:pageBreakBefore w:val="0"/>
              <w:kinsoku/>
              <w:wordWrap w:val="0"/>
              <w:overflowPunct/>
              <w:bidi w:val="0"/>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评标委员会成员人数为</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以上单数，其中评审专家不得少于成员总数的三分之二。</w:t>
            </w:r>
          </w:p>
          <w:p w14:paraId="5D3CD0DC">
            <w:pPr>
              <w:pageBreakBefore w:val="0"/>
              <w:kinsoku/>
              <w:wordWrap w:val="0"/>
              <w:overflowPunct/>
              <w:bidi w:val="0"/>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评标专家确定方式：从政府采购评审专家库中随机抽取。</w:t>
            </w:r>
          </w:p>
        </w:tc>
      </w:tr>
      <w:tr w14:paraId="5E4332CA">
        <w:tblPrEx>
          <w:tblCellMar>
            <w:top w:w="0" w:type="dxa"/>
            <w:left w:w="0" w:type="dxa"/>
            <w:bottom w:w="0" w:type="dxa"/>
            <w:right w:w="0" w:type="dxa"/>
          </w:tblCellMar>
        </w:tblPrEx>
        <w:trPr>
          <w:trHeight w:val="865"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1ED5944">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7.3.2</w:t>
            </w:r>
          </w:p>
        </w:tc>
        <w:tc>
          <w:tcPr>
            <w:tcW w:w="1496" w:type="dxa"/>
            <w:tcBorders>
              <w:top w:val="single" w:color="auto" w:sz="8" w:space="0"/>
              <w:left w:val="nil"/>
              <w:bottom w:val="single" w:color="auto" w:sz="8" w:space="0"/>
              <w:right w:val="single" w:color="auto" w:sz="8" w:space="0"/>
            </w:tcBorders>
            <w:vAlign w:val="center"/>
          </w:tcPr>
          <w:p w14:paraId="172718D5">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评标委员会推荐中标候选人的人数</w:t>
            </w:r>
          </w:p>
        </w:tc>
        <w:tc>
          <w:tcPr>
            <w:tcW w:w="7339" w:type="dxa"/>
            <w:tcBorders>
              <w:top w:val="single" w:color="auto" w:sz="8" w:space="0"/>
              <w:left w:val="nil"/>
              <w:bottom w:val="single" w:color="auto" w:sz="8" w:space="0"/>
              <w:right w:val="single" w:color="auto" w:sz="8" w:space="0"/>
            </w:tcBorders>
            <w:vAlign w:val="center"/>
          </w:tcPr>
          <w:p w14:paraId="04D64EB1">
            <w:pPr>
              <w:pStyle w:val="66"/>
              <w:pageBreakBefore w:val="0"/>
              <w:kinsoku/>
              <w:wordWrap w:val="0"/>
              <w:overflowPunct/>
              <w:bidi w:val="0"/>
              <w:spacing w:line="400" w:lineRule="exact"/>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推荐的中标候选人数：1-3</w:t>
            </w:r>
          </w:p>
        </w:tc>
      </w:tr>
      <w:tr w14:paraId="5B023D6B">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FF60AF0">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8.1</w:t>
            </w:r>
          </w:p>
        </w:tc>
        <w:tc>
          <w:tcPr>
            <w:tcW w:w="1496" w:type="dxa"/>
            <w:tcBorders>
              <w:top w:val="single" w:color="auto" w:sz="8" w:space="0"/>
              <w:left w:val="nil"/>
              <w:bottom w:val="single" w:color="auto" w:sz="8" w:space="0"/>
              <w:right w:val="single" w:color="auto" w:sz="8" w:space="0"/>
            </w:tcBorders>
            <w:vAlign w:val="center"/>
          </w:tcPr>
          <w:p w14:paraId="6C2FCF11">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是否授权评标委员会确定中标人</w:t>
            </w:r>
          </w:p>
        </w:tc>
        <w:tc>
          <w:tcPr>
            <w:tcW w:w="7339" w:type="dxa"/>
            <w:tcBorders>
              <w:top w:val="single" w:color="auto" w:sz="8" w:space="0"/>
              <w:left w:val="nil"/>
              <w:bottom w:val="single" w:color="auto" w:sz="8" w:space="0"/>
              <w:right w:val="single" w:color="auto" w:sz="8" w:space="0"/>
            </w:tcBorders>
            <w:vAlign w:val="center"/>
          </w:tcPr>
          <w:p w14:paraId="62F372EF">
            <w:pPr>
              <w:pageBreakBefore w:val="0"/>
              <w:kinsoku/>
              <w:wordWrap w:val="0"/>
              <w:overflowPunct/>
              <w:bidi w:val="0"/>
              <w:spacing w:line="400" w:lineRule="exact"/>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□是</w:t>
            </w:r>
            <w:r>
              <w:rPr>
                <w:rFonts w:hint="eastAsia" w:ascii="宋体" w:hAnsi="宋体" w:eastAsia="宋体" w:cs="宋体"/>
                <w:color w:val="auto"/>
                <w:kern w:val="2"/>
                <w:sz w:val="24"/>
                <w:szCs w:val="24"/>
                <w:highlight w:val="none"/>
                <w:lang w:val="en-US" w:eastAsia="zh-CN"/>
              </w:rPr>
              <w:t xml:space="preserve">  </w:t>
            </w:r>
          </w:p>
          <w:p w14:paraId="479161DE">
            <w:pPr>
              <w:pageBreakBefore w:val="0"/>
              <w:kinsoku/>
              <w:wordWrap w:val="0"/>
              <w:overflowPunct/>
              <w:bidi w:val="0"/>
              <w:spacing w:line="400" w:lineRule="exact"/>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☑否</w:t>
            </w:r>
          </w:p>
        </w:tc>
      </w:tr>
      <w:tr w14:paraId="6DCDC19B">
        <w:tblPrEx>
          <w:tblCellMar>
            <w:top w:w="0" w:type="dxa"/>
            <w:left w:w="0" w:type="dxa"/>
            <w:bottom w:w="0" w:type="dxa"/>
            <w:right w:w="0" w:type="dxa"/>
          </w:tblCellMar>
        </w:tblPrEx>
        <w:trPr>
          <w:trHeight w:val="86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E32A398">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8.2</w:t>
            </w:r>
          </w:p>
        </w:tc>
        <w:tc>
          <w:tcPr>
            <w:tcW w:w="1496" w:type="dxa"/>
            <w:tcBorders>
              <w:top w:val="single" w:color="auto" w:sz="8" w:space="0"/>
              <w:left w:val="nil"/>
              <w:bottom w:val="single" w:color="auto" w:sz="8" w:space="0"/>
              <w:right w:val="single" w:color="auto" w:sz="8" w:space="0"/>
            </w:tcBorders>
            <w:vAlign w:val="center"/>
          </w:tcPr>
          <w:p w14:paraId="0269B2CE">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中标公告媒介及期限</w:t>
            </w:r>
          </w:p>
        </w:tc>
        <w:tc>
          <w:tcPr>
            <w:tcW w:w="7339" w:type="dxa"/>
            <w:tcBorders>
              <w:top w:val="single" w:color="auto" w:sz="8" w:space="0"/>
              <w:left w:val="nil"/>
              <w:bottom w:val="single" w:color="auto" w:sz="8" w:space="0"/>
              <w:right w:val="single" w:color="auto" w:sz="8" w:space="0"/>
            </w:tcBorders>
            <w:vAlign w:val="center"/>
          </w:tcPr>
          <w:p w14:paraId="20C4487B">
            <w:pPr>
              <w:pageBreakBefore w:val="0"/>
              <w:kinsoku/>
              <w:wordWrap w:val="0"/>
              <w:overflowPunct/>
              <w:bidi w:val="0"/>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公告媒介：同发布招标公告的媒介</w:t>
            </w:r>
          </w:p>
          <w:p w14:paraId="05870E97">
            <w:pPr>
              <w:pageBreakBefore w:val="0"/>
              <w:kinsoku/>
              <w:wordWrap w:val="0"/>
              <w:overflowPunct/>
              <w:bidi w:val="0"/>
              <w:spacing w:line="400" w:lineRule="exact"/>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公告期限：1个工作日</w:t>
            </w:r>
          </w:p>
        </w:tc>
      </w:tr>
      <w:tr w14:paraId="42034326">
        <w:tblPrEx>
          <w:tblCellMar>
            <w:top w:w="0" w:type="dxa"/>
            <w:left w:w="0" w:type="dxa"/>
            <w:bottom w:w="0" w:type="dxa"/>
            <w:right w:w="0" w:type="dxa"/>
          </w:tblCellMar>
        </w:tblPrEx>
        <w:trPr>
          <w:trHeight w:val="111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51EA0DC">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8.4.1</w:t>
            </w:r>
          </w:p>
        </w:tc>
        <w:tc>
          <w:tcPr>
            <w:tcW w:w="1496" w:type="dxa"/>
            <w:tcBorders>
              <w:top w:val="single" w:color="auto" w:sz="8" w:space="0"/>
              <w:left w:val="nil"/>
              <w:bottom w:val="single" w:color="auto" w:sz="8" w:space="0"/>
              <w:right w:val="single" w:color="auto" w:sz="8" w:space="0"/>
            </w:tcBorders>
            <w:vAlign w:val="center"/>
          </w:tcPr>
          <w:p w14:paraId="54564CB0">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履约保证金</w:t>
            </w:r>
          </w:p>
        </w:tc>
        <w:tc>
          <w:tcPr>
            <w:tcW w:w="7339" w:type="dxa"/>
            <w:tcBorders>
              <w:top w:val="single" w:color="auto" w:sz="8" w:space="0"/>
              <w:left w:val="nil"/>
              <w:bottom w:val="single" w:color="auto" w:sz="8" w:space="0"/>
              <w:right w:val="single" w:color="auto" w:sz="8" w:space="0"/>
            </w:tcBorders>
            <w:vAlign w:val="center"/>
          </w:tcPr>
          <w:p w14:paraId="22B4AEBC">
            <w:pPr>
              <w:pageBreakBefore w:val="0"/>
              <w:kinsoku/>
              <w:wordWrap w:val="0"/>
              <w:overflowPunct/>
              <w:bidi w:val="0"/>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是否要求中标人提交履约保证金：</w:t>
            </w:r>
          </w:p>
          <w:p w14:paraId="5328F50E">
            <w:pPr>
              <w:pageBreakBefore w:val="0"/>
              <w:kinsoku/>
              <w:wordWrap w:val="0"/>
              <w:overflowPunct/>
              <w:bidi w:val="0"/>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☑要求，履约保证金的形式：</w:t>
            </w:r>
            <w:r>
              <w:rPr>
                <w:rFonts w:hint="eastAsia" w:ascii="宋体" w:hAnsi="宋体" w:eastAsia="宋体" w:cs="宋体"/>
                <w:color w:val="auto"/>
                <w:kern w:val="2"/>
                <w:sz w:val="24"/>
                <w:szCs w:val="24"/>
                <w:highlight w:val="none"/>
                <w:u w:val="single"/>
              </w:rPr>
              <w:t>现金、支票、银行保函、保单或保证保险</w:t>
            </w:r>
            <w:r>
              <w:rPr>
                <w:rFonts w:hint="eastAsia" w:ascii="宋体" w:hAnsi="宋体" w:eastAsia="宋体" w:cs="宋体"/>
                <w:color w:val="auto"/>
                <w:kern w:val="2"/>
                <w:sz w:val="24"/>
                <w:szCs w:val="24"/>
                <w:highlight w:val="none"/>
              </w:rPr>
              <w:t>等形式提交；</w:t>
            </w:r>
          </w:p>
          <w:p w14:paraId="04C888B0">
            <w:pPr>
              <w:pageBreakBefore w:val="0"/>
              <w:kinsoku/>
              <w:wordWrap w:val="0"/>
              <w:overflowPunct/>
              <w:bidi w:val="0"/>
              <w:spacing w:line="360" w:lineRule="auto"/>
              <w:rPr>
                <w:rFonts w:hint="eastAsia" w:ascii="宋体" w:hAnsi="宋体" w:eastAsia="宋体" w:cs="宋体"/>
                <w:color w:val="auto"/>
                <w:kern w:val="2"/>
                <w:sz w:val="24"/>
                <w:szCs w:val="24"/>
                <w:highlight w:val="none"/>
              </w:rPr>
            </w:pPr>
            <w:bookmarkStart w:id="91" w:name="_Hlk50501171"/>
            <w:r>
              <w:rPr>
                <w:rFonts w:hint="eastAsia" w:ascii="宋体" w:hAnsi="宋体" w:eastAsia="宋体" w:cs="宋体"/>
                <w:color w:val="auto"/>
                <w:kern w:val="2"/>
                <w:sz w:val="24"/>
                <w:szCs w:val="24"/>
                <w:highlight w:val="none"/>
              </w:rPr>
              <w:t>履约保证金的金额：</w:t>
            </w:r>
            <w:r>
              <w:rPr>
                <w:rFonts w:hint="eastAsia" w:ascii="宋体" w:hAnsi="宋体" w:eastAsia="宋体" w:cs="宋体"/>
                <w:color w:val="auto"/>
                <w:kern w:val="2"/>
                <w:sz w:val="24"/>
                <w:szCs w:val="24"/>
                <w:highlight w:val="none"/>
                <w:lang w:val="en-US" w:eastAsia="zh-CN"/>
              </w:rPr>
              <w:t>合同总金额的10%</w:t>
            </w:r>
            <w:r>
              <w:rPr>
                <w:rFonts w:hint="eastAsia" w:ascii="宋体" w:hAnsi="宋体" w:eastAsia="宋体" w:cs="宋体"/>
                <w:color w:val="auto"/>
                <w:kern w:val="2"/>
                <w:sz w:val="24"/>
                <w:szCs w:val="24"/>
                <w:highlight w:val="none"/>
              </w:rPr>
              <w:t>。</w:t>
            </w:r>
          </w:p>
          <w:bookmarkEnd w:id="91"/>
          <w:p w14:paraId="182F0058">
            <w:pPr>
              <w:pageBreakBefore w:val="0"/>
              <w:kinsoku/>
              <w:wordWrap w:val="0"/>
              <w:overflowPunct/>
              <w:bidi w:val="0"/>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□不要求</w:t>
            </w:r>
          </w:p>
        </w:tc>
      </w:tr>
      <w:tr w14:paraId="1C5F8D3A">
        <w:tblPrEx>
          <w:tblCellMar>
            <w:top w:w="0" w:type="dxa"/>
            <w:left w:w="0" w:type="dxa"/>
            <w:bottom w:w="0" w:type="dxa"/>
            <w:right w:w="0" w:type="dxa"/>
          </w:tblCellMar>
        </w:tblPrEx>
        <w:trPr>
          <w:trHeight w:val="63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2B71C03">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w:t>
            </w:r>
          </w:p>
        </w:tc>
        <w:tc>
          <w:tcPr>
            <w:tcW w:w="8835" w:type="dxa"/>
            <w:gridSpan w:val="2"/>
            <w:tcBorders>
              <w:top w:val="single" w:color="auto" w:sz="8" w:space="0"/>
              <w:left w:val="nil"/>
              <w:bottom w:val="single" w:color="auto" w:sz="8" w:space="0"/>
              <w:right w:val="single" w:color="auto" w:sz="8" w:space="0"/>
            </w:tcBorders>
            <w:vAlign w:val="center"/>
          </w:tcPr>
          <w:p w14:paraId="6D246533">
            <w:pPr>
              <w:pageBreakBefore w:val="0"/>
              <w:kinsoku/>
              <w:wordWrap w:val="0"/>
              <w:overflowPunct/>
              <w:bidi w:val="0"/>
              <w:spacing w:line="400" w:lineRule="exact"/>
              <w:rPr>
                <w:rFonts w:hint="eastAsia" w:ascii="宋体" w:hAnsi="宋体" w:eastAsia="宋体" w:cs="宋体"/>
                <w:color w:val="auto"/>
                <w:kern w:val="2"/>
                <w:sz w:val="24"/>
                <w:szCs w:val="24"/>
                <w:highlight w:val="none"/>
              </w:rPr>
            </w:pPr>
            <w:r>
              <w:rPr>
                <w:rFonts w:hint="eastAsia" w:ascii="宋体" w:hAnsi="宋体" w:eastAsia="宋体" w:cs="宋体"/>
                <w:b/>
                <w:bCs/>
                <w:color w:val="auto"/>
                <w:kern w:val="2"/>
                <w:sz w:val="24"/>
                <w:szCs w:val="24"/>
                <w:highlight w:val="none"/>
              </w:rPr>
              <w:t>需要补充的其他内容</w:t>
            </w:r>
          </w:p>
        </w:tc>
      </w:tr>
      <w:tr w14:paraId="77F05C1F">
        <w:tblPrEx>
          <w:tblCellMar>
            <w:top w:w="0" w:type="dxa"/>
            <w:left w:w="0" w:type="dxa"/>
            <w:bottom w:w="0" w:type="dxa"/>
            <w:right w:w="0" w:type="dxa"/>
          </w:tblCellMar>
        </w:tblPrEx>
        <w:trPr>
          <w:trHeight w:val="94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B00DB39">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12.1</w:t>
            </w:r>
          </w:p>
        </w:tc>
        <w:tc>
          <w:tcPr>
            <w:tcW w:w="1496" w:type="dxa"/>
            <w:tcBorders>
              <w:top w:val="single" w:color="auto" w:sz="8" w:space="0"/>
              <w:left w:val="nil"/>
              <w:bottom w:val="single" w:color="auto" w:sz="8" w:space="0"/>
              <w:right w:val="single" w:color="auto" w:sz="8" w:space="0"/>
            </w:tcBorders>
            <w:vAlign w:val="center"/>
          </w:tcPr>
          <w:p w14:paraId="5D7D5A6C">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评标方法</w:t>
            </w:r>
          </w:p>
        </w:tc>
        <w:tc>
          <w:tcPr>
            <w:tcW w:w="7339" w:type="dxa"/>
            <w:tcBorders>
              <w:top w:val="single" w:color="auto" w:sz="8" w:space="0"/>
              <w:left w:val="nil"/>
              <w:bottom w:val="single" w:color="auto" w:sz="8" w:space="0"/>
              <w:right w:val="single" w:color="auto" w:sz="8" w:space="0"/>
            </w:tcBorders>
            <w:vAlign w:val="center"/>
          </w:tcPr>
          <w:p w14:paraId="15C2302E">
            <w:pPr>
              <w:pageBreakBefore w:val="0"/>
              <w:kinsoku/>
              <w:wordWrap w:val="0"/>
              <w:overflowPunct/>
              <w:bidi w:val="0"/>
              <w:spacing w:line="400" w:lineRule="exact"/>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☑综合评分法</w:t>
            </w:r>
          </w:p>
          <w:p w14:paraId="10C1DFDE">
            <w:pPr>
              <w:pageBreakBefore w:val="0"/>
              <w:kinsoku/>
              <w:wordWrap w:val="0"/>
              <w:overflowPunct/>
              <w:bidi w:val="0"/>
              <w:spacing w:line="400" w:lineRule="exact"/>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□最低评标价法</w:t>
            </w:r>
          </w:p>
        </w:tc>
      </w:tr>
      <w:tr w14:paraId="35A14D2F">
        <w:tblPrEx>
          <w:tblCellMar>
            <w:top w:w="0" w:type="dxa"/>
            <w:left w:w="0" w:type="dxa"/>
            <w:bottom w:w="0" w:type="dxa"/>
            <w:right w:w="0" w:type="dxa"/>
          </w:tblCellMar>
        </w:tblPrEx>
        <w:trPr>
          <w:trHeight w:val="94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65FB65B">
            <w:pPr>
              <w:pageBreakBefore w:val="0"/>
              <w:kinsoku/>
              <w:wordWrap w:val="0"/>
              <w:overflowPunct/>
              <w:bidi w:val="0"/>
              <w:spacing w:line="400" w:lineRule="exact"/>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12.2</w:t>
            </w:r>
          </w:p>
        </w:tc>
        <w:tc>
          <w:tcPr>
            <w:tcW w:w="1496" w:type="dxa"/>
            <w:tcBorders>
              <w:top w:val="single" w:color="auto" w:sz="8" w:space="0"/>
              <w:left w:val="nil"/>
              <w:bottom w:val="single" w:color="auto" w:sz="8" w:space="0"/>
              <w:right w:val="single" w:color="auto" w:sz="8" w:space="0"/>
            </w:tcBorders>
            <w:vAlign w:val="center"/>
          </w:tcPr>
          <w:p w14:paraId="4A8F7650">
            <w:pPr>
              <w:pageBreakBefore w:val="0"/>
              <w:kinsoku/>
              <w:wordWrap w:val="0"/>
              <w:overflowPunct/>
              <w:bidi w:val="0"/>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是否采用电子化招标投标</w:t>
            </w:r>
          </w:p>
        </w:tc>
        <w:tc>
          <w:tcPr>
            <w:tcW w:w="7339" w:type="dxa"/>
            <w:tcBorders>
              <w:top w:val="single" w:color="auto" w:sz="8" w:space="0"/>
              <w:left w:val="nil"/>
              <w:bottom w:val="single" w:color="auto" w:sz="8" w:space="0"/>
              <w:right w:val="single" w:color="auto" w:sz="8" w:space="0"/>
            </w:tcBorders>
            <w:vAlign w:val="center"/>
          </w:tcPr>
          <w:p w14:paraId="4DEAC709">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w:t>
            </w:r>
            <w:r>
              <w:rPr>
                <w:rFonts w:hint="eastAsia" w:ascii="宋体" w:hAnsi="宋体" w:eastAsia="宋体" w:cs="宋体"/>
                <w:color w:val="auto"/>
                <w:sz w:val="24"/>
                <w:szCs w:val="24"/>
                <w:highlight w:val="none"/>
              </w:rPr>
              <w:t>否：</w:t>
            </w:r>
          </w:p>
          <w:p w14:paraId="520553B9">
            <w:pPr>
              <w:pageBreakBefore w:val="0"/>
              <w:kinsoku/>
              <w:wordWrap w:val="0"/>
              <w:overflowPunct/>
              <w:bidi w:val="0"/>
              <w:spacing w:line="360" w:lineRule="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w:t>
            </w:r>
            <w:r>
              <w:rPr>
                <w:rFonts w:hint="eastAsia" w:ascii="宋体" w:hAnsi="宋体" w:eastAsia="宋体" w:cs="宋体"/>
                <w:color w:val="auto"/>
                <w:sz w:val="24"/>
                <w:szCs w:val="24"/>
                <w:highlight w:val="none"/>
              </w:rPr>
              <w:t>是：</w:t>
            </w:r>
            <w:r>
              <w:rPr>
                <w:rFonts w:hint="eastAsia" w:ascii="宋体" w:hAnsi="宋体" w:eastAsia="宋体" w:cs="宋体"/>
                <w:b/>
                <w:bCs/>
                <w:color w:val="auto"/>
                <w:sz w:val="24"/>
                <w:szCs w:val="24"/>
                <w:highlight w:val="none"/>
                <w:lang w:val="en-US" w:eastAsia="zh-CN"/>
              </w:rPr>
              <w:t>采用网上智能开标，投标人</w:t>
            </w:r>
            <w:r>
              <w:rPr>
                <w:rFonts w:hint="eastAsia" w:ascii="宋体" w:hAnsi="宋体" w:eastAsia="宋体" w:cs="宋体"/>
                <w:b/>
                <w:bCs/>
                <w:color w:val="auto"/>
                <w:sz w:val="24"/>
                <w:szCs w:val="24"/>
                <w:highlight w:val="none"/>
                <w:lang w:eastAsia="zh-CN"/>
              </w:rPr>
              <w:t>必须</w:t>
            </w:r>
            <w:r>
              <w:rPr>
                <w:rFonts w:hint="eastAsia" w:ascii="宋体" w:hAnsi="宋体" w:eastAsia="宋体" w:cs="宋体"/>
                <w:color w:val="auto"/>
                <w:sz w:val="24"/>
                <w:szCs w:val="24"/>
                <w:highlight w:val="none"/>
              </w:rPr>
              <w:t>使用使用“政采云电子投标客户端”制作加密生成。</w:t>
            </w:r>
            <w:r>
              <w:rPr>
                <w:rFonts w:hint="eastAsia" w:ascii="宋体" w:hAnsi="宋体" w:eastAsia="宋体" w:cs="宋体"/>
                <w:color w:val="auto"/>
                <w:sz w:val="24"/>
                <w:szCs w:val="24"/>
                <w:highlight w:val="none"/>
                <w:lang w:val="en-US" w:eastAsia="zh-CN"/>
              </w:rPr>
              <w:t>详见附件一  投标人注意事项</w:t>
            </w:r>
          </w:p>
        </w:tc>
      </w:tr>
      <w:tr w14:paraId="0EC0C314">
        <w:tblPrEx>
          <w:tblCellMar>
            <w:top w:w="0" w:type="dxa"/>
            <w:left w:w="0" w:type="dxa"/>
            <w:bottom w:w="0" w:type="dxa"/>
            <w:right w:w="0" w:type="dxa"/>
          </w:tblCellMar>
        </w:tblPrEx>
        <w:trPr>
          <w:trHeight w:val="182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7AD935B">
            <w:pPr>
              <w:pageBreakBefore w:val="0"/>
              <w:kinsoku/>
              <w:wordWrap w:val="0"/>
              <w:overflowPunct/>
              <w:bidi w:val="0"/>
              <w:spacing w:line="420" w:lineRule="exact"/>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12.</w:t>
            </w:r>
            <w:r>
              <w:rPr>
                <w:rFonts w:hint="eastAsia" w:ascii="宋体" w:hAnsi="宋体" w:eastAsia="宋体" w:cs="宋体"/>
                <w:color w:val="auto"/>
                <w:kern w:val="2"/>
                <w:sz w:val="24"/>
                <w:szCs w:val="24"/>
                <w:highlight w:val="none"/>
                <w:lang w:val="en-US" w:eastAsia="zh-CN"/>
              </w:rPr>
              <w:t>3</w:t>
            </w:r>
          </w:p>
        </w:tc>
        <w:tc>
          <w:tcPr>
            <w:tcW w:w="1496" w:type="dxa"/>
            <w:tcBorders>
              <w:top w:val="single" w:color="auto" w:sz="8" w:space="0"/>
              <w:left w:val="nil"/>
              <w:bottom w:val="single" w:color="auto" w:sz="8" w:space="0"/>
              <w:right w:val="single" w:color="auto" w:sz="8" w:space="0"/>
            </w:tcBorders>
            <w:vAlign w:val="center"/>
          </w:tcPr>
          <w:p w14:paraId="55943DE9">
            <w:pPr>
              <w:pageBreakBefore w:val="0"/>
              <w:kinsoku/>
              <w:wordWrap w:val="0"/>
              <w:overflowPunct/>
              <w:bidi w:val="0"/>
              <w:spacing w:line="42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追加合同金额</w:t>
            </w:r>
          </w:p>
        </w:tc>
        <w:tc>
          <w:tcPr>
            <w:tcW w:w="7339" w:type="dxa"/>
            <w:tcBorders>
              <w:top w:val="single" w:color="auto" w:sz="8" w:space="0"/>
              <w:left w:val="nil"/>
              <w:bottom w:val="single" w:color="auto" w:sz="8" w:space="0"/>
              <w:right w:val="single" w:color="auto" w:sz="8" w:space="0"/>
            </w:tcBorders>
            <w:vAlign w:val="center"/>
          </w:tcPr>
          <w:p w14:paraId="435B884C">
            <w:pPr>
              <w:pageBreakBefore w:val="0"/>
              <w:kinsoku/>
              <w:wordWrap w:val="0"/>
              <w:overflowPunct/>
              <w:bidi w:val="0"/>
              <w:spacing w:line="420" w:lineRule="exact"/>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政府采购合同履行中，</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需追加与合同标的相同的</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的，在不改变合同其他条款的前提下，可以与中标投标人签订补充合同，但所有补充合同的采购金额变更不得超过原合同采购金额的10%，其中金额增加需办理合同追加手续。</w:t>
            </w:r>
          </w:p>
        </w:tc>
      </w:tr>
      <w:tr w14:paraId="1CEF3CD5">
        <w:tblPrEx>
          <w:tblCellMar>
            <w:top w:w="0" w:type="dxa"/>
            <w:left w:w="0" w:type="dxa"/>
            <w:bottom w:w="0" w:type="dxa"/>
            <w:right w:w="0" w:type="dxa"/>
          </w:tblCellMar>
        </w:tblPrEx>
        <w:trPr>
          <w:trHeight w:val="73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49B3243">
            <w:pPr>
              <w:pageBreakBefore w:val="0"/>
              <w:kinsoku/>
              <w:wordWrap w:val="0"/>
              <w:overflowPunct/>
              <w:bidi w:val="0"/>
              <w:spacing w:line="420" w:lineRule="exact"/>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12.4</w:t>
            </w:r>
          </w:p>
        </w:tc>
        <w:tc>
          <w:tcPr>
            <w:tcW w:w="1496" w:type="dxa"/>
            <w:tcBorders>
              <w:top w:val="single" w:color="auto" w:sz="8" w:space="0"/>
              <w:left w:val="nil"/>
              <w:bottom w:val="single" w:color="auto" w:sz="8" w:space="0"/>
              <w:right w:val="single" w:color="auto" w:sz="8" w:space="0"/>
            </w:tcBorders>
            <w:vAlign w:val="center"/>
          </w:tcPr>
          <w:p w14:paraId="5CCCCB69">
            <w:pPr>
              <w:pageBreakBefore w:val="0"/>
              <w:kinsoku/>
              <w:wordWrap w:val="0"/>
              <w:overflowPunct/>
              <w:bidi w:val="0"/>
              <w:spacing w:line="420" w:lineRule="exact"/>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定价方式</w:t>
            </w:r>
          </w:p>
        </w:tc>
        <w:tc>
          <w:tcPr>
            <w:tcW w:w="7339" w:type="dxa"/>
            <w:tcBorders>
              <w:top w:val="single" w:color="auto" w:sz="8" w:space="0"/>
              <w:left w:val="nil"/>
              <w:bottom w:val="single" w:color="auto" w:sz="8" w:space="0"/>
              <w:right w:val="single" w:color="auto" w:sz="8" w:space="0"/>
            </w:tcBorders>
            <w:vAlign w:val="center"/>
          </w:tcPr>
          <w:p w14:paraId="04A7C269">
            <w:pPr>
              <w:pageBreakBefore w:val="0"/>
              <w:kinsoku/>
              <w:wordWrap w:val="0"/>
              <w:overflowPunct/>
              <w:bidi w:val="0"/>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采用固定单价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据实结算。</w:t>
            </w:r>
          </w:p>
        </w:tc>
      </w:tr>
      <w:tr w14:paraId="120735EF">
        <w:tblPrEx>
          <w:tblCellMar>
            <w:top w:w="0" w:type="dxa"/>
            <w:left w:w="0" w:type="dxa"/>
            <w:bottom w:w="0" w:type="dxa"/>
            <w:right w:w="0" w:type="dxa"/>
          </w:tblCellMar>
        </w:tblPrEx>
        <w:trPr>
          <w:trHeight w:val="157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ABE8858">
            <w:pPr>
              <w:pageBreakBefore w:val="0"/>
              <w:kinsoku/>
              <w:wordWrap w:val="0"/>
              <w:overflowPunct/>
              <w:bidi w:val="0"/>
              <w:spacing w:line="420" w:lineRule="exact"/>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12.5</w:t>
            </w:r>
          </w:p>
        </w:tc>
        <w:tc>
          <w:tcPr>
            <w:tcW w:w="1496" w:type="dxa"/>
            <w:tcBorders>
              <w:top w:val="single" w:color="auto" w:sz="8" w:space="0"/>
              <w:left w:val="nil"/>
              <w:bottom w:val="single" w:color="auto" w:sz="8" w:space="0"/>
              <w:right w:val="single" w:color="auto" w:sz="8" w:space="0"/>
            </w:tcBorders>
            <w:vAlign w:val="center"/>
          </w:tcPr>
          <w:p w14:paraId="2535C512">
            <w:pPr>
              <w:pageBreakBefore w:val="0"/>
              <w:kinsoku/>
              <w:wordWrap w:val="0"/>
              <w:overflowPunct/>
              <w:bidi w:val="0"/>
              <w:spacing w:line="42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落实的政府采购政策</w:t>
            </w:r>
          </w:p>
        </w:tc>
        <w:tc>
          <w:tcPr>
            <w:tcW w:w="7339" w:type="dxa"/>
            <w:tcBorders>
              <w:top w:val="single" w:color="auto" w:sz="8" w:space="0"/>
              <w:left w:val="nil"/>
              <w:bottom w:val="single" w:color="auto" w:sz="8" w:space="0"/>
              <w:right w:val="single" w:color="auto" w:sz="8" w:space="0"/>
            </w:tcBorders>
            <w:vAlign w:val="center"/>
          </w:tcPr>
          <w:p w14:paraId="5CF6BF37">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小型和微型企业价格扣除评分优惠政策</w:t>
            </w:r>
          </w:p>
          <w:p w14:paraId="3F30E0BF">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是否适用于本项目：</w:t>
            </w:r>
            <w:r>
              <w:rPr>
                <w:rFonts w:hint="eastAsia" w:ascii="宋体" w:hAnsi="宋体" w:eastAsia="宋体" w:cs="宋体"/>
                <w:color w:val="auto"/>
                <w:kern w:val="2"/>
                <w:sz w:val="24"/>
                <w:szCs w:val="24"/>
                <w:highlight w:val="none"/>
              </w:rPr>
              <w:t>☑</w:t>
            </w:r>
            <w:r>
              <w:rPr>
                <w:rFonts w:hint="eastAsia" w:ascii="宋体" w:hAnsi="宋体" w:eastAsia="宋体" w:cs="宋体"/>
                <w:color w:val="auto"/>
                <w:sz w:val="24"/>
                <w:szCs w:val="24"/>
                <w:highlight w:val="none"/>
              </w:rPr>
              <w:t>适用 □不适用。</w:t>
            </w:r>
          </w:p>
          <w:p w14:paraId="4FE295E7">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根据《政府采购促进中小企业发展管理办法》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财库〔2020〕46号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《财政部关于进一步加大政府采购支持中小企业力度的通知》（财库〔2022〕19号）的规定，对符合条件的小型和微型</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报价评分时给予</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报价</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b/>
                <w:bCs/>
                <w:color w:val="auto"/>
                <w:sz w:val="24"/>
                <w:szCs w:val="24"/>
                <w:highlight w:val="none"/>
                <w:u w:val="single"/>
              </w:rPr>
              <w:t>%</w:t>
            </w:r>
            <w:r>
              <w:rPr>
                <w:rFonts w:hint="eastAsia" w:ascii="宋体" w:hAnsi="宋体" w:eastAsia="宋体" w:cs="宋体"/>
                <w:color w:val="auto"/>
                <w:sz w:val="24"/>
                <w:szCs w:val="24"/>
                <w:highlight w:val="none"/>
              </w:rPr>
              <w:t>的扣除，用扣除后的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报价参与</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报价评分。大中型企业与小微企业组成联合体或者大中型企业向小微企业分包的，在</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报价评分时给予</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报价</w:t>
            </w:r>
            <w:r>
              <w:rPr>
                <w:rFonts w:hint="eastAsia" w:ascii="宋体" w:hAnsi="宋体" w:eastAsia="宋体" w:cs="宋体"/>
                <w:color w:val="auto"/>
                <w:sz w:val="24"/>
                <w:szCs w:val="24"/>
                <w:highlight w:val="none"/>
                <w:u w:val="single"/>
                <w:lang w:val="en-US" w:eastAsia="zh-CN"/>
              </w:rPr>
              <w:t>4</w:t>
            </w:r>
            <w:r>
              <w:rPr>
                <w:rFonts w:hint="eastAsia" w:ascii="宋体" w:hAnsi="宋体" w:eastAsia="宋体" w:cs="宋体"/>
                <w:b/>
                <w:bCs/>
                <w:color w:val="auto"/>
                <w:sz w:val="24"/>
                <w:szCs w:val="24"/>
                <w:highlight w:val="none"/>
                <w:u w:val="single"/>
              </w:rPr>
              <w:t>%</w:t>
            </w:r>
            <w:r>
              <w:rPr>
                <w:rFonts w:hint="eastAsia" w:ascii="宋体" w:hAnsi="宋体" w:eastAsia="宋体" w:cs="宋体"/>
                <w:color w:val="auto"/>
                <w:sz w:val="24"/>
                <w:szCs w:val="24"/>
                <w:highlight w:val="none"/>
              </w:rPr>
              <w:t>的扣除。</w:t>
            </w:r>
          </w:p>
          <w:p w14:paraId="5A04BB3F">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监狱企业价格扣除评分优惠政策</w:t>
            </w:r>
          </w:p>
          <w:p w14:paraId="1FDBD53A">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是否适用于本项目：</w:t>
            </w:r>
            <w:r>
              <w:rPr>
                <w:rFonts w:hint="eastAsia" w:ascii="宋体" w:hAnsi="宋体" w:eastAsia="宋体" w:cs="宋体"/>
                <w:color w:val="auto"/>
                <w:kern w:val="2"/>
                <w:sz w:val="24"/>
                <w:szCs w:val="24"/>
                <w:highlight w:val="none"/>
              </w:rPr>
              <w:t>☑</w:t>
            </w:r>
            <w:r>
              <w:rPr>
                <w:rFonts w:hint="eastAsia" w:ascii="宋体" w:hAnsi="宋体" w:eastAsia="宋体" w:cs="宋体"/>
                <w:color w:val="auto"/>
                <w:sz w:val="24"/>
                <w:szCs w:val="24"/>
                <w:highlight w:val="none"/>
              </w:rPr>
              <w:t>适用 □不适用。</w:t>
            </w:r>
          </w:p>
          <w:p w14:paraId="17A833C9">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根据《关于政府采购支持监狱企业发展有关问题的通知》（财库[2014]68号）的规定，监狱企业参与本项目</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时，视同小型、微型企业享受价格扣除等优惠政策。</w:t>
            </w:r>
          </w:p>
          <w:p w14:paraId="3850A1FA">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注：监狱企业参加政府采购活动时，应当提供由省级以上监狱管理局、戒毒管理局(含新疆生产建设兵团)出具的属于监狱企业的证明文件。</w:t>
            </w:r>
          </w:p>
          <w:p w14:paraId="22F0752B">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残疾人福利性单位价格扣除优惠政策</w:t>
            </w:r>
          </w:p>
          <w:p w14:paraId="5CE27A37">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是否适用于本项目：</w:t>
            </w:r>
            <w:r>
              <w:rPr>
                <w:rFonts w:hint="eastAsia" w:ascii="宋体" w:hAnsi="宋体" w:eastAsia="宋体" w:cs="宋体"/>
                <w:color w:val="auto"/>
                <w:kern w:val="2"/>
                <w:sz w:val="24"/>
                <w:szCs w:val="24"/>
                <w:highlight w:val="none"/>
              </w:rPr>
              <w:t>☑</w:t>
            </w:r>
            <w:r>
              <w:rPr>
                <w:rFonts w:hint="eastAsia" w:ascii="宋体" w:hAnsi="宋体" w:eastAsia="宋体" w:cs="宋体"/>
                <w:color w:val="auto"/>
                <w:sz w:val="24"/>
                <w:szCs w:val="24"/>
                <w:highlight w:val="none"/>
              </w:rPr>
              <w:t>适用 □不适用。</w:t>
            </w:r>
          </w:p>
          <w:p w14:paraId="74961D83">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根据《关于促进残疾人就业政府采购政策的通知》（财库[2017]141号）的规定，残疾人福利性单位参与本项目</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时，视同小型、微型企业享受价格扣除等优惠政策。</w:t>
            </w:r>
          </w:p>
          <w:p w14:paraId="2CDC78B3">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注：残疾人福利性单位在参加政府采购活动时，应当提供《残疾人福利性单位声明函》，并对声明的真实性负责。成交单位为残疾人福利性单位的，</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或者其委托的</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应当随成交、成交结果同时公告其《残疾人福利性单位声明函》，接受社会监督。</w:t>
            </w:r>
          </w:p>
          <w:p w14:paraId="634AF017">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节能环保</w:t>
            </w:r>
          </w:p>
          <w:p w14:paraId="46A4021D">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是否适用于本项目：</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适用</w:t>
            </w:r>
            <w:r>
              <w:rPr>
                <w:rFonts w:hint="eastAsia" w:ascii="宋体" w:hAnsi="宋体" w:cs="宋体"/>
                <w:color w:val="auto"/>
                <w:kern w:val="2"/>
                <w:sz w:val="24"/>
                <w:szCs w:val="24"/>
                <w:highlight w:val="none"/>
                <w:lang w:eastAsia="zh-CN"/>
              </w:rPr>
              <w:t>□</w:t>
            </w:r>
            <w:r>
              <w:rPr>
                <w:rFonts w:hint="eastAsia" w:ascii="宋体" w:hAnsi="宋体" w:eastAsia="宋体" w:cs="宋体"/>
                <w:color w:val="auto"/>
                <w:sz w:val="24"/>
                <w:szCs w:val="24"/>
                <w:highlight w:val="none"/>
              </w:rPr>
              <w:t>不适用。</w:t>
            </w:r>
          </w:p>
          <w:p w14:paraId="47FF99D4">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产品为节能产品、环境标志产品且能提供有效的认证证书及相关证明材料的（相关证明材料指：最新版的政府采购节能产品、环境标志产品认证机构名录、节能产品政府采购品目清单、环境标志产品政府采购品目清单等）。</w:t>
            </w:r>
          </w:p>
          <w:p w14:paraId="2F05B768">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相关证明材料可通过中国政府采购网（http://www.ccgp.gov.cn/）、国家发展改革委网站（http://hzs.ndrc.gov.cn/）查阅、下载；国家环境保护部网（http://www.sepa.gov.cn/）查阅、下载。</w:t>
            </w:r>
          </w:p>
          <w:p w14:paraId="7B353DC3">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支持脱贫攻坚政策</w:t>
            </w:r>
          </w:p>
          <w:p w14:paraId="3E891B42">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是否适用于本项目：□适用</w:t>
            </w:r>
            <w:r>
              <w:rPr>
                <w:rFonts w:hint="eastAsia" w:ascii="宋体" w:hAnsi="宋体" w:eastAsia="宋体" w:cs="宋体"/>
                <w:color w:val="auto"/>
                <w:kern w:val="2"/>
                <w:sz w:val="24"/>
                <w:szCs w:val="24"/>
                <w:highlight w:val="none"/>
              </w:rPr>
              <w:t>☑</w:t>
            </w:r>
            <w:r>
              <w:rPr>
                <w:rFonts w:hint="eastAsia" w:ascii="宋体" w:hAnsi="宋体" w:eastAsia="宋体" w:cs="宋体"/>
                <w:color w:val="auto"/>
                <w:sz w:val="24"/>
                <w:szCs w:val="24"/>
                <w:highlight w:val="none"/>
              </w:rPr>
              <w:t>不适用。</w:t>
            </w:r>
          </w:p>
          <w:p w14:paraId="33B7E167">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根据《云南省财政厅 云南省人民政府扶贫开发办公室关于贯彻落实运用政府采购政策支持脱贫攻坚有关事宜的通知》（云财采〔2019〕9号）相关规定：</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使用财政性资金采购物业服务时，对注册地在国家级贫困县域内，且聘用建档立卡贫困人员的物业公司所提供的服务能满足采购需求的，应当在同等条件下实行优先采购。</w:t>
            </w:r>
          </w:p>
          <w:p w14:paraId="66C39F2D">
            <w:pPr>
              <w:pageBreakBefore w:val="0"/>
              <w:kinsoku/>
              <w:wordWrap w:val="0"/>
              <w:overflowPunct/>
              <w:bidi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物业公司须提供其注册地所在县扶贫部门出具的聘用建档立卡贫困人员具体数量的证明。如成交后，其相关证明随成交结果一同公告。</w:t>
            </w:r>
          </w:p>
        </w:tc>
      </w:tr>
      <w:tr w14:paraId="1FA40237">
        <w:tblPrEx>
          <w:tblCellMar>
            <w:top w:w="0" w:type="dxa"/>
            <w:left w:w="0" w:type="dxa"/>
            <w:bottom w:w="0" w:type="dxa"/>
            <w:right w:w="0" w:type="dxa"/>
          </w:tblCellMar>
        </w:tblPrEx>
        <w:trPr>
          <w:trHeight w:val="137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39863DAF">
            <w:pPr>
              <w:pageBreakBefore w:val="0"/>
              <w:kinsoku/>
              <w:wordWrap w:val="0"/>
              <w:overflowPunct/>
              <w:bidi w:val="0"/>
              <w:spacing w:line="360" w:lineRule="auto"/>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12.</w:t>
            </w:r>
            <w:r>
              <w:rPr>
                <w:rFonts w:hint="eastAsia" w:ascii="宋体" w:hAnsi="宋体" w:eastAsia="宋体" w:cs="宋体"/>
                <w:color w:val="auto"/>
                <w:kern w:val="2"/>
                <w:sz w:val="24"/>
                <w:szCs w:val="24"/>
                <w:highlight w:val="none"/>
                <w:lang w:val="en-US" w:eastAsia="zh-CN"/>
              </w:rPr>
              <w:t>6</w:t>
            </w:r>
          </w:p>
        </w:tc>
        <w:tc>
          <w:tcPr>
            <w:tcW w:w="1496" w:type="dxa"/>
            <w:tcBorders>
              <w:top w:val="single" w:color="auto" w:sz="8" w:space="0"/>
              <w:left w:val="nil"/>
              <w:bottom w:val="single" w:color="auto" w:sz="8" w:space="0"/>
              <w:right w:val="single" w:color="auto" w:sz="8" w:space="0"/>
            </w:tcBorders>
            <w:vAlign w:val="center"/>
          </w:tcPr>
          <w:p w14:paraId="6D5AF311">
            <w:pPr>
              <w:pageBreakBefore w:val="0"/>
              <w:kinsoku/>
              <w:wordWrap w:val="0"/>
              <w:overflowPunct/>
              <w:bidi w:val="0"/>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其他要求</w:t>
            </w:r>
          </w:p>
        </w:tc>
        <w:tc>
          <w:tcPr>
            <w:tcW w:w="7339" w:type="dxa"/>
            <w:tcBorders>
              <w:top w:val="single" w:color="auto" w:sz="8" w:space="0"/>
              <w:left w:val="nil"/>
              <w:bottom w:val="single" w:color="auto" w:sz="8" w:space="0"/>
              <w:right w:val="single" w:color="auto" w:sz="8" w:space="0"/>
            </w:tcBorders>
            <w:vAlign w:val="center"/>
          </w:tcPr>
          <w:p w14:paraId="16C132E8">
            <w:pPr>
              <w:pStyle w:val="13"/>
              <w:pageBreakBefore w:val="0"/>
              <w:kinsoku/>
              <w:wordWrap w:val="0"/>
              <w:overflowPunct/>
              <w:bidi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中标后须提交的投标文件：</w:t>
            </w:r>
          </w:p>
          <w:p w14:paraId="70DA3C47">
            <w:pPr>
              <w:pStyle w:val="13"/>
              <w:pageBreakBefore w:val="0"/>
              <w:kinsoku/>
              <w:wordWrap w:val="0"/>
              <w:overflowPunct/>
              <w:bidi w:val="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中标人在领取中标通知书时须提供</w:t>
            </w:r>
            <w:r>
              <w:rPr>
                <w:rFonts w:hint="eastAsia" w:ascii="宋体" w:hAnsi="宋体" w:eastAsia="宋体" w:cs="宋体"/>
                <w:b/>
                <w:bCs/>
                <w:color w:val="auto"/>
                <w:sz w:val="24"/>
                <w:szCs w:val="24"/>
                <w:highlight w:val="none"/>
                <w:lang w:val="en-US" w:eastAsia="zh-CN"/>
              </w:rPr>
              <w:t>1份</w:t>
            </w:r>
            <w:r>
              <w:rPr>
                <w:rFonts w:hint="eastAsia" w:ascii="宋体" w:hAnsi="宋体" w:eastAsia="宋体" w:cs="宋体"/>
                <w:b/>
                <w:bCs/>
                <w:color w:val="auto"/>
                <w:sz w:val="24"/>
                <w:szCs w:val="24"/>
                <w:highlight w:val="none"/>
              </w:rPr>
              <w:t>与网上上传的电子投标文件完全一致的纸质投标文件。</w:t>
            </w:r>
          </w:p>
        </w:tc>
      </w:tr>
      <w:tr w14:paraId="4D7D8D56">
        <w:tblPrEx>
          <w:tblCellMar>
            <w:top w:w="0" w:type="dxa"/>
            <w:left w:w="0" w:type="dxa"/>
            <w:bottom w:w="0" w:type="dxa"/>
            <w:right w:w="0" w:type="dxa"/>
          </w:tblCellMar>
        </w:tblPrEx>
        <w:trPr>
          <w:trHeight w:val="4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C118084">
            <w:pPr>
              <w:pageBreakBefore w:val="0"/>
              <w:kinsoku/>
              <w:wordWrap w:val="0"/>
              <w:overflowPunct/>
              <w:bidi w:val="0"/>
              <w:spacing w:line="360" w:lineRule="auto"/>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12.7</w:t>
            </w:r>
          </w:p>
        </w:tc>
        <w:tc>
          <w:tcPr>
            <w:tcW w:w="1496" w:type="dxa"/>
            <w:tcBorders>
              <w:top w:val="single" w:color="auto" w:sz="8" w:space="0"/>
              <w:left w:val="nil"/>
              <w:bottom w:val="single" w:color="auto" w:sz="8" w:space="0"/>
              <w:right w:val="single" w:color="auto" w:sz="8" w:space="0"/>
            </w:tcBorders>
            <w:vAlign w:val="center"/>
          </w:tcPr>
          <w:p w14:paraId="6CF85135">
            <w:pPr>
              <w:pageBreakBefore w:val="0"/>
              <w:kinsoku/>
              <w:wordWrap w:val="0"/>
              <w:overflowPunct/>
              <w:bidi w:val="0"/>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须知前附表中的符号定义</w:t>
            </w:r>
          </w:p>
        </w:tc>
        <w:tc>
          <w:tcPr>
            <w:tcW w:w="7339" w:type="dxa"/>
            <w:tcBorders>
              <w:top w:val="single" w:color="auto" w:sz="8" w:space="0"/>
              <w:left w:val="nil"/>
              <w:bottom w:val="single" w:color="auto" w:sz="8" w:space="0"/>
              <w:right w:val="single" w:color="auto" w:sz="8" w:space="0"/>
            </w:tcBorders>
            <w:vAlign w:val="center"/>
          </w:tcPr>
          <w:p w14:paraId="4FD4F23E">
            <w:pPr>
              <w:pageBreakBefore w:val="0"/>
              <w:kinsoku/>
              <w:wordWrap w:val="0"/>
              <w:overflowPunct/>
              <w:bidi w:val="0"/>
              <w:spacing w:line="42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“☑”代表选择，“□”代表未选择。</w:t>
            </w:r>
          </w:p>
        </w:tc>
      </w:tr>
      <w:tr w14:paraId="57BD3EF8">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66C0097">
            <w:pPr>
              <w:pageBreakBefore w:val="0"/>
              <w:kinsoku/>
              <w:wordWrap w:val="0"/>
              <w:overflowPunct/>
              <w:bidi w:val="0"/>
              <w:spacing w:line="360" w:lineRule="auto"/>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12.</w:t>
            </w:r>
            <w:r>
              <w:rPr>
                <w:rFonts w:hint="eastAsia" w:ascii="宋体" w:hAnsi="宋体" w:cs="宋体"/>
                <w:color w:val="auto"/>
                <w:kern w:val="2"/>
                <w:sz w:val="24"/>
                <w:szCs w:val="24"/>
                <w:highlight w:val="none"/>
                <w:lang w:val="en-US" w:eastAsia="zh-CN"/>
              </w:rPr>
              <w:t>8</w:t>
            </w:r>
          </w:p>
        </w:tc>
        <w:tc>
          <w:tcPr>
            <w:tcW w:w="1496" w:type="dxa"/>
            <w:tcBorders>
              <w:top w:val="single" w:color="auto" w:sz="8" w:space="0"/>
              <w:left w:val="nil"/>
              <w:bottom w:val="single" w:color="auto" w:sz="8" w:space="0"/>
              <w:right w:val="single" w:color="auto" w:sz="8" w:space="0"/>
            </w:tcBorders>
            <w:vAlign w:val="center"/>
          </w:tcPr>
          <w:p w14:paraId="0660B5A4">
            <w:pPr>
              <w:pageBreakBefore w:val="0"/>
              <w:kinsoku/>
              <w:wordWrap w:val="0"/>
              <w:overflowPunct/>
              <w:bidi w:val="0"/>
              <w:spacing w:line="42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监督</w:t>
            </w:r>
          </w:p>
        </w:tc>
        <w:tc>
          <w:tcPr>
            <w:tcW w:w="7339" w:type="dxa"/>
            <w:tcBorders>
              <w:top w:val="single" w:color="auto" w:sz="8" w:space="0"/>
              <w:left w:val="nil"/>
              <w:bottom w:val="single" w:color="auto" w:sz="8" w:space="0"/>
              <w:right w:val="single" w:color="auto" w:sz="8" w:space="0"/>
            </w:tcBorders>
            <w:vAlign w:val="center"/>
          </w:tcPr>
          <w:p w14:paraId="06C1019A">
            <w:pPr>
              <w:pageBreakBefore w:val="0"/>
              <w:kinsoku/>
              <w:wordWrap w:val="0"/>
              <w:overflowPunct/>
              <w:bidi w:val="0"/>
              <w:spacing w:line="420" w:lineRule="exact"/>
              <w:rPr>
                <w:rFonts w:hint="eastAsia" w:ascii="宋体" w:hAnsi="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行业监督部门及联系电话：</w:t>
            </w:r>
            <w:r>
              <w:rPr>
                <w:rFonts w:hint="eastAsia" w:ascii="宋体" w:hAnsi="宋体" w:cs="宋体"/>
                <w:color w:val="auto"/>
                <w:sz w:val="24"/>
                <w:szCs w:val="24"/>
                <w:highlight w:val="none"/>
                <w:lang w:val="zh-CN" w:eastAsia="zh-CN"/>
              </w:rPr>
              <w:t>芒市财政局</w:t>
            </w:r>
            <w:r>
              <w:rPr>
                <w:rFonts w:hint="eastAsia" w:ascii="宋体" w:hAnsi="宋体" w:eastAsia="宋体" w:cs="宋体"/>
                <w:color w:val="auto"/>
                <w:sz w:val="24"/>
                <w:szCs w:val="24"/>
                <w:highlight w:val="none"/>
                <w:lang w:val="zh-CN" w:eastAsia="zh-CN"/>
              </w:rPr>
              <w:t xml:space="preserve"> </w:t>
            </w:r>
            <w:r>
              <w:rPr>
                <w:rFonts w:hint="eastAsia" w:ascii="宋体" w:hAnsi="宋体" w:cs="宋体"/>
                <w:color w:val="auto"/>
                <w:sz w:val="24"/>
                <w:szCs w:val="24"/>
                <w:highlight w:val="none"/>
                <w:lang w:val="zh-CN" w:eastAsia="zh-CN"/>
              </w:rPr>
              <w:t>0692-2121910</w:t>
            </w:r>
          </w:p>
          <w:p w14:paraId="794E8A77">
            <w:pPr>
              <w:pageBreakBefore w:val="0"/>
              <w:kinsoku/>
              <w:wordWrap w:val="0"/>
              <w:overflowPunct/>
              <w:bidi w:val="0"/>
              <w:spacing w:line="42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纪检监督电话：0692-12388</w:t>
            </w:r>
          </w:p>
        </w:tc>
      </w:tr>
      <w:tr w14:paraId="6E95DBB3">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755E6B5">
            <w:pPr>
              <w:pageBreakBefore w:val="0"/>
              <w:kinsoku/>
              <w:wordWrap w:val="0"/>
              <w:overflowPunct/>
              <w:bidi w:val="0"/>
              <w:spacing w:line="360" w:lineRule="auto"/>
              <w:jc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12.9</w:t>
            </w:r>
          </w:p>
        </w:tc>
        <w:tc>
          <w:tcPr>
            <w:tcW w:w="1496" w:type="dxa"/>
            <w:tcBorders>
              <w:top w:val="single" w:color="auto" w:sz="8" w:space="0"/>
              <w:left w:val="nil"/>
              <w:bottom w:val="single" w:color="auto" w:sz="8" w:space="0"/>
              <w:right w:val="single" w:color="auto" w:sz="8" w:space="0"/>
            </w:tcBorders>
            <w:vAlign w:val="center"/>
          </w:tcPr>
          <w:p w14:paraId="1CDD0129">
            <w:pPr>
              <w:pageBreakBefore w:val="0"/>
              <w:kinsoku/>
              <w:wordWrap w:val="0"/>
              <w:overflowPunct/>
              <w:bidi w:val="0"/>
              <w:spacing w:line="42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政府采购异常低价审查</w:t>
            </w:r>
          </w:p>
        </w:tc>
        <w:tc>
          <w:tcPr>
            <w:tcW w:w="7339" w:type="dxa"/>
            <w:tcBorders>
              <w:top w:val="single" w:color="auto" w:sz="8" w:space="0"/>
              <w:left w:val="nil"/>
              <w:bottom w:val="single" w:color="auto" w:sz="8" w:space="0"/>
              <w:right w:val="single" w:color="auto" w:sz="8" w:space="0"/>
            </w:tcBorders>
            <w:vAlign w:val="center"/>
          </w:tcPr>
          <w:p w14:paraId="229C6361">
            <w:pPr>
              <w:pageBreakBefore w:val="0"/>
              <w:kinsoku/>
              <w:wordWrap w:val="0"/>
              <w:overflowPunct/>
              <w:bidi w:val="0"/>
              <w:spacing w:line="420" w:lineRule="exac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政府采购评审中出现下列情形之一的，评审委员会应当启动异常低价投标（响应）审查程序： </w:t>
            </w:r>
          </w:p>
          <w:p w14:paraId="369CDCA3">
            <w:pPr>
              <w:pageBreakBefore w:val="0"/>
              <w:kinsoku/>
              <w:wordWrap w:val="0"/>
              <w:overflowPunct/>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1.投标（响应）报价低于全部通过符合性审查供应商投标（响应）报价平均值</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%的，即投标（响应）报价&lt;全部通过符合性审查供应商投标（响应）报价平均值×</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 </w:t>
            </w:r>
          </w:p>
          <w:p w14:paraId="251EA8B5">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2.投标（响应）报价低于通过符合性审查的次低报价供应商投标（响应）报价65%的，即投标（响应）报价&lt;通过符合性审查的次低报价供应商投标（响应）报价×</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 </w:t>
            </w:r>
          </w:p>
          <w:p w14:paraId="651252EE">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3.投标（响应）报价低于采购项目最高限价65%的，即投标（响应）报价&lt;采购项目最高限价×65%； </w:t>
            </w:r>
          </w:p>
          <w:p w14:paraId="3FC1F14A">
            <w:pPr>
              <w:pageBreakBefore w:val="0"/>
              <w:kinsoku/>
              <w:wordWrap w:val="0"/>
              <w:overflowPunct/>
              <w:bidi w:val="0"/>
              <w:spacing w:line="360" w:lineRule="auto"/>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4.评审委员会基于专业判断，认为供应商报价过低，有可能影响产品质量或者不能诚信履约的其他情形。  </w:t>
            </w:r>
          </w:p>
        </w:tc>
      </w:tr>
      <w:tr w14:paraId="0CB82813">
        <w:tblPrEx>
          <w:tblCellMar>
            <w:top w:w="0" w:type="dxa"/>
            <w:left w:w="0" w:type="dxa"/>
            <w:bottom w:w="0" w:type="dxa"/>
            <w:right w:w="0" w:type="dxa"/>
          </w:tblCellMar>
        </w:tblPrEx>
        <w:trPr>
          <w:trHeight w:val="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4667D03">
            <w:pPr>
              <w:pageBreakBefore w:val="0"/>
              <w:kinsoku/>
              <w:wordWrap w:val="0"/>
              <w:overflowPunct/>
              <w:bidi w:val="0"/>
              <w:spacing w:line="360" w:lineRule="auto"/>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12.10</w:t>
            </w:r>
          </w:p>
        </w:tc>
        <w:tc>
          <w:tcPr>
            <w:tcW w:w="1496" w:type="dxa"/>
            <w:tcBorders>
              <w:top w:val="single" w:color="auto" w:sz="8" w:space="0"/>
              <w:left w:val="nil"/>
              <w:bottom w:val="single" w:color="auto" w:sz="8" w:space="0"/>
              <w:right w:val="single" w:color="auto" w:sz="8" w:space="0"/>
            </w:tcBorders>
            <w:vAlign w:val="center"/>
          </w:tcPr>
          <w:p w14:paraId="4DE5613A">
            <w:pPr>
              <w:pageBreakBefore w:val="0"/>
              <w:kinsoku/>
              <w:wordWrap w:val="0"/>
              <w:overflowPunct/>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统计上大中小微型企业划分标准</w:t>
            </w:r>
          </w:p>
        </w:tc>
        <w:tc>
          <w:tcPr>
            <w:tcW w:w="7339" w:type="dxa"/>
            <w:tcBorders>
              <w:top w:val="single" w:color="auto" w:sz="8" w:space="0"/>
              <w:left w:val="nil"/>
              <w:bottom w:val="single" w:color="auto" w:sz="8" w:space="0"/>
              <w:right w:val="single" w:color="auto" w:sz="8" w:space="0"/>
            </w:tcBorders>
            <w:vAlign w:val="center"/>
          </w:tcPr>
          <w:tbl>
            <w:tblPr>
              <w:tblStyle w:val="38"/>
              <w:tblW w:w="6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875"/>
              <w:gridCol w:w="375"/>
              <w:gridCol w:w="1037"/>
              <w:gridCol w:w="1438"/>
              <w:gridCol w:w="1337"/>
              <w:gridCol w:w="827"/>
            </w:tblGrid>
            <w:tr w14:paraId="1E586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825" w:type="dxa"/>
                  <w:vAlign w:val="center"/>
                </w:tcPr>
                <w:p w14:paraId="2CE2B976">
                  <w:pPr>
                    <w:widowControl/>
                    <w:spacing w:line="240" w:lineRule="exact"/>
                    <w:jc w:val="center"/>
                    <w:rPr>
                      <w:rFonts w:hint="eastAsia" w:ascii="宋体" w:hAnsi="宋体" w:eastAsia="宋体" w:cs="宋体"/>
                      <w:b/>
                      <w:bCs/>
                      <w:color w:val="auto"/>
                      <w:kern w:val="0"/>
                      <w:sz w:val="18"/>
                      <w:szCs w:val="21"/>
                      <w:highlight w:val="none"/>
                    </w:rPr>
                  </w:pPr>
                  <w:r>
                    <w:rPr>
                      <w:rFonts w:hint="eastAsia" w:ascii="宋体" w:hAnsi="宋体" w:eastAsia="宋体" w:cs="宋体"/>
                      <w:b/>
                      <w:bCs/>
                      <w:color w:val="auto"/>
                      <w:kern w:val="0"/>
                      <w:sz w:val="18"/>
                      <w:szCs w:val="21"/>
                      <w:highlight w:val="none"/>
                    </w:rPr>
                    <w:t>行业名称</w:t>
                  </w:r>
                </w:p>
              </w:tc>
              <w:tc>
                <w:tcPr>
                  <w:tcW w:w="875" w:type="dxa"/>
                  <w:vAlign w:val="center"/>
                </w:tcPr>
                <w:p w14:paraId="00C73C43">
                  <w:pPr>
                    <w:widowControl/>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指标名称</w:t>
                  </w:r>
                </w:p>
              </w:tc>
              <w:tc>
                <w:tcPr>
                  <w:tcW w:w="375" w:type="dxa"/>
                  <w:vAlign w:val="center"/>
                </w:tcPr>
                <w:p w14:paraId="361ECA03">
                  <w:pPr>
                    <w:widowControl/>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计量</w:t>
                  </w:r>
                  <w:r>
                    <w:rPr>
                      <w:rFonts w:hint="eastAsia" w:ascii="宋体" w:hAnsi="宋体" w:eastAsia="宋体" w:cs="宋体"/>
                      <w:b/>
                      <w:bCs/>
                      <w:color w:val="auto"/>
                      <w:kern w:val="0"/>
                      <w:sz w:val="18"/>
                      <w:szCs w:val="18"/>
                      <w:highlight w:val="none"/>
                    </w:rPr>
                    <w:br w:type="textWrapping"/>
                  </w:r>
                  <w:r>
                    <w:rPr>
                      <w:rFonts w:hint="eastAsia" w:ascii="宋体" w:hAnsi="宋体" w:eastAsia="宋体" w:cs="宋体"/>
                      <w:b/>
                      <w:bCs/>
                      <w:color w:val="auto"/>
                      <w:kern w:val="0"/>
                      <w:sz w:val="18"/>
                      <w:szCs w:val="18"/>
                      <w:highlight w:val="none"/>
                    </w:rPr>
                    <w:t>单位</w:t>
                  </w:r>
                </w:p>
              </w:tc>
              <w:tc>
                <w:tcPr>
                  <w:tcW w:w="1037" w:type="dxa"/>
                  <w:vAlign w:val="center"/>
                </w:tcPr>
                <w:p w14:paraId="3FF16271">
                  <w:pPr>
                    <w:widowControl/>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大型</w:t>
                  </w:r>
                </w:p>
              </w:tc>
              <w:tc>
                <w:tcPr>
                  <w:tcW w:w="1438" w:type="dxa"/>
                  <w:vAlign w:val="center"/>
                </w:tcPr>
                <w:p w14:paraId="28335BC8">
                  <w:pPr>
                    <w:widowControl/>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中型</w:t>
                  </w:r>
                </w:p>
              </w:tc>
              <w:tc>
                <w:tcPr>
                  <w:tcW w:w="1337" w:type="dxa"/>
                  <w:vAlign w:val="center"/>
                </w:tcPr>
                <w:p w14:paraId="008DD2B7">
                  <w:pPr>
                    <w:widowControl/>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小型</w:t>
                  </w:r>
                </w:p>
              </w:tc>
              <w:tc>
                <w:tcPr>
                  <w:tcW w:w="827" w:type="dxa"/>
                  <w:vAlign w:val="center"/>
                </w:tcPr>
                <w:p w14:paraId="392B8D35">
                  <w:pPr>
                    <w:widowControl/>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微型</w:t>
                  </w:r>
                </w:p>
              </w:tc>
            </w:tr>
            <w:tr w14:paraId="2B2ED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exact"/>
                <w:jc w:val="center"/>
              </w:trPr>
              <w:tc>
                <w:tcPr>
                  <w:tcW w:w="825" w:type="dxa"/>
                  <w:vAlign w:val="center"/>
                </w:tcPr>
                <w:p w14:paraId="7E1549A5">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农、林、牧、渔业</w:t>
                  </w:r>
                </w:p>
              </w:tc>
              <w:tc>
                <w:tcPr>
                  <w:tcW w:w="875" w:type="dxa"/>
                  <w:vAlign w:val="center"/>
                </w:tcPr>
                <w:p w14:paraId="48E785C3">
                  <w:pPr>
                    <w:widowControl/>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营业收入</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Y</w:t>
                  </w:r>
                  <w:r>
                    <w:rPr>
                      <w:rFonts w:hint="eastAsia" w:ascii="宋体" w:hAnsi="宋体" w:eastAsia="宋体" w:cs="宋体"/>
                      <w:color w:val="auto"/>
                      <w:kern w:val="0"/>
                      <w:sz w:val="16"/>
                      <w:szCs w:val="16"/>
                      <w:highlight w:val="none"/>
                      <w:lang w:eastAsia="zh-CN"/>
                    </w:rPr>
                    <w:t>）</w:t>
                  </w:r>
                </w:p>
              </w:tc>
              <w:tc>
                <w:tcPr>
                  <w:tcW w:w="375" w:type="dxa"/>
                  <w:vAlign w:val="center"/>
                </w:tcPr>
                <w:p w14:paraId="10B155B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037" w:type="dxa"/>
                  <w:vAlign w:val="center"/>
                </w:tcPr>
                <w:p w14:paraId="62CBA76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Y≥20000</w:t>
                  </w:r>
                </w:p>
              </w:tc>
              <w:tc>
                <w:tcPr>
                  <w:tcW w:w="1438" w:type="dxa"/>
                  <w:vAlign w:val="center"/>
                </w:tcPr>
                <w:p w14:paraId="542F488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20000</w:t>
                  </w:r>
                </w:p>
              </w:tc>
              <w:tc>
                <w:tcPr>
                  <w:tcW w:w="1337" w:type="dxa"/>
                  <w:vAlign w:val="center"/>
                </w:tcPr>
                <w:p w14:paraId="128BD3D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500</w:t>
                  </w:r>
                </w:p>
              </w:tc>
              <w:tc>
                <w:tcPr>
                  <w:tcW w:w="827" w:type="dxa"/>
                  <w:vAlign w:val="center"/>
                </w:tcPr>
                <w:p w14:paraId="6EF0D2F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50</w:t>
                  </w:r>
                </w:p>
              </w:tc>
            </w:tr>
            <w:tr w14:paraId="691F7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exact"/>
                <w:jc w:val="center"/>
              </w:trPr>
              <w:tc>
                <w:tcPr>
                  <w:tcW w:w="825" w:type="dxa"/>
                  <w:vMerge w:val="restart"/>
                  <w:vAlign w:val="center"/>
                </w:tcPr>
                <w:p w14:paraId="2206AD94">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工业 *</w:t>
                  </w:r>
                </w:p>
              </w:tc>
              <w:tc>
                <w:tcPr>
                  <w:tcW w:w="875" w:type="dxa"/>
                  <w:vAlign w:val="center"/>
                </w:tcPr>
                <w:p w14:paraId="61FEE1B0">
                  <w:pPr>
                    <w:widowControl/>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从业人员</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X</w:t>
                  </w:r>
                  <w:r>
                    <w:rPr>
                      <w:rFonts w:hint="eastAsia" w:ascii="宋体" w:hAnsi="宋体" w:eastAsia="宋体" w:cs="宋体"/>
                      <w:color w:val="auto"/>
                      <w:kern w:val="0"/>
                      <w:sz w:val="16"/>
                      <w:szCs w:val="16"/>
                      <w:highlight w:val="none"/>
                      <w:lang w:eastAsia="zh-CN"/>
                    </w:rPr>
                    <w:t>）</w:t>
                  </w:r>
                </w:p>
              </w:tc>
              <w:tc>
                <w:tcPr>
                  <w:tcW w:w="375" w:type="dxa"/>
                  <w:vAlign w:val="center"/>
                </w:tcPr>
                <w:p w14:paraId="38BB89B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037" w:type="dxa"/>
                  <w:vAlign w:val="center"/>
                </w:tcPr>
                <w:p w14:paraId="6EB842E5">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438" w:type="dxa"/>
                  <w:vAlign w:val="center"/>
                </w:tcPr>
                <w:p w14:paraId="4B48CB49">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1337" w:type="dxa"/>
                  <w:vAlign w:val="center"/>
                </w:tcPr>
                <w:p w14:paraId="2798CD8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c>
                <w:tcPr>
                  <w:tcW w:w="827" w:type="dxa"/>
                  <w:vAlign w:val="center"/>
                </w:tcPr>
                <w:p w14:paraId="0BD5C94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w:t>
                  </w:r>
                </w:p>
              </w:tc>
            </w:tr>
            <w:tr w14:paraId="25747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exact"/>
                <w:jc w:val="center"/>
              </w:trPr>
              <w:tc>
                <w:tcPr>
                  <w:tcW w:w="825" w:type="dxa"/>
                  <w:vMerge w:val="continue"/>
                  <w:vAlign w:val="center"/>
                </w:tcPr>
                <w:p w14:paraId="1ADC389B">
                  <w:pPr>
                    <w:widowControl/>
                    <w:jc w:val="left"/>
                    <w:rPr>
                      <w:rFonts w:hint="eastAsia" w:ascii="宋体" w:hAnsi="宋体" w:eastAsia="宋体" w:cs="宋体"/>
                      <w:color w:val="auto"/>
                      <w:kern w:val="0"/>
                      <w:sz w:val="18"/>
                      <w:szCs w:val="18"/>
                      <w:highlight w:val="none"/>
                    </w:rPr>
                  </w:pPr>
                </w:p>
              </w:tc>
              <w:tc>
                <w:tcPr>
                  <w:tcW w:w="875" w:type="dxa"/>
                  <w:vAlign w:val="center"/>
                </w:tcPr>
                <w:p w14:paraId="334AD8B9">
                  <w:pPr>
                    <w:widowControl/>
                    <w:spacing w:line="240" w:lineRule="exac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营业收入</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Y</w:t>
                  </w:r>
                  <w:r>
                    <w:rPr>
                      <w:rFonts w:hint="eastAsia" w:ascii="宋体" w:hAnsi="宋体" w:eastAsia="宋体" w:cs="宋体"/>
                      <w:color w:val="auto"/>
                      <w:kern w:val="0"/>
                      <w:sz w:val="16"/>
                      <w:szCs w:val="16"/>
                      <w:highlight w:val="none"/>
                      <w:lang w:eastAsia="zh-CN"/>
                    </w:rPr>
                    <w:t>）</w:t>
                  </w:r>
                </w:p>
              </w:tc>
              <w:tc>
                <w:tcPr>
                  <w:tcW w:w="375" w:type="dxa"/>
                  <w:vAlign w:val="center"/>
                </w:tcPr>
                <w:p w14:paraId="06BE53C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037" w:type="dxa"/>
                  <w:vAlign w:val="center"/>
                </w:tcPr>
                <w:p w14:paraId="79F4068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Y≥40000</w:t>
                  </w:r>
                </w:p>
              </w:tc>
              <w:tc>
                <w:tcPr>
                  <w:tcW w:w="1438" w:type="dxa"/>
                  <w:vAlign w:val="center"/>
                </w:tcPr>
                <w:p w14:paraId="32A38D2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40000</w:t>
                  </w:r>
                </w:p>
              </w:tc>
              <w:tc>
                <w:tcPr>
                  <w:tcW w:w="1337" w:type="dxa"/>
                  <w:vAlign w:val="center"/>
                </w:tcPr>
                <w:p w14:paraId="4E467CB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300≤Y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w:t>
                  </w:r>
                </w:p>
              </w:tc>
              <w:tc>
                <w:tcPr>
                  <w:tcW w:w="827" w:type="dxa"/>
                  <w:vAlign w:val="center"/>
                </w:tcPr>
                <w:p w14:paraId="6F28F415">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r>
            <w:tr w14:paraId="6D46F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exact"/>
                <w:jc w:val="center"/>
              </w:trPr>
              <w:tc>
                <w:tcPr>
                  <w:tcW w:w="825" w:type="dxa"/>
                  <w:vMerge w:val="restart"/>
                  <w:vAlign w:val="center"/>
                </w:tcPr>
                <w:p w14:paraId="432FDFEA">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建筑业</w:t>
                  </w:r>
                </w:p>
              </w:tc>
              <w:tc>
                <w:tcPr>
                  <w:tcW w:w="875" w:type="dxa"/>
                  <w:vAlign w:val="center"/>
                </w:tcPr>
                <w:p w14:paraId="5A0A0E4A">
                  <w:pPr>
                    <w:widowControl/>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营业收入</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Y</w:t>
                  </w:r>
                  <w:r>
                    <w:rPr>
                      <w:rFonts w:hint="eastAsia" w:ascii="宋体" w:hAnsi="宋体" w:eastAsia="宋体" w:cs="宋体"/>
                      <w:color w:val="auto"/>
                      <w:kern w:val="0"/>
                      <w:sz w:val="16"/>
                      <w:szCs w:val="16"/>
                      <w:highlight w:val="none"/>
                      <w:lang w:eastAsia="zh-CN"/>
                    </w:rPr>
                    <w:t>）</w:t>
                  </w:r>
                </w:p>
              </w:tc>
              <w:tc>
                <w:tcPr>
                  <w:tcW w:w="375" w:type="dxa"/>
                  <w:vAlign w:val="center"/>
                </w:tcPr>
                <w:p w14:paraId="44B2065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037" w:type="dxa"/>
                  <w:vAlign w:val="center"/>
                </w:tcPr>
                <w:p w14:paraId="54FC1A3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Y≥80000</w:t>
                  </w:r>
                </w:p>
              </w:tc>
              <w:tc>
                <w:tcPr>
                  <w:tcW w:w="1438" w:type="dxa"/>
                  <w:vAlign w:val="center"/>
                </w:tcPr>
                <w:p w14:paraId="0AEE6B6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6000≤Y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80000</w:t>
                  </w:r>
                </w:p>
              </w:tc>
              <w:tc>
                <w:tcPr>
                  <w:tcW w:w="1337" w:type="dxa"/>
                  <w:vAlign w:val="center"/>
                </w:tcPr>
                <w:p w14:paraId="67A90E7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300≤Y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6000</w:t>
                  </w:r>
                </w:p>
              </w:tc>
              <w:tc>
                <w:tcPr>
                  <w:tcW w:w="827" w:type="dxa"/>
                  <w:vAlign w:val="center"/>
                </w:tcPr>
                <w:p w14:paraId="10DDF44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r>
            <w:tr w14:paraId="2CE47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exact"/>
                <w:jc w:val="center"/>
              </w:trPr>
              <w:tc>
                <w:tcPr>
                  <w:tcW w:w="825" w:type="dxa"/>
                  <w:vMerge w:val="continue"/>
                  <w:vAlign w:val="center"/>
                </w:tcPr>
                <w:p w14:paraId="0A3535EF">
                  <w:pPr>
                    <w:widowControl/>
                    <w:jc w:val="left"/>
                    <w:rPr>
                      <w:rFonts w:hint="eastAsia" w:ascii="宋体" w:hAnsi="宋体" w:eastAsia="宋体" w:cs="宋体"/>
                      <w:color w:val="auto"/>
                      <w:kern w:val="0"/>
                      <w:sz w:val="18"/>
                      <w:szCs w:val="18"/>
                      <w:highlight w:val="none"/>
                    </w:rPr>
                  </w:pPr>
                </w:p>
              </w:tc>
              <w:tc>
                <w:tcPr>
                  <w:tcW w:w="875" w:type="dxa"/>
                  <w:vAlign w:val="center"/>
                </w:tcPr>
                <w:p w14:paraId="342CF42A">
                  <w:pPr>
                    <w:widowControl/>
                    <w:spacing w:line="240" w:lineRule="exac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资产总额</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Z</w:t>
                  </w:r>
                  <w:r>
                    <w:rPr>
                      <w:rFonts w:hint="eastAsia" w:ascii="宋体" w:hAnsi="宋体" w:eastAsia="宋体" w:cs="宋体"/>
                      <w:color w:val="auto"/>
                      <w:kern w:val="0"/>
                      <w:sz w:val="16"/>
                      <w:szCs w:val="16"/>
                      <w:highlight w:val="none"/>
                      <w:lang w:eastAsia="zh-CN"/>
                    </w:rPr>
                    <w:t>）</w:t>
                  </w:r>
                </w:p>
              </w:tc>
              <w:tc>
                <w:tcPr>
                  <w:tcW w:w="375" w:type="dxa"/>
                  <w:vAlign w:val="center"/>
                </w:tcPr>
                <w:p w14:paraId="5F7CF80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037" w:type="dxa"/>
                  <w:vAlign w:val="center"/>
                </w:tcPr>
                <w:p w14:paraId="02D1D17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Z≥80000</w:t>
                  </w:r>
                </w:p>
              </w:tc>
              <w:tc>
                <w:tcPr>
                  <w:tcW w:w="1438" w:type="dxa"/>
                  <w:vAlign w:val="center"/>
                </w:tcPr>
                <w:p w14:paraId="5E315E4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5000≤Z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80000</w:t>
                  </w:r>
                </w:p>
              </w:tc>
              <w:tc>
                <w:tcPr>
                  <w:tcW w:w="1337" w:type="dxa"/>
                  <w:vAlign w:val="center"/>
                </w:tcPr>
                <w:p w14:paraId="5012776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300≤Z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5000</w:t>
                  </w:r>
                </w:p>
              </w:tc>
              <w:tc>
                <w:tcPr>
                  <w:tcW w:w="827" w:type="dxa"/>
                  <w:vAlign w:val="center"/>
                </w:tcPr>
                <w:p w14:paraId="521ABD0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r>
            <w:tr w14:paraId="3C93E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exact"/>
                <w:jc w:val="center"/>
              </w:trPr>
              <w:tc>
                <w:tcPr>
                  <w:tcW w:w="825" w:type="dxa"/>
                  <w:vMerge w:val="restart"/>
                  <w:vAlign w:val="center"/>
                </w:tcPr>
                <w:p w14:paraId="39A5F78F">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批发业</w:t>
                  </w:r>
                </w:p>
              </w:tc>
              <w:tc>
                <w:tcPr>
                  <w:tcW w:w="875" w:type="dxa"/>
                  <w:vAlign w:val="center"/>
                </w:tcPr>
                <w:p w14:paraId="08C73949">
                  <w:pPr>
                    <w:widowControl/>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从业人员</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X</w:t>
                  </w:r>
                  <w:r>
                    <w:rPr>
                      <w:rFonts w:hint="eastAsia" w:ascii="宋体" w:hAnsi="宋体" w:eastAsia="宋体" w:cs="宋体"/>
                      <w:color w:val="auto"/>
                      <w:kern w:val="0"/>
                      <w:sz w:val="16"/>
                      <w:szCs w:val="16"/>
                      <w:highlight w:val="none"/>
                      <w:lang w:eastAsia="zh-CN"/>
                    </w:rPr>
                    <w:t>）</w:t>
                  </w:r>
                </w:p>
              </w:tc>
              <w:tc>
                <w:tcPr>
                  <w:tcW w:w="375" w:type="dxa"/>
                  <w:vAlign w:val="center"/>
                </w:tcPr>
                <w:p w14:paraId="20F1E35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037" w:type="dxa"/>
                  <w:vAlign w:val="center"/>
                </w:tcPr>
                <w:p w14:paraId="362C117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X≥200</w:t>
                  </w:r>
                </w:p>
              </w:tc>
              <w:tc>
                <w:tcPr>
                  <w:tcW w:w="1438" w:type="dxa"/>
                  <w:vAlign w:val="center"/>
                </w:tcPr>
                <w:p w14:paraId="3062FA9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w:t>
                  </w:r>
                </w:p>
              </w:tc>
              <w:tc>
                <w:tcPr>
                  <w:tcW w:w="1337" w:type="dxa"/>
                  <w:vAlign w:val="center"/>
                </w:tcPr>
                <w:p w14:paraId="1779108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w:t>
                  </w:r>
                </w:p>
              </w:tc>
              <w:tc>
                <w:tcPr>
                  <w:tcW w:w="827" w:type="dxa"/>
                  <w:vAlign w:val="center"/>
                </w:tcPr>
                <w:p w14:paraId="107DEE4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w:t>
                  </w:r>
                </w:p>
              </w:tc>
            </w:tr>
            <w:tr w14:paraId="2E5A0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exact"/>
                <w:jc w:val="center"/>
              </w:trPr>
              <w:tc>
                <w:tcPr>
                  <w:tcW w:w="825" w:type="dxa"/>
                  <w:vMerge w:val="continue"/>
                  <w:vAlign w:val="center"/>
                </w:tcPr>
                <w:p w14:paraId="3A5846E6">
                  <w:pPr>
                    <w:widowControl/>
                    <w:jc w:val="left"/>
                    <w:rPr>
                      <w:rFonts w:hint="eastAsia" w:ascii="宋体" w:hAnsi="宋体" w:eastAsia="宋体" w:cs="宋体"/>
                      <w:color w:val="auto"/>
                      <w:kern w:val="0"/>
                      <w:sz w:val="18"/>
                      <w:szCs w:val="18"/>
                      <w:highlight w:val="none"/>
                    </w:rPr>
                  </w:pPr>
                </w:p>
              </w:tc>
              <w:tc>
                <w:tcPr>
                  <w:tcW w:w="875" w:type="dxa"/>
                  <w:vAlign w:val="center"/>
                </w:tcPr>
                <w:p w14:paraId="1FF9480F">
                  <w:pPr>
                    <w:widowControl/>
                    <w:spacing w:line="240" w:lineRule="exac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营业收入</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Y</w:t>
                  </w:r>
                  <w:r>
                    <w:rPr>
                      <w:rFonts w:hint="eastAsia" w:ascii="宋体" w:hAnsi="宋体" w:eastAsia="宋体" w:cs="宋体"/>
                      <w:color w:val="auto"/>
                      <w:kern w:val="0"/>
                      <w:sz w:val="16"/>
                      <w:szCs w:val="16"/>
                      <w:highlight w:val="none"/>
                      <w:lang w:eastAsia="zh-CN"/>
                    </w:rPr>
                    <w:t>）</w:t>
                  </w:r>
                </w:p>
              </w:tc>
              <w:tc>
                <w:tcPr>
                  <w:tcW w:w="375" w:type="dxa"/>
                  <w:vAlign w:val="center"/>
                </w:tcPr>
                <w:p w14:paraId="377D314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037" w:type="dxa"/>
                  <w:vAlign w:val="center"/>
                </w:tcPr>
                <w:p w14:paraId="26B1950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Y≥40000</w:t>
                  </w:r>
                </w:p>
              </w:tc>
              <w:tc>
                <w:tcPr>
                  <w:tcW w:w="1438" w:type="dxa"/>
                  <w:vAlign w:val="center"/>
                </w:tcPr>
                <w:p w14:paraId="38BB47E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40000</w:t>
                  </w:r>
                </w:p>
              </w:tc>
              <w:tc>
                <w:tcPr>
                  <w:tcW w:w="1337" w:type="dxa"/>
                  <w:vAlign w:val="center"/>
                </w:tcPr>
                <w:p w14:paraId="3D1C8A9A">
                  <w:pPr>
                    <w:widowControl/>
                    <w:ind w:left="-2" w:leftChars="-1"/>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5000</w:t>
                  </w:r>
                </w:p>
              </w:tc>
              <w:tc>
                <w:tcPr>
                  <w:tcW w:w="827" w:type="dxa"/>
                  <w:vAlign w:val="center"/>
                </w:tcPr>
                <w:p w14:paraId="0A66EF3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r>
            <w:tr w14:paraId="1D703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exact"/>
                <w:jc w:val="center"/>
              </w:trPr>
              <w:tc>
                <w:tcPr>
                  <w:tcW w:w="825" w:type="dxa"/>
                  <w:vMerge w:val="restart"/>
                  <w:vAlign w:val="center"/>
                </w:tcPr>
                <w:p w14:paraId="0388358F">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零售业</w:t>
                  </w:r>
                </w:p>
              </w:tc>
              <w:tc>
                <w:tcPr>
                  <w:tcW w:w="875" w:type="dxa"/>
                  <w:vAlign w:val="center"/>
                </w:tcPr>
                <w:p w14:paraId="39651264">
                  <w:pPr>
                    <w:widowControl/>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从业人员</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X</w:t>
                  </w:r>
                  <w:r>
                    <w:rPr>
                      <w:rFonts w:hint="eastAsia" w:ascii="宋体" w:hAnsi="宋体" w:eastAsia="宋体" w:cs="宋体"/>
                      <w:color w:val="auto"/>
                      <w:kern w:val="0"/>
                      <w:sz w:val="16"/>
                      <w:szCs w:val="16"/>
                      <w:highlight w:val="none"/>
                      <w:lang w:eastAsia="zh-CN"/>
                    </w:rPr>
                    <w:t>）</w:t>
                  </w:r>
                </w:p>
              </w:tc>
              <w:tc>
                <w:tcPr>
                  <w:tcW w:w="375" w:type="dxa"/>
                  <w:vAlign w:val="center"/>
                </w:tcPr>
                <w:p w14:paraId="276352F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037" w:type="dxa"/>
                  <w:vAlign w:val="center"/>
                </w:tcPr>
                <w:p w14:paraId="5651BC4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438" w:type="dxa"/>
                  <w:vAlign w:val="center"/>
                </w:tcPr>
                <w:p w14:paraId="182DF47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c>
                <w:tcPr>
                  <w:tcW w:w="1337" w:type="dxa"/>
                  <w:vAlign w:val="center"/>
                </w:tcPr>
                <w:p w14:paraId="1723970B">
                  <w:pPr>
                    <w:widowControl/>
                    <w:ind w:left="-2" w:leftChars="-1"/>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50 </w:t>
                  </w:r>
                </w:p>
              </w:tc>
              <w:tc>
                <w:tcPr>
                  <w:tcW w:w="827" w:type="dxa"/>
                  <w:vAlign w:val="center"/>
                </w:tcPr>
                <w:p w14:paraId="3C3FBFC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r w14:paraId="0733B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825" w:type="dxa"/>
                  <w:vMerge w:val="continue"/>
                  <w:vAlign w:val="center"/>
                </w:tcPr>
                <w:p w14:paraId="2BFA599D">
                  <w:pPr>
                    <w:widowControl/>
                    <w:jc w:val="left"/>
                    <w:rPr>
                      <w:rFonts w:hint="eastAsia" w:ascii="宋体" w:hAnsi="宋体" w:eastAsia="宋体" w:cs="宋体"/>
                      <w:color w:val="auto"/>
                      <w:kern w:val="0"/>
                      <w:sz w:val="18"/>
                      <w:szCs w:val="18"/>
                      <w:highlight w:val="none"/>
                    </w:rPr>
                  </w:pPr>
                </w:p>
              </w:tc>
              <w:tc>
                <w:tcPr>
                  <w:tcW w:w="875" w:type="dxa"/>
                  <w:vAlign w:val="center"/>
                </w:tcPr>
                <w:p w14:paraId="6C7A33DE">
                  <w:pPr>
                    <w:widowControl/>
                    <w:spacing w:line="240" w:lineRule="exac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营业收入</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Y</w:t>
                  </w:r>
                  <w:r>
                    <w:rPr>
                      <w:rFonts w:hint="eastAsia" w:ascii="宋体" w:hAnsi="宋体" w:eastAsia="宋体" w:cs="宋体"/>
                      <w:color w:val="auto"/>
                      <w:kern w:val="0"/>
                      <w:sz w:val="16"/>
                      <w:szCs w:val="16"/>
                      <w:highlight w:val="none"/>
                      <w:lang w:eastAsia="zh-CN"/>
                    </w:rPr>
                    <w:t>）</w:t>
                  </w:r>
                </w:p>
              </w:tc>
              <w:tc>
                <w:tcPr>
                  <w:tcW w:w="375" w:type="dxa"/>
                  <w:vAlign w:val="center"/>
                </w:tcPr>
                <w:p w14:paraId="7BA907E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037" w:type="dxa"/>
                  <w:vAlign w:val="center"/>
                </w:tcPr>
                <w:p w14:paraId="38B1217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Y≥20000</w:t>
                  </w:r>
                </w:p>
              </w:tc>
              <w:tc>
                <w:tcPr>
                  <w:tcW w:w="1438" w:type="dxa"/>
                  <w:vAlign w:val="center"/>
                </w:tcPr>
                <w:p w14:paraId="54D62B9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20000</w:t>
                  </w:r>
                </w:p>
              </w:tc>
              <w:tc>
                <w:tcPr>
                  <w:tcW w:w="1337" w:type="dxa"/>
                  <w:vAlign w:val="center"/>
                </w:tcPr>
                <w:p w14:paraId="56226E9B">
                  <w:pPr>
                    <w:widowControl/>
                    <w:ind w:left="-2" w:leftChars="-1"/>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500 </w:t>
                  </w:r>
                </w:p>
              </w:tc>
              <w:tc>
                <w:tcPr>
                  <w:tcW w:w="827" w:type="dxa"/>
                  <w:vAlign w:val="center"/>
                </w:tcPr>
                <w:p w14:paraId="74BE29E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43299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exact"/>
                <w:jc w:val="center"/>
              </w:trPr>
              <w:tc>
                <w:tcPr>
                  <w:tcW w:w="825" w:type="dxa"/>
                  <w:vMerge w:val="restart"/>
                  <w:vAlign w:val="center"/>
                </w:tcPr>
                <w:p w14:paraId="76439969">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交通运输业 *</w:t>
                  </w:r>
                </w:p>
              </w:tc>
              <w:tc>
                <w:tcPr>
                  <w:tcW w:w="875" w:type="dxa"/>
                  <w:vAlign w:val="center"/>
                </w:tcPr>
                <w:p w14:paraId="4F3F0DE2">
                  <w:pPr>
                    <w:widowControl/>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从业人员</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X</w:t>
                  </w:r>
                  <w:r>
                    <w:rPr>
                      <w:rFonts w:hint="eastAsia" w:ascii="宋体" w:hAnsi="宋体" w:eastAsia="宋体" w:cs="宋体"/>
                      <w:color w:val="auto"/>
                      <w:kern w:val="0"/>
                      <w:sz w:val="16"/>
                      <w:szCs w:val="16"/>
                      <w:highlight w:val="none"/>
                      <w:lang w:eastAsia="zh-CN"/>
                    </w:rPr>
                    <w:t>）</w:t>
                  </w:r>
                </w:p>
              </w:tc>
              <w:tc>
                <w:tcPr>
                  <w:tcW w:w="375" w:type="dxa"/>
                  <w:vAlign w:val="center"/>
                </w:tcPr>
                <w:p w14:paraId="4B2804C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037" w:type="dxa"/>
                  <w:vAlign w:val="center"/>
                </w:tcPr>
                <w:p w14:paraId="3340B60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438" w:type="dxa"/>
                  <w:vAlign w:val="center"/>
                </w:tcPr>
                <w:p w14:paraId="166689D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1337" w:type="dxa"/>
                  <w:vAlign w:val="center"/>
                </w:tcPr>
                <w:p w14:paraId="25EFBC7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c>
                <w:tcPr>
                  <w:tcW w:w="827" w:type="dxa"/>
                  <w:vAlign w:val="center"/>
                </w:tcPr>
                <w:p w14:paraId="4F63C50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w:t>
                  </w:r>
                </w:p>
              </w:tc>
            </w:tr>
            <w:tr w14:paraId="56FE0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exact"/>
                <w:jc w:val="center"/>
              </w:trPr>
              <w:tc>
                <w:tcPr>
                  <w:tcW w:w="825" w:type="dxa"/>
                  <w:vMerge w:val="continue"/>
                  <w:vAlign w:val="center"/>
                </w:tcPr>
                <w:p w14:paraId="6C7B70E3">
                  <w:pPr>
                    <w:widowControl/>
                    <w:jc w:val="left"/>
                    <w:rPr>
                      <w:rFonts w:hint="eastAsia" w:ascii="宋体" w:hAnsi="宋体" w:eastAsia="宋体" w:cs="宋体"/>
                      <w:color w:val="auto"/>
                      <w:kern w:val="0"/>
                      <w:sz w:val="18"/>
                      <w:szCs w:val="18"/>
                      <w:highlight w:val="none"/>
                    </w:rPr>
                  </w:pPr>
                </w:p>
              </w:tc>
              <w:tc>
                <w:tcPr>
                  <w:tcW w:w="875" w:type="dxa"/>
                  <w:vAlign w:val="center"/>
                </w:tcPr>
                <w:p w14:paraId="422EB2E1">
                  <w:pPr>
                    <w:widowControl/>
                    <w:spacing w:line="240" w:lineRule="exac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营业收入</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Y</w:t>
                  </w:r>
                  <w:r>
                    <w:rPr>
                      <w:rFonts w:hint="eastAsia" w:ascii="宋体" w:hAnsi="宋体" w:eastAsia="宋体" w:cs="宋体"/>
                      <w:color w:val="auto"/>
                      <w:kern w:val="0"/>
                      <w:sz w:val="16"/>
                      <w:szCs w:val="16"/>
                      <w:highlight w:val="none"/>
                      <w:lang w:eastAsia="zh-CN"/>
                    </w:rPr>
                    <w:t>）</w:t>
                  </w:r>
                </w:p>
              </w:tc>
              <w:tc>
                <w:tcPr>
                  <w:tcW w:w="375" w:type="dxa"/>
                  <w:vAlign w:val="center"/>
                </w:tcPr>
                <w:p w14:paraId="409D104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037" w:type="dxa"/>
                  <w:vAlign w:val="center"/>
                </w:tcPr>
                <w:p w14:paraId="68390A2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Y≥30000</w:t>
                  </w:r>
                </w:p>
              </w:tc>
              <w:tc>
                <w:tcPr>
                  <w:tcW w:w="1438" w:type="dxa"/>
                  <w:vAlign w:val="center"/>
                </w:tcPr>
                <w:p w14:paraId="07F24E8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30000</w:t>
                  </w:r>
                </w:p>
              </w:tc>
              <w:tc>
                <w:tcPr>
                  <w:tcW w:w="1337" w:type="dxa"/>
                  <w:vAlign w:val="center"/>
                </w:tcPr>
                <w:p w14:paraId="7B1C88C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3000</w:t>
                  </w:r>
                </w:p>
              </w:tc>
              <w:tc>
                <w:tcPr>
                  <w:tcW w:w="827" w:type="dxa"/>
                  <w:vAlign w:val="center"/>
                </w:tcPr>
                <w:p w14:paraId="4B68EE15">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w:t>
                  </w:r>
                </w:p>
              </w:tc>
            </w:tr>
            <w:tr w14:paraId="4F8D0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exact"/>
                <w:jc w:val="center"/>
              </w:trPr>
              <w:tc>
                <w:tcPr>
                  <w:tcW w:w="825" w:type="dxa"/>
                  <w:vMerge w:val="restart"/>
                  <w:vAlign w:val="center"/>
                </w:tcPr>
                <w:p w14:paraId="37353372">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仓储业*</w:t>
                  </w:r>
                </w:p>
              </w:tc>
              <w:tc>
                <w:tcPr>
                  <w:tcW w:w="875" w:type="dxa"/>
                  <w:vAlign w:val="center"/>
                </w:tcPr>
                <w:p w14:paraId="4770355E">
                  <w:pPr>
                    <w:widowControl/>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从业人员</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X</w:t>
                  </w:r>
                  <w:r>
                    <w:rPr>
                      <w:rFonts w:hint="eastAsia" w:ascii="宋体" w:hAnsi="宋体" w:eastAsia="宋体" w:cs="宋体"/>
                      <w:color w:val="auto"/>
                      <w:kern w:val="0"/>
                      <w:sz w:val="16"/>
                      <w:szCs w:val="16"/>
                      <w:highlight w:val="none"/>
                      <w:lang w:eastAsia="zh-CN"/>
                    </w:rPr>
                    <w:t>）</w:t>
                  </w:r>
                </w:p>
              </w:tc>
              <w:tc>
                <w:tcPr>
                  <w:tcW w:w="375" w:type="dxa"/>
                  <w:vAlign w:val="center"/>
                </w:tcPr>
                <w:p w14:paraId="26B8850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037" w:type="dxa"/>
                  <w:vAlign w:val="center"/>
                </w:tcPr>
                <w:p w14:paraId="6743A36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X≥200</w:t>
                  </w:r>
                </w:p>
              </w:tc>
              <w:tc>
                <w:tcPr>
                  <w:tcW w:w="1438" w:type="dxa"/>
                  <w:vAlign w:val="center"/>
                </w:tcPr>
                <w:p w14:paraId="287DE360">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w:t>
                  </w:r>
                </w:p>
              </w:tc>
              <w:tc>
                <w:tcPr>
                  <w:tcW w:w="1337" w:type="dxa"/>
                  <w:vAlign w:val="center"/>
                </w:tcPr>
                <w:p w14:paraId="5EE4B6F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827" w:type="dxa"/>
                  <w:vAlign w:val="center"/>
                </w:tcPr>
                <w:p w14:paraId="0FBC6C9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w:t>
                  </w:r>
                </w:p>
              </w:tc>
            </w:tr>
            <w:tr w14:paraId="6268A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exact"/>
                <w:jc w:val="center"/>
              </w:trPr>
              <w:tc>
                <w:tcPr>
                  <w:tcW w:w="825" w:type="dxa"/>
                  <w:vMerge w:val="continue"/>
                  <w:vAlign w:val="center"/>
                </w:tcPr>
                <w:p w14:paraId="1701C770">
                  <w:pPr>
                    <w:widowControl/>
                    <w:jc w:val="left"/>
                    <w:rPr>
                      <w:rFonts w:hint="eastAsia" w:ascii="宋体" w:hAnsi="宋体" w:eastAsia="宋体" w:cs="宋体"/>
                      <w:color w:val="auto"/>
                      <w:kern w:val="0"/>
                      <w:sz w:val="18"/>
                      <w:szCs w:val="18"/>
                      <w:highlight w:val="none"/>
                    </w:rPr>
                  </w:pPr>
                </w:p>
              </w:tc>
              <w:tc>
                <w:tcPr>
                  <w:tcW w:w="875" w:type="dxa"/>
                  <w:vAlign w:val="center"/>
                </w:tcPr>
                <w:p w14:paraId="03A6DC38">
                  <w:pPr>
                    <w:widowControl/>
                    <w:spacing w:line="240" w:lineRule="exac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营业收入</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Y</w:t>
                  </w:r>
                  <w:r>
                    <w:rPr>
                      <w:rFonts w:hint="eastAsia" w:ascii="宋体" w:hAnsi="宋体" w:eastAsia="宋体" w:cs="宋体"/>
                      <w:color w:val="auto"/>
                      <w:kern w:val="0"/>
                      <w:sz w:val="16"/>
                      <w:szCs w:val="16"/>
                      <w:highlight w:val="none"/>
                      <w:lang w:eastAsia="zh-CN"/>
                    </w:rPr>
                    <w:t>）</w:t>
                  </w:r>
                </w:p>
              </w:tc>
              <w:tc>
                <w:tcPr>
                  <w:tcW w:w="375" w:type="dxa"/>
                  <w:vAlign w:val="center"/>
                </w:tcPr>
                <w:p w14:paraId="43267F0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037" w:type="dxa"/>
                  <w:vAlign w:val="center"/>
                </w:tcPr>
                <w:p w14:paraId="56BE6BB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Y≥30000</w:t>
                  </w:r>
                </w:p>
              </w:tc>
              <w:tc>
                <w:tcPr>
                  <w:tcW w:w="1438" w:type="dxa"/>
                  <w:vAlign w:val="center"/>
                </w:tcPr>
                <w:p w14:paraId="3305728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30000</w:t>
                  </w:r>
                </w:p>
              </w:tc>
              <w:tc>
                <w:tcPr>
                  <w:tcW w:w="1337" w:type="dxa"/>
                  <w:vAlign w:val="center"/>
                </w:tcPr>
                <w:p w14:paraId="0A350EF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827" w:type="dxa"/>
                  <w:vAlign w:val="center"/>
                </w:tcPr>
                <w:p w14:paraId="4CBC104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1F25E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exact"/>
                <w:jc w:val="center"/>
              </w:trPr>
              <w:tc>
                <w:tcPr>
                  <w:tcW w:w="825" w:type="dxa"/>
                  <w:vMerge w:val="restart"/>
                  <w:vAlign w:val="center"/>
                </w:tcPr>
                <w:p w14:paraId="18B3B454">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邮政业</w:t>
                  </w:r>
                </w:p>
              </w:tc>
              <w:tc>
                <w:tcPr>
                  <w:tcW w:w="875" w:type="dxa"/>
                  <w:vAlign w:val="center"/>
                </w:tcPr>
                <w:p w14:paraId="6ABD3188">
                  <w:pPr>
                    <w:widowControl/>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从业人员</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X</w:t>
                  </w:r>
                  <w:r>
                    <w:rPr>
                      <w:rFonts w:hint="eastAsia" w:ascii="宋体" w:hAnsi="宋体" w:eastAsia="宋体" w:cs="宋体"/>
                      <w:color w:val="auto"/>
                      <w:kern w:val="0"/>
                      <w:sz w:val="16"/>
                      <w:szCs w:val="16"/>
                      <w:highlight w:val="none"/>
                      <w:lang w:eastAsia="zh-CN"/>
                    </w:rPr>
                    <w:t>）</w:t>
                  </w:r>
                </w:p>
              </w:tc>
              <w:tc>
                <w:tcPr>
                  <w:tcW w:w="375" w:type="dxa"/>
                  <w:vAlign w:val="center"/>
                </w:tcPr>
                <w:p w14:paraId="346C7C7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037" w:type="dxa"/>
                  <w:vAlign w:val="center"/>
                </w:tcPr>
                <w:p w14:paraId="0F77862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438" w:type="dxa"/>
                  <w:vAlign w:val="center"/>
                </w:tcPr>
                <w:p w14:paraId="1851EFB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1337" w:type="dxa"/>
                  <w:vAlign w:val="center"/>
                </w:tcPr>
                <w:p w14:paraId="18F9498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c>
                <w:tcPr>
                  <w:tcW w:w="827" w:type="dxa"/>
                  <w:vAlign w:val="center"/>
                </w:tcPr>
                <w:p w14:paraId="2554F5B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w:t>
                  </w:r>
                </w:p>
              </w:tc>
            </w:tr>
            <w:tr w14:paraId="789F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exact"/>
                <w:jc w:val="center"/>
              </w:trPr>
              <w:tc>
                <w:tcPr>
                  <w:tcW w:w="825" w:type="dxa"/>
                  <w:vMerge w:val="continue"/>
                  <w:vAlign w:val="center"/>
                </w:tcPr>
                <w:p w14:paraId="2DC90C64">
                  <w:pPr>
                    <w:widowControl/>
                    <w:jc w:val="left"/>
                    <w:rPr>
                      <w:rFonts w:hint="eastAsia" w:ascii="宋体" w:hAnsi="宋体" w:eastAsia="宋体" w:cs="宋体"/>
                      <w:color w:val="auto"/>
                      <w:kern w:val="0"/>
                      <w:sz w:val="18"/>
                      <w:szCs w:val="18"/>
                      <w:highlight w:val="none"/>
                    </w:rPr>
                  </w:pPr>
                </w:p>
              </w:tc>
              <w:tc>
                <w:tcPr>
                  <w:tcW w:w="875" w:type="dxa"/>
                  <w:vAlign w:val="center"/>
                </w:tcPr>
                <w:p w14:paraId="54F7B176">
                  <w:pPr>
                    <w:widowControl/>
                    <w:spacing w:line="240" w:lineRule="exac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营业收入</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Y</w:t>
                  </w:r>
                  <w:r>
                    <w:rPr>
                      <w:rFonts w:hint="eastAsia" w:ascii="宋体" w:hAnsi="宋体" w:eastAsia="宋体" w:cs="宋体"/>
                      <w:color w:val="auto"/>
                      <w:kern w:val="0"/>
                      <w:sz w:val="16"/>
                      <w:szCs w:val="16"/>
                      <w:highlight w:val="none"/>
                      <w:lang w:eastAsia="zh-CN"/>
                    </w:rPr>
                    <w:t>）</w:t>
                  </w:r>
                </w:p>
              </w:tc>
              <w:tc>
                <w:tcPr>
                  <w:tcW w:w="375" w:type="dxa"/>
                  <w:vAlign w:val="center"/>
                </w:tcPr>
                <w:p w14:paraId="3F864FF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037" w:type="dxa"/>
                  <w:vAlign w:val="center"/>
                </w:tcPr>
                <w:p w14:paraId="2A95D3A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Y≥30000</w:t>
                  </w:r>
                </w:p>
              </w:tc>
              <w:tc>
                <w:tcPr>
                  <w:tcW w:w="1438" w:type="dxa"/>
                  <w:vAlign w:val="center"/>
                </w:tcPr>
                <w:p w14:paraId="4AB249B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30000</w:t>
                  </w:r>
                </w:p>
              </w:tc>
              <w:tc>
                <w:tcPr>
                  <w:tcW w:w="1337" w:type="dxa"/>
                  <w:vAlign w:val="center"/>
                </w:tcPr>
                <w:p w14:paraId="38A4CC4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w:t>
                  </w:r>
                </w:p>
              </w:tc>
              <w:tc>
                <w:tcPr>
                  <w:tcW w:w="827" w:type="dxa"/>
                  <w:vAlign w:val="center"/>
                </w:tcPr>
                <w:p w14:paraId="4D4CB13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0D1BF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exact"/>
                <w:jc w:val="center"/>
              </w:trPr>
              <w:tc>
                <w:tcPr>
                  <w:tcW w:w="825" w:type="dxa"/>
                  <w:vMerge w:val="restart"/>
                  <w:vAlign w:val="center"/>
                </w:tcPr>
                <w:p w14:paraId="370525C7">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住宿业</w:t>
                  </w:r>
                </w:p>
              </w:tc>
              <w:tc>
                <w:tcPr>
                  <w:tcW w:w="875" w:type="dxa"/>
                  <w:vAlign w:val="center"/>
                </w:tcPr>
                <w:p w14:paraId="13D0002A">
                  <w:pPr>
                    <w:widowControl/>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从业人员</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X</w:t>
                  </w:r>
                  <w:r>
                    <w:rPr>
                      <w:rFonts w:hint="eastAsia" w:ascii="宋体" w:hAnsi="宋体" w:eastAsia="宋体" w:cs="宋体"/>
                      <w:color w:val="auto"/>
                      <w:kern w:val="0"/>
                      <w:sz w:val="16"/>
                      <w:szCs w:val="16"/>
                      <w:highlight w:val="none"/>
                      <w:lang w:eastAsia="zh-CN"/>
                    </w:rPr>
                    <w:t>）</w:t>
                  </w:r>
                </w:p>
              </w:tc>
              <w:tc>
                <w:tcPr>
                  <w:tcW w:w="375" w:type="dxa"/>
                  <w:vAlign w:val="center"/>
                </w:tcPr>
                <w:p w14:paraId="6207A5D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037" w:type="dxa"/>
                  <w:vAlign w:val="center"/>
                </w:tcPr>
                <w:p w14:paraId="37EA25F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438" w:type="dxa"/>
                  <w:vAlign w:val="center"/>
                </w:tcPr>
                <w:p w14:paraId="3CC55864">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300 </w:t>
                  </w:r>
                </w:p>
              </w:tc>
              <w:tc>
                <w:tcPr>
                  <w:tcW w:w="1337" w:type="dxa"/>
                  <w:vAlign w:val="center"/>
                </w:tcPr>
                <w:p w14:paraId="29728D7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827" w:type="dxa"/>
                  <w:vAlign w:val="center"/>
                </w:tcPr>
                <w:p w14:paraId="53F4D0B5">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r w14:paraId="26EFB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exact"/>
                <w:jc w:val="center"/>
              </w:trPr>
              <w:tc>
                <w:tcPr>
                  <w:tcW w:w="825" w:type="dxa"/>
                  <w:vMerge w:val="continue"/>
                  <w:vAlign w:val="center"/>
                </w:tcPr>
                <w:p w14:paraId="412ABD5B">
                  <w:pPr>
                    <w:widowControl/>
                    <w:jc w:val="left"/>
                    <w:rPr>
                      <w:rFonts w:hint="eastAsia" w:ascii="宋体" w:hAnsi="宋体" w:eastAsia="宋体" w:cs="宋体"/>
                      <w:color w:val="auto"/>
                      <w:kern w:val="0"/>
                      <w:sz w:val="18"/>
                      <w:szCs w:val="18"/>
                      <w:highlight w:val="none"/>
                    </w:rPr>
                  </w:pPr>
                </w:p>
              </w:tc>
              <w:tc>
                <w:tcPr>
                  <w:tcW w:w="875" w:type="dxa"/>
                  <w:vAlign w:val="center"/>
                </w:tcPr>
                <w:p w14:paraId="41D255EC">
                  <w:pPr>
                    <w:widowControl/>
                    <w:spacing w:line="240" w:lineRule="exac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营业收入</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Y</w:t>
                  </w:r>
                  <w:r>
                    <w:rPr>
                      <w:rFonts w:hint="eastAsia" w:ascii="宋体" w:hAnsi="宋体" w:eastAsia="宋体" w:cs="宋体"/>
                      <w:color w:val="auto"/>
                      <w:kern w:val="0"/>
                      <w:sz w:val="16"/>
                      <w:szCs w:val="16"/>
                      <w:highlight w:val="none"/>
                      <w:lang w:eastAsia="zh-CN"/>
                    </w:rPr>
                    <w:t>）</w:t>
                  </w:r>
                </w:p>
              </w:tc>
              <w:tc>
                <w:tcPr>
                  <w:tcW w:w="375" w:type="dxa"/>
                  <w:vAlign w:val="center"/>
                </w:tcPr>
                <w:p w14:paraId="2497ED0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037" w:type="dxa"/>
                  <w:vAlign w:val="center"/>
                </w:tcPr>
                <w:p w14:paraId="3CD5CB9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w:t>
                  </w:r>
                </w:p>
              </w:tc>
              <w:tc>
                <w:tcPr>
                  <w:tcW w:w="1438" w:type="dxa"/>
                  <w:vAlign w:val="center"/>
                </w:tcPr>
                <w:p w14:paraId="380C936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10000</w:t>
                  </w:r>
                </w:p>
              </w:tc>
              <w:tc>
                <w:tcPr>
                  <w:tcW w:w="1337" w:type="dxa"/>
                  <w:vAlign w:val="center"/>
                </w:tcPr>
                <w:p w14:paraId="68DF017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w:t>
                  </w:r>
                </w:p>
              </w:tc>
              <w:tc>
                <w:tcPr>
                  <w:tcW w:w="827" w:type="dxa"/>
                  <w:vAlign w:val="center"/>
                </w:tcPr>
                <w:p w14:paraId="37C67F1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2BBFA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exact"/>
                <w:jc w:val="center"/>
              </w:trPr>
              <w:tc>
                <w:tcPr>
                  <w:tcW w:w="825" w:type="dxa"/>
                  <w:vMerge w:val="restart"/>
                  <w:vAlign w:val="center"/>
                </w:tcPr>
                <w:p w14:paraId="2FBBB57D">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餐饮业</w:t>
                  </w:r>
                </w:p>
              </w:tc>
              <w:tc>
                <w:tcPr>
                  <w:tcW w:w="875" w:type="dxa"/>
                  <w:vAlign w:val="center"/>
                </w:tcPr>
                <w:p w14:paraId="374365FD">
                  <w:pPr>
                    <w:widowControl/>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从业人员</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X</w:t>
                  </w:r>
                  <w:r>
                    <w:rPr>
                      <w:rFonts w:hint="eastAsia" w:ascii="宋体" w:hAnsi="宋体" w:eastAsia="宋体" w:cs="宋体"/>
                      <w:color w:val="auto"/>
                      <w:kern w:val="0"/>
                      <w:sz w:val="16"/>
                      <w:szCs w:val="16"/>
                      <w:highlight w:val="none"/>
                      <w:lang w:eastAsia="zh-CN"/>
                    </w:rPr>
                    <w:t>）</w:t>
                  </w:r>
                </w:p>
              </w:tc>
              <w:tc>
                <w:tcPr>
                  <w:tcW w:w="375" w:type="dxa"/>
                  <w:vAlign w:val="center"/>
                </w:tcPr>
                <w:p w14:paraId="00401ED5">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037" w:type="dxa"/>
                  <w:vAlign w:val="center"/>
                </w:tcPr>
                <w:p w14:paraId="2C98CE5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438" w:type="dxa"/>
                  <w:vAlign w:val="center"/>
                </w:tcPr>
                <w:p w14:paraId="23C7B8E5">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300 </w:t>
                  </w:r>
                </w:p>
              </w:tc>
              <w:tc>
                <w:tcPr>
                  <w:tcW w:w="1337" w:type="dxa"/>
                  <w:vAlign w:val="center"/>
                </w:tcPr>
                <w:p w14:paraId="7CFF6DC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827" w:type="dxa"/>
                  <w:vAlign w:val="center"/>
                </w:tcPr>
                <w:p w14:paraId="56B4E9B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r w14:paraId="2E6EC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exact"/>
                <w:jc w:val="center"/>
              </w:trPr>
              <w:tc>
                <w:tcPr>
                  <w:tcW w:w="825" w:type="dxa"/>
                  <w:vMerge w:val="continue"/>
                  <w:vAlign w:val="center"/>
                </w:tcPr>
                <w:p w14:paraId="1FCE6E30">
                  <w:pPr>
                    <w:widowControl/>
                    <w:jc w:val="left"/>
                    <w:rPr>
                      <w:rFonts w:hint="eastAsia" w:ascii="宋体" w:hAnsi="宋体" w:eastAsia="宋体" w:cs="宋体"/>
                      <w:color w:val="auto"/>
                      <w:kern w:val="0"/>
                      <w:sz w:val="18"/>
                      <w:szCs w:val="18"/>
                      <w:highlight w:val="none"/>
                    </w:rPr>
                  </w:pPr>
                </w:p>
              </w:tc>
              <w:tc>
                <w:tcPr>
                  <w:tcW w:w="875" w:type="dxa"/>
                  <w:vAlign w:val="center"/>
                </w:tcPr>
                <w:p w14:paraId="4BBCEAFE">
                  <w:pPr>
                    <w:widowControl/>
                    <w:spacing w:line="240" w:lineRule="exac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营业收入</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Y</w:t>
                  </w:r>
                  <w:r>
                    <w:rPr>
                      <w:rFonts w:hint="eastAsia" w:ascii="宋体" w:hAnsi="宋体" w:eastAsia="宋体" w:cs="宋体"/>
                      <w:color w:val="auto"/>
                      <w:kern w:val="0"/>
                      <w:sz w:val="16"/>
                      <w:szCs w:val="16"/>
                      <w:highlight w:val="none"/>
                      <w:lang w:eastAsia="zh-CN"/>
                    </w:rPr>
                    <w:t>）</w:t>
                  </w:r>
                </w:p>
              </w:tc>
              <w:tc>
                <w:tcPr>
                  <w:tcW w:w="375" w:type="dxa"/>
                  <w:vAlign w:val="center"/>
                </w:tcPr>
                <w:p w14:paraId="4AC5CDD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037" w:type="dxa"/>
                  <w:vAlign w:val="center"/>
                </w:tcPr>
                <w:p w14:paraId="0B8F76C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w:t>
                  </w:r>
                </w:p>
              </w:tc>
              <w:tc>
                <w:tcPr>
                  <w:tcW w:w="1438" w:type="dxa"/>
                  <w:vAlign w:val="center"/>
                </w:tcPr>
                <w:p w14:paraId="6162E8E9">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10000</w:t>
                  </w:r>
                </w:p>
              </w:tc>
              <w:tc>
                <w:tcPr>
                  <w:tcW w:w="1337" w:type="dxa"/>
                  <w:vAlign w:val="center"/>
                </w:tcPr>
                <w:p w14:paraId="4CB06F6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w:t>
                  </w:r>
                </w:p>
              </w:tc>
              <w:tc>
                <w:tcPr>
                  <w:tcW w:w="827" w:type="dxa"/>
                  <w:vAlign w:val="center"/>
                </w:tcPr>
                <w:p w14:paraId="31F7482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40C8E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exact"/>
                <w:jc w:val="center"/>
              </w:trPr>
              <w:tc>
                <w:tcPr>
                  <w:tcW w:w="825" w:type="dxa"/>
                  <w:vMerge w:val="restart"/>
                  <w:vAlign w:val="center"/>
                </w:tcPr>
                <w:p w14:paraId="2A6B8C86">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信息传输业 *</w:t>
                  </w:r>
                </w:p>
              </w:tc>
              <w:tc>
                <w:tcPr>
                  <w:tcW w:w="875" w:type="dxa"/>
                  <w:vAlign w:val="center"/>
                </w:tcPr>
                <w:p w14:paraId="286AFDB3">
                  <w:pPr>
                    <w:widowControl/>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从业人员</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X</w:t>
                  </w:r>
                  <w:r>
                    <w:rPr>
                      <w:rFonts w:hint="eastAsia" w:ascii="宋体" w:hAnsi="宋体" w:eastAsia="宋体" w:cs="宋体"/>
                      <w:color w:val="auto"/>
                      <w:kern w:val="0"/>
                      <w:sz w:val="16"/>
                      <w:szCs w:val="16"/>
                      <w:highlight w:val="none"/>
                      <w:lang w:eastAsia="zh-CN"/>
                    </w:rPr>
                    <w:t>）</w:t>
                  </w:r>
                </w:p>
              </w:tc>
              <w:tc>
                <w:tcPr>
                  <w:tcW w:w="375" w:type="dxa"/>
                  <w:vAlign w:val="center"/>
                </w:tcPr>
                <w:p w14:paraId="31B20C9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037" w:type="dxa"/>
                  <w:vAlign w:val="center"/>
                </w:tcPr>
                <w:p w14:paraId="416E54B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X≥2000</w:t>
                  </w:r>
                </w:p>
              </w:tc>
              <w:tc>
                <w:tcPr>
                  <w:tcW w:w="1438" w:type="dxa"/>
                  <w:vAlign w:val="center"/>
                </w:tcPr>
                <w:p w14:paraId="207651F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w:t>
                  </w:r>
                </w:p>
              </w:tc>
              <w:tc>
                <w:tcPr>
                  <w:tcW w:w="1337" w:type="dxa"/>
                  <w:vAlign w:val="center"/>
                </w:tcPr>
                <w:p w14:paraId="5050835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827" w:type="dxa"/>
                  <w:vAlign w:val="center"/>
                </w:tcPr>
                <w:p w14:paraId="402576A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r w14:paraId="140BA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exact"/>
                <w:jc w:val="center"/>
              </w:trPr>
              <w:tc>
                <w:tcPr>
                  <w:tcW w:w="825" w:type="dxa"/>
                  <w:vMerge w:val="continue"/>
                  <w:vAlign w:val="center"/>
                </w:tcPr>
                <w:p w14:paraId="3CE54649">
                  <w:pPr>
                    <w:widowControl/>
                    <w:jc w:val="left"/>
                    <w:rPr>
                      <w:rFonts w:hint="eastAsia" w:ascii="宋体" w:hAnsi="宋体" w:eastAsia="宋体" w:cs="宋体"/>
                      <w:color w:val="auto"/>
                      <w:kern w:val="0"/>
                      <w:sz w:val="18"/>
                      <w:szCs w:val="18"/>
                      <w:highlight w:val="none"/>
                    </w:rPr>
                  </w:pPr>
                </w:p>
              </w:tc>
              <w:tc>
                <w:tcPr>
                  <w:tcW w:w="875" w:type="dxa"/>
                  <w:vAlign w:val="center"/>
                </w:tcPr>
                <w:p w14:paraId="4F21C538">
                  <w:pPr>
                    <w:widowControl/>
                    <w:spacing w:line="240" w:lineRule="exac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营业收入</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Y</w:t>
                  </w:r>
                  <w:r>
                    <w:rPr>
                      <w:rFonts w:hint="eastAsia" w:ascii="宋体" w:hAnsi="宋体" w:eastAsia="宋体" w:cs="宋体"/>
                      <w:color w:val="auto"/>
                      <w:kern w:val="0"/>
                      <w:sz w:val="16"/>
                      <w:szCs w:val="16"/>
                      <w:highlight w:val="none"/>
                      <w:lang w:eastAsia="zh-CN"/>
                    </w:rPr>
                    <w:t>）</w:t>
                  </w:r>
                </w:p>
              </w:tc>
              <w:tc>
                <w:tcPr>
                  <w:tcW w:w="375" w:type="dxa"/>
                  <w:vAlign w:val="center"/>
                </w:tcPr>
                <w:p w14:paraId="0B5FDB8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037" w:type="dxa"/>
                  <w:vAlign w:val="center"/>
                </w:tcPr>
                <w:p w14:paraId="6D14316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Y≥100000</w:t>
                  </w:r>
                </w:p>
              </w:tc>
              <w:tc>
                <w:tcPr>
                  <w:tcW w:w="1438" w:type="dxa"/>
                  <w:vAlign w:val="center"/>
                </w:tcPr>
                <w:p w14:paraId="38714E7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100000</w:t>
                  </w:r>
                </w:p>
              </w:tc>
              <w:tc>
                <w:tcPr>
                  <w:tcW w:w="1337" w:type="dxa"/>
                  <w:vAlign w:val="center"/>
                </w:tcPr>
                <w:p w14:paraId="29437F4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827" w:type="dxa"/>
                  <w:vAlign w:val="center"/>
                </w:tcPr>
                <w:p w14:paraId="2D1B3B9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1428F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exact"/>
                <w:jc w:val="center"/>
              </w:trPr>
              <w:tc>
                <w:tcPr>
                  <w:tcW w:w="825" w:type="dxa"/>
                  <w:vMerge w:val="restart"/>
                  <w:vAlign w:val="center"/>
                </w:tcPr>
                <w:p w14:paraId="79F6F6DB">
                  <w:pPr>
                    <w:widowControl/>
                    <w:spacing w:line="240" w:lineRule="exact"/>
                    <w:jc w:val="left"/>
                    <w:rPr>
                      <w:rFonts w:hint="eastAsia" w:ascii="宋体" w:hAnsi="宋体" w:eastAsia="宋体" w:cs="宋体"/>
                      <w:color w:val="auto"/>
                      <w:spacing w:val="-12"/>
                      <w:kern w:val="0"/>
                      <w:sz w:val="18"/>
                      <w:szCs w:val="18"/>
                      <w:highlight w:val="none"/>
                    </w:rPr>
                  </w:pPr>
                  <w:r>
                    <w:rPr>
                      <w:rFonts w:hint="eastAsia" w:ascii="宋体" w:hAnsi="宋体" w:eastAsia="宋体" w:cs="宋体"/>
                      <w:color w:val="auto"/>
                      <w:spacing w:val="-12"/>
                      <w:kern w:val="0"/>
                      <w:sz w:val="18"/>
                      <w:szCs w:val="18"/>
                      <w:highlight w:val="none"/>
                    </w:rPr>
                    <w:t>软件和信息技术服</w:t>
                  </w:r>
                  <w:r>
                    <w:rPr>
                      <w:rFonts w:hint="eastAsia" w:ascii="宋体" w:hAnsi="宋体" w:eastAsia="宋体" w:cs="宋体"/>
                      <w:color w:val="auto"/>
                      <w:kern w:val="0"/>
                      <w:sz w:val="18"/>
                      <w:szCs w:val="18"/>
                      <w:highlight w:val="none"/>
                    </w:rPr>
                    <w:t>务业</w:t>
                  </w:r>
                </w:p>
              </w:tc>
              <w:tc>
                <w:tcPr>
                  <w:tcW w:w="875" w:type="dxa"/>
                  <w:vAlign w:val="center"/>
                </w:tcPr>
                <w:p w14:paraId="46C06A6F">
                  <w:pPr>
                    <w:widowControl/>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从业人员</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X</w:t>
                  </w:r>
                  <w:r>
                    <w:rPr>
                      <w:rFonts w:hint="eastAsia" w:ascii="宋体" w:hAnsi="宋体" w:eastAsia="宋体" w:cs="宋体"/>
                      <w:color w:val="auto"/>
                      <w:kern w:val="0"/>
                      <w:sz w:val="16"/>
                      <w:szCs w:val="16"/>
                      <w:highlight w:val="none"/>
                      <w:lang w:eastAsia="zh-CN"/>
                    </w:rPr>
                    <w:t>）</w:t>
                  </w:r>
                </w:p>
              </w:tc>
              <w:tc>
                <w:tcPr>
                  <w:tcW w:w="375" w:type="dxa"/>
                  <w:vAlign w:val="center"/>
                </w:tcPr>
                <w:p w14:paraId="1FDBFD2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037" w:type="dxa"/>
                  <w:vAlign w:val="center"/>
                </w:tcPr>
                <w:p w14:paraId="47C6EDE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438" w:type="dxa"/>
                  <w:vAlign w:val="center"/>
                </w:tcPr>
                <w:p w14:paraId="4F9B88F8">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300 </w:t>
                  </w:r>
                </w:p>
              </w:tc>
              <w:tc>
                <w:tcPr>
                  <w:tcW w:w="1337" w:type="dxa"/>
                  <w:vAlign w:val="center"/>
                </w:tcPr>
                <w:p w14:paraId="1F29B8C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827" w:type="dxa"/>
                  <w:vAlign w:val="center"/>
                </w:tcPr>
                <w:p w14:paraId="48F0476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r w14:paraId="7DA3F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exact"/>
                <w:jc w:val="center"/>
              </w:trPr>
              <w:tc>
                <w:tcPr>
                  <w:tcW w:w="825" w:type="dxa"/>
                  <w:vMerge w:val="continue"/>
                  <w:vAlign w:val="center"/>
                </w:tcPr>
                <w:p w14:paraId="303C84A5">
                  <w:pPr>
                    <w:widowControl/>
                    <w:jc w:val="left"/>
                    <w:rPr>
                      <w:rFonts w:hint="eastAsia" w:ascii="宋体" w:hAnsi="宋体" w:eastAsia="宋体" w:cs="宋体"/>
                      <w:color w:val="auto"/>
                      <w:spacing w:val="-12"/>
                      <w:kern w:val="0"/>
                      <w:sz w:val="18"/>
                      <w:szCs w:val="18"/>
                      <w:highlight w:val="none"/>
                    </w:rPr>
                  </w:pPr>
                </w:p>
              </w:tc>
              <w:tc>
                <w:tcPr>
                  <w:tcW w:w="875" w:type="dxa"/>
                  <w:vAlign w:val="center"/>
                </w:tcPr>
                <w:p w14:paraId="40153EAF">
                  <w:pPr>
                    <w:widowControl/>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营业收入</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Y</w:t>
                  </w:r>
                  <w:r>
                    <w:rPr>
                      <w:rFonts w:hint="eastAsia" w:ascii="宋体" w:hAnsi="宋体" w:eastAsia="宋体" w:cs="宋体"/>
                      <w:color w:val="auto"/>
                      <w:kern w:val="0"/>
                      <w:sz w:val="16"/>
                      <w:szCs w:val="16"/>
                      <w:highlight w:val="none"/>
                      <w:lang w:eastAsia="zh-CN"/>
                    </w:rPr>
                    <w:t>）</w:t>
                  </w:r>
                </w:p>
              </w:tc>
              <w:tc>
                <w:tcPr>
                  <w:tcW w:w="375" w:type="dxa"/>
                  <w:vAlign w:val="center"/>
                </w:tcPr>
                <w:p w14:paraId="796EC77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037" w:type="dxa"/>
                  <w:vAlign w:val="center"/>
                </w:tcPr>
                <w:p w14:paraId="5149759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w:t>
                  </w:r>
                </w:p>
              </w:tc>
              <w:tc>
                <w:tcPr>
                  <w:tcW w:w="1438" w:type="dxa"/>
                  <w:vAlign w:val="center"/>
                </w:tcPr>
                <w:p w14:paraId="75AC931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10000</w:t>
                  </w:r>
                </w:p>
              </w:tc>
              <w:tc>
                <w:tcPr>
                  <w:tcW w:w="1337" w:type="dxa"/>
                  <w:vAlign w:val="center"/>
                </w:tcPr>
                <w:p w14:paraId="52B0133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827" w:type="dxa"/>
                  <w:vAlign w:val="center"/>
                </w:tcPr>
                <w:p w14:paraId="75FCD17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50</w:t>
                  </w:r>
                </w:p>
              </w:tc>
            </w:tr>
            <w:tr w14:paraId="2383B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825" w:type="dxa"/>
                  <w:vMerge w:val="restart"/>
                  <w:vAlign w:val="center"/>
                </w:tcPr>
                <w:p w14:paraId="7544544B">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房地产开发经营</w:t>
                  </w:r>
                </w:p>
              </w:tc>
              <w:tc>
                <w:tcPr>
                  <w:tcW w:w="875" w:type="dxa"/>
                  <w:vAlign w:val="center"/>
                </w:tcPr>
                <w:p w14:paraId="383D687B">
                  <w:pPr>
                    <w:widowControl/>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营业收入</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Y</w:t>
                  </w:r>
                  <w:r>
                    <w:rPr>
                      <w:rFonts w:hint="eastAsia" w:ascii="宋体" w:hAnsi="宋体" w:eastAsia="宋体" w:cs="宋体"/>
                      <w:color w:val="auto"/>
                      <w:kern w:val="0"/>
                      <w:sz w:val="16"/>
                      <w:szCs w:val="16"/>
                      <w:highlight w:val="none"/>
                      <w:lang w:eastAsia="zh-CN"/>
                    </w:rPr>
                    <w:t>）</w:t>
                  </w:r>
                </w:p>
              </w:tc>
              <w:tc>
                <w:tcPr>
                  <w:tcW w:w="375" w:type="dxa"/>
                  <w:vAlign w:val="center"/>
                </w:tcPr>
                <w:p w14:paraId="055A4FC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037" w:type="dxa"/>
                  <w:vAlign w:val="center"/>
                </w:tcPr>
                <w:p w14:paraId="0346C70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Y≥200000</w:t>
                  </w:r>
                </w:p>
              </w:tc>
              <w:tc>
                <w:tcPr>
                  <w:tcW w:w="1438" w:type="dxa"/>
                  <w:vAlign w:val="center"/>
                </w:tcPr>
                <w:p w14:paraId="3696605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200000</w:t>
                  </w:r>
                </w:p>
              </w:tc>
              <w:tc>
                <w:tcPr>
                  <w:tcW w:w="1337" w:type="dxa"/>
                  <w:vAlign w:val="center"/>
                </w:tcPr>
                <w:p w14:paraId="0883D22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827" w:type="dxa"/>
                  <w:vAlign w:val="center"/>
                </w:tcPr>
                <w:p w14:paraId="5FBC999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1DFA0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exact"/>
                <w:jc w:val="center"/>
              </w:trPr>
              <w:tc>
                <w:tcPr>
                  <w:tcW w:w="825" w:type="dxa"/>
                  <w:vMerge w:val="continue"/>
                  <w:vAlign w:val="center"/>
                </w:tcPr>
                <w:p w14:paraId="4C30D8E1">
                  <w:pPr>
                    <w:widowControl/>
                    <w:jc w:val="left"/>
                    <w:rPr>
                      <w:rFonts w:hint="eastAsia" w:ascii="宋体" w:hAnsi="宋体" w:eastAsia="宋体" w:cs="宋体"/>
                      <w:color w:val="auto"/>
                      <w:kern w:val="0"/>
                      <w:sz w:val="18"/>
                      <w:szCs w:val="18"/>
                      <w:highlight w:val="none"/>
                    </w:rPr>
                  </w:pPr>
                </w:p>
              </w:tc>
              <w:tc>
                <w:tcPr>
                  <w:tcW w:w="875" w:type="dxa"/>
                  <w:vAlign w:val="center"/>
                </w:tcPr>
                <w:p w14:paraId="269E84C7">
                  <w:pPr>
                    <w:widowControl/>
                    <w:spacing w:line="240" w:lineRule="exac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资产总额</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Z</w:t>
                  </w:r>
                  <w:r>
                    <w:rPr>
                      <w:rFonts w:hint="eastAsia" w:ascii="宋体" w:hAnsi="宋体" w:eastAsia="宋体" w:cs="宋体"/>
                      <w:color w:val="auto"/>
                      <w:kern w:val="0"/>
                      <w:sz w:val="16"/>
                      <w:szCs w:val="16"/>
                      <w:highlight w:val="none"/>
                      <w:lang w:eastAsia="zh-CN"/>
                    </w:rPr>
                    <w:t>）</w:t>
                  </w:r>
                </w:p>
              </w:tc>
              <w:tc>
                <w:tcPr>
                  <w:tcW w:w="375" w:type="dxa"/>
                  <w:vAlign w:val="center"/>
                </w:tcPr>
                <w:p w14:paraId="598C1D7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037" w:type="dxa"/>
                  <w:vAlign w:val="center"/>
                </w:tcPr>
                <w:p w14:paraId="0AE6DCE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Z≥10000</w:t>
                  </w:r>
                </w:p>
              </w:tc>
              <w:tc>
                <w:tcPr>
                  <w:tcW w:w="1438" w:type="dxa"/>
                  <w:vAlign w:val="center"/>
                </w:tcPr>
                <w:p w14:paraId="1BEE483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5000≤Z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10000</w:t>
                  </w:r>
                </w:p>
              </w:tc>
              <w:tc>
                <w:tcPr>
                  <w:tcW w:w="1337" w:type="dxa"/>
                  <w:vAlign w:val="center"/>
                </w:tcPr>
                <w:p w14:paraId="4717B51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5000   </w:t>
                  </w:r>
                </w:p>
              </w:tc>
              <w:tc>
                <w:tcPr>
                  <w:tcW w:w="827" w:type="dxa"/>
                  <w:vAlign w:val="center"/>
                </w:tcPr>
                <w:p w14:paraId="49EE02A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w:t>
                  </w:r>
                </w:p>
              </w:tc>
            </w:tr>
            <w:tr w14:paraId="4E89C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exact"/>
                <w:jc w:val="center"/>
              </w:trPr>
              <w:tc>
                <w:tcPr>
                  <w:tcW w:w="825" w:type="dxa"/>
                  <w:vMerge w:val="restart"/>
                  <w:vAlign w:val="center"/>
                </w:tcPr>
                <w:p w14:paraId="0F60DFB6">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物业管理</w:t>
                  </w:r>
                </w:p>
              </w:tc>
              <w:tc>
                <w:tcPr>
                  <w:tcW w:w="875" w:type="dxa"/>
                  <w:vAlign w:val="center"/>
                </w:tcPr>
                <w:p w14:paraId="398BFB1E">
                  <w:pPr>
                    <w:widowControl/>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从业人员</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X</w:t>
                  </w:r>
                  <w:r>
                    <w:rPr>
                      <w:rFonts w:hint="eastAsia" w:ascii="宋体" w:hAnsi="宋体" w:eastAsia="宋体" w:cs="宋体"/>
                      <w:color w:val="auto"/>
                      <w:kern w:val="0"/>
                      <w:sz w:val="16"/>
                      <w:szCs w:val="16"/>
                      <w:highlight w:val="none"/>
                      <w:lang w:eastAsia="zh-CN"/>
                    </w:rPr>
                    <w:t>）</w:t>
                  </w:r>
                </w:p>
              </w:tc>
              <w:tc>
                <w:tcPr>
                  <w:tcW w:w="375" w:type="dxa"/>
                  <w:vAlign w:val="center"/>
                </w:tcPr>
                <w:p w14:paraId="07A69269">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037" w:type="dxa"/>
                  <w:vAlign w:val="center"/>
                </w:tcPr>
                <w:p w14:paraId="147AADB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438" w:type="dxa"/>
                  <w:vAlign w:val="center"/>
                </w:tcPr>
                <w:p w14:paraId="5A6EAEF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1337" w:type="dxa"/>
                  <w:vAlign w:val="center"/>
                </w:tcPr>
                <w:p w14:paraId="3C723A2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300 </w:t>
                  </w:r>
                </w:p>
              </w:tc>
              <w:tc>
                <w:tcPr>
                  <w:tcW w:w="827" w:type="dxa"/>
                  <w:vAlign w:val="center"/>
                </w:tcPr>
                <w:p w14:paraId="768F9D2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30B1F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exact"/>
                <w:jc w:val="center"/>
              </w:trPr>
              <w:tc>
                <w:tcPr>
                  <w:tcW w:w="825" w:type="dxa"/>
                  <w:vMerge w:val="continue"/>
                  <w:vAlign w:val="center"/>
                </w:tcPr>
                <w:p w14:paraId="572D1ACD">
                  <w:pPr>
                    <w:widowControl/>
                    <w:jc w:val="left"/>
                    <w:rPr>
                      <w:rFonts w:hint="eastAsia" w:ascii="宋体" w:hAnsi="宋体" w:eastAsia="宋体" w:cs="宋体"/>
                      <w:color w:val="auto"/>
                      <w:kern w:val="0"/>
                      <w:sz w:val="18"/>
                      <w:szCs w:val="18"/>
                      <w:highlight w:val="none"/>
                    </w:rPr>
                  </w:pPr>
                </w:p>
              </w:tc>
              <w:tc>
                <w:tcPr>
                  <w:tcW w:w="875" w:type="dxa"/>
                  <w:vAlign w:val="center"/>
                </w:tcPr>
                <w:p w14:paraId="3A0422F1">
                  <w:pPr>
                    <w:widowControl/>
                    <w:spacing w:line="240" w:lineRule="exac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营业收入</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Y</w:t>
                  </w:r>
                  <w:r>
                    <w:rPr>
                      <w:rFonts w:hint="eastAsia" w:ascii="宋体" w:hAnsi="宋体" w:eastAsia="宋体" w:cs="宋体"/>
                      <w:color w:val="auto"/>
                      <w:kern w:val="0"/>
                      <w:sz w:val="16"/>
                      <w:szCs w:val="16"/>
                      <w:highlight w:val="none"/>
                      <w:lang w:eastAsia="zh-CN"/>
                    </w:rPr>
                    <w:t>）</w:t>
                  </w:r>
                </w:p>
              </w:tc>
              <w:tc>
                <w:tcPr>
                  <w:tcW w:w="375" w:type="dxa"/>
                  <w:vAlign w:val="center"/>
                </w:tcPr>
                <w:p w14:paraId="17F774A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037" w:type="dxa"/>
                  <w:vAlign w:val="center"/>
                </w:tcPr>
                <w:p w14:paraId="34CC3FC9">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Y≥5000</w:t>
                  </w:r>
                </w:p>
              </w:tc>
              <w:tc>
                <w:tcPr>
                  <w:tcW w:w="1438" w:type="dxa"/>
                  <w:vAlign w:val="center"/>
                </w:tcPr>
                <w:p w14:paraId="2E7E6544">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5000 </w:t>
                  </w:r>
                </w:p>
              </w:tc>
              <w:tc>
                <w:tcPr>
                  <w:tcW w:w="1337" w:type="dxa"/>
                  <w:vAlign w:val="center"/>
                </w:tcPr>
                <w:p w14:paraId="0C061E6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827" w:type="dxa"/>
                  <w:vAlign w:val="center"/>
                </w:tcPr>
                <w:p w14:paraId="7B33115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500</w:t>
                  </w:r>
                </w:p>
              </w:tc>
            </w:tr>
            <w:tr w14:paraId="1D969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exact"/>
                <w:jc w:val="center"/>
              </w:trPr>
              <w:tc>
                <w:tcPr>
                  <w:tcW w:w="825" w:type="dxa"/>
                  <w:vMerge w:val="restart"/>
                  <w:vAlign w:val="center"/>
                </w:tcPr>
                <w:p w14:paraId="78D2495F">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租赁和商务服务业</w:t>
                  </w:r>
                </w:p>
              </w:tc>
              <w:tc>
                <w:tcPr>
                  <w:tcW w:w="875" w:type="dxa"/>
                  <w:vAlign w:val="center"/>
                </w:tcPr>
                <w:p w14:paraId="37204AB8">
                  <w:pPr>
                    <w:widowControl/>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从业人员</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X</w:t>
                  </w:r>
                  <w:r>
                    <w:rPr>
                      <w:rFonts w:hint="eastAsia" w:ascii="宋体" w:hAnsi="宋体" w:eastAsia="宋体" w:cs="宋体"/>
                      <w:color w:val="auto"/>
                      <w:kern w:val="0"/>
                      <w:sz w:val="16"/>
                      <w:szCs w:val="16"/>
                      <w:highlight w:val="none"/>
                      <w:lang w:eastAsia="zh-CN"/>
                    </w:rPr>
                    <w:t>）</w:t>
                  </w:r>
                </w:p>
              </w:tc>
              <w:tc>
                <w:tcPr>
                  <w:tcW w:w="375" w:type="dxa"/>
                  <w:vAlign w:val="center"/>
                </w:tcPr>
                <w:p w14:paraId="0814D17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037" w:type="dxa"/>
                  <w:vAlign w:val="center"/>
                </w:tcPr>
                <w:p w14:paraId="3830945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438" w:type="dxa"/>
                  <w:vAlign w:val="center"/>
                </w:tcPr>
                <w:p w14:paraId="1313BC93">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300 </w:t>
                  </w:r>
                </w:p>
              </w:tc>
              <w:tc>
                <w:tcPr>
                  <w:tcW w:w="1337" w:type="dxa"/>
                  <w:vAlign w:val="center"/>
                </w:tcPr>
                <w:p w14:paraId="5541003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827" w:type="dxa"/>
                  <w:vAlign w:val="center"/>
                </w:tcPr>
                <w:p w14:paraId="3803099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r w14:paraId="447F7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exact"/>
                <w:jc w:val="center"/>
              </w:trPr>
              <w:tc>
                <w:tcPr>
                  <w:tcW w:w="825" w:type="dxa"/>
                  <w:vMerge w:val="continue"/>
                  <w:vAlign w:val="center"/>
                </w:tcPr>
                <w:p w14:paraId="256C838E">
                  <w:pPr>
                    <w:widowControl/>
                    <w:jc w:val="left"/>
                    <w:rPr>
                      <w:rFonts w:hint="eastAsia" w:ascii="宋体" w:hAnsi="宋体" w:eastAsia="宋体" w:cs="宋体"/>
                      <w:color w:val="auto"/>
                      <w:kern w:val="0"/>
                      <w:sz w:val="18"/>
                      <w:szCs w:val="18"/>
                      <w:highlight w:val="none"/>
                    </w:rPr>
                  </w:pPr>
                </w:p>
              </w:tc>
              <w:tc>
                <w:tcPr>
                  <w:tcW w:w="875" w:type="dxa"/>
                  <w:vAlign w:val="center"/>
                </w:tcPr>
                <w:p w14:paraId="6EB00BFD">
                  <w:pPr>
                    <w:widowControl/>
                    <w:spacing w:line="240" w:lineRule="exac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资产总额</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Z</w:t>
                  </w:r>
                  <w:r>
                    <w:rPr>
                      <w:rFonts w:hint="eastAsia" w:ascii="宋体" w:hAnsi="宋体" w:eastAsia="宋体" w:cs="宋体"/>
                      <w:color w:val="auto"/>
                      <w:kern w:val="0"/>
                      <w:sz w:val="16"/>
                      <w:szCs w:val="16"/>
                      <w:highlight w:val="none"/>
                      <w:lang w:eastAsia="zh-CN"/>
                    </w:rPr>
                    <w:t>）</w:t>
                  </w:r>
                </w:p>
              </w:tc>
              <w:tc>
                <w:tcPr>
                  <w:tcW w:w="375" w:type="dxa"/>
                  <w:vAlign w:val="center"/>
                </w:tcPr>
                <w:p w14:paraId="0A4AAE0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037" w:type="dxa"/>
                  <w:vAlign w:val="center"/>
                </w:tcPr>
                <w:p w14:paraId="686BF29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Z≥120000</w:t>
                  </w:r>
                </w:p>
              </w:tc>
              <w:tc>
                <w:tcPr>
                  <w:tcW w:w="1438" w:type="dxa"/>
                  <w:vAlign w:val="center"/>
                </w:tcPr>
                <w:p w14:paraId="379DACE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8000≤Z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120000</w:t>
                  </w:r>
                </w:p>
              </w:tc>
              <w:tc>
                <w:tcPr>
                  <w:tcW w:w="1337" w:type="dxa"/>
                  <w:vAlign w:val="center"/>
                </w:tcPr>
                <w:p w14:paraId="3912E5F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8000</w:t>
                  </w:r>
                </w:p>
              </w:tc>
              <w:tc>
                <w:tcPr>
                  <w:tcW w:w="827" w:type="dxa"/>
                  <w:vAlign w:val="center"/>
                </w:tcPr>
                <w:p w14:paraId="4DE26BC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2AB3F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exact"/>
                <w:jc w:val="center"/>
              </w:trPr>
              <w:tc>
                <w:tcPr>
                  <w:tcW w:w="825" w:type="dxa"/>
                  <w:vAlign w:val="center"/>
                </w:tcPr>
                <w:p w14:paraId="7387FF40">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其他未列明行业 *</w:t>
                  </w:r>
                </w:p>
              </w:tc>
              <w:tc>
                <w:tcPr>
                  <w:tcW w:w="875" w:type="dxa"/>
                  <w:vAlign w:val="center"/>
                </w:tcPr>
                <w:p w14:paraId="0C88971D">
                  <w:pPr>
                    <w:widowControl/>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从业人员</w:t>
                  </w:r>
                  <w:r>
                    <w:rPr>
                      <w:rFonts w:hint="eastAsia" w:ascii="宋体" w:hAnsi="宋体" w:eastAsia="宋体" w:cs="宋体"/>
                      <w:color w:val="auto"/>
                      <w:kern w:val="0"/>
                      <w:sz w:val="16"/>
                      <w:szCs w:val="16"/>
                      <w:highlight w:val="none"/>
                      <w:lang w:eastAsia="zh-CN"/>
                    </w:rPr>
                    <w:t>（</w:t>
                  </w:r>
                  <w:r>
                    <w:rPr>
                      <w:rFonts w:hint="eastAsia" w:ascii="宋体" w:hAnsi="宋体" w:eastAsia="宋体" w:cs="宋体"/>
                      <w:color w:val="auto"/>
                      <w:kern w:val="0"/>
                      <w:sz w:val="16"/>
                      <w:szCs w:val="16"/>
                      <w:highlight w:val="none"/>
                    </w:rPr>
                    <w:t>X</w:t>
                  </w:r>
                  <w:r>
                    <w:rPr>
                      <w:rFonts w:hint="eastAsia" w:ascii="宋体" w:hAnsi="宋体" w:eastAsia="宋体" w:cs="宋体"/>
                      <w:color w:val="auto"/>
                      <w:kern w:val="0"/>
                      <w:sz w:val="16"/>
                      <w:szCs w:val="16"/>
                      <w:highlight w:val="none"/>
                      <w:lang w:eastAsia="zh-CN"/>
                    </w:rPr>
                    <w:t>）</w:t>
                  </w:r>
                </w:p>
              </w:tc>
              <w:tc>
                <w:tcPr>
                  <w:tcW w:w="375" w:type="dxa"/>
                  <w:vAlign w:val="center"/>
                </w:tcPr>
                <w:p w14:paraId="38F93AD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037" w:type="dxa"/>
                  <w:vAlign w:val="center"/>
                </w:tcPr>
                <w:p w14:paraId="2D45935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438" w:type="dxa"/>
                  <w:vAlign w:val="center"/>
                </w:tcPr>
                <w:p w14:paraId="7CF0B3F5">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300 </w:t>
                  </w:r>
                </w:p>
              </w:tc>
              <w:tc>
                <w:tcPr>
                  <w:tcW w:w="1337" w:type="dxa"/>
                  <w:vAlign w:val="center"/>
                </w:tcPr>
                <w:p w14:paraId="79169AB5">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827" w:type="dxa"/>
                  <w:vAlign w:val="center"/>
                </w:tcPr>
                <w:p w14:paraId="2B79184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bl>
          <w:p w14:paraId="08F07132">
            <w:pPr>
              <w:pageBreakBefore w:val="0"/>
              <w:kinsoku/>
              <w:wordWrap w:val="0"/>
              <w:overflowPunct/>
              <w:bidi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说明：</w:t>
            </w:r>
          </w:p>
          <w:p w14:paraId="14C643EB">
            <w:pPr>
              <w:pageBreakBefore w:val="0"/>
              <w:kinsoku/>
              <w:wordWrap w:val="0"/>
              <w:overflowPunct/>
              <w:bidi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1.大型、中型和小型企业须同时满足所列指标的下限，否则下划一档；微型企业只需满足所列指标中的一项即可。</w:t>
            </w:r>
          </w:p>
          <w:p w14:paraId="326D4630">
            <w:pPr>
              <w:pageBreakBefore w:val="0"/>
              <w:kinsoku/>
              <w:wordWrap w:val="0"/>
              <w:overflowPunct/>
              <w:bidi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信息传输业包括电信、广播电视和卫星传输服务，互联网和相关服</w:t>
            </w:r>
            <w:r>
              <w:rPr>
                <w:rFonts w:hint="eastAsia" w:ascii="宋体" w:hAnsi="宋体" w:eastAsia="宋体" w:cs="宋体"/>
                <w:color w:val="auto"/>
                <w:sz w:val="22"/>
                <w:szCs w:val="22"/>
                <w:highlight w:val="none"/>
                <w:lang w:eastAsia="zh-CN"/>
              </w:rPr>
              <w:t>务业</w:t>
            </w:r>
            <w:r>
              <w:rPr>
                <w:rFonts w:hint="eastAsia" w:ascii="宋体" w:hAnsi="宋体" w:eastAsia="宋体" w:cs="宋体"/>
                <w:color w:val="auto"/>
                <w:sz w:val="22"/>
                <w:szCs w:val="22"/>
                <w:highlight w:val="none"/>
              </w:rPr>
              <w:t>；其他未列明行业包括科学研究和技术服务业，水利、环境和公共设施管理业，居民服务、修理和其他服务业，社会工作，文化、体育和娱乐业，以及房地产中介服务，其他房地产业等，不包括自有房地产经营活动。</w:t>
            </w:r>
          </w:p>
          <w:p w14:paraId="6020E48B">
            <w:pPr>
              <w:pageBreakBefore w:val="0"/>
              <w:kinsoku/>
              <w:wordWrap w:val="0"/>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tc>
      </w:tr>
      <w:tr w14:paraId="5492E9A1">
        <w:tblPrEx>
          <w:tblCellMar>
            <w:top w:w="0" w:type="dxa"/>
            <w:left w:w="0" w:type="dxa"/>
            <w:bottom w:w="0" w:type="dxa"/>
            <w:right w:w="0" w:type="dxa"/>
          </w:tblCellMar>
        </w:tblPrEx>
        <w:trPr>
          <w:trHeight w:val="457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641DDB0">
            <w:pPr>
              <w:pageBreakBefore w:val="0"/>
              <w:kinsoku/>
              <w:wordWrap w:val="0"/>
              <w:overflowPunct/>
              <w:bidi w:val="0"/>
              <w:spacing w:line="360" w:lineRule="auto"/>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12.11</w:t>
            </w:r>
          </w:p>
        </w:tc>
        <w:tc>
          <w:tcPr>
            <w:tcW w:w="1496" w:type="dxa"/>
            <w:tcBorders>
              <w:top w:val="single" w:color="auto" w:sz="8" w:space="0"/>
              <w:left w:val="nil"/>
              <w:bottom w:val="single" w:color="auto" w:sz="8" w:space="0"/>
              <w:right w:val="single" w:color="auto" w:sz="8" w:space="0"/>
            </w:tcBorders>
            <w:vAlign w:val="center"/>
          </w:tcPr>
          <w:p w14:paraId="0022DA9B">
            <w:pPr>
              <w:pageBreakBefore w:val="0"/>
              <w:kinsoku/>
              <w:wordWrap w:val="0"/>
              <w:overflowPunct/>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政府采购活动中中小企业的判定</w:t>
            </w:r>
          </w:p>
        </w:tc>
        <w:tc>
          <w:tcPr>
            <w:tcW w:w="7339" w:type="dxa"/>
            <w:tcBorders>
              <w:top w:val="single" w:color="auto" w:sz="8" w:space="0"/>
              <w:left w:val="nil"/>
              <w:bottom w:val="single" w:color="auto" w:sz="8" w:space="0"/>
              <w:right w:val="single" w:color="auto" w:sz="8" w:space="0"/>
            </w:tcBorders>
            <w:vAlign w:val="center"/>
          </w:tcPr>
          <w:p w14:paraId="33758748">
            <w:pPr>
              <w:pageBreakBefore w:val="0"/>
              <w:kinsoku/>
              <w:wordWrap w:val="0"/>
              <w:overflowPunct/>
              <w:bidi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(一)可以判别为中小企业的情形</w:t>
            </w:r>
          </w:p>
          <w:p w14:paraId="60AB12F9">
            <w:pPr>
              <w:pageBreakBefore w:val="0"/>
              <w:kinsoku/>
              <w:wordWrap w:val="0"/>
              <w:overflowPunct/>
              <w:bidi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1.在货物采购项目中，货物由中小企业制造，即货物由中小企业生产且使用该中小企业商号或注册商标;</w:t>
            </w:r>
          </w:p>
          <w:p w14:paraId="76CA2A3E">
            <w:pPr>
              <w:pageBreakBefore w:val="0"/>
              <w:kinsoku/>
              <w:wordWrap w:val="0"/>
              <w:overflowPunct/>
              <w:bidi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2.在工程采购项目中，工程由中小企业承建，即工程施工单位为中小企业;</w:t>
            </w:r>
          </w:p>
          <w:p w14:paraId="39D69042">
            <w:pPr>
              <w:pageBreakBefore w:val="0"/>
              <w:kinsoku/>
              <w:wordWrap w:val="0"/>
              <w:overflowPunct/>
              <w:bidi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3.在服务采购项目中，服务由中小企业承接，即提供服务的人员为中小企业依照《中华人民共和国劳动合同法》订立劳动合同的从业人员。</w:t>
            </w:r>
          </w:p>
          <w:p w14:paraId="5D2C6EE7">
            <w:pPr>
              <w:pageBreakBefore w:val="0"/>
              <w:kinsoku/>
              <w:wordWrap w:val="0"/>
              <w:overflowPunct/>
              <w:bidi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(二)不应判别为中小(微)企业的情形</w:t>
            </w:r>
          </w:p>
          <w:p w14:paraId="18CEFD1B">
            <w:pPr>
              <w:pageBreakBefore w:val="0"/>
              <w:kinsoku/>
              <w:wordWrap w:val="0"/>
              <w:overflowPunct/>
              <w:bidi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1.在货物采购项目中，供应商为中小企业，但所提供的货物为大型企业制造的，即货物由大型企业生产且使用大型企业商号或者注册商标的。不享受《办法》规定的中小企业扶持政策。</w:t>
            </w:r>
          </w:p>
          <w:p w14:paraId="7CF18AF7">
            <w:pPr>
              <w:pageBreakBefore w:val="0"/>
              <w:kinsoku/>
              <w:wordWrap w:val="0"/>
              <w:overflowPunct/>
              <w:bidi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2.供应商提供的货物既有中型企业制造，也有小微企业制造的，不享受《办法》规定的小微企业扶持政策。</w:t>
            </w:r>
          </w:p>
        </w:tc>
      </w:tr>
      <w:tr w14:paraId="7A115DF6">
        <w:tblPrEx>
          <w:tblCellMar>
            <w:top w:w="0" w:type="dxa"/>
            <w:left w:w="0" w:type="dxa"/>
            <w:bottom w:w="0" w:type="dxa"/>
            <w:right w:w="0" w:type="dxa"/>
          </w:tblCellMar>
        </w:tblPrEx>
        <w:trPr>
          <w:trHeight w:val="457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401EE58">
            <w:pPr>
              <w:pageBreakBefore w:val="0"/>
              <w:kinsoku/>
              <w:wordWrap w:val="0"/>
              <w:overflowPunct/>
              <w:bidi w:val="0"/>
              <w:spacing w:line="360" w:lineRule="auto"/>
              <w:jc w:val="center"/>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12.12</w:t>
            </w:r>
          </w:p>
        </w:tc>
        <w:tc>
          <w:tcPr>
            <w:tcW w:w="1496" w:type="dxa"/>
            <w:tcBorders>
              <w:top w:val="single" w:color="auto" w:sz="8" w:space="0"/>
              <w:left w:val="nil"/>
              <w:bottom w:val="single" w:color="auto" w:sz="8" w:space="0"/>
              <w:right w:val="single" w:color="auto" w:sz="8" w:space="0"/>
            </w:tcBorders>
            <w:vAlign w:val="center"/>
          </w:tcPr>
          <w:p w14:paraId="2B00B41D">
            <w:pPr>
              <w:pageBreakBefore w:val="0"/>
              <w:kinsoku/>
              <w:wordWrap w:val="0"/>
              <w:overflowPunct/>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关于节能产品及环境标志产品 </w:t>
            </w:r>
          </w:p>
        </w:tc>
        <w:tc>
          <w:tcPr>
            <w:tcW w:w="7339" w:type="dxa"/>
            <w:tcBorders>
              <w:top w:val="single" w:color="auto" w:sz="8" w:space="0"/>
              <w:left w:val="nil"/>
              <w:bottom w:val="single" w:color="auto" w:sz="8" w:space="0"/>
              <w:right w:val="single" w:color="auto" w:sz="8" w:space="0"/>
            </w:tcBorders>
            <w:vAlign w:val="center"/>
          </w:tcPr>
          <w:p w14:paraId="32FA8561">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1根据《财政部发展改革委生态环境部市场监管总局关于调整优化节能产品、环境标志产品政府采购执行机制的通知》（财库〔20</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〕9号），对政府采购节能产品、环境标志产品实施品目清单管理。</w:t>
            </w:r>
          </w:p>
          <w:p w14:paraId="32892431">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2节能产品是指列入财政部和发展改革委公布的《关于印发节能产品政府采购品目清单的通知》（财库〔20</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〕19号）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《节能产品政府采购品目清单》中的产品，其中以“★”标注的为政府强制采购产品。</w:t>
            </w:r>
          </w:p>
          <w:p w14:paraId="064AFF95">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3投标产品属于强制节能产品的应当提供强制节能产品，否则其投标文件按无效文件处理，对于其他节能产品及环境标志产品的评审：详见评标办法。</w:t>
            </w:r>
          </w:p>
          <w:p w14:paraId="3632D448">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环境标志产品是指列入财政部和生态环境部公布的《关于印发环境标志产品政府采购品目清单的通知》（财库〔20</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〕18号）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《环境标志产品政府采购品目清单》中的产品。</w:t>
            </w:r>
          </w:p>
        </w:tc>
      </w:tr>
    </w:tbl>
    <w:p w14:paraId="1C6DB707">
      <w:pPr>
        <w:pStyle w:val="3"/>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rPr>
        <w:sectPr>
          <w:footerReference r:id="rId8" w:type="default"/>
          <w:pgSz w:w="11906" w:h="16838"/>
          <w:pgMar w:top="1327" w:right="1026" w:bottom="1270" w:left="1026" w:header="720" w:footer="720" w:gutter="0"/>
          <w:pgBorders>
            <w:top w:val="none" w:sz="0" w:space="0"/>
            <w:left w:val="none" w:sz="0" w:space="0"/>
            <w:bottom w:val="none" w:sz="0" w:space="0"/>
            <w:right w:val="none" w:sz="0" w:space="0"/>
          </w:pgBorders>
          <w:pgNumType w:fmt="decimal" w:start="1"/>
          <w:cols w:space="720" w:num="1"/>
          <w:docGrid w:type="lines" w:linePitch="317" w:charSpace="0"/>
        </w:sectPr>
      </w:pPr>
    </w:p>
    <w:p w14:paraId="21503726">
      <w:pPr>
        <w:keepNext w:val="0"/>
        <w:keepLines w:val="0"/>
        <w:pageBreakBefore w:val="0"/>
        <w:widowControl/>
        <w:suppressLineNumbers w:val="0"/>
        <w:kinsoku/>
        <w:wordWrap w:val="0"/>
        <w:overflowPunct/>
        <w:bidi w:val="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附件一：投标人注意事项 </w:t>
      </w:r>
    </w:p>
    <w:p w14:paraId="73C7ED72">
      <w:pPr>
        <w:keepNext w:val="0"/>
        <w:keepLines w:val="0"/>
        <w:pageBreakBefore w:val="0"/>
        <w:widowControl/>
        <w:suppressLineNumbers w:val="0"/>
        <w:kinsoku/>
        <w:wordWrap w:val="0"/>
        <w:overflowPunct/>
        <w:bidi w:val="0"/>
        <w:jc w:val="left"/>
        <w:rPr>
          <w:rFonts w:hint="eastAsia" w:ascii="宋体" w:hAnsi="宋体" w:eastAsia="宋体" w:cs="宋体"/>
          <w:b/>
          <w:bCs/>
          <w:color w:val="auto"/>
          <w:sz w:val="28"/>
          <w:szCs w:val="28"/>
          <w:highlight w:val="none"/>
          <w:lang w:val="en-US" w:eastAsia="zh-CN"/>
        </w:rPr>
      </w:pPr>
    </w:p>
    <w:p w14:paraId="7BA57083">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为规范</w:t>
      </w:r>
      <w:r>
        <w:rPr>
          <w:rFonts w:hint="eastAsia" w:ascii="宋体" w:hAnsi="宋体" w:cs="宋体"/>
          <w:color w:val="auto"/>
          <w:kern w:val="0"/>
          <w:sz w:val="24"/>
          <w:szCs w:val="24"/>
          <w:highlight w:val="none"/>
          <w:lang w:val="en-US" w:eastAsia="zh-CN" w:bidi="ar"/>
        </w:rPr>
        <w:t>采购人</w:t>
      </w:r>
      <w:r>
        <w:rPr>
          <w:rFonts w:hint="eastAsia" w:ascii="宋体" w:hAnsi="宋体" w:eastAsia="宋体" w:cs="宋体"/>
          <w:color w:val="auto"/>
          <w:kern w:val="0"/>
          <w:sz w:val="24"/>
          <w:szCs w:val="24"/>
          <w:highlight w:val="none"/>
          <w:lang w:val="en-US" w:eastAsia="zh-CN" w:bidi="ar"/>
        </w:rPr>
        <w:t xml:space="preserve">、代理机构在政府采购电子交易平台（以下简称：“电子交易平台”）中编制电子采购文件，现就供应商使用电子交易平台注意事项如下： </w:t>
      </w:r>
    </w:p>
    <w:p w14:paraId="5F4C9B6F">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一、电子采购文件获取 </w:t>
      </w:r>
    </w:p>
    <w:p w14:paraId="6B48B4CA">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凡有意参加投标的供应商，须在政采云平台办理数字证书（CA），CA 申领链接：https://middle.zcygov.cn/ca/apply/list?_app_=zcy.sys，并通过政采云绑定数字证书（CA）后在网上获取采购文件及其它采购资料，数字证书（CA）详见其办理流程。注：供应商如之前已在云南CA 在线数字证书办理网进行过注册并办理过企业数字证书（CA）的，直接绑定即可，无需重复办理（2022 年 1 月 1 日前在云南省公共资源交易平台办理过云南 CA 证书的需到原办理点进行升级后方可使用）。外省供应商在政采云平台办理的其他 CA 可直接使用，无需重复办理。 </w:t>
      </w:r>
    </w:p>
    <w:p w14:paraId="7A3680AB">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供应商通过 CA 证书获取采购文件的视为合法获取了项目采购文件，具备本项目的投标资格。 </w:t>
      </w:r>
    </w:p>
    <w:p w14:paraId="185EC667">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二、电子采购文件澄清与答疑 </w:t>
      </w:r>
    </w:p>
    <w:p w14:paraId="394AC631">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供应商应仔细阅读和检查采购文件的全部内容。如发现缺页或附件不全，应及时向</w:t>
      </w:r>
      <w:r>
        <w:rPr>
          <w:rFonts w:hint="eastAsia" w:ascii="宋体" w:hAnsi="宋体" w:cs="宋体"/>
          <w:color w:val="auto"/>
          <w:kern w:val="0"/>
          <w:sz w:val="24"/>
          <w:szCs w:val="24"/>
          <w:highlight w:val="none"/>
          <w:lang w:val="en-US" w:eastAsia="zh-CN" w:bidi="ar"/>
        </w:rPr>
        <w:t>采购人</w:t>
      </w:r>
      <w:r>
        <w:rPr>
          <w:rFonts w:hint="eastAsia" w:ascii="宋体" w:hAnsi="宋体" w:eastAsia="宋体" w:cs="宋体"/>
          <w:color w:val="auto"/>
          <w:kern w:val="0"/>
          <w:sz w:val="24"/>
          <w:szCs w:val="24"/>
          <w:highlight w:val="none"/>
          <w:lang w:val="en-US" w:eastAsia="zh-CN" w:bidi="ar"/>
        </w:rPr>
        <w:t>或代理机构提出，以便补齐。如有疑问，应在供应商须知前附表规定的时间前在政采云平台“询问列表”提出，要求</w:t>
      </w:r>
      <w:r>
        <w:rPr>
          <w:rFonts w:hint="eastAsia" w:ascii="宋体" w:hAnsi="宋体" w:cs="宋体"/>
          <w:color w:val="auto"/>
          <w:kern w:val="0"/>
          <w:sz w:val="24"/>
          <w:szCs w:val="24"/>
          <w:highlight w:val="none"/>
          <w:lang w:val="en-US" w:eastAsia="zh-CN" w:bidi="ar"/>
        </w:rPr>
        <w:t>采购人</w:t>
      </w:r>
      <w:r>
        <w:rPr>
          <w:rFonts w:hint="eastAsia" w:ascii="宋体" w:hAnsi="宋体" w:eastAsia="宋体" w:cs="宋体"/>
          <w:color w:val="auto"/>
          <w:kern w:val="0"/>
          <w:sz w:val="24"/>
          <w:szCs w:val="24"/>
          <w:highlight w:val="none"/>
          <w:lang w:val="en-US" w:eastAsia="zh-CN" w:bidi="ar"/>
        </w:rPr>
        <w:t>或代理机构对采购文件予以澄清。</w:t>
      </w:r>
    </w:p>
    <w:p w14:paraId="66D11FB2">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三、电子投标（响应）文件的编制 </w:t>
      </w:r>
    </w:p>
    <w:p w14:paraId="75F901E7">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（一）电子投标（响应）文件应使用“政采云”平台（https://www.zcygov.cn）中下载的政采云电子投标客户端制作，并进行电子签章及加密后上传至政采云平台。编制要求见《电子投标文件编制要求》。 </w:t>
      </w:r>
    </w:p>
    <w:p w14:paraId="18ED05D3">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（二）如供应商提交的电子标书不符合（一）要求或开标时无法读取导入或解密，其投标（响应）文件将不予受理。 </w:t>
      </w:r>
    </w:p>
    <w:p w14:paraId="6ED97555">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四、电子投标（响应）文件的递交 </w:t>
      </w:r>
    </w:p>
    <w:p w14:paraId="04EF4B45">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在投标（响应）文件递交的截止时间（投标截止时间，下同）前，需在网上递交投标（响应）文件，具体要求：</w:t>
      </w:r>
    </w:p>
    <w:p w14:paraId="1D8A4F52">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登录“政采云”平台（https://www.zcygov.cn），供应商须在投标截止时间前完成投标（响应）文件的电子签章、加密及上传，投标截止时间前未完成投标（响应）文件上传的，视为撤回投标（响应）文件。 </w:t>
      </w:r>
    </w:p>
    <w:p w14:paraId="788F1513">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五、电子投标（响应）文件的修改与撤回 </w:t>
      </w:r>
    </w:p>
    <w:p w14:paraId="2D2AFC1E">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在投标截止时间前，供应商可以在政采云平台修改或撤回已在网上递交的投标（响应）文件，无须书面形式通知</w:t>
      </w:r>
      <w:r>
        <w:rPr>
          <w:rFonts w:hint="eastAsia" w:ascii="宋体" w:hAnsi="宋体" w:cs="宋体"/>
          <w:color w:val="auto"/>
          <w:kern w:val="0"/>
          <w:sz w:val="24"/>
          <w:szCs w:val="24"/>
          <w:highlight w:val="none"/>
          <w:lang w:val="en-US" w:eastAsia="zh-CN" w:bidi="ar"/>
        </w:rPr>
        <w:t>采购人</w:t>
      </w:r>
      <w:r>
        <w:rPr>
          <w:rFonts w:hint="eastAsia" w:ascii="宋体" w:hAnsi="宋体" w:eastAsia="宋体" w:cs="宋体"/>
          <w:color w:val="auto"/>
          <w:kern w:val="0"/>
          <w:sz w:val="24"/>
          <w:szCs w:val="24"/>
          <w:highlight w:val="none"/>
          <w:lang w:val="en-US" w:eastAsia="zh-CN" w:bidi="ar"/>
        </w:rPr>
        <w:t xml:space="preserve">。 </w:t>
      </w:r>
    </w:p>
    <w:p w14:paraId="1E94EE9D">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六、电子开标及投标（响应）文件解密 </w:t>
      </w:r>
    </w:p>
    <w:p w14:paraId="783CE8B3">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一）若供应商熟悉“政采云”相关投标程序，不到现场参加投标的，应提前在自有场地配置有音视频通话（带摄像头及话筒的电脑）功能的相应设备及稳定网络环境，并按“政采云”开标大厅中的提示完成采购活动。 </w:t>
      </w:r>
    </w:p>
    <w:p w14:paraId="4E0103B3">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（二）到现场参与投标的供应商，建议于响应文件提交截止时间前携带编制投标（响应）文件时的加密数字证书（CA）、具有摄像头及话筒的笔记本电脑至</w:t>
      </w:r>
      <w:r>
        <w:rPr>
          <w:rFonts w:hint="eastAsia" w:ascii="宋体" w:hAnsi="宋体" w:cs="宋体"/>
          <w:color w:val="auto"/>
          <w:kern w:val="0"/>
          <w:sz w:val="24"/>
          <w:szCs w:val="24"/>
          <w:highlight w:val="none"/>
          <w:lang w:val="en-US" w:eastAsia="zh-CN" w:bidi="ar"/>
        </w:rPr>
        <w:t>采购代理机构</w:t>
      </w:r>
      <w:r>
        <w:rPr>
          <w:rFonts w:hint="eastAsia" w:ascii="宋体" w:hAnsi="宋体" w:eastAsia="宋体" w:cs="宋体"/>
          <w:color w:val="auto"/>
          <w:kern w:val="0"/>
          <w:sz w:val="24"/>
          <w:szCs w:val="24"/>
          <w:highlight w:val="none"/>
          <w:lang w:val="en-US" w:eastAsia="zh-CN" w:bidi="ar"/>
        </w:rPr>
        <w:t xml:space="preserve">开标地点参与投标。 </w:t>
      </w:r>
    </w:p>
    <w:p w14:paraId="55580A0B">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（三）</w:t>
      </w:r>
      <w:r>
        <w:rPr>
          <w:rFonts w:hint="eastAsia" w:ascii="宋体" w:hAnsi="宋体" w:cs="宋体"/>
          <w:color w:val="auto"/>
          <w:kern w:val="0"/>
          <w:sz w:val="24"/>
          <w:szCs w:val="24"/>
          <w:highlight w:val="none"/>
          <w:lang w:val="en-US" w:eastAsia="zh-CN" w:bidi="ar"/>
        </w:rPr>
        <w:t>采购人</w:t>
      </w:r>
      <w:r>
        <w:rPr>
          <w:rFonts w:hint="eastAsia" w:ascii="宋体" w:hAnsi="宋体" w:eastAsia="宋体" w:cs="宋体"/>
          <w:color w:val="auto"/>
          <w:kern w:val="0"/>
          <w:sz w:val="24"/>
          <w:szCs w:val="24"/>
          <w:highlight w:val="none"/>
          <w:lang w:val="en-US" w:eastAsia="zh-CN" w:bidi="ar"/>
        </w:rPr>
        <w:t xml:space="preserve">宣布开启电子投标（响应）文件后，供应商登陆“政采云”开标大厅，使用供应商编制投标（响应）文件时的加密数字证书对投标（响应）文件进行解密。 </w:t>
      </w:r>
    </w:p>
    <w:p w14:paraId="7F361615">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七、技术支持 </w:t>
      </w:r>
    </w:p>
    <w:p w14:paraId="1FCB5004">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系统操作问题：请致电政采云，4008817190（客服热线）； </w:t>
      </w:r>
    </w:p>
    <w:p w14:paraId="3742E64D">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云南 CA 操作问题：请致电云南 CA，4006727666； </w:t>
      </w:r>
    </w:p>
    <w:p w14:paraId="69B3E61C">
      <w:pPr>
        <w:keepNext w:val="0"/>
        <w:keepLines w:val="0"/>
        <w:pageBreakBefore w:val="0"/>
        <w:widowControl/>
        <w:suppressLineNumbers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云南 CA 紧急联系方式：15288315056。</w:t>
      </w:r>
    </w:p>
    <w:p w14:paraId="00CA937E">
      <w:pPr>
        <w:pageBreakBefore w:val="0"/>
        <w:kinsoku/>
        <w:wordWrap w:val="0"/>
        <w:overflowPunct/>
        <w:bidi w:val="0"/>
        <w:rPr>
          <w:rFonts w:hint="eastAsia" w:ascii="宋体" w:hAnsi="宋体" w:eastAsia="宋体" w:cs="宋体"/>
          <w:color w:val="auto"/>
          <w:sz w:val="24"/>
          <w:szCs w:val="24"/>
          <w:highlight w:val="none"/>
        </w:rPr>
      </w:pPr>
      <w:bookmarkStart w:id="92" w:name="_Toc20589"/>
      <w:bookmarkEnd w:id="92"/>
      <w:bookmarkStart w:id="93" w:name="_Toc27064"/>
      <w:bookmarkEnd w:id="93"/>
      <w:bookmarkStart w:id="94" w:name="_Toc19039"/>
      <w:r>
        <w:rPr>
          <w:rFonts w:hint="eastAsia" w:ascii="宋体" w:hAnsi="宋体" w:eastAsia="宋体" w:cs="宋体"/>
          <w:color w:val="auto"/>
          <w:sz w:val="24"/>
          <w:szCs w:val="24"/>
          <w:highlight w:val="none"/>
        </w:rPr>
        <w:br w:type="page"/>
      </w:r>
    </w:p>
    <w:p w14:paraId="08098109">
      <w:pPr>
        <w:pStyle w:val="3"/>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rPr>
      </w:pPr>
      <w:bookmarkStart w:id="95" w:name="_Toc5174"/>
      <w:r>
        <w:rPr>
          <w:rFonts w:hint="eastAsia" w:ascii="宋体" w:hAnsi="宋体" w:eastAsia="宋体" w:cs="宋体"/>
          <w:color w:val="auto"/>
          <w:sz w:val="24"/>
          <w:szCs w:val="24"/>
          <w:highlight w:val="none"/>
        </w:rPr>
        <w:t>1. 总则</w:t>
      </w:r>
      <w:bookmarkEnd w:id="94"/>
      <w:bookmarkEnd w:id="95"/>
    </w:p>
    <w:p w14:paraId="11E1CB28">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96" w:name="_Toc31335"/>
      <w:bookmarkEnd w:id="96"/>
      <w:bookmarkStart w:id="97" w:name="_Toc700"/>
      <w:r>
        <w:rPr>
          <w:rFonts w:hint="eastAsia" w:ascii="宋体" w:hAnsi="宋体" w:eastAsia="宋体" w:cs="宋体"/>
          <w:b/>
          <w:color w:val="auto"/>
          <w:sz w:val="24"/>
          <w:szCs w:val="24"/>
          <w:highlight w:val="none"/>
        </w:rPr>
        <w:t>1.1 项目概况</w:t>
      </w:r>
      <w:bookmarkEnd w:id="97"/>
    </w:p>
    <w:p w14:paraId="7A03BCDC">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根据《中华人民共和国政府采购法》《中华人民共和国政府采购法实施条例》《政府采购货物和服务招标投标管理办法》(财政部令第87号)等有关法律、法规和规章的规定，本招标项目已具备招标条件，现对本项目进行招标。</w:t>
      </w:r>
    </w:p>
    <w:p w14:paraId="73A225F6">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：见投标人须知前附表。</w:t>
      </w:r>
    </w:p>
    <w:p w14:paraId="057338DC">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：见投标人须知前附表。</w:t>
      </w:r>
    </w:p>
    <w:p w14:paraId="42AB4AE0">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招标项目名称：见投标人须知前附表。</w:t>
      </w:r>
    </w:p>
    <w:p w14:paraId="3248ACED">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98" w:name="_Toc27395"/>
      <w:bookmarkEnd w:id="98"/>
      <w:bookmarkStart w:id="99" w:name="_Toc28747"/>
      <w:r>
        <w:rPr>
          <w:rFonts w:hint="eastAsia" w:ascii="宋体" w:hAnsi="宋体" w:eastAsia="宋体" w:cs="宋体"/>
          <w:b/>
          <w:color w:val="auto"/>
          <w:sz w:val="24"/>
          <w:szCs w:val="24"/>
          <w:highlight w:val="none"/>
        </w:rPr>
        <w:t>1.2 招标项目的资金情况</w:t>
      </w:r>
      <w:bookmarkEnd w:id="99"/>
    </w:p>
    <w:p w14:paraId="2DD9EA2C">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资金落实情况：见投标人须知前附表。</w:t>
      </w:r>
    </w:p>
    <w:p w14:paraId="50F4FED8">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预算金额：见投标人须知前附表。</w:t>
      </w:r>
    </w:p>
    <w:p w14:paraId="742ED9C3">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00" w:name="_Toc16064"/>
      <w:bookmarkEnd w:id="100"/>
      <w:bookmarkStart w:id="101" w:name="_Toc20957"/>
      <w:r>
        <w:rPr>
          <w:rFonts w:hint="eastAsia" w:ascii="宋体" w:hAnsi="宋体" w:eastAsia="宋体" w:cs="宋体"/>
          <w:b/>
          <w:color w:val="auto"/>
          <w:sz w:val="24"/>
          <w:szCs w:val="24"/>
          <w:highlight w:val="none"/>
        </w:rPr>
        <w:t>1.3采购内容、</w:t>
      </w:r>
      <w:r>
        <w:rPr>
          <w:rFonts w:hint="eastAsia" w:ascii="宋体" w:hAnsi="宋体" w:eastAsia="宋体" w:cs="宋体"/>
          <w:b/>
          <w:color w:val="auto"/>
          <w:sz w:val="24"/>
          <w:szCs w:val="24"/>
          <w:highlight w:val="none"/>
          <w:lang w:val="en-US" w:eastAsia="zh-CN"/>
        </w:rPr>
        <w:t>合同履行期限</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服务要求、</w:t>
      </w:r>
      <w:r>
        <w:rPr>
          <w:rFonts w:hint="eastAsia" w:ascii="宋体" w:hAnsi="宋体" w:eastAsia="宋体" w:cs="宋体"/>
          <w:b/>
          <w:color w:val="auto"/>
          <w:sz w:val="24"/>
          <w:szCs w:val="24"/>
          <w:highlight w:val="none"/>
        </w:rPr>
        <w:t>交货地点</w:t>
      </w:r>
      <w:bookmarkEnd w:id="101"/>
      <w:r>
        <w:rPr>
          <w:rFonts w:hint="eastAsia" w:ascii="宋体" w:hAnsi="宋体" w:eastAsia="宋体" w:cs="宋体"/>
          <w:b/>
          <w:color w:val="auto"/>
          <w:sz w:val="24"/>
          <w:szCs w:val="24"/>
          <w:highlight w:val="none"/>
          <w:lang w:val="en-US" w:eastAsia="zh-CN"/>
        </w:rPr>
        <w:t>及</w:t>
      </w:r>
      <w:r>
        <w:rPr>
          <w:rFonts w:hint="eastAsia" w:ascii="宋体" w:hAnsi="宋体" w:eastAsia="宋体" w:cs="宋体"/>
          <w:b/>
          <w:color w:val="auto"/>
          <w:sz w:val="24"/>
          <w:szCs w:val="24"/>
          <w:highlight w:val="none"/>
        </w:rPr>
        <w:t>方式</w:t>
      </w:r>
    </w:p>
    <w:p w14:paraId="2B8ED238">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bookmarkStart w:id="102" w:name="_Toc16202"/>
      <w:bookmarkEnd w:id="102"/>
      <w:r>
        <w:rPr>
          <w:rFonts w:hint="eastAsia" w:ascii="宋体" w:hAnsi="宋体" w:eastAsia="宋体" w:cs="宋体"/>
          <w:color w:val="auto"/>
          <w:sz w:val="24"/>
          <w:szCs w:val="24"/>
          <w:highlight w:val="none"/>
        </w:rPr>
        <w:t>1.3.1 采购内容：见投标人须知前附表。</w:t>
      </w:r>
    </w:p>
    <w:p w14:paraId="5E8666E2">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w:t>
      </w:r>
      <w:r>
        <w:rPr>
          <w:rFonts w:hint="eastAsia" w:ascii="宋体" w:hAnsi="宋体" w:eastAsia="宋体" w:cs="宋体"/>
          <w:color w:val="auto"/>
          <w:sz w:val="24"/>
          <w:szCs w:val="24"/>
          <w:highlight w:val="none"/>
          <w:lang w:val="en-US" w:eastAsia="zh-CN"/>
        </w:rPr>
        <w:t>合同履行期限</w:t>
      </w:r>
      <w:r>
        <w:rPr>
          <w:rFonts w:hint="eastAsia" w:ascii="宋体" w:hAnsi="宋体" w:eastAsia="宋体" w:cs="宋体"/>
          <w:color w:val="auto"/>
          <w:sz w:val="24"/>
          <w:szCs w:val="24"/>
          <w:highlight w:val="none"/>
        </w:rPr>
        <w:t>：见投标人须知前附表。</w:t>
      </w:r>
    </w:p>
    <w:p w14:paraId="7001D07F">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w:t>
      </w:r>
      <w:r>
        <w:rPr>
          <w:rFonts w:hint="eastAsia" w:ascii="宋体" w:hAnsi="宋体" w:eastAsia="宋体" w:cs="宋体"/>
          <w:color w:val="auto"/>
          <w:kern w:val="2"/>
          <w:sz w:val="24"/>
          <w:szCs w:val="24"/>
          <w:highlight w:val="none"/>
          <w:lang w:val="en-US" w:eastAsia="zh-CN" w:bidi="ar"/>
        </w:rPr>
        <w:t>质量要求</w:t>
      </w:r>
      <w:r>
        <w:rPr>
          <w:rFonts w:hint="eastAsia" w:ascii="宋体" w:hAnsi="宋体" w:eastAsia="宋体" w:cs="宋体"/>
          <w:color w:val="auto"/>
          <w:kern w:val="2"/>
          <w:sz w:val="24"/>
          <w:szCs w:val="24"/>
          <w:highlight w:val="none"/>
          <w:lang w:val="en-US" w:eastAsia="zh-CN"/>
        </w:rPr>
        <w:t>：</w:t>
      </w:r>
      <w:r>
        <w:rPr>
          <w:rFonts w:hint="eastAsia" w:ascii="宋体" w:hAnsi="宋体" w:eastAsia="宋体" w:cs="宋体"/>
          <w:color w:val="auto"/>
          <w:sz w:val="24"/>
          <w:szCs w:val="24"/>
          <w:highlight w:val="none"/>
        </w:rPr>
        <w:t>见投标人须知前附表。</w:t>
      </w:r>
    </w:p>
    <w:p w14:paraId="72C380E6">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1.3.4</w:t>
      </w:r>
      <w:r>
        <w:rPr>
          <w:rFonts w:hint="eastAsia" w:ascii="宋体" w:hAnsi="宋体" w:eastAsia="宋体" w:cs="宋体"/>
          <w:color w:val="auto"/>
          <w:sz w:val="24"/>
          <w:szCs w:val="24"/>
          <w:highlight w:val="none"/>
        </w:rPr>
        <w:t>交货地点</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方式：见投标人须知前附表。</w:t>
      </w:r>
    </w:p>
    <w:p w14:paraId="20383849">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03" w:name="_Toc17694"/>
      <w:bookmarkEnd w:id="103"/>
      <w:bookmarkStart w:id="104" w:name="_Toc10611"/>
      <w:r>
        <w:rPr>
          <w:rFonts w:hint="eastAsia" w:ascii="宋体" w:hAnsi="宋体" w:eastAsia="宋体" w:cs="宋体"/>
          <w:b/>
          <w:color w:val="auto"/>
          <w:sz w:val="24"/>
          <w:szCs w:val="24"/>
          <w:highlight w:val="none"/>
        </w:rPr>
        <w:t>1.4 投标人资格要求</w:t>
      </w:r>
      <w:bookmarkEnd w:id="104"/>
    </w:p>
    <w:p w14:paraId="40E9ED5E">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1.4.1 投标人应具备承担本项目的资格条件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详见</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须知前附表。</w:t>
      </w:r>
    </w:p>
    <w:p w14:paraId="7A7E7ED5">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投标人须知前附表规定接受联合体投标的，联合体除应符合本章第1.4.1 项和投标人须知前附表的要求外，还应遵守以下规定：</w:t>
      </w:r>
    </w:p>
    <w:p w14:paraId="4D156E55">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(1)联合体各方应按招标文件提供的格式签订联合体协议书，明确联合体牵头人和各方权利义务，并承诺就中标项目向</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承担连带责任；</w:t>
      </w:r>
    </w:p>
    <w:p w14:paraId="5B26DBA4">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(2)联合体中有同类资质的投标人按照联合体分工承担相同工作的，应当按照资质等级较低的投标人确定资质等级；</w:t>
      </w:r>
    </w:p>
    <w:p w14:paraId="5457C4C7">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(3)以联合体形式参加政府采购活动的，联合体各方不得再单独参加或者与其他投标人另外组成联合体参加同一合同项下的政府采购活动。</w:t>
      </w:r>
    </w:p>
    <w:p w14:paraId="406DB581">
      <w:pPr>
        <w:pageBreakBefore w:val="0"/>
        <w:kinsoku/>
        <w:wordWrap w:val="0"/>
        <w:overflowPunct/>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1.4.3投标人不得存在下列情形之一：</w:t>
      </w:r>
    </w:p>
    <w:p w14:paraId="7FCDECDB">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（1）单位负责人为同一人或者存在直接控股、管理关系的不同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，不得参加同一合同项下的政府采购活动；</w:t>
      </w:r>
    </w:p>
    <w:p w14:paraId="79979E72">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除单一来源采购项目外，为采购项目提供整体设计、规范编制或者项目管理、监理、检测等服务的投标人，不得再参加该采购项目的其他采购活动</w:t>
      </w:r>
      <w:r>
        <w:rPr>
          <w:rFonts w:hint="eastAsia" w:ascii="宋体" w:hAnsi="宋体" w:eastAsia="宋体" w:cs="宋体"/>
          <w:color w:val="auto"/>
          <w:sz w:val="24"/>
          <w:szCs w:val="24"/>
          <w:highlight w:val="none"/>
        </w:rPr>
        <w:t>；</w:t>
      </w:r>
    </w:p>
    <w:p w14:paraId="6E7F0B24">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（3）法律、法规和</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文件规定的其他情形。</w:t>
      </w:r>
    </w:p>
    <w:p w14:paraId="29103206">
      <w:pPr>
        <w:pageBreakBefore w:val="0"/>
        <w:kinsoku/>
        <w:wordWrap w:val="0"/>
        <w:overflowPunct/>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1.4.4有下列情形之一的，视为</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串通投标，其</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无效：</w:t>
      </w:r>
    </w:p>
    <w:p w14:paraId="61D23E8F">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（1）不同投标人的投标文件由同一单位或者个人编制；</w:t>
      </w:r>
    </w:p>
    <w:p w14:paraId="32CEA474">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（2）不同投标人委托同一单位或者个人办理投标事宜；</w:t>
      </w:r>
    </w:p>
    <w:p w14:paraId="57106BF0">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（3）不同投标人的投标文件载明的项目管理成员或者联系人员为同一人；</w:t>
      </w:r>
    </w:p>
    <w:p w14:paraId="004CEEE1">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（4）不同投标人的投标文件异常一致或投标报价呈规律性差异；</w:t>
      </w:r>
    </w:p>
    <w:p w14:paraId="0B8A6D0B">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（5）不同投标人的投标文件相互混装；</w:t>
      </w:r>
    </w:p>
    <w:p w14:paraId="7EC6DB3C">
      <w:pPr>
        <w:pageBreakBefore w:val="0"/>
        <w:kinsoku/>
        <w:wordWrap w:val="0"/>
        <w:overflowPunct/>
        <w:bidi w:val="0"/>
        <w:spacing w:line="360" w:lineRule="auto"/>
        <w:ind w:firstLine="540" w:firstLineChars="225"/>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（6）不同投标人的投标保证金从同一单位或者个人的账户转出。</w:t>
      </w:r>
    </w:p>
    <w:p w14:paraId="5A675F1B">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05" w:name="_Toc27960"/>
      <w:bookmarkEnd w:id="105"/>
      <w:bookmarkStart w:id="106" w:name="_Toc18144"/>
      <w:r>
        <w:rPr>
          <w:rFonts w:hint="eastAsia" w:ascii="宋体" w:hAnsi="宋体" w:eastAsia="宋体" w:cs="宋体"/>
          <w:b/>
          <w:color w:val="auto"/>
          <w:sz w:val="24"/>
          <w:szCs w:val="24"/>
          <w:highlight w:val="none"/>
        </w:rPr>
        <w:t>1.5 费用承担</w:t>
      </w:r>
      <w:bookmarkEnd w:id="106"/>
    </w:p>
    <w:p w14:paraId="358C6912">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1.5.1 投标人准备和参加投标活动发生的费用自理</w:t>
      </w:r>
      <w:r>
        <w:rPr>
          <w:rFonts w:hint="eastAsia" w:ascii="宋体" w:hAnsi="宋体" w:eastAsia="宋体" w:cs="宋体"/>
          <w:color w:val="auto"/>
          <w:sz w:val="24"/>
          <w:szCs w:val="24"/>
          <w:highlight w:val="none"/>
          <w:lang w:val="en-US" w:eastAsia="zh-CN"/>
        </w:rPr>
        <w:t>由投标人自行</w:t>
      </w:r>
      <w:r>
        <w:rPr>
          <w:rFonts w:hint="eastAsia" w:ascii="宋体" w:hAnsi="宋体" w:eastAsia="宋体" w:cs="宋体"/>
          <w:color w:val="auto"/>
          <w:sz w:val="24"/>
          <w:szCs w:val="24"/>
          <w:highlight w:val="none"/>
        </w:rPr>
        <w:t>承担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所有与参加投标有关的自身的所有费用，不论采购的结果如何，</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和</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在任何情况下均无义务和责任承担这些费用。</w:t>
      </w:r>
    </w:p>
    <w:p w14:paraId="0AEC5F46">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中标服务费：</w:t>
      </w:r>
      <w:r>
        <w:rPr>
          <w:rFonts w:hint="eastAsia" w:ascii="宋体" w:hAnsi="宋体" w:eastAsia="宋体" w:cs="宋体"/>
          <w:color w:val="auto"/>
          <w:sz w:val="24"/>
          <w:szCs w:val="24"/>
          <w:highlight w:val="none"/>
          <w:lang w:val="en-US" w:eastAsia="zh-CN"/>
        </w:rPr>
        <w:t>以中标价为计算基数，按《云南省建设工程招标代理服务收费指导意见（试行）》的规定下浮</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由中标人在收到中标通知书时一次性向</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支付</w:t>
      </w:r>
      <w:r>
        <w:rPr>
          <w:rFonts w:hint="eastAsia" w:ascii="宋体" w:hAnsi="宋体" w:eastAsia="宋体" w:cs="宋体"/>
          <w:color w:val="auto"/>
          <w:sz w:val="24"/>
          <w:szCs w:val="24"/>
          <w:highlight w:val="none"/>
          <w:lang w:eastAsia="zh-CN"/>
        </w:rPr>
        <w:t>。</w:t>
      </w:r>
    </w:p>
    <w:p w14:paraId="53CBC9C3">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其他费用（如公证费等），按国家、省、市相关规定收取，由中标人支付。</w:t>
      </w:r>
    </w:p>
    <w:p w14:paraId="5E12D914">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07" w:name="_Toc6230"/>
      <w:bookmarkEnd w:id="107"/>
      <w:bookmarkStart w:id="108" w:name="_Toc16680"/>
      <w:r>
        <w:rPr>
          <w:rFonts w:hint="eastAsia" w:ascii="宋体" w:hAnsi="宋体" w:eastAsia="宋体" w:cs="宋体"/>
          <w:b/>
          <w:color w:val="auto"/>
          <w:sz w:val="24"/>
          <w:szCs w:val="24"/>
          <w:highlight w:val="none"/>
        </w:rPr>
        <w:t>1.6 保密</w:t>
      </w:r>
      <w:bookmarkEnd w:id="108"/>
    </w:p>
    <w:p w14:paraId="3A4EA492">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参与招标投标活动的各方应对招标文件和投标文件中的商业和技术等秘密保密，则应承担相应的法律责任。</w:t>
      </w:r>
    </w:p>
    <w:p w14:paraId="6C9AB8BD">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09" w:name="_Toc31781"/>
      <w:bookmarkEnd w:id="109"/>
      <w:bookmarkStart w:id="110" w:name="_Toc787"/>
      <w:r>
        <w:rPr>
          <w:rFonts w:hint="eastAsia" w:ascii="宋体" w:hAnsi="宋体" w:eastAsia="宋体" w:cs="宋体"/>
          <w:b/>
          <w:color w:val="auto"/>
          <w:sz w:val="24"/>
          <w:szCs w:val="24"/>
          <w:highlight w:val="none"/>
        </w:rPr>
        <w:t>1.7 语言文字</w:t>
      </w:r>
      <w:bookmarkEnd w:id="110"/>
    </w:p>
    <w:p w14:paraId="3B4EC29A">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招标投标文件使用的语言文字为中文。专用术语使用外文的，应附有中文注释。</w:t>
      </w:r>
    </w:p>
    <w:p w14:paraId="62988220">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11" w:name="_Toc29423"/>
      <w:bookmarkEnd w:id="111"/>
      <w:bookmarkStart w:id="112" w:name="_Toc29116"/>
      <w:r>
        <w:rPr>
          <w:rFonts w:hint="eastAsia" w:ascii="宋体" w:hAnsi="宋体" w:eastAsia="宋体" w:cs="宋体"/>
          <w:b/>
          <w:color w:val="auto"/>
          <w:sz w:val="24"/>
          <w:szCs w:val="24"/>
          <w:highlight w:val="none"/>
        </w:rPr>
        <w:t>1.8 计量单位</w:t>
      </w:r>
      <w:bookmarkEnd w:id="112"/>
    </w:p>
    <w:p w14:paraId="59F08C9F">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所有计量均采用中华人民共和国法定计量单位。</w:t>
      </w:r>
    </w:p>
    <w:p w14:paraId="03556513">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13" w:name="_Toc152042315"/>
      <w:bookmarkEnd w:id="113"/>
      <w:bookmarkStart w:id="114" w:name="_Toc296602429"/>
      <w:bookmarkEnd w:id="114"/>
      <w:bookmarkStart w:id="115" w:name="_Toc247513962"/>
      <w:bookmarkEnd w:id="115"/>
      <w:bookmarkStart w:id="116" w:name="_Toc144974507"/>
      <w:bookmarkEnd w:id="116"/>
      <w:bookmarkStart w:id="117" w:name="_Toc29812"/>
      <w:bookmarkEnd w:id="117"/>
      <w:bookmarkStart w:id="118" w:name="_Toc247527563"/>
      <w:bookmarkEnd w:id="118"/>
      <w:bookmarkStart w:id="119" w:name="_Toc152045539"/>
      <w:bookmarkEnd w:id="119"/>
      <w:bookmarkStart w:id="120" w:name="_Toc247592876"/>
      <w:bookmarkEnd w:id="120"/>
      <w:bookmarkStart w:id="121" w:name="_Toc29408"/>
      <w:r>
        <w:rPr>
          <w:rFonts w:hint="eastAsia" w:ascii="宋体" w:hAnsi="宋体" w:eastAsia="宋体" w:cs="宋体"/>
          <w:b/>
          <w:color w:val="auto"/>
          <w:sz w:val="24"/>
          <w:szCs w:val="24"/>
          <w:highlight w:val="none"/>
        </w:rPr>
        <w:t>1.9 现场</w:t>
      </w:r>
      <w:bookmarkEnd w:id="121"/>
      <w:r>
        <w:rPr>
          <w:rFonts w:hint="eastAsia" w:ascii="宋体" w:hAnsi="宋体" w:eastAsia="宋体" w:cs="宋体"/>
          <w:b/>
          <w:color w:val="auto"/>
          <w:sz w:val="24"/>
          <w:szCs w:val="24"/>
          <w:highlight w:val="none"/>
        </w:rPr>
        <w:t>考察</w:t>
      </w:r>
    </w:p>
    <w:p w14:paraId="55A89C21">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投标人须知前附表规定组织现场考察的，</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 xml:space="preserve">按投标人须知前附表规定的时间、地点组织投标人考察项目现场。 </w:t>
      </w:r>
    </w:p>
    <w:p w14:paraId="0FAD0498">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投标人考察现场发生的费用自理。</w:t>
      </w:r>
    </w:p>
    <w:p w14:paraId="05F7B222">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 除</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的原因外，投标人自行负责在考察现场中所发生的人员伤亡和财产损失。</w:t>
      </w:r>
    </w:p>
    <w:p w14:paraId="11081068">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1.9.4 </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在考察现场中介绍的项目场地和相关的周边环境情况，供投标人在编制投标文件时参考，</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不对投标人据此作出的判断和决策负责。</w:t>
      </w:r>
    </w:p>
    <w:p w14:paraId="50EC9B62">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22" w:name="_Toc587"/>
      <w:bookmarkEnd w:id="122"/>
      <w:bookmarkStart w:id="123" w:name="_Toc31848"/>
      <w:bookmarkEnd w:id="123"/>
      <w:r>
        <w:rPr>
          <w:rFonts w:hint="eastAsia" w:ascii="宋体" w:hAnsi="宋体" w:eastAsia="宋体" w:cs="宋体"/>
          <w:b/>
          <w:color w:val="auto"/>
          <w:sz w:val="24"/>
          <w:szCs w:val="24"/>
          <w:highlight w:val="none"/>
        </w:rPr>
        <w:t>1.10分包</w:t>
      </w:r>
    </w:p>
    <w:p w14:paraId="42979802">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1.10.1</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是否允许分包：详见</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须知前附表。如</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允许分包的，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应遵守如下规定：</w:t>
      </w:r>
    </w:p>
    <w:p w14:paraId="7E445E35">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拟在成交后将成交项目的非主体、非关键性工作分包的，应当在</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中载明分包承担主体，分包承担主体应当具备相应资质条件且不得再次分包；</w:t>
      </w:r>
    </w:p>
    <w:p w14:paraId="6DD1E685">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须知前附表规定的工作外的其他工作不得分包。</w:t>
      </w:r>
    </w:p>
    <w:p w14:paraId="2BB749CE">
      <w:pPr>
        <w:pageBreakBefore w:val="0"/>
        <w:kinsoku/>
        <w:wordWrap w:val="0"/>
        <w:overflowPunct/>
        <w:bidi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1.11样品</w:t>
      </w:r>
    </w:p>
    <w:p w14:paraId="19828A0D">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是否要求提供样品：详见</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须知前附表。如</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要求提供样品的，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应按</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须知前附表要求提交。</w:t>
      </w:r>
    </w:p>
    <w:p w14:paraId="32B577AD">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1.11.2</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是否要求随样品提交检测报告：详见</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须知前附表。如</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要求随样品提交检测报告的，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应按</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须知前附表要求提交。</w:t>
      </w:r>
    </w:p>
    <w:p w14:paraId="5662966F">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24" w:name="_Toc29345"/>
      <w:r>
        <w:rPr>
          <w:rFonts w:hint="eastAsia" w:ascii="宋体" w:hAnsi="宋体" w:eastAsia="宋体" w:cs="宋体"/>
          <w:b/>
          <w:color w:val="auto"/>
          <w:sz w:val="24"/>
          <w:szCs w:val="24"/>
          <w:highlight w:val="none"/>
        </w:rPr>
        <w:t>1.1</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响应和偏</w:t>
      </w:r>
      <w:bookmarkEnd w:id="124"/>
      <w:r>
        <w:rPr>
          <w:rFonts w:hint="eastAsia" w:ascii="宋体" w:hAnsi="宋体" w:eastAsia="宋体" w:cs="宋体"/>
          <w:b/>
          <w:color w:val="auto"/>
          <w:sz w:val="24"/>
          <w:szCs w:val="24"/>
          <w:highlight w:val="none"/>
        </w:rPr>
        <w:t>离</w:t>
      </w:r>
    </w:p>
    <w:p w14:paraId="64A2E122">
      <w:pPr>
        <w:pageBreakBefore w:val="0"/>
        <w:kinsoku/>
        <w:wordWrap w:val="0"/>
        <w:overflowPunct/>
        <w:bidi w:val="0"/>
        <w:spacing w:line="360" w:lineRule="auto"/>
        <w:ind w:firstLine="480" w:firstLineChars="200"/>
        <w:rPr>
          <w:rFonts w:hint="eastAsia" w:ascii="宋体" w:hAnsi="宋体" w:eastAsia="宋体" w:cs="宋体"/>
          <w:b/>
          <w:bCs/>
          <w:color w:val="auto"/>
          <w:sz w:val="24"/>
          <w:szCs w:val="24"/>
          <w:highlight w:val="none"/>
        </w:rPr>
      </w:pPr>
      <w:bookmarkStart w:id="125" w:name="page22"/>
      <w:bookmarkEnd w:id="125"/>
      <w:r>
        <w:rPr>
          <w:rFonts w:hint="eastAsia" w:ascii="宋体" w:hAnsi="宋体" w:eastAsia="宋体" w:cs="宋体"/>
          <w:color w:val="auto"/>
          <w:sz w:val="24"/>
          <w:szCs w:val="24"/>
          <w:highlight w:val="none"/>
        </w:rPr>
        <w:t>投标文件应当对招标文件的实质性要求和条件作出响应，否则，投标人投标无效。</w:t>
      </w:r>
      <w:r>
        <w:rPr>
          <w:rFonts w:hint="eastAsia" w:ascii="宋体" w:hAnsi="宋体" w:eastAsia="宋体" w:cs="宋体"/>
          <w:b/>
          <w:bCs/>
          <w:color w:val="auto"/>
          <w:kern w:val="2"/>
          <w:sz w:val="24"/>
          <w:szCs w:val="24"/>
          <w:highlight w:val="none"/>
        </w:rPr>
        <w:t>不允许偏离的</w:t>
      </w:r>
      <w:r>
        <w:rPr>
          <w:rFonts w:hint="eastAsia" w:ascii="宋体" w:hAnsi="宋体" w:eastAsia="宋体" w:cs="宋体"/>
          <w:b/>
          <w:bCs/>
          <w:color w:val="auto"/>
          <w:sz w:val="24"/>
          <w:szCs w:val="24"/>
          <w:highlight w:val="none"/>
        </w:rPr>
        <w:t>实质性要求和条件见投标人须知前附表。</w:t>
      </w:r>
    </w:p>
    <w:p w14:paraId="67F91428">
      <w:pPr>
        <w:pStyle w:val="3"/>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rPr>
      </w:pPr>
      <w:bookmarkStart w:id="126" w:name="_Toc32012"/>
      <w:bookmarkEnd w:id="126"/>
      <w:bookmarkStart w:id="127" w:name="_Toc31795"/>
      <w:bookmarkEnd w:id="127"/>
      <w:bookmarkStart w:id="128" w:name="_Toc31733"/>
      <w:bookmarkStart w:id="129" w:name="_Toc1691"/>
      <w:r>
        <w:rPr>
          <w:rFonts w:hint="eastAsia" w:ascii="宋体" w:hAnsi="宋体" w:eastAsia="宋体" w:cs="宋体"/>
          <w:color w:val="auto"/>
          <w:sz w:val="24"/>
          <w:szCs w:val="24"/>
          <w:highlight w:val="none"/>
        </w:rPr>
        <w:t>2. 招标文件</w:t>
      </w:r>
      <w:bookmarkEnd w:id="128"/>
      <w:bookmarkEnd w:id="129"/>
    </w:p>
    <w:p w14:paraId="3CB478FE">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30" w:name="_Toc21536"/>
      <w:bookmarkEnd w:id="130"/>
      <w:bookmarkStart w:id="131" w:name="_Toc16596"/>
      <w:r>
        <w:rPr>
          <w:rFonts w:hint="eastAsia" w:ascii="宋体" w:hAnsi="宋体" w:eastAsia="宋体" w:cs="宋体"/>
          <w:b/>
          <w:color w:val="auto"/>
          <w:sz w:val="24"/>
          <w:szCs w:val="24"/>
          <w:highlight w:val="none"/>
        </w:rPr>
        <w:t>2.1 招标文件的组成</w:t>
      </w:r>
      <w:bookmarkEnd w:id="131"/>
    </w:p>
    <w:p w14:paraId="4A71CC1A">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本招标文件包括：</w:t>
      </w:r>
    </w:p>
    <w:p w14:paraId="6D57F192">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(1)招标公告；</w:t>
      </w:r>
    </w:p>
    <w:p w14:paraId="1DDA363D">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5FFBD42A">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(3)资格审查；</w:t>
      </w:r>
    </w:p>
    <w:p w14:paraId="5571FB03">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(4)评标办法；</w:t>
      </w:r>
    </w:p>
    <w:p w14:paraId="2BEDA2EC">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(5)合同条款及格式；</w:t>
      </w:r>
    </w:p>
    <w:p w14:paraId="7AFC8576">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采购需求及技术规格要求</w:t>
      </w:r>
      <w:r>
        <w:rPr>
          <w:rFonts w:hint="eastAsia" w:ascii="宋体" w:hAnsi="宋体" w:eastAsia="宋体" w:cs="宋体"/>
          <w:color w:val="auto"/>
          <w:sz w:val="24"/>
          <w:szCs w:val="24"/>
          <w:highlight w:val="none"/>
        </w:rPr>
        <w:t>；</w:t>
      </w:r>
    </w:p>
    <w:p w14:paraId="0F27787F">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(7)投标文件格式；</w:t>
      </w:r>
    </w:p>
    <w:p w14:paraId="520E5C94">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根据本章第2.2 款和第2.3 款对招标文件所作的澄清、修改，构成招标文件的组成部分。</w:t>
      </w:r>
    </w:p>
    <w:p w14:paraId="283A08A2">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32" w:name="_Toc17621"/>
      <w:bookmarkEnd w:id="132"/>
      <w:bookmarkStart w:id="133" w:name="_Toc23003"/>
      <w:bookmarkEnd w:id="133"/>
      <w:bookmarkStart w:id="134" w:name="_Toc8029"/>
      <w:r>
        <w:rPr>
          <w:rFonts w:hint="eastAsia" w:ascii="宋体" w:hAnsi="宋体" w:eastAsia="宋体" w:cs="宋体"/>
          <w:b/>
          <w:color w:val="auto"/>
          <w:sz w:val="24"/>
          <w:szCs w:val="24"/>
          <w:highlight w:val="none"/>
        </w:rPr>
        <w:t>2.2 招标文件的澄清</w:t>
      </w:r>
    </w:p>
    <w:p w14:paraId="38C9947E">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2.2.1投标人要求澄清招标文件的截止时间要求</w:t>
      </w:r>
      <w:r>
        <w:rPr>
          <w:rFonts w:hint="eastAsia" w:ascii="宋体" w:hAnsi="宋体" w:eastAsia="宋体" w:cs="宋体"/>
          <w:color w:val="auto"/>
          <w:sz w:val="24"/>
          <w:szCs w:val="24"/>
          <w:highlight w:val="none"/>
          <w:lang w:val="en-US" w:eastAsia="zh-CN"/>
        </w:rPr>
        <w:t>详见投标人须知前附表</w:t>
      </w:r>
      <w:r>
        <w:rPr>
          <w:rFonts w:hint="eastAsia" w:ascii="宋体" w:hAnsi="宋体" w:eastAsia="宋体" w:cs="宋体"/>
          <w:color w:val="auto"/>
          <w:sz w:val="24"/>
          <w:szCs w:val="24"/>
          <w:highlight w:val="none"/>
        </w:rPr>
        <w:t>。</w:t>
      </w:r>
    </w:p>
    <w:p w14:paraId="00DFB5B0">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投标人确认收到招标文件澄清的形式</w:t>
      </w:r>
      <w:r>
        <w:rPr>
          <w:rFonts w:hint="eastAsia" w:ascii="宋体" w:hAnsi="宋体" w:eastAsia="宋体" w:cs="宋体"/>
          <w:color w:val="auto"/>
          <w:sz w:val="24"/>
          <w:szCs w:val="24"/>
          <w:highlight w:val="none"/>
          <w:lang w:val="en-US" w:eastAsia="zh-CN"/>
        </w:rPr>
        <w:t>详见投标人须知前附表。</w:t>
      </w:r>
    </w:p>
    <w:p w14:paraId="4640EC8A">
      <w:pPr>
        <w:pageBreakBefore w:val="0"/>
        <w:kinsoku/>
        <w:wordWrap w:val="0"/>
        <w:overflowPunct/>
        <w:bidi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 招标文件的修改</w:t>
      </w:r>
    </w:p>
    <w:p w14:paraId="33C3FD88">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书面修改招标文件的时间要求</w:t>
      </w:r>
      <w:r>
        <w:rPr>
          <w:rFonts w:hint="eastAsia" w:ascii="宋体" w:hAnsi="宋体" w:eastAsia="宋体" w:cs="宋体"/>
          <w:color w:val="auto"/>
          <w:sz w:val="24"/>
          <w:szCs w:val="24"/>
          <w:highlight w:val="none"/>
          <w:lang w:val="en-US" w:eastAsia="zh-CN"/>
        </w:rPr>
        <w:t>详见投标人须知前附表</w:t>
      </w:r>
      <w:r>
        <w:rPr>
          <w:rFonts w:hint="eastAsia" w:ascii="宋体" w:hAnsi="宋体" w:eastAsia="宋体" w:cs="宋体"/>
          <w:color w:val="auto"/>
          <w:sz w:val="24"/>
          <w:szCs w:val="24"/>
          <w:highlight w:val="none"/>
        </w:rPr>
        <w:t>。</w:t>
      </w:r>
    </w:p>
    <w:p w14:paraId="6B62857C">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无论对评标办法、评标项目等重要评标内容作何种变更，都要重新制作电子招标文件，并重新备案，同时发布补遗文件进行说明以保证各投标人都能重新下载最新的电子招标文件用于编制电子投标文件。招标文件的修改将在““政府采购云平台”（https://www.zcygov.cn/)”发布，招标文件的修改作为招标文件的组成部分，并具有约束力。</w:t>
      </w:r>
    </w:p>
    <w:p w14:paraId="0DB7B5C0">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投标人确认收到招标文件修改的形式</w:t>
      </w:r>
      <w:r>
        <w:rPr>
          <w:rFonts w:hint="eastAsia" w:ascii="宋体" w:hAnsi="宋体" w:eastAsia="宋体" w:cs="宋体"/>
          <w:color w:val="auto"/>
          <w:sz w:val="24"/>
          <w:szCs w:val="24"/>
          <w:highlight w:val="none"/>
          <w:lang w:val="en-US" w:eastAsia="zh-CN"/>
        </w:rPr>
        <w:t>详见投标人须知前附表。</w:t>
      </w:r>
      <w:r>
        <w:rPr>
          <w:rFonts w:hint="eastAsia" w:ascii="宋体" w:hAnsi="宋体" w:eastAsia="宋体" w:cs="宋体"/>
          <w:color w:val="auto"/>
          <w:sz w:val="24"/>
          <w:szCs w:val="24"/>
          <w:highlight w:val="none"/>
        </w:rPr>
        <w:t>投标人应在截标时间前随时查看““政府采购云平台”（https://www.zcygov.cn/)”中有关该项目招标文件的答疑、补遗内容。否则，由此引起的投标损失自负。</w:t>
      </w:r>
    </w:p>
    <w:p w14:paraId="1E77E066">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2.3.3 招标文件澄清、招标文件修改</w:t>
      </w:r>
      <w:r>
        <w:rPr>
          <w:rFonts w:hint="eastAsia" w:ascii="宋体" w:hAnsi="宋体" w:eastAsia="宋体" w:cs="宋体"/>
          <w:color w:val="auto"/>
          <w:sz w:val="24"/>
          <w:szCs w:val="24"/>
          <w:highlight w:val="none"/>
          <w:lang w:val="en-US" w:eastAsia="zh-CN"/>
        </w:rPr>
        <w:t>发出的时间距离本章第4.2.1项规定的投标截止时间不足15日的，并且澄清或修改内容可能影响投标文件编制的，将相应延长投标截止时间。</w:t>
      </w:r>
    </w:p>
    <w:p w14:paraId="6F13066F">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2.3.4</w:t>
      </w:r>
      <w:r>
        <w:rPr>
          <w:rFonts w:hint="eastAsia" w:ascii="宋体" w:hAnsi="宋体" w:eastAsia="宋体" w:cs="宋体"/>
          <w:color w:val="auto"/>
          <w:sz w:val="24"/>
          <w:szCs w:val="24"/>
          <w:highlight w:val="none"/>
        </w:rPr>
        <w:t>招标文件澄清、招标文件修改文件内容均以网上发布的为准，当招标文件、招标文件澄清、招标文件修改文件内容相互矛盾时，以最后发出的为准。</w:t>
      </w:r>
    </w:p>
    <w:bookmarkEnd w:id="134"/>
    <w:p w14:paraId="02E0B552">
      <w:pPr>
        <w:pStyle w:val="3"/>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rPr>
      </w:pPr>
      <w:bookmarkStart w:id="135" w:name="_Toc16663"/>
      <w:bookmarkEnd w:id="135"/>
      <w:bookmarkStart w:id="136" w:name="_Toc29741"/>
      <w:bookmarkEnd w:id="136"/>
      <w:bookmarkStart w:id="137" w:name="_Toc24916"/>
      <w:bookmarkEnd w:id="137"/>
      <w:bookmarkStart w:id="138" w:name="_Toc13290"/>
      <w:bookmarkStart w:id="139" w:name="_Toc24768"/>
      <w:r>
        <w:rPr>
          <w:rFonts w:hint="eastAsia" w:ascii="宋体" w:hAnsi="宋体" w:eastAsia="宋体" w:cs="宋体"/>
          <w:color w:val="auto"/>
          <w:sz w:val="24"/>
          <w:szCs w:val="24"/>
          <w:highlight w:val="none"/>
        </w:rPr>
        <w:t>3. 投标文件</w:t>
      </w:r>
      <w:bookmarkEnd w:id="138"/>
      <w:bookmarkEnd w:id="139"/>
    </w:p>
    <w:p w14:paraId="046F431B">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40" w:name="_Toc2432"/>
      <w:bookmarkEnd w:id="140"/>
      <w:bookmarkStart w:id="141" w:name="_Toc4962"/>
      <w:r>
        <w:rPr>
          <w:rFonts w:hint="eastAsia" w:ascii="宋体" w:hAnsi="宋体" w:eastAsia="宋体" w:cs="宋体"/>
          <w:b/>
          <w:color w:val="auto"/>
          <w:sz w:val="24"/>
          <w:szCs w:val="24"/>
          <w:highlight w:val="none"/>
        </w:rPr>
        <w:t>3.1 投标文件的组成</w:t>
      </w:r>
      <w:bookmarkEnd w:id="141"/>
    </w:p>
    <w:p w14:paraId="3001C129">
      <w:pPr>
        <w:pageBreakBefore w:val="0"/>
        <w:kinsoku/>
        <w:wordWrap w:val="0"/>
        <w:overflowPunct/>
        <w:bidi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3.1.1投标文件应包括下列内容</w:t>
      </w:r>
    </w:p>
    <w:p w14:paraId="5EC6A791">
      <w:pPr>
        <w:pStyle w:val="13"/>
        <w:pageBreakBefore w:val="0"/>
        <w:kinsoku/>
        <w:wordWrap w:val="0"/>
        <w:overflowPunct/>
        <w:bidi w:val="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3.1.1.1资格审查部分；</w:t>
      </w:r>
    </w:p>
    <w:p w14:paraId="5CF16ED7">
      <w:pPr>
        <w:pStyle w:val="13"/>
        <w:keepNext w:val="0"/>
        <w:keepLines w:val="0"/>
        <w:pageBreakBefore w:val="0"/>
        <w:widowControl/>
        <w:kinsoku/>
        <w:wordWrap w:val="0"/>
        <w:overflowPunct/>
        <w:topLinePunct w:val="0"/>
        <w:autoSpaceDE/>
        <w:autoSpaceDN/>
        <w:bidi w:val="0"/>
        <w:adjustRightInd w:val="0"/>
        <w:snapToGrid/>
        <w:ind w:firstLine="480" w:firstLineChars="200"/>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一、符合《中华人民共和国政府采购法》第二十二条规定；</w:t>
      </w:r>
    </w:p>
    <w:p w14:paraId="63424646">
      <w:pPr>
        <w:pStyle w:val="13"/>
        <w:keepNext w:val="0"/>
        <w:keepLines w:val="0"/>
        <w:pageBreakBefore w:val="0"/>
        <w:widowControl/>
        <w:kinsoku/>
        <w:wordWrap w:val="0"/>
        <w:overflowPunct/>
        <w:topLinePunct w:val="0"/>
        <w:autoSpaceDE/>
        <w:autoSpaceDN/>
        <w:bidi w:val="0"/>
        <w:adjustRightInd w:val="0"/>
        <w:snapToGrid/>
        <w:ind w:firstLine="480" w:firstLineChars="200"/>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二、</w:t>
      </w:r>
      <w:r>
        <w:rPr>
          <w:rFonts w:hint="eastAsia" w:ascii="宋体" w:hAnsi="宋体" w:eastAsia="宋体" w:cs="宋体"/>
          <w:b w:val="0"/>
          <w:bCs w:val="0"/>
          <w:color w:val="auto"/>
          <w:sz w:val="24"/>
          <w:szCs w:val="24"/>
          <w:highlight w:val="none"/>
          <w:lang w:val="zh-CN" w:eastAsia="zh-CN" w:bidi="ar-SA"/>
        </w:rPr>
        <w:t>满足本项目的特定资格要求的资料</w:t>
      </w:r>
      <w:r>
        <w:rPr>
          <w:rFonts w:hint="eastAsia" w:ascii="宋体" w:hAnsi="宋体" w:eastAsia="宋体" w:cs="宋体"/>
          <w:b w:val="0"/>
          <w:bCs w:val="0"/>
          <w:color w:val="auto"/>
          <w:sz w:val="24"/>
          <w:szCs w:val="24"/>
          <w:highlight w:val="none"/>
          <w:lang w:val="en-US" w:eastAsia="zh-CN" w:bidi="ar-SA"/>
        </w:rPr>
        <w:t>；</w:t>
      </w:r>
    </w:p>
    <w:p w14:paraId="12E8A66E">
      <w:pPr>
        <w:pStyle w:val="13"/>
        <w:keepNext w:val="0"/>
        <w:keepLines w:val="0"/>
        <w:pageBreakBefore w:val="0"/>
        <w:widowControl/>
        <w:kinsoku/>
        <w:wordWrap w:val="0"/>
        <w:overflowPunct/>
        <w:topLinePunct w:val="0"/>
        <w:autoSpaceDE/>
        <w:autoSpaceDN/>
        <w:bidi w:val="0"/>
        <w:adjustRightInd w:val="0"/>
        <w:snapToGrid/>
        <w:ind w:firstLine="480" w:firstLineChars="200"/>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三、</w:t>
      </w:r>
      <w:r>
        <w:rPr>
          <w:rFonts w:hint="eastAsia" w:ascii="宋体" w:hAnsi="宋体" w:eastAsia="宋体" w:cs="宋体"/>
          <w:b w:val="0"/>
          <w:bCs w:val="0"/>
          <w:color w:val="auto"/>
          <w:sz w:val="24"/>
          <w:szCs w:val="24"/>
          <w:highlight w:val="none"/>
          <w:lang w:val="zh-CN" w:eastAsia="zh-CN" w:bidi="ar-SA"/>
        </w:rPr>
        <w:t>需落实政府采购政策的材料</w:t>
      </w:r>
      <w:r>
        <w:rPr>
          <w:rFonts w:hint="eastAsia" w:ascii="宋体" w:hAnsi="宋体" w:eastAsia="宋体" w:cs="宋体"/>
          <w:b w:val="0"/>
          <w:bCs w:val="0"/>
          <w:color w:val="auto"/>
          <w:sz w:val="24"/>
          <w:szCs w:val="24"/>
          <w:highlight w:val="none"/>
          <w:lang w:val="en-US" w:eastAsia="zh-CN" w:bidi="ar-SA"/>
        </w:rPr>
        <w:t>；</w:t>
      </w:r>
    </w:p>
    <w:p w14:paraId="2BB1C77B">
      <w:pPr>
        <w:pStyle w:val="13"/>
        <w:keepNext w:val="0"/>
        <w:keepLines w:val="0"/>
        <w:pageBreakBefore w:val="0"/>
        <w:widowControl/>
        <w:kinsoku/>
        <w:wordWrap w:val="0"/>
        <w:overflowPunct/>
        <w:topLinePunct w:val="0"/>
        <w:autoSpaceDE/>
        <w:autoSpaceDN/>
        <w:bidi w:val="0"/>
        <w:adjustRightInd w:val="0"/>
        <w:snapToGrid/>
        <w:ind w:firstLine="480" w:firstLineChars="200"/>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四、联合体协议书（</w:t>
      </w:r>
      <w:r>
        <w:rPr>
          <w:rFonts w:hint="eastAsia" w:ascii="宋体" w:hAnsi="宋体" w:cs="宋体"/>
          <w:b w:val="0"/>
          <w:bCs w:val="0"/>
          <w:color w:val="auto"/>
          <w:sz w:val="24"/>
          <w:szCs w:val="24"/>
          <w:highlight w:val="none"/>
          <w:lang w:val="en-US" w:eastAsia="zh-CN" w:bidi="ar-SA"/>
        </w:rPr>
        <w:t>本项目不适用</w:t>
      </w:r>
      <w:r>
        <w:rPr>
          <w:rFonts w:hint="eastAsia" w:ascii="宋体" w:hAnsi="宋体" w:eastAsia="宋体" w:cs="宋体"/>
          <w:b w:val="0"/>
          <w:bCs w:val="0"/>
          <w:color w:val="auto"/>
          <w:sz w:val="24"/>
          <w:szCs w:val="24"/>
          <w:highlight w:val="none"/>
          <w:lang w:val="en-US" w:eastAsia="zh-CN" w:bidi="ar-SA"/>
        </w:rPr>
        <w:t>）；</w:t>
      </w:r>
    </w:p>
    <w:p w14:paraId="7E00B274">
      <w:pPr>
        <w:pStyle w:val="13"/>
        <w:keepNext w:val="0"/>
        <w:keepLines w:val="0"/>
        <w:pageBreakBefore w:val="0"/>
        <w:widowControl/>
        <w:kinsoku/>
        <w:wordWrap w:val="0"/>
        <w:overflowPunct/>
        <w:topLinePunct w:val="0"/>
        <w:autoSpaceDE/>
        <w:autoSpaceDN/>
        <w:bidi w:val="0"/>
        <w:adjustRightInd w:val="0"/>
        <w:snapToGrid/>
        <w:ind w:firstLine="480" w:firstLineChars="200"/>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五、法定代表人（负责人）身份证明或附有法定代表人身份证明的授权委托书；</w:t>
      </w:r>
    </w:p>
    <w:p w14:paraId="6C961D39">
      <w:pPr>
        <w:pStyle w:val="13"/>
        <w:keepNext w:val="0"/>
        <w:keepLines w:val="0"/>
        <w:pageBreakBefore w:val="0"/>
        <w:widowControl/>
        <w:kinsoku/>
        <w:wordWrap w:val="0"/>
        <w:overflowPunct/>
        <w:topLinePunct w:val="0"/>
        <w:autoSpaceDE/>
        <w:autoSpaceDN/>
        <w:bidi w:val="0"/>
        <w:adjustRightInd w:val="0"/>
        <w:snapToGrid/>
        <w:ind w:firstLine="480" w:firstLineChars="200"/>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六、其他要求；</w:t>
      </w:r>
    </w:p>
    <w:p w14:paraId="6E943F90">
      <w:pPr>
        <w:pStyle w:val="13"/>
        <w:keepNext w:val="0"/>
        <w:keepLines w:val="0"/>
        <w:pageBreakBefore w:val="0"/>
        <w:widowControl/>
        <w:kinsoku/>
        <w:wordWrap w:val="0"/>
        <w:overflowPunct/>
        <w:topLinePunct w:val="0"/>
        <w:autoSpaceDE/>
        <w:autoSpaceDN/>
        <w:bidi w:val="0"/>
        <w:adjustRightInd w:val="0"/>
        <w:snapToGrid/>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3.1.1.2报价部分；</w:t>
      </w:r>
    </w:p>
    <w:p w14:paraId="33AE67FC">
      <w:pPr>
        <w:pStyle w:val="13"/>
        <w:keepNext w:val="0"/>
        <w:keepLines w:val="0"/>
        <w:pageBreakBefore w:val="0"/>
        <w:widowControl/>
        <w:kinsoku/>
        <w:wordWrap w:val="0"/>
        <w:overflowPunct/>
        <w:topLinePunct w:val="0"/>
        <w:autoSpaceDE/>
        <w:autoSpaceDN/>
        <w:bidi w:val="0"/>
        <w:adjustRightInd w:val="0"/>
        <w:snapToGrid/>
        <w:ind w:firstLine="480" w:firstLineChars="200"/>
        <w:textAlignment w:val="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bidi="ar-SA"/>
        </w:rPr>
        <w:t>一、</w:t>
      </w:r>
      <w:r>
        <w:rPr>
          <w:rFonts w:hint="eastAsia" w:ascii="宋体" w:hAnsi="宋体" w:eastAsia="宋体" w:cs="宋体"/>
          <w:b w:val="0"/>
          <w:bCs w:val="0"/>
          <w:color w:val="auto"/>
          <w:sz w:val="24"/>
          <w:szCs w:val="24"/>
          <w:highlight w:val="none"/>
          <w:lang w:val="zh-CN" w:eastAsia="zh-CN" w:bidi="ar-SA"/>
        </w:rPr>
        <w:t>开标一览表；</w:t>
      </w:r>
    </w:p>
    <w:p w14:paraId="5094C6C9">
      <w:pPr>
        <w:pStyle w:val="13"/>
        <w:keepNext w:val="0"/>
        <w:keepLines w:val="0"/>
        <w:pageBreakBefore w:val="0"/>
        <w:widowControl/>
        <w:kinsoku/>
        <w:wordWrap w:val="0"/>
        <w:overflowPunct/>
        <w:topLinePunct w:val="0"/>
        <w:autoSpaceDE/>
        <w:autoSpaceDN/>
        <w:bidi w:val="0"/>
        <w:adjustRightInd w:val="0"/>
        <w:snapToGrid/>
        <w:ind w:firstLine="480" w:firstLineChars="200"/>
        <w:textAlignment w:val="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bidi="ar-SA"/>
        </w:rPr>
        <w:t>二</w:t>
      </w:r>
      <w:r>
        <w:rPr>
          <w:rFonts w:hint="eastAsia" w:ascii="宋体" w:hAnsi="宋体" w:eastAsia="宋体" w:cs="宋体"/>
          <w:b w:val="0"/>
          <w:bCs w:val="0"/>
          <w:color w:val="auto"/>
          <w:sz w:val="24"/>
          <w:szCs w:val="24"/>
          <w:highlight w:val="none"/>
          <w:lang w:val="zh-CN" w:eastAsia="zh-CN" w:bidi="ar-SA"/>
        </w:rPr>
        <w:t>、报价表；</w:t>
      </w:r>
    </w:p>
    <w:p w14:paraId="7595A3B7">
      <w:pPr>
        <w:pStyle w:val="13"/>
        <w:keepNext w:val="0"/>
        <w:keepLines w:val="0"/>
        <w:pageBreakBefore w:val="0"/>
        <w:widowControl/>
        <w:kinsoku/>
        <w:wordWrap w:val="0"/>
        <w:overflowPunct/>
        <w:topLinePunct w:val="0"/>
        <w:autoSpaceDE/>
        <w:autoSpaceDN/>
        <w:bidi w:val="0"/>
        <w:adjustRightInd w:val="0"/>
        <w:snapToGrid/>
        <w:ind w:firstLine="480" w:firstLineChars="200"/>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三</w:t>
      </w:r>
      <w:r>
        <w:rPr>
          <w:rFonts w:hint="eastAsia" w:ascii="宋体" w:hAnsi="宋体" w:eastAsia="宋体" w:cs="宋体"/>
          <w:b w:val="0"/>
          <w:bCs w:val="0"/>
          <w:color w:val="auto"/>
          <w:sz w:val="24"/>
          <w:szCs w:val="24"/>
          <w:highlight w:val="none"/>
          <w:lang w:val="zh-CN" w:eastAsia="zh-CN" w:bidi="ar-SA"/>
        </w:rPr>
        <w:t>、其他</w:t>
      </w:r>
      <w:r>
        <w:rPr>
          <w:rFonts w:hint="eastAsia" w:ascii="宋体" w:hAnsi="宋体" w:eastAsia="宋体" w:cs="宋体"/>
          <w:b w:val="0"/>
          <w:bCs w:val="0"/>
          <w:color w:val="auto"/>
          <w:sz w:val="24"/>
          <w:szCs w:val="24"/>
          <w:highlight w:val="none"/>
          <w:lang w:val="en-US" w:eastAsia="zh-CN" w:bidi="ar-SA"/>
        </w:rPr>
        <w:t>要求</w:t>
      </w:r>
    </w:p>
    <w:p w14:paraId="1B9A3A26">
      <w:pPr>
        <w:pStyle w:val="13"/>
        <w:keepNext w:val="0"/>
        <w:keepLines w:val="0"/>
        <w:pageBreakBefore w:val="0"/>
        <w:widowControl/>
        <w:kinsoku/>
        <w:wordWrap w:val="0"/>
        <w:overflowPunct/>
        <w:topLinePunct w:val="0"/>
        <w:autoSpaceDE/>
        <w:autoSpaceDN/>
        <w:bidi w:val="0"/>
        <w:adjustRightInd w:val="0"/>
        <w:snapToGrid/>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3.1.1.3商务技术部分；</w:t>
      </w:r>
    </w:p>
    <w:p w14:paraId="24B95E7C">
      <w:pPr>
        <w:pStyle w:val="13"/>
        <w:keepNext w:val="0"/>
        <w:keepLines w:val="0"/>
        <w:pageBreakBefore w:val="0"/>
        <w:widowControl/>
        <w:kinsoku/>
        <w:wordWrap w:val="0"/>
        <w:overflowPunct/>
        <w:topLinePunct w:val="0"/>
        <w:autoSpaceDE/>
        <w:autoSpaceDN/>
        <w:bidi w:val="0"/>
        <w:adjustRightInd w:val="0"/>
        <w:snapToGrid/>
        <w:ind w:firstLine="480" w:firstLineChars="200"/>
        <w:textAlignment w:val="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bidi="ar-SA"/>
        </w:rPr>
        <w:t>一</w:t>
      </w:r>
      <w:r>
        <w:rPr>
          <w:rFonts w:hint="eastAsia" w:ascii="宋体" w:hAnsi="宋体" w:eastAsia="宋体" w:cs="宋体"/>
          <w:b w:val="0"/>
          <w:bCs w:val="0"/>
          <w:color w:val="auto"/>
          <w:sz w:val="24"/>
          <w:szCs w:val="24"/>
          <w:highlight w:val="none"/>
          <w:lang w:val="zh-CN" w:eastAsia="zh-CN" w:bidi="ar-SA"/>
        </w:rPr>
        <w:t>、投标函</w:t>
      </w:r>
    </w:p>
    <w:p w14:paraId="2D9901A5">
      <w:pPr>
        <w:pStyle w:val="13"/>
        <w:keepNext w:val="0"/>
        <w:keepLines w:val="0"/>
        <w:pageBreakBefore w:val="0"/>
        <w:widowControl/>
        <w:kinsoku/>
        <w:wordWrap w:val="0"/>
        <w:overflowPunct/>
        <w:topLinePunct w:val="0"/>
        <w:autoSpaceDE/>
        <w:autoSpaceDN/>
        <w:bidi w:val="0"/>
        <w:adjustRightInd w:val="0"/>
        <w:snapToGrid/>
        <w:ind w:firstLine="480" w:firstLineChars="200"/>
        <w:textAlignment w:val="auto"/>
        <w:rPr>
          <w:rFonts w:hint="eastAsia" w:ascii="宋体" w:hAnsi="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二</w:t>
      </w:r>
      <w:r>
        <w:rPr>
          <w:rFonts w:hint="eastAsia" w:ascii="宋体" w:hAnsi="宋体" w:eastAsia="宋体" w:cs="宋体"/>
          <w:b w:val="0"/>
          <w:bCs w:val="0"/>
          <w:color w:val="auto"/>
          <w:sz w:val="24"/>
          <w:szCs w:val="24"/>
          <w:highlight w:val="none"/>
          <w:lang w:val="zh-CN" w:eastAsia="zh-CN" w:bidi="ar-SA"/>
        </w:rPr>
        <w:t>、</w:t>
      </w:r>
      <w:r>
        <w:rPr>
          <w:rFonts w:hint="eastAsia" w:ascii="宋体" w:hAnsi="宋体" w:cs="宋体"/>
          <w:b w:val="0"/>
          <w:bCs w:val="0"/>
          <w:color w:val="auto"/>
          <w:sz w:val="24"/>
          <w:szCs w:val="24"/>
          <w:highlight w:val="none"/>
          <w:lang w:val="en-US" w:eastAsia="zh-CN" w:bidi="ar-SA"/>
        </w:rPr>
        <w:t>投标保证书</w:t>
      </w:r>
    </w:p>
    <w:p w14:paraId="6476A179">
      <w:pPr>
        <w:pStyle w:val="13"/>
        <w:keepNext w:val="0"/>
        <w:keepLines w:val="0"/>
        <w:pageBreakBefore w:val="0"/>
        <w:widowControl/>
        <w:kinsoku/>
        <w:wordWrap w:val="0"/>
        <w:overflowPunct/>
        <w:topLinePunct w:val="0"/>
        <w:autoSpaceDE/>
        <w:autoSpaceDN/>
        <w:bidi w:val="0"/>
        <w:adjustRightInd w:val="0"/>
        <w:snapToGrid/>
        <w:ind w:firstLine="480" w:firstLineChars="200"/>
        <w:textAlignment w:val="auto"/>
        <w:rPr>
          <w:rFonts w:hint="eastAsia" w:ascii="宋体" w:hAnsi="宋体" w:eastAsia="宋体" w:cs="宋体"/>
          <w:b w:val="0"/>
          <w:bCs w:val="0"/>
          <w:color w:val="auto"/>
          <w:sz w:val="24"/>
          <w:szCs w:val="24"/>
          <w:highlight w:val="none"/>
          <w:lang w:val="zh-CN" w:eastAsia="zh-CN" w:bidi="ar-SA"/>
        </w:rPr>
      </w:pPr>
      <w:r>
        <w:rPr>
          <w:rFonts w:hint="eastAsia" w:ascii="宋体" w:hAnsi="宋体" w:cs="宋体"/>
          <w:b w:val="0"/>
          <w:bCs w:val="0"/>
          <w:color w:val="auto"/>
          <w:sz w:val="24"/>
          <w:szCs w:val="24"/>
          <w:highlight w:val="none"/>
          <w:lang w:val="en-US" w:eastAsia="zh-CN" w:bidi="ar-SA"/>
        </w:rPr>
        <w:t>三、</w:t>
      </w:r>
      <w:r>
        <w:rPr>
          <w:rFonts w:hint="eastAsia" w:ascii="宋体" w:hAnsi="宋体" w:eastAsia="宋体" w:cs="宋体"/>
          <w:b w:val="0"/>
          <w:bCs w:val="0"/>
          <w:color w:val="auto"/>
          <w:sz w:val="24"/>
          <w:szCs w:val="24"/>
          <w:highlight w:val="none"/>
          <w:lang w:val="zh-CN" w:eastAsia="zh-CN" w:bidi="ar-SA"/>
        </w:rPr>
        <w:t>商务条款</w:t>
      </w:r>
      <w:r>
        <w:rPr>
          <w:rFonts w:hint="eastAsia" w:ascii="宋体" w:hAnsi="宋体" w:eastAsia="宋体" w:cs="宋体"/>
          <w:b w:val="0"/>
          <w:bCs w:val="0"/>
          <w:color w:val="auto"/>
          <w:sz w:val="24"/>
          <w:szCs w:val="24"/>
          <w:highlight w:val="none"/>
          <w:lang w:val="en-US" w:eastAsia="zh-CN" w:bidi="ar-SA"/>
        </w:rPr>
        <w:t>偏离</w:t>
      </w:r>
      <w:r>
        <w:rPr>
          <w:rFonts w:hint="eastAsia" w:ascii="宋体" w:hAnsi="宋体" w:eastAsia="宋体" w:cs="宋体"/>
          <w:b w:val="0"/>
          <w:bCs w:val="0"/>
          <w:color w:val="auto"/>
          <w:sz w:val="24"/>
          <w:szCs w:val="24"/>
          <w:highlight w:val="none"/>
          <w:lang w:val="zh-CN" w:eastAsia="zh-CN" w:bidi="ar-SA"/>
        </w:rPr>
        <w:t>表和技术规格偏离表</w:t>
      </w:r>
    </w:p>
    <w:p w14:paraId="536DFBA5">
      <w:pPr>
        <w:pStyle w:val="13"/>
        <w:keepNext w:val="0"/>
        <w:keepLines w:val="0"/>
        <w:pageBreakBefore w:val="0"/>
        <w:widowControl/>
        <w:kinsoku/>
        <w:wordWrap w:val="0"/>
        <w:overflowPunct/>
        <w:topLinePunct w:val="0"/>
        <w:autoSpaceDE/>
        <w:autoSpaceDN/>
        <w:bidi w:val="0"/>
        <w:adjustRightInd w:val="0"/>
        <w:snapToGrid/>
        <w:ind w:firstLine="480" w:firstLineChars="200"/>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四</w:t>
      </w:r>
      <w:r>
        <w:rPr>
          <w:rFonts w:hint="eastAsia" w:ascii="宋体" w:hAnsi="宋体" w:eastAsia="宋体" w:cs="宋体"/>
          <w:b w:val="0"/>
          <w:bCs w:val="0"/>
          <w:color w:val="auto"/>
          <w:sz w:val="24"/>
          <w:szCs w:val="24"/>
          <w:highlight w:val="none"/>
          <w:lang w:val="en-US" w:eastAsia="zh-CN" w:bidi="ar-SA"/>
        </w:rPr>
        <w:t>、关于商务技术审查的其他资料</w:t>
      </w:r>
    </w:p>
    <w:p w14:paraId="180BD5F9">
      <w:pPr>
        <w:pStyle w:val="13"/>
        <w:keepNext w:val="0"/>
        <w:keepLines w:val="0"/>
        <w:pageBreakBefore w:val="0"/>
        <w:widowControl/>
        <w:kinsoku/>
        <w:wordWrap w:val="0"/>
        <w:overflowPunct/>
        <w:topLinePunct w:val="0"/>
        <w:autoSpaceDE/>
        <w:autoSpaceDN/>
        <w:bidi w:val="0"/>
        <w:adjustRightInd w:val="0"/>
        <w:snapToGrid/>
        <w:ind w:firstLine="480" w:firstLineChars="200"/>
        <w:textAlignment w:val="auto"/>
        <w:rPr>
          <w:rFonts w:hint="eastAsia" w:ascii="宋体" w:hAnsi="宋体" w:eastAsia="宋体" w:cs="宋体"/>
          <w:b w:val="0"/>
          <w:bCs w:val="0"/>
          <w:color w:val="auto"/>
          <w:sz w:val="24"/>
          <w:szCs w:val="24"/>
          <w:highlight w:val="none"/>
          <w:lang w:val="zh-CN" w:eastAsia="zh-CN" w:bidi="ar-SA"/>
        </w:rPr>
      </w:pPr>
      <w:r>
        <w:rPr>
          <w:rFonts w:hint="eastAsia" w:ascii="宋体" w:hAnsi="宋体" w:cs="宋体"/>
          <w:b w:val="0"/>
          <w:bCs w:val="0"/>
          <w:color w:val="auto"/>
          <w:sz w:val="24"/>
          <w:szCs w:val="24"/>
          <w:highlight w:val="none"/>
          <w:lang w:val="en-US" w:eastAsia="zh-CN" w:bidi="ar-SA"/>
        </w:rPr>
        <w:t>五</w:t>
      </w:r>
      <w:r>
        <w:rPr>
          <w:rFonts w:hint="eastAsia" w:ascii="宋体" w:hAnsi="宋体" w:eastAsia="宋体" w:cs="宋体"/>
          <w:b w:val="0"/>
          <w:bCs w:val="0"/>
          <w:color w:val="auto"/>
          <w:sz w:val="24"/>
          <w:szCs w:val="24"/>
          <w:highlight w:val="none"/>
          <w:lang w:val="en-US" w:eastAsia="zh-CN" w:bidi="ar-SA"/>
        </w:rPr>
        <w:t>、</w:t>
      </w:r>
      <w:r>
        <w:rPr>
          <w:rFonts w:hint="eastAsia" w:ascii="宋体" w:hAnsi="宋体" w:eastAsia="宋体" w:cs="宋体"/>
          <w:b w:val="0"/>
          <w:bCs w:val="0"/>
          <w:color w:val="auto"/>
          <w:sz w:val="24"/>
          <w:szCs w:val="24"/>
          <w:highlight w:val="none"/>
          <w:lang w:val="zh-CN" w:eastAsia="zh-CN" w:bidi="ar-SA"/>
        </w:rPr>
        <w:t>技术部分</w:t>
      </w:r>
    </w:p>
    <w:p w14:paraId="6B0BBE91">
      <w:pPr>
        <w:pStyle w:val="13"/>
        <w:keepNext w:val="0"/>
        <w:keepLines w:val="0"/>
        <w:pageBreakBefore w:val="0"/>
        <w:widowControl/>
        <w:kinsoku/>
        <w:wordWrap w:val="0"/>
        <w:overflowPunct/>
        <w:topLinePunct w:val="0"/>
        <w:autoSpaceDE/>
        <w:autoSpaceDN/>
        <w:bidi w:val="0"/>
        <w:adjustRightInd w:val="0"/>
        <w:snapToGrid/>
        <w:ind w:firstLine="480" w:firstLineChars="200"/>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六</w:t>
      </w:r>
      <w:r>
        <w:rPr>
          <w:rFonts w:hint="eastAsia" w:ascii="宋体" w:hAnsi="宋体" w:eastAsia="宋体" w:cs="宋体"/>
          <w:b w:val="0"/>
          <w:bCs w:val="0"/>
          <w:color w:val="auto"/>
          <w:sz w:val="24"/>
          <w:szCs w:val="24"/>
          <w:highlight w:val="none"/>
          <w:lang w:val="zh-CN" w:eastAsia="zh-CN" w:bidi="ar-SA"/>
        </w:rPr>
        <w:t>、其他资料</w:t>
      </w:r>
    </w:p>
    <w:p w14:paraId="506E3371">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投标人在评标过程中作出的符合法律法规和招标文件规定的澄清确认，构成投标文件的组成部分。</w:t>
      </w:r>
    </w:p>
    <w:p w14:paraId="734E1904">
      <w:pPr>
        <w:pageBreakBefore w:val="0"/>
        <w:kinsoku/>
        <w:wordWrap w:val="0"/>
        <w:overflowPunct/>
        <w:bidi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3.1.</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电子投标文件制作</w:t>
      </w:r>
    </w:p>
    <w:p w14:paraId="340BD61A">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bookmarkStart w:id="142" w:name="_Toc3252"/>
      <w:bookmarkEnd w:id="142"/>
      <w:bookmarkStart w:id="143" w:name="_Toc21369"/>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文件全部采用电子文档，由</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使用“政采云电子投标客户端”制作加密生成。</w:t>
      </w:r>
    </w:p>
    <w:p w14:paraId="1B9690FF">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在编制</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文件时应按</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文件中规定的分级目录依次导入相关内容。</w:t>
      </w:r>
    </w:p>
    <w:p w14:paraId="18139FA7">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文件中证明资料的“复印件”均为“原件的扫描件”。</w:t>
      </w:r>
    </w:p>
    <w:p w14:paraId="17EA1EC2">
      <w:pPr>
        <w:pageBreakBefore w:val="0"/>
        <w:kinsoku/>
        <w:wordWrap w:val="0"/>
        <w:overflowPunct/>
        <w:bidi w:val="0"/>
        <w:spacing w:line="360" w:lineRule="auto"/>
        <w:ind w:firstLine="540" w:firstLineChars="225"/>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投标人应严格响应第六章“</w:t>
      </w:r>
      <w:r>
        <w:rPr>
          <w:rFonts w:hint="eastAsia" w:ascii="宋体" w:hAnsi="宋体" w:eastAsia="宋体" w:cs="宋体"/>
          <w:color w:val="auto"/>
          <w:sz w:val="24"/>
          <w:szCs w:val="24"/>
          <w:highlight w:val="none"/>
          <w:lang w:eastAsia="zh-CN"/>
        </w:rPr>
        <w:t>采购需求</w:t>
      </w:r>
      <w:r>
        <w:rPr>
          <w:rFonts w:hint="eastAsia" w:ascii="宋体" w:hAnsi="宋体" w:eastAsia="宋体" w:cs="宋体"/>
          <w:color w:val="auto"/>
          <w:sz w:val="24"/>
          <w:szCs w:val="24"/>
          <w:highlight w:val="none"/>
        </w:rPr>
        <w:t>及技术规格</w:t>
      </w:r>
      <w:r>
        <w:rPr>
          <w:rFonts w:hint="eastAsia" w:ascii="宋体" w:hAnsi="宋体" w:eastAsia="宋体" w:cs="宋体"/>
          <w:color w:val="auto"/>
          <w:sz w:val="24"/>
          <w:szCs w:val="24"/>
          <w:highlight w:val="none"/>
          <w:lang w:val="en-US" w:eastAsia="zh-CN"/>
        </w:rPr>
        <w:t>要求”，需要书面阐述的内容由法定代表人签署；</w:t>
      </w:r>
    </w:p>
    <w:p w14:paraId="17116DD0">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文件制作完成后，</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应使用CA数字证书对</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文件进行加密，形成加密的</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w:t>
      </w:r>
    </w:p>
    <w:p w14:paraId="724E0605">
      <w:pPr>
        <w:pageBreakBefore w:val="0"/>
        <w:kinsoku/>
        <w:wordWrap w:val="0"/>
        <w:overflowPunct/>
        <w:bidi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3.2 投标报价</w:t>
      </w:r>
      <w:bookmarkEnd w:id="143"/>
    </w:p>
    <w:p w14:paraId="4881FC67">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投标人应按第七章“投标文件格式”的要求在投标函中进行报价并填写分项报价表。</w:t>
      </w:r>
    </w:p>
    <w:p w14:paraId="542837B4">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 投标人应充分了解该项目的总体情况以及影响投标报价的其他要素。</w:t>
      </w:r>
    </w:p>
    <w:p w14:paraId="23BBFC8F">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 投标人的投标报价不得超过预算金额，若</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还设有最高投标限价的，投标人的投标报价还应当不得超过最高投标限价，最高投标限价在投标人须知前附表中载明。</w:t>
      </w:r>
    </w:p>
    <w:p w14:paraId="568B9E19">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 投标报价的其他要求见投标人须知前附表。</w:t>
      </w:r>
    </w:p>
    <w:p w14:paraId="482EF84D">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44" w:name="_Toc12995"/>
      <w:bookmarkEnd w:id="144"/>
      <w:bookmarkStart w:id="145" w:name="_Toc14190"/>
      <w:r>
        <w:rPr>
          <w:rFonts w:hint="eastAsia" w:ascii="宋体" w:hAnsi="宋体" w:eastAsia="宋体" w:cs="宋体"/>
          <w:b/>
          <w:color w:val="auto"/>
          <w:sz w:val="24"/>
          <w:szCs w:val="24"/>
          <w:highlight w:val="none"/>
        </w:rPr>
        <w:t>3.3 投标有效期</w:t>
      </w:r>
      <w:bookmarkEnd w:id="145"/>
    </w:p>
    <w:p w14:paraId="7EDD5E3C">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3.3.1投标有效期见投标人须知前附表。</w:t>
      </w:r>
    </w:p>
    <w:p w14:paraId="024F8866">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3.3.2在投标有效期内，投标人撤销或修改其投标文件的，应承担招标文件和法律规定的责任。</w:t>
      </w:r>
    </w:p>
    <w:p w14:paraId="18B0E44D">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 出现特殊情况需要延长投标有效期的，</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5D68631D">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46" w:name="_Toc1543"/>
      <w:bookmarkEnd w:id="146"/>
      <w:bookmarkStart w:id="147" w:name="_Toc23125"/>
      <w:r>
        <w:rPr>
          <w:rFonts w:hint="eastAsia" w:ascii="宋体" w:hAnsi="宋体" w:eastAsia="宋体" w:cs="宋体"/>
          <w:b/>
          <w:color w:val="auto"/>
          <w:sz w:val="24"/>
          <w:szCs w:val="24"/>
          <w:highlight w:val="none"/>
        </w:rPr>
        <w:t>3.4 投标保证金</w:t>
      </w:r>
      <w:bookmarkEnd w:id="147"/>
    </w:p>
    <w:p w14:paraId="41B4269C">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3.4.1投标人在递交投标文件的同时，应按投标人须知前附表规定的金额、形式递交投标保证金，并作为其投标文件的组成部分。</w:t>
      </w:r>
    </w:p>
    <w:p w14:paraId="139B7077">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 投标人不按本章第3.4.1 项要求提交投标保证金的，其投标将被视为无效投标。</w:t>
      </w:r>
    </w:p>
    <w:p w14:paraId="31C3EF77">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或者</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应当自中标通知书发出之日起5个工作日内退还未中标人的投标保证金，自采购合同签订之日起5个工作日内退还中标人的投标保证金。</w:t>
      </w:r>
    </w:p>
    <w:p w14:paraId="3C0E6877">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 有下列情形之一的，投标保证金将不予退还：</w:t>
      </w:r>
    </w:p>
    <w:p w14:paraId="3F1F5D78">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(1)投标人在投标有效期内撤销投标文件；</w:t>
      </w:r>
    </w:p>
    <w:p w14:paraId="6DAD9E76">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(2)中标人在收到中标通知书后，无正当理由不与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订立合同，在签订合同时向</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提出附加条件，或者不按照招标文件要求提交履约保证金；</w:t>
      </w:r>
    </w:p>
    <w:p w14:paraId="5686D27A">
      <w:pPr>
        <w:pageBreakBefore w:val="0"/>
        <w:kinsoku/>
        <w:wordWrap w:val="0"/>
        <w:overflowPunct/>
        <w:bidi w:val="0"/>
        <w:spacing w:line="360" w:lineRule="auto"/>
        <w:ind w:left="479" w:leftChars="2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w:t>
      </w:r>
      <w:r>
        <w:rPr>
          <w:rFonts w:hint="eastAsia" w:ascii="宋体" w:hAnsi="宋体" w:eastAsia="宋体" w:cs="宋体"/>
          <w:color w:val="auto"/>
          <w:sz w:val="24"/>
          <w:szCs w:val="24"/>
          <w:highlight w:val="none"/>
          <w:lang w:val="en-US" w:eastAsia="zh-CN"/>
        </w:rPr>
        <w:t>情形，</w:t>
      </w:r>
      <w:r>
        <w:rPr>
          <w:rFonts w:hint="eastAsia" w:ascii="宋体" w:hAnsi="宋体" w:eastAsia="宋体" w:cs="宋体"/>
          <w:color w:val="auto"/>
          <w:sz w:val="24"/>
          <w:szCs w:val="24"/>
          <w:highlight w:val="none"/>
        </w:rPr>
        <w:t>见投标人须知前附表。</w:t>
      </w:r>
    </w:p>
    <w:p w14:paraId="52790501">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48" w:name="_Toc32408"/>
      <w:bookmarkEnd w:id="148"/>
      <w:bookmarkStart w:id="149" w:name="_Toc4859"/>
      <w:r>
        <w:rPr>
          <w:rFonts w:hint="eastAsia" w:ascii="宋体" w:hAnsi="宋体" w:eastAsia="宋体" w:cs="宋体"/>
          <w:b/>
          <w:color w:val="auto"/>
          <w:sz w:val="24"/>
          <w:szCs w:val="24"/>
          <w:highlight w:val="none"/>
        </w:rPr>
        <w:t>3.5投标文件的编制</w:t>
      </w:r>
      <w:bookmarkEnd w:id="149"/>
    </w:p>
    <w:p w14:paraId="63390198">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 投标文件应按第七章“投标文件格式”进行编写。</w:t>
      </w:r>
    </w:p>
    <w:p w14:paraId="3207168F">
      <w:pPr>
        <w:pageBreakBefore w:val="0"/>
        <w:kinsoku/>
        <w:wordWrap w:val="0"/>
        <w:overflowPunct/>
        <w:bidi w:val="0"/>
        <w:spacing w:line="360" w:lineRule="auto"/>
        <w:ind w:firstLine="480" w:firstLineChars="200"/>
        <w:jc w:val="left"/>
        <w:rPr>
          <w:rFonts w:hint="eastAsia" w:ascii="宋体" w:hAnsi="宋体" w:eastAsia="宋体" w:cs="宋体"/>
          <w:color w:val="auto"/>
          <w:sz w:val="24"/>
          <w:szCs w:val="24"/>
          <w:highlight w:val="none"/>
        </w:rPr>
      </w:pPr>
      <w:bookmarkStart w:id="150" w:name="_Toc13757"/>
      <w:bookmarkEnd w:id="150"/>
      <w:bookmarkStart w:id="151" w:name="_Toc1490"/>
      <w:bookmarkEnd w:id="151"/>
      <w:bookmarkStart w:id="152" w:name="_Toc7149"/>
      <w:r>
        <w:rPr>
          <w:rFonts w:hint="eastAsia" w:ascii="宋体" w:hAnsi="宋体" w:eastAsia="宋体" w:cs="宋体"/>
          <w:color w:val="auto"/>
          <w:sz w:val="24"/>
          <w:szCs w:val="24"/>
          <w:highlight w:val="none"/>
        </w:rPr>
        <w:t>3.5.</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投标文件全部采用电子文档，</w:t>
      </w:r>
      <w:r>
        <w:rPr>
          <w:rFonts w:hint="eastAsia" w:ascii="宋体" w:hAnsi="宋体" w:eastAsia="宋体" w:cs="宋体"/>
          <w:color w:val="auto"/>
          <w:sz w:val="24"/>
          <w:szCs w:val="24"/>
          <w:highlight w:val="none"/>
          <w:lang w:val="en-US" w:eastAsia="zh-CN"/>
        </w:rPr>
        <w:t>按</w:t>
      </w:r>
      <w:r>
        <w:rPr>
          <w:rFonts w:hint="eastAsia" w:ascii="宋体" w:hAnsi="宋体" w:eastAsia="宋体" w:cs="宋体"/>
          <w:color w:val="auto"/>
          <w:sz w:val="24"/>
          <w:szCs w:val="24"/>
          <w:highlight w:val="none"/>
        </w:rPr>
        <w:t>投标人须知前附表</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规定</w:t>
      </w:r>
      <w:r>
        <w:rPr>
          <w:rFonts w:hint="eastAsia" w:ascii="宋体" w:hAnsi="宋体" w:eastAsia="宋体" w:cs="宋体"/>
          <w:color w:val="auto"/>
          <w:sz w:val="24"/>
          <w:szCs w:val="24"/>
          <w:highlight w:val="none"/>
          <w:lang w:val="en-US" w:eastAsia="zh-CN"/>
        </w:rPr>
        <w:t>进行签署</w:t>
      </w:r>
      <w:r>
        <w:rPr>
          <w:rFonts w:hint="eastAsia" w:ascii="宋体" w:hAnsi="宋体" w:eastAsia="宋体" w:cs="宋体"/>
          <w:b/>
          <w:bCs/>
          <w:color w:val="auto"/>
          <w:sz w:val="24"/>
          <w:szCs w:val="24"/>
          <w:highlight w:val="none"/>
        </w:rPr>
        <w:t>。</w:t>
      </w:r>
    </w:p>
    <w:p w14:paraId="49DE7647">
      <w:pPr>
        <w:pageBreakBefore w:val="0"/>
        <w:kinsoku/>
        <w:wordWrap w:val="0"/>
        <w:overflowPunct/>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电子投标文件的格式见投标人须知前附表。</w:t>
      </w:r>
    </w:p>
    <w:p w14:paraId="77FE3C46">
      <w:pPr>
        <w:pageBreakBefore w:val="0"/>
        <w:kinsoku/>
        <w:wordWrap w:val="0"/>
        <w:overflowPunct/>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因字迹潦草、表达不清、未按要求填写而导致非唯一理解，造成未实质性响应</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文件的，</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文件将会被认定为无效。因复印模糊，导致资料无法辨认的，视为未提供该资料。</w:t>
      </w:r>
    </w:p>
    <w:p w14:paraId="1D21C95A">
      <w:pPr>
        <w:pageBreakBefore w:val="0"/>
        <w:kinsoku/>
        <w:wordWrap w:val="0"/>
        <w:overflowPunct/>
        <w:bidi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3.5.5</w:t>
      </w:r>
      <w:r>
        <w:rPr>
          <w:rFonts w:hint="eastAsia" w:ascii="宋体" w:hAnsi="宋体" w:eastAsia="宋体" w:cs="宋体"/>
          <w:color w:val="auto"/>
          <w:sz w:val="24"/>
          <w:szCs w:val="24"/>
          <w:highlight w:val="none"/>
        </w:rPr>
        <w:t>因</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自身原因而导致</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文件无法导入“政府采购云平台”（https://www.zcygov.cn/)”电子开标、评标系统，该投标视为无效投标，</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自行承担由此导致的全部责任。</w:t>
      </w:r>
    </w:p>
    <w:p w14:paraId="52E2B550">
      <w:pPr>
        <w:pStyle w:val="3"/>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rPr>
      </w:pPr>
      <w:bookmarkStart w:id="153" w:name="_Toc32502"/>
      <w:r>
        <w:rPr>
          <w:rFonts w:hint="eastAsia" w:ascii="宋体" w:hAnsi="宋体" w:eastAsia="宋体" w:cs="宋体"/>
          <w:color w:val="auto"/>
          <w:sz w:val="24"/>
          <w:szCs w:val="24"/>
          <w:highlight w:val="none"/>
        </w:rPr>
        <w:t>4. 投标</w:t>
      </w:r>
      <w:bookmarkEnd w:id="152"/>
      <w:bookmarkEnd w:id="153"/>
    </w:p>
    <w:p w14:paraId="181D6012">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54" w:name="_Toc1523"/>
      <w:bookmarkEnd w:id="154"/>
      <w:bookmarkStart w:id="155" w:name="_Toc20611"/>
      <w:bookmarkEnd w:id="155"/>
      <w:bookmarkStart w:id="156" w:name="_Toc25497"/>
      <w:bookmarkStart w:id="157" w:name="_Toc9134"/>
      <w:r>
        <w:rPr>
          <w:rFonts w:hint="eastAsia" w:ascii="宋体" w:hAnsi="宋体" w:eastAsia="宋体" w:cs="宋体"/>
          <w:b/>
          <w:color w:val="auto"/>
          <w:sz w:val="24"/>
          <w:szCs w:val="24"/>
          <w:highlight w:val="none"/>
        </w:rPr>
        <w:t>4.1 投标文件</w:t>
      </w:r>
      <w:bookmarkEnd w:id="156"/>
      <w:r>
        <w:rPr>
          <w:rFonts w:hint="eastAsia" w:ascii="宋体" w:hAnsi="宋体" w:eastAsia="宋体" w:cs="宋体"/>
          <w:b/>
          <w:color w:val="auto"/>
          <w:sz w:val="24"/>
          <w:szCs w:val="24"/>
          <w:highlight w:val="none"/>
        </w:rPr>
        <w:t>加密要求</w:t>
      </w:r>
    </w:p>
    <w:p w14:paraId="034E182A">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bookmarkStart w:id="158" w:name="_Toc27596"/>
      <w:bookmarkEnd w:id="158"/>
      <w:r>
        <w:rPr>
          <w:rFonts w:hint="eastAsia" w:ascii="宋体" w:hAnsi="宋体" w:eastAsia="宋体" w:cs="宋体"/>
          <w:color w:val="auto"/>
          <w:sz w:val="24"/>
          <w:szCs w:val="24"/>
          <w:highlight w:val="none"/>
        </w:rPr>
        <w:t>4.1.1 投标人应当按照招标文件和电子招标投标交易平台的要求加密投标文件。</w:t>
      </w:r>
    </w:p>
    <w:p w14:paraId="0B5BE124">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 未按本章第4.1.1 要求加密的投标文件，</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将予以拒收。</w:t>
      </w:r>
    </w:p>
    <w:bookmarkEnd w:id="157"/>
    <w:p w14:paraId="042039C7">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59" w:name="_Toc8975"/>
      <w:bookmarkEnd w:id="159"/>
      <w:bookmarkStart w:id="160" w:name="_Toc21133"/>
      <w:bookmarkEnd w:id="160"/>
      <w:bookmarkStart w:id="161" w:name="_Toc5071"/>
      <w:r>
        <w:rPr>
          <w:rFonts w:hint="eastAsia" w:ascii="宋体" w:hAnsi="宋体" w:eastAsia="宋体" w:cs="宋体"/>
          <w:b/>
          <w:color w:val="auto"/>
          <w:sz w:val="24"/>
          <w:szCs w:val="24"/>
          <w:highlight w:val="none"/>
        </w:rPr>
        <w:t>4.2 投标文件的递交</w:t>
      </w:r>
    </w:p>
    <w:p w14:paraId="153BF65E">
      <w:pPr>
        <w:pStyle w:val="13"/>
        <w:pageBreakBefore w:val="0"/>
        <w:kinsoku/>
        <w:wordWrap w:val="0"/>
        <w:overflowPunct/>
        <w:bidi w:val="0"/>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4.2.1 投标人应在投标人须知前附表规定的投标截止时间前递交投标文件。</w:t>
      </w:r>
    </w:p>
    <w:p w14:paraId="21E9E90F">
      <w:pPr>
        <w:pStyle w:val="13"/>
        <w:pageBreakBefore w:val="0"/>
        <w:kinsoku/>
        <w:wordWrap w:val="0"/>
        <w:overflowPunct/>
        <w:bidi w:val="0"/>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4.2.2 投标人递交投标文件的</w:t>
      </w:r>
      <w:r>
        <w:rPr>
          <w:rFonts w:hint="eastAsia" w:ascii="宋体" w:hAnsi="宋体" w:eastAsia="宋体" w:cs="宋体"/>
          <w:color w:val="auto"/>
          <w:kern w:val="0"/>
          <w:sz w:val="24"/>
          <w:szCs w:val="24"/>
          <w:highlight w:val="none"/>
          <w:lang w:val="en-US" w:eastAsia="zh-CN"/>
        </w:rPr>
        <w:t>截止</w:t>
      </w:r>
      <w:r>
        <w:rPr>
          <w:rFonts w:hint="eastAsia" w:ascii="宋体" w:hAnsi="宋体" w:eastAsia="宋体" w:cs="宋体"/>
          <w:color w:val="auto"/>
          <w:kern w:val="0"/>
          <w:sz w:val="24"/>
          <w:szCs w:val="24"/>
          <w:highlight w:val="none"/>
        </w:rPr>
        <w:t>时间和地点：见投标人须知前附表。</w:t>
      </w:r>
    </w:p>
    <w:p w14:paraId="16849D15">
      <w:pPr>
        <w:pStyle w:val="13"/>
        <w:pageBreakBefore w:val="0"/>
        <w:kinsoku/>
        <w:wordWrap w:val="0"/>
        <w:overflowPunct/>
        <w:bidi w:val="0"/>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4.2.3 除投标人须知前附表另有规定外，投标人所递交的投标文件不予退还。</w:t>
      </w:r>
    </w:p>
    <w:bookmarkEnd w:id="161"/>
    <w:p w14:paraId="7C9CB30E">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62" w:name="_Toc21332"/>
      <w:bookmarkEnd w:id="162"/>
      <w:bookmarkStart w:id="163" w:name="_Toc27792"/>
      <w:bookmarkEnd w:id="163"/>
      <w:bookmarkStart w:id="164" w:name="_Toc24636"/>
      <w:r>
        <w:rPr>
          <w:rFonts w:hint="eastAsia" w:ascii="宋体" w:hAnsi="宋体" w:eastAsia="宋体" w:cs="宋体"/>
          <w:b/>
          <w:color w:val="auto"/>
          <w:sz w:val="24"/>
          <w:szCs w:val="24"/>
          <w:highlight w:val="none"/>
        </w:rPr>
        <w:t>4.3 投标文件的修改与撤回</w:t>
      </w:r>
    </w:p>
    <w:p w14:paraId="53292D4A">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bookmarkStart w:id="165" w:name="_Toc20324"/>
      <w:r>
        <w:rPr>
          <w:rFonts w:hint="eastAsia" w:ascii="宋体" w:hAnsi="宋体" w:eastAsia="宋体" w:cs="宋体"/>
          <w:color w:val="auto"/>
          <w:sz w:val="24"/>
          <w:szCs w:val="24"/>
          <w:highlight w:val="none"/>
        </w:rPr>
        <w:t>4.3.1在投标截止时间前，投标人可以</w:t>
      </w:r>
      <w:r>
        <w:rPr>
          <w:rFonts w:hint="eastAsia" w:ascii="宋体" w:hAnsi="宋体" w:eastAsia="宋体" w:cs="宋体"/>
          <w:color w:val="auto"/>
          <w:sz w:val="24"/>
          <w:szCs w:val="24"/>
          <w:highlight w:val="none"/>
          <w:lang w:val="en-US" w:eastAsia="zh-CN"/>
        </w:rPr>
        <w:t>修改与</w:t>
      </w:r>
      <w:r>
        <w:rPr>
          <w:rFonts w:hint="eastAsia" w:ascii="宋体" w:hAnsi="宋体" w:eastAsia="宋体" w:cs="宋体"/>
          <w:color w:val="auto"/>
          <w:sz w:val="24"/>
          <w:szCs w:val="24"/>
          <w:highlight w:val="none"/>
        </w:rPr>
        <w:t>撤回在网上已递交的投标文件。</w:t>
      </w:r>
    </w:p>
    <w:p w14:paraId="54A6B03A">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4.3.2修改的投标文件应按照规定进行</w:t>
      </w:r>
      <w:r>
        <w:rPr>
          <w:rFonts w:hint="eastAsia" w:ascii="宋体" w:hAnsi="宋体" w:eastAsia="宋体" w:cs="宋体"/>
          <w:color w:val="auto"/>
          <w:sz w:val="24"/>
          <w:szCs w:val="24"/>
          <w:highlight w:val="none"/>
          <w:lang w:val="en-US" w:eastAsia="zh-CN"/>
        </w:rPr>
        <w:t>撤回、修改和重新递交</w:t>
      </w:r>
      <w:r>
        <w:rPr>
          <w:rFonts w:hint="eastAsia" w:ascii="宋体" w:hAnsi="宋体" w:eastAsia="宋体" w:cs="宋体"/>
          <w:color w:val="auto"/>
          <w:sz w:val="24"/>
          <w:szCs w:val="24"/>
          <w:highlight w:val="none"/>
        </w:rPr>
        <w:t>。</w:t>
      </w:r>
    </w:p>
    <w:p w14:paraId="395EE574">
      <w:pPr>
        <w:pStyle w:val="3"/>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rPr>
      </w:pPr>
      <w:bookmarkStart w:id="166" w:name="_Toc17306"/>
      <w:bookmarkStart w:id="167" w:name="_Toc2249"/>
      <w:r>
        <w:rPr>
          <w:rFonts w:hint="eastAsia" w:ascii="宋体" w:hAnsi="宋体" w:eastAsia="宋体" w:cs="宋体"/>
          <w:color w:val="auto"/>
          <w:sz w:val="24"/>
          <w:szCs w:val="24"/>
          <w:highlight w:val="none"/>
        </w:rPr>
        <w:t>5. 开标</w:t>
      </w:r>
      <w:bookmarkEnd w:id="165"/>
      <w:bookmarkEnd w:id="166"/>
      <w:bookmarkEnd w:id="167"/>
    </w:p>
    <w:p w14:paraId="24EAA60D">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68" w:name="_Toc1527"/>
      <w:bookmarkEnd w:id="168"/>
      <w:bookmarkStart w:id="169" w:name="_Toc9143"/>
      <w:r>
        <w:rPr>
          <w:rFonts w:hint="eastAsia" w:ascii="宋体" w:hAnsi="宋体" w:eastAsia="宋体" w:cs="宋体"/>
          <w:b/>
          <w:color w:val="auto"/>
          <w:sz w:val="24"/>
          <w:szCs w:val="24"/>
          <w:highlight w:val="none"/>
        </w:rPr>
        <w:t>5.1 开标时间和地点</w:t>
      </w:r>
      <w:bookmarkEnd w:id="169"/>
    </w:p>
    <w:p w14:paraId="50DE1CD2">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在本章第4.2.1款规定的投标截止时间(开标时间)和投标人须知前附表规定的地点公开开标。</w:t>
      </w:r>
    </w:p>
    <w:p w14:paraId="27EFD238">
      <w:pPr>
        <w:pageBreakBefore w:val="0"/>
        <w:kinsoku/>
        <w:wordWrap w:val="0"/>
        <w:overflowPunct/>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5.2</w:t>
      </w:r>
      <w:r>
        <w:rPr>
          <w:rFonts w:hint="eastAsia" w:ascii="宋体" w:hAnsi="宋体" w:eastAsia="宋体" w:cs="宋体"/>
          <w:b/>
          <w:bCs/>
          <w:color w:val="auto"/>
          <w:sz w:val="24"/>
          <w:szCs w:val="24"/>
          <w:highlight w:val="none"/>
        </w:rPr>
        <w:t>投标截止后投标人不足3家的，不得开标。</w:t>
      </w:r>
    </w:p>
    <w:p w14:paraId="072B5B75">
      <w:pPr>
        <w:pageBreakBefore w:val="0"/>
        <w:kinsoku/>
        <w:wordWrap w:val="0"/>
        <w:overflowPunct/>
        <w:bidi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5.3 开标程序</w:t>
      </w:r>
    </w:p>
    <w:bookmarkEnd w:id="164"/>
    <w:p w14:paraId="7A8B1D4A">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bookmarkStart w:id="170" w:name="_Toc30133"/>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须知前附表”规定的时间及地点对收到的</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文件公开开启，</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应准时登录“政府采购云平台”（https://www.zcygov.cn/)完成远程解密。</w:t>
      </w:r>
    </w:p>
    <w:p w14:paraId="046381D9">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若未准时参加</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文件开启的，视为放弃</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，由此引起的一切责任均由</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自行负责。</w:t>
      </w:r>
    </w:p>
    <w:p w14:paraId="7AD79C1B">
      <w:pPr>
        <w:pageBreakBefore w:val="0"/>
        <w:kinsoku/>
        <w:wordWrap w:val="0"/>
        <w:overflowPunct/>
        <w:bidi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5.4 开标异议</w:t>
      </w:r>
    </w:p>
    <w:p w14:paraId="5E6A0CA9">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详见投标人须知前附表，</w:t>
      </w:r>
      <w:r>
        <w:rPr>
          <w:rFonts w:hint="eastAsia" w:ascii="宋体" w:hAnsi="宋体" w:eastAsia="宋体" w:cs="宋体"/>
          <w:color w:val="auto"/>
          <w:sz w:val="24"/>
          <w:szCs w:val="24"/>
          <w:highlight w:val="none"/>
        </w:rPr>
        <w:t>开标过程中如有问题，可以在线</w:t>
      </w:r>
      <w:r>
        <w:rPr>
          <w:rFonts w:hint="eastAsia" w:ascii="宋体" w:hAnsi="宋体" w:eastAsia="宋体" w:cs="宋体"/>
          <w:color w:val="auto"/>
          <w:sz w:val="24"/>
          <w:szCs w:val="24"/>
          <w:highlight w:val="none"/>
          <w:lang w:val="en-US" w:eastAsia="zh-CN"/>
        </w:rPr>
        <w:t>或现场</w:t>
      </w:r>
      <w:r>
        <w:rPr>
          <w:rFonts w:hint="eastAsia" w:ascii="宋体" w:hAnsi="宋体" w:eastAsia="宋体" w:cs="宋体"/>
          <w:color w:val="auto"/>
          <w:sz w:val="24"/>
          <w:szCs w:val="24"/>
          <w:highlight w:val="none"/>
        </w:rPr>
        <w:t>提出异议，由代理机构给予回复。在规定的异议询问时间内未提出异议的，则视为对开标结果无异议。</w:t>
      </w:r>
    </w:p>
    <w:p w14:paraId="37E46C0B">
      <w:pPr>
        <w:pStyle w:val="3"/>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rPr>
      </w:pPr>
      <w:bookmarkStart w:id="171" w:name="_Toc26693"/>
      <w:r>
        <w:rPr>
          <w:rFonts w:hint="eastAsia" w:ascii="宋体" w:hAnsi="宋体" w:eastAsia="宋体" w:cs="宋体"/>
          <w:color w:val="auto"/>
          <w:sz w:val="24"/>
          <w:szCs w:val="24"/>
          <w:highlight w:val="none"/>
        </w:rPr>
        <w:t>6. 资格审查</w:t>
      </w:r>
      <w:bookmarkEnd w:id="170"/>
      <w:bookmarkEnd w:id="171"/>
    </w:p>
    <w:p w14:paraId="5DBC0A1B">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公开招标采购项目开标结束后，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或者</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应当依法对投标人的资格进行审查。</w:t>
      </w:r>
    </w:p>
    <w:p w14:paraId="2ED4D4B7">
      <w:pPr>
        <w:pageBreakBefore w:val="0"/>
        <w:kinsoku/>
        <w:wordWrap w:val="0"/>
        <w:overflowPunct/>
        <w:bidi w:val="0"/>
        <w:spacing w:line="360" w:lineRule="auto"/>
        <w:ind w:firstLine="542" w:firstLineChars="22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合格投标人不足3家的，不得评标。</w:t>
      </w:r>
    </w:p>
    <w:p w14:paraId="1EDDCF6A">
      <w:pPr>
        <w:pStyle w:val="3"/>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rPr>
      </w:pPr>
      <w:bookmarkStart w:id="172" w:name="_Toc11518"/>
      <w:bookmarkEnd w:id="172"/>
      <w:bookmarkStart w:id="173" w:name="_Toc25563"/>
      <w:bookmarkEnd w:id="173"/>
      <w:bookmarkStart w:id="174" w:name="_Toc29087"/>
      <w:bookmarkStart w:id="175" w:name="_Toc13999"/>
      <w:r>
        <w:rPr>
          <w:rFonts w:hint="eastAsia" w:ascii="宋体" w:hAnsi="宋体" w:eastAsia="宋体" w:cs="宋体"/>
          <w:color w:val="auto"/>
          <w:sz w:val="24"/>
          <w:szCs w:val="24"/>
          <w:highlight w:val="none"/>
        </w:rPr>
        <w:t>7. 评标</w:t>
      </w:r>
      <w:bookmarkEnd w:id="174"/>
      <w:bookmarkEnd w:id="175"/>
    </w:p>
    <w:p w14:paraId="3BC027F9">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76" w:name="_Toc11207"/>
      <w:bookmarkEnd w:id="176"/>
      <w:bookmarkStart w:id="177" w:name="_Toc4770"/>
      <w:r>
        <w:rPr>
          <w:rFonts w:hint="eastAsia" w:ascii="宋体" w:hAnsi="宋体" w:eastAsia="宋体" w:cs="宋体"/>
          <w:b/>
          <w:color w:val="auto"/>
          <w:sz w:val="24"/>
          <w:szCs w:val="24"/>
          <w:highlight w:val="none"/>
        </w:rPr>
        <w:t>7.1 评标委员会</w:t>
      </w:r>
      <w:bookmarkEnd w:id="177"/>
    </w:p>
    <w:p w14:paraId="0531D9D0">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 评标由</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依法组建的评标委员会负责。评标委员会由</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代表以及有关技术、经济等方面的专家组成。评标委员会成员人数以及技术、经济等方面专家的确定方式见投标人须知前附表。</w:t>
      </w:r>
    </w:p>
    <w:p w14:paraId="05E927CC">
      <w:pPr>
        <w:pageBreakBefore w:val="0"/>
        <w:kinsoku/>
        <w:wordWrap w:val="0"/>
        <w:overflowPunct/>
        <w:bidi w:val="0"/>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7.1.2 评标中因评标委员会成员缺席、回避或者健康等特殊原因导致评标委员会组成不符合《政府采购货物和服务招标投标管理办法》(财政部令第87号)规定的，</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或者</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应当依法补足后继续评标。被更换的评标委员会成员所作出的评标意见无效。无法及时补足评标委员会成员的，</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或者</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应当停止评标活动，封存所有投标文件和开标、评标资料，依法重新组建评标委员会进行评标。原评标委员会所作出的评标意见无效。</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或者</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应当将变更、重新组建评标委员会的情况予以记录，并随招标文件一并存档。</w:t>
      </w:r>
    </w:p>
    <w:p w14:paraId="5240C1EA">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78" w:name="_Toc28237"/>
      <w:bookmarkEnd w:id="178"/>
      <w:bookmarkStart w:id="179" w:name="_Toc6336"/>
      <w:r>
        <w:rPr>
          <w:rFonts w:hint="eastAsia" w:ascii="宋体" w:hAnsi="宋体" w:eastAsia="宋体" w:cs="宋体"/>
          <w:b/>
          <w:color w:val="auto"/>
          <w:sz w:val="24"/>
          <w:szCs w:val="24"/>
          <w:highlight w:val="none"/>
        </w:rPr>
        <w:t>7.2 评标原则</w:t>
      </w:r>
      <w:bookmarkEnd w:id="179"/>
    </w:p>
    <w:p w14:paraId="2435D36A">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评标活动遵循公平、公正、科学和择优的原则。</w:t>
      </w:r>
    </w:p>
    <w:p w14:paraId="66D931E7">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80" w:name="_Toc10442"/>
      <w:bookmarkEnd w:id="180"/>
      <w:bookmarkStart w:id="181" w:name="_Toc5282"/>
      <w:r>
        <w:rPr>
          <w:rFonts w:hint="eastAsia" w:ascii="宋体" w:hAnsi="宋体" w:eastAsia="宋体" w:cs="宋体"/>
          <w:b/>
          <w:color w:val="auto"/>
          <w:sz w:val="24"/>
          <w:szCs w:val="24"/>
          <w:highlight w:val="none"/>
        </w:rPr>
        <w:t>7.3 评标</w:t>
      </w:r>
      <w:bookmarkEnd w:id="181"/>
    </w:p>
    <w:p w14:paraId="55463E57">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 评标委员会按照第四章“评标办法”规定的方法、评审因素、标准和程序对投标文件进行评审。第四章“评标办法”没有规定的方法、评审因素和标准，不作为评标依据。</w:t>
      </w:r>
    </w:p>
    <w:p w14:paraId="7B7C7483">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 评标完成后，评标委员会应当向</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提交书面评标报告和中标候选人名单。评标委员会推荐中标候选人的人数见投标人须知前附表。</w:t>
      </w:r>
    </w:p>
    <w:p w14:paraId="058D6EBB">
      <w:pPr>
        <w:pStyle w:val="3"/>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rPr>
      </w:pPr>
      <w:bookmarkStart w:id="182" w:name="_Toc30483"/>
      <w:bookmarkEnd w:id="182"/>
      <w:bookmarkStart w:id="183" w:name="_Toc6003"/>
      <w:bookmarkEnd w:id="183"/>
      <w:bookmarkStart w:id="184" w:name="_Toc6561"/>
      <w:bookmarkStart w:id="185" w:name="_Toc22840"/>
      <w:r>
        <w:rPr>
          <w:rFonts w:hint="eastAsia" w:ascii="宋体" w:hAnsi="宋体" w:eastAsia="宋体" w:cs="宋体"/>
          <w:color w:val="auto"/>
          <w:sz w:val="24"/>
          <w:szCs w:val="24"/>
          <w:highlight w:val="none"/>
        </w:rPr>
        <w:t>8. 中标和合同</w:t>
      </w:r>
      <w:bookmarkEnd w:id="184"/>
      <w:bookmarkEnd w:id="185"/>
    </w:p>
    <w:p w14:paraId="21BBC029">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86" w:name="_Toc18219"/>
      <w:bookmarkEnd w:id="186"/>
      <w:bookmarkStart w:id="187" w:name="_Toc31217"/>
      <w:r>
        <w:rPr>
          <w:rFonts w:hint="eastAsia" w:ascii="宋体" w:hAnsi="宋体" w:eastAsia="宋体" w:cs="宋体"/>
          <w:b/>
          <w:color w:val="auto"/>
          <w:sz w:val="24"/>
          <w:szCs w:val="24"/>
          <w:highlight w:val="none"/>
        </w:rPr>
        <w:t>8.1 定标</w:t>
      </w:r>
      <w:bookmarkEnd w:id="187"/>
    </w:p>
    <w:p w14:paraId="22F602D8">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按照投标人须知前附表的规定，</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或</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授权的评标委员会依法确定中标人。</w:t>
      </w:r>
    </w:p>
    <w:p w14:paraId="35832B41">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88" w:name="_Toc18811"/>
      <w:bookmarkEnd w:id="188"/>
      <w:bookmarkStart w:id="189" w:name="_Toc18115"/>
      <w:r>
        <w:rPr>
          <w:rFonts w:hint="eastAsia" w:ascii="宋体" w:hAnsi="宋体" w:eastAsia="宋体" w:cs="宋体"/>
          <w:b/>
          <w:color w:val="auto"/>
          <w:sz w:val="24"/>
          <w:szCs w:val="24"/>
          <w:highlight w:val="none"/>
        </w:rPr>
        <w:t>8.2中标公告</w:t>
      </w:r>
      <w:bookmarkEnd w:id="189"/>
    </w:p>
    <w:p w14:paraId="6B92051F">
      <w:pPr>
        <w:pageBreakBefore w:val="0"/>
        <w:widowControl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或者</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应当自中标人确定之日起2个工作日内，按照投标人须知前附表规定的媒介和期限公告中标结果，招标文件应当随中标结果同时公告。</w:t>
      </w:r>
    </w:p>
    <w:p w14:paraId="04B231C6">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中标公告期限详见投标人须知前附表。</w:t>
      </w:r>
    </w:p>
    <w:p w14:paraId="3BF2B585">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90" w:name="_Toc8411"/>
      <w:bookmarkEnd w:id="190"/>
      <w:bookmarkStart w:id="191" w:name="_Toc16495"/>
      <w:bookmarkEnd w:id="191"/>
      <w:bookmarkStart w:id="192" w:name="_Toc3833"/>
      <w:r>
        <w:rPr>
          <w:rFonts w:hint="eastAsia" w:ascii="宋体" w:hAnsi="宋体" w:eastAsia="宋体" w:cs="宋体"/>
          <w:b/>
          <w:color w:val="auto"/>
          <w:sz w:val="24"/>
          <w:szCs w:val="24"/>
          <w:highlight w:val="none"/>
        </w:rPr>
        <w:t>8.3中标通知</w:t>
      </w:r>
      <w:bookmarkEnd w:id="192"/>
    </w:p>
    <w:p w14:paraId="084A334E">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在本章第3.3 款规定的投标有效期内，在公告中标结果的同时，</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或者</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应当向中标人发出中标通知书。</w:t>
      </w:r>
    </w:p>
    <w:p w14:paraId="46BF9FD1">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93" w:name="_Toc13042"/>
      <w:bookmarkEnd w:id="193"/>
      <w:bookmarkStart w:id="194" w:name="_Toc7193"/>
      <w:r>
        <w:rPr>
          <w:rFonts w:hint="eastAsia" w:ascii="宋体" w:hAnsi="宋体" w:eastAsia="宋体" w:cs="宋体"/>
          <w:b/>
          <w:color w:val="auto"/>
          <w:sz w:val="24"/>
          <w:szCs w:val="24"/>
          <w:highlight w:val="none"/>
        </w:rPr>
        <w:t>8.4 履约保证金</w:t>
      </w:r>
      <w:bookmarkEnd w:id="194"/>
    </w:p>
    <w:p w14:paraId="7F716F6D">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8.4.1中标人应按投标人须知前附表规定的形式、金额向</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提交履约保证金。联合体中标的，其履约保证金以联合体各方或者联合体中牵头人的名义提交。</w:t>
      </w:r>
    </w:p>
    <w:p w14:paraId="1CB59FB9">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8.4.2 中标人不能按本章第8.4.1项要求提交履约保证金的，视为放弃中标，其投标保证金不予退还，给</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造成的损失超过投标保证金数额的，中标人还应当对超过部分予以赔偿。</w:t>
      </w:r>
    </w:p>
    <w:p w14:paraId="5687C503">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195" w:name="_Toc6413"/>
      <w:bookmarkEnd w:id="195"/>
      <w:bookmarkStart w:id="196" w:name="_Toc18519"/>
      <w:r>
        <w:rPr>
          <w:rFonts w:hint="eastAsia" w:ascii="宋体" w:hAnsi="宋体" w:eastAsia="宋体" w:cs="宋体"/>
          <w:b/>
          <w:color w:val="auto"/>
          <w:sz w:val="24"/>
          <w:szCs w:val="24"/>
          <w:highlight w:val="none"/>
        </w:rPr>
        <w:t>8.5 签订合同</w:t>
      </w:r>
      <w:bookmarkEnd w:id="196"/>
    </w:p>
    <w:p w14:paraId="2971C6FF">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8.5.1 </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不得向中标人提出任何不合理的要求作为签订合同的条件。</w:t>
      </w:r>
    </w:p>
    <w:p w14:paraId="54B91614">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8.5.2 中标通知书发出后，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不得违法改变中标结果，中标人无正当理由不得放弃中标。</w:t>
      </w:r>
    </w:p>
    <w:p w14:paraId="4C0517BF">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8.5.3联合体中标的，联合体各方应当共同与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签订合同，就中标项目向</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承担连带责任。</w:t>
      </w:r>
    </w:p>
    <w:p w14:paraId="61A006D7">
      <w:pPr>
        <w:pStyle w:val="3"/>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lang w:val="en-US" w:eastAsia="zh-CN"/>
        </w:rPr>
      </w:pPr>
      <w:bookmarkStart w:id="197" w:name="_Toc15335"/>
      <w:r>
        <w:rPr>
          <w:rFonts w:hint="eastAsia" w:ascii="宋体" w:hAnsi="宋体" w:eastAsia="宋体" w:cs="宋体"/>
          <w:color w:val="auto"/>
          <w:sz w:val="24"/>
          <w:szCs w:val="24"/>
          <w:highlight w:val="none"/>
        </w:rPr>
        <w:t xml:space="preserve">9. </w:t>
      </w:r>
      <w:r>
        <w:rPr>
          <w:rFonts w:hint="eastAsia" w:ascii="宋体" w:hAnsi="宋体" w:eastAsia="宋体" w:cs="宋体"/>
          <w:color w:val="auto"/>
          <w:sz w:val="24"/>
          <w:szCs w:val="24"/>
          <w:highlight w:val="none"/>
          <w:lang w:val="en-US" w:eastAsia="zh-CN"/>
        </w:rPr>
        <w:t>重新招标与不再招标</w:t>
      </w:r>
      <w:bookmarkEnd w:id="197"/>
    </w:p>
    <w:p w14:paraId="30B23F73">
      <w:pPr>
        <w:pStyle w:val="3"/>
        <w:pageBreakBefore w:val="0"/>
        <w:kinsoku/>
        <w:wordWrap w:val="0"/>
        <w:overflowPunct/>
        <w:bidi w:val="0"/>
        <w:spacing w:before="0" w:after="0" w:line="360" w:lineRule="auto"/>
        <w:ind w:firstLine="482" w:firstLineChars="200"/>
        <w:jc w:val="left"/>
        <w:rPr>
          <w:rFonts w:hint="eastAsia" w:ascii="宋体" w:hAnsi="宋体" w:eastAsia="宋体" w:cs="宋体"/>
          <w:color w:val="auto"/>
          <w:kern w:val="0"/>
          <w:sz w:val="24"/>
          <w:szCs w:val="24"/>
          <w:highlight w:val="none"/>
          <w:lang w:val="en-US" w:eastAsia="zh-CN"/>
        </w:rPr>
      </w:pPr>
      <w:bookmarkStart w:id="198" w:name="_Toc20692"/>
      <w:bookmarkEnd w:id="198"/>
      <w:bookmarkStart w:id="199" w:name="_Toc11854"/>
      <w:bookmarkEnd w:id="199"/>
      <w:bookmarkStart w:id="200" w:name="_Toc32350"/>
      <w:bookmarkStart w:id="201" w:name="_Toc12067"/>
      <w:bookmarkStart w:id="202" w:name="_Toc4788"/>
      <w:bookmarkStart w:id="203" w:name="_Toc4207"/>
      <w:bookmarkStart w:id="204" w:name="_Toc26502"/>
      <w:bookmarkStart w:id="205" w:name="_Toc18571"/>
      <w:bookmarkStart w:id="206" w:name="_Toc20594"/>
      <w:r>
        <w:rPr>
          <w:rFonts w:hint="eastAsia" w:ascii="宋体" w:hAnsi="宋体" w:eastAsia="宋体" w:cs="宋体"/>
          <w:color w:val="auto"/>
          <w:kern w:val="0"/>
          <w:sz w:val="24"/>
          <w:szCs w:val="24"/>
          <w:highlight w:val="none"/>
          <w:lang w:val="en-US" w:eastAsia="zh-CN"/>
        </w:rPr>
        <w:t>公开招标数额标准以上的采购项目，投标截止后投标人不足3家或者通过资格审查或符合性审查的投标人不足3家的，除采购任务取消情形外，按照以下方式处理：</w:t>
      </w:r>
      <w:bookmarkEnd w:id="200"/>
      <w:bookmarkEnd w:id="201"/>
      <w:bookmarkEnd w:id="202"/>
      <w:bookmarkEnd w:id="203"/>
      <w:bookmarkEnd w:id="204"/>
      <w:bookmarkEnd w:id="205"/>
    </w:p>
    <w:p w14:paraId="75B17259">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（1）招标文件存在不合理条款或者招标程序不符合规定的，</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lang w:val="en-US" w:eastAsia="zh-CN"/>
        </w:rPr>
        <w:t>改正后依法重新招标；</w:t>
      </w:r>
    </w:p>
    <w:p w14:paraId="243A6AC7">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（2）招标文件没有不合理条款、招标程序符合规定，需要采用其他采购方式采购的，</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应该依法报财政部门批准。</w:t>
      </w:r>
    </w:p>
    <w:p w14:paraId="0C8E03BE">
      <w:pPr>
        <w:pStyle w:val="3"/>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lang w:val="en-US" w:eastAsia="zh-CN"/>
        </w:rPr>
      </w:pPr>
      <w:bookmarkStart w:id="207" w:name="_Toc14495"/>
      <w:r>
        <w:rPr>
          <w:rFonts w:hint="eastAsia" w:ascii="宋体" w:hAnsi="宋体" w:eastAsia="宋体" w:cs="宋体"/>
          <w:color w:val="auto"/>
          <w:sz w:val="24"/>
          <w:szCs w:val="24"/>
          <w:highlight w:val="none"/>
        </w:rPr>
        <w:t>10. 质疑</w:t>
      </w:r>
      <w:r>
        <w:rPr>
          <w:rFonts w:hint="eastAsia" w:ascii="宋体" w:hAnsi="宋体" w:eastAsia="宋体" w:cs="宋体"/>
          <w:color w:val="auto"/>
          <w:sz w:val="24"/>
          <w:szCs w:val="24"/>
          <w:highlight w:val="none"/>
          <w:lang w:val="en-US" w:eastAsia="zh-CN"/>
        </w:rPr>
        <w:t>和投诉</w:t>
      </w:r>
      <w:bookmarkEnd w:id="207"/>
    </w:p>
    <w:p w14:paraId="4C08AA42">
      <w:pPr>
        <w:pageBreakBefore w:val="0"/>
        <w:kinsoku/>
        <w:wordWrap w:val="0"/>
        <w:overflowPunct/>
        <w:bidi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10.1质疑</w:t>
      </w:r>
    </w:p>
    <w:p w14:paraId="02F84AB3">
      <w:pPr>
        <w:pageBreakBefore w:val="0"/>
        <w:kinsoku/>
        <w:wordWrap w:val="0"/>
        <w:overflowPunct/>
        <w:bidi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10.1.1质疑</w:t>
      </w:r>
      <w:r>
        <w:rPr>
          <w:rFonts w:hint="eastAsia" w:ascii="宋体" w:hAnsi="宋体" w:eastAsia="宋体" w:cs="宋体"/>
          <w:b/>
          <w:color w:val="auto"/>
          <w:sz w:val="24"/>
          <w:szCs w:val="24"/>
          <w:highlight w:val="none"/>
        </w:rPr>
        <w:t>接收</w:t>
      </w:r>
    </w:p>
    <w:p w14:paraId="187861B0">
      <w:pPr>
        <w:pageBreakBefore w:val="0"/>
        <w:widowControl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投标人认为招标文件、招标过程和中标结果使自己的权益受到损害的，可以根据《中华人民共和国政府采购法》、《中华人民共和国政府采购法实施条例》和《政府采购质疑和投诉办法》的有关规定，依法向</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或其委托的</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提出质疑。</w:t>
      </w:r>
    </w:p>
    <w:p w14:paraId="1E4793F1">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 质疑投标人应按照财政部制定的《政府采购质疑函范本》格式和《政府采购质疑和投诉办法》的要求，在法定质疑期内书面形式提出质疑，针对同一采购程序环节的质疑应一次性提出。</w:t>
      </w:r>
    </w:p>
    <w:p w14:paraId="279F8EF2">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质疑函（如材料中有外文资料应同时附上中文译本）应当包括以下主要内容：</w:t>
      </w:r>
    </w:p>
    <w:p w14:paraId="13C51768">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的姓名或者名称、地址、邮编、联系人及联系电话；</w:t>
      </w:r>
    </w:p>
    <w:p w14:paraId="063CFE83">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5D73BCBE">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07C73FFB">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749CD45F">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3D2F2614">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（6）提出的质疑日期。</w:t>
      </w:r>
    </w:p>
    <w:p w14:paraId="5F5FB8EC">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为自然人的，应当由本人签字；投标人为法人或者其他组织的，</w:t>
      </w:r>
      <w:r>
        <w:rPr>
          <w:rFonts w:hint="eastAsia" w:ascii="宋体" w:hAnsi="宋体" w:eastAsia="宋体" w:cs="宋体"/>
          <w:color w:val="auto"/>
          <w:sz w:val="24"/>
          <w:szCs w:val="24"/>
          <w:highlight w:val="none"/>
        </w:rPr>
        <w:t>应当由其法定代表人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主要负责人，</w:t>
      </w:r>
      <w:r>
        <w:rPr>
          <w:rFonts w:hint="eastAsia" w:ascii="宋体" w:hAnsi="宋体" w:eastAsia="宋体" w:cs="宋体"/>
          <w:color w:val="auto"/>
          <w:sz w:val="24"/>
          <w:szCs w:val="24"/>
          <w:highlight w:val="none"/>
        </w:rPr>
        <w:t>或者授权代表签字或盖章，并加盖公章。</w:t>
      </w:r>
    </w:p>
    <w:p w14:paraId="2D5B4B13">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投标人在法定质疑期内一次性提出针对同一采购程序环节的质疑。</w:t>
      </w:r>
    </w:p>
    <w:p w14:paraId="51AC609E">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超出法定质疑期的、重复提出的、分次提出的或内容、形式不符合《政府采购质疑和投诉办法》的，质疑投标人将依法承担不利后果。</w:t>
      </w:r>
    </w:p>
    <w:p w14:paraId="4B589598">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3接收质疑函的方式：质疑函采取现场书面递交形式。由法定代表人持本人身份证原件或授权委托代理人持本人身份证原件及授权委托书原件，同时携带质疑函(原件)和加盖单位公章的相关依据和证明材料，送至</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w:t>
      </w:r>
    </w:p>
    <w:p w14:paraId="4C94D534">
      <w:pPr>
        <w:pStyle w:val="13"/>
        <w:pageBreakBefore w:val="0"/>
        <w:kinsoku/>
        <w:wordWrap w:val="0"/>
        <w:overflowPunct/>
        <w:bidi w:val="0"/>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10.1.</w:t>
      </w:r>
      <w:r>
        <w:rPr>
          <w:rFonts w:hint="eastAsia" w:ascii="宋体" w:hAnsi="宋体" w:eastAsia="宋体" w:cs="宋体"/>
          <w:b/>
          <w:color w:val="auto"/>
          <w:kern w:val="0"/>
          <w:sz w:val="24"/>
          <w:szCs w:val="24"/>
          <w:highlight w:val="none"/>
          <w:lang w:val="en-US" w:eastAsia="zh-CN"/>
        </w:rPr>
        <w:t>1.</w:t>
      </w:r>
      <w:r>
        <w:rPr>
          <w:rFonts w:hint="eastAsia" w:ascii="宋体" w:hAnsi="宋体" w:eastAsia="宋体" w:cs="宋体"/>
          <w:b/>
          <w:color w:val="auto"/>
          <w:kern w:val="0"/>
          <w:sz w:val="24"/>
          <w:szCs w:val="24"/>
          <w:highlight w:val="none"/>
        </w:rPr>
        <w:t>4不按上述要求提出的，</w:t>
      </w:r>
      <w:r>
        <w:rPr>
          <w:rFonts w:hint="eastAsia" w:ascii="宋体" w:hAnsi="宋体" w:cs="宋体"/>
          <w:b/>
          <w:color w:val="auto"/>
          <w:kern w:val="0"/>
          <w:sz w:val="24"/>
          <w:szCs w:val="24"/>
          <w:highlight w:val="none"/>
          <w:lang w:eastAsia="zh-CN"/>
        </w:rPr>
        <w:t>采购人</w:t>
      </w:r>
      <w:r>
        <w:rPr>
          <w:rFonts w:hint="eastAsia" w:ascii="宋体" w:hAnsi="宋体" w:eastAsia="宋体" w:cs="宋体"/>
          <w:b/>
          <w:color w:val="auto"/>
          <w:kern w:val="0"/>
          <w:sz w:val="24"/>
          <w:szCs w:val="24"/>
          <w:highlight w:val="none"/>
        </w:rPr>
        <w:t>和</w:t>
      </w:r>
      <w:r>
        <w:rPr>
          <w:rFonts w:hint="eastAsia" w:ascii="宋体" w:hAnsi="宋体" w:cs="宋体"/>
          <w:b/>
          <w:color w:val="auto"/>
          <w:kern w:val="0"/>
          <w:sz w:val="24"/>
          <w:szCs w:val="24"/>
          <w:highlight w:val="none"/>
          <w:lang w:eastAsia="zh-CN"/>
        </w:rPr>
        <w:t>采购代理机构</w:t>
      </w:r>
      <w:r>
        <w:rPr>
          <w:rFonts w:hint="eastAsia" w:ascii="宋体" w:hAnsi="宋体" w:eastAsia="宋体" w:cs="宋体"/>
          <w:b/>
          <w:color w:val="auto"/>
          <w:kern w:val="0"/>
          <w:sz w:val="24"/>
          <w:szCs w:val="24"/>
          <w:highlight w:val="none"/>
        </w:rPr>
        <w:t>将不予受理。</w:t>
      </w:r>
    </w:p>
    <w:p w14:paraId="64089D01">
      <w:pPr>
        <w:pageBreakBefore w:val="0"/>
        <w:kinsoku/>
        <w:wordWrap w:val="0"/>
        <w:overflowPunct/>
        <w:bidi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2质疑回复</w:t>
      </w:r>
    </w:p>
    <w:p w14:paraId="5850CC2D">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或者</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应在收到质疑函后7个工作日内作出答复，并以书面形式通知质疑投标人和其他有关投标人，质疑答复的内容不得涉及商业秘密。</w:t>
      </w:r>
    </w:p>
    <w:p w14:paraId="41C9DDCE">
      <w:pPr>
        <w:pStyle w:val="13"/>
        <w:pageBreakBefore w:val="0"/>
        <w:kinsoku/>
        <w:wordWrap w:val="0"/>
        <w:overflowPunct/>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lang w:val="en-US" w:eastAsia="zh-CN"/>
        </w:rPr>
        <w:t>认为投标人质疑不成立，或成立但未对中标、成交结果构成影响的，将继续开展采购活动；认为投标人质疑成立且影响或者可能影响中标，成交结果的，按照《政府采购质疑和投诉办法》第十六条处理，质疑答复导致中标、成交结果改变的，</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或</w:t>
      </w:r>
      <w:r>
        <w:rPr>
          <w:rFonts w:hint="eastAsia" w:ascii="宋体" w:hAnsi="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lang w:val="en-US" w:eastAsia="zh-CN"/>
        </w:rPr>
        <w:t>应将相关情况报告本级财政部门。</w:t>
      </w:r>
    </w:p>
    <w:p w14:paraId="62EA90B4">
      <w:pPr>
        <w:pageBreakBefore w:val="0"/>
        <w:kinsoku/>
        <w:wordWrap w:val="0"/>
        <w:overflowPunct/>
        <w:bidi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10.2投诉</w:t>
      </w:r>
    </w:p>
    <w:p w14:paraId="5C0E7159">
      <w:pPr>
        <w:pStyle w:val="13"/>
        <w:pageBreakBefore w:val="0"/>
        <w:kinsoku/>
        <w:wordWrap w:val="0"/>
        <w:overflowPunct/>
        <w:bidi w:val="0"/>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val="en-US" w:eastAsia="zh-CN"/>
        </w:rPr>
        <w:t>投诉必须首先经过质疑程序。质疑人对</w:t>
      </w:r>
      <w:r>
        <w:rPr>
          <w:rFonts w:hint="eastAsia" w:ascii="宋体" w:hAnsi="宋体" w:cs="宋体"/>
          <w:b w:val="0"/>
          <w:bCs/>
          <w:color w:val="auto"/>
          <w:sz w:val="24"/>
          <w:szCs w:val="24"/>
          <w:highlight w:val="none"/>
          <w:lang w:val="en-US" w:eastAsia="zh-CN"/>
        </w:rPr>
        <w:t>采购人</w:t>
      </w:r>
      <w:r>
        <w:rPr>
          <w:rFonts w:hint="eastAsia" w:ascii="宋体" w:hAnsi="宋体" w:eastAsia="宋体" w:cs="宋体"/>
          <w:b w:val="0"/>
          <w:bCs/>
          <w:color w:val="auto"/>
          <w:sz w:val="24"/>
          <w:szCs w:val="24"/>
          <w:highlight w:val="none"/>
          <w:lang w:val="en-US" w:eastAsia="zh-CN"/>
        </w:rPr>
        <w:t>、</w:t>
      </w:r>
      <w:r>
        <w:rPr>
          <w:rFonts w:hint="eastAsia" w:ascii="宋体" w:hAnsi="宋体" w:cs="宋体"/>
          <w:b w:val="0"/>
          <w:bCs/>
          <w:color w:val="auto"/>
          <w:sz w:val="24"/>
          <w:szCs w:val="24"/>
          <w:highlight w:val="none"/>
          <w:lang w:val="en-US" w:eastAsia="zh-CN"/>
        </w:rPr>
        <w:t>采购代理机构</w:t>
      </w:r>
      <w:r>
        <w:rPr>
          <w:rFonts w:hint="eastAsia" w:ascii="宋体" w:hAnsi="宋体" w:eastAsia="宋体" w:cs="宋体"/>
          <w:b w:val="0"/>
          <w:bCs/>
          <w:color w:val="auto"/>
          <w:sz w:val="24"/>
          <w:szCs w:val="24"/>
          <w:highlight w:val="none"/>
          <w:lang w:val="en-US" w:eastAsia="zh-CN"/>
        </w:rPr>
        <w:t>的答复不满意，或者</w:t>
      </w:r>
      <w:r>
        <w:rPr>
          <w:rFonts w:hint="eastAsia" w:ascii="宋体" w:hAnsi="宋体" w:cs="宋体"/>
          <w:b w:val="0"/>
          <w:bCs/>
          <w:color w:val="auto"/>
          <w:sz w:val="24"/>
          <w:szCs w:val="24"/>
          <w:highlight w:val="none"/>
          <w:lang w:val="en-US" w:eastAsia="zh-CN"/>
        </w:rPr>
        <w:t>采购人</w:t>
      </w:r>
      <w:r>
        <w:rPr>
          <w:rFonts w:hint="eastAsia" w:ascii="宋体" w:hAnsi="宋体" w:eastAsia="宋体" w:cs="宋体"/>
          <w:b w:val="0"/>
          <w:bCs/>
          <w:color w:val="auto"/>
          <w:sz w:val="24"/>
          <w:szCs w:val="24"/>
          <w:highlight w:val="none"/>
          <w:lang w:val="en-US" w:eastAsia="zh-CN"/>
        </w:rPr>
        <w:t>、</w:t>
      </w:r>
      <w:r>
        <w:rPr>
          <w:rFonts w:hint="eastAsia" w:ascii="宋体" w:hAnsi="宋体" w:cs="宋体"/>
          <w:b w:val="0"/>
          <w:bCs/>
          <w:color w:val="auto"/>
          <w:sz w:val="24"/>
          <w:szCs w:val="24"/>
          <w:highlight w:val="none"/>
          <w:lang w:val="en-US" w:eastAsia="zh-CN"/>
        </w:rPr>
        <w:t>采购代理机构</w:t>
      </w:r>
      <w:r>
        <w:rPr>
          <w:rFonts w:hint="eastAsia" w:ascii="宋体" w:hAnsi="宋体" w:eastAsia="宋体" w:cs="宋体"/>
          <w:b w:val="0"/>
          <w:bCs/>
          <w:color w:val="auto"/>
          <w:sz w:val="24"/>
          <w:szCs w:val="24"/>
          <w:highlight w:val="none"/>
          <w:lang w:val="en-US" w:eastAsia="zh-CN"/>
        </w:rPr>
        <w:t>未在规定的时间内作出答复的，可以在答复期满后15个工作日内书面向同级财政部门提出投诉。投标人投诉事项不得超出已质疑事项的范围，但基于质疑答复内容提出的投诉事项除外。</w:t>
      </w:r>
    </w:p>
    <w:p w14:paraId="2A2C361C">
      <w:pPr>
        <w:pStyle w:val="3"/>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rPr>
      </w:pPr>
      <w:bookmarkStart w:id="208" w:name="_Toc24150"/>
      <w:r>
        <w:rPr>
          <w:rFonts w:hint="eastAsia" w:ascii="宋体" w:hAnsi="宋体" w:eastAsia="宋体" w:cs="宋体"/>
          <w:color w:val="auto"/>
          <w:sz w:val="24"/>
          <w:szCs w:val="24"/>
          <w:highlight w:val="none"/>
        </w:rPr>
        <w:t>11. 纪律和监督</w:t>
      </w:r>
      <w:bookmarkEnd w:id="206"/>
      <w:bookmarkEnd w:id="208"/>
    </w:p>
    <w:p w14:paraId="1E9D408C">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209" w:name="_Toc453"/>
      <w:bookmarkEnd w:id="209"/>
      <w:bookmarkStart w:id="210" w:name="_Toc14990"/>
      <w:r>
        <w:rPr>
          <w:rFonts w:hint="eastAsia" w:ascii="宋体" w:hAnsi="宋体" w:eastAsia="宋体" w:cs="宋体"/>
          <w:b/>
          <w:color w:val="auto"/>
          <w:sz w:val="24"/>
          <w:szCs w:val="24"/>
          <w:highlight w:val="none"/>
        </w:rPr>
        <w:t>11.1 对</w:t>
      </w:r>
      <w:r>
        <w:rPr>
          <w:rFonts w:hint="eastAsia" w:ascii="宋体" w:hAnsi="宋体" w:cs="宋体"/>
          <w:b/>
          <w:color w:val="auto"/>
          <w:sz w:val="24"/>
          <w:szCs w:val="24"/>
          <w:highlight w:val="none"/>
          <w:lang w:eastAsia="zh-CN"/>
        </w:rPr>
        <w:t>采购人</w:t>
      </w:r>
      <w:r>
        <w:rPr>
          <w:rFonts w:hint="eastAsia" w:ascii="宋体" w:hAnsi="宋体" w:eastAsia="宋体" w:cs="宋体"/>
          <w:b/>
          <w:color w:val="auto"/>
          <w:sz w:val="24"/>
          <w:szCs w:val="24"/>
          <w:highlight w:val="none"/>
        </w:rPr>
        <w:t>的纪律要求</w:t>
      </w:r>
      <w:bookmarkEnd w:id="210"/>
    </w:p>
    <w:p w14:paraId="3929FB72">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(1)按照《政府采购货物和服务招标投标管理办法》(财政部令第87号)的规定编制采购需求；</w:t>
      </w:r>
    </w:p>
    <w:p w14:paraId="7BD8F883">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不得向投标人索要或者接受其给予的赠品、回扣或者与采购无关的其他商品、服务；</w:t>
      </w:r>
    </w:p>
    <w:p w14:paraId="4437E7C1">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(3)在规定时间内确定中标人；</w:t>
      </w:r>
    </w:p>
    <w:p w14:paraId="18B10937">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(4)不得向中标人提出不合理要求作为签订合同条件。</w:t>
      </w:r>
    </w:p>
    <w:p w14:paraId="42CA976A">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211" w:name="_Toc20446"/>
      <w:bookmarkEnd w:id="211"/>
      <w:bookmarkStart w:id="212" w:name="_Toc14876"/>
      <w:r>
        <w:rPr>
          <w:rFonts w:hint="eastAsia" w:ascii="宋体" w:hAnsi="宋体" w:eastAsia="宋体" w:cs="宋体"/>
          <w:b/>
          <w:color w:val="auto"/>
          <w:sz w:val="24"/>
          <w:szCs w:val="24"/>
          <w:highlight w:val="none"/>
        </w:rPr>
        <w:t>11.2 对</w:t>
      </w:r>
      <w:r>
        <w:rPr>
          <w:rFonts w:hint="eastAsia" w:ascii="宋体" w:hAnsi="宋体" w:cs="宋体"/>
          <w:b/>
          <w:color w:val="auto"/>
          <w:sz w:val="24"/>
          <w:szCs w:val="24"/>
          <w:highlight w:val="none"/>
          <w:lang w:eastAsia="zh-CN"/>
        </w:rPr>
        <w:t>采购代理机构</w:t>
      </w:r>
      <w:r>
        <w:rPr>
          <w:rFonts w:hint="eastAsia" w:ascii="宋体" w:hAnsi="宋体" w:eastAsia="宋体" w:cs="宋体"/>
          <w:b/>
          <w:color w:val="auto"/>
          <w:sz w:val="24"/>
          <w:szCs w:val="24"/>
          <w:highlight w:val="none"/>
        </w:rPr>
        <w:t>的纪律要求</w:t>
      </w:r>
    </w:p>
    <w:p w14:paraId="2486318A">
      <w:pPr>
        <w:pageBreakBefore w:val="0"/>
        <w:kinsoku/>
        <w:wordWrap w:val="0"/>
        <w:overflowPunct/>
        <w:bidi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（1）按照</w:t>
      </w:r>
      <w:r>
        <w:rPr>
          <w:rFonts w:hint="eastAsia" w:ascii="宋体" w:hAnsi="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编制的采购需求编制</w:t>
      </w:r>
      <w:r>
        <w:rPr>
          <w:rFonts w:hint="eastAsia" w:ascii="宋体" w:hAnsi="宋体" w:eastAsia="宋体" w:cs="宋体"/>
          <w:b w:val="0"/>
          <w:bCs/>
          <w:color w:val="auto"/>
          <w:sz w:val="24"/>
          <w:szCs w:val="24"/>
          <w:highlight w:val="none"/>
          <w:lang w:val="en-US" w:eastAsia="zh-CN"/>
        </w:rPr>
        <w:t>招标</w:t>
      </w:r>
      <w:r>
        <w:rPr>
          <w:rFonts w:hint="eastAsia" w:ascii="宋体" w:hAnsi="宋体" w:eastAsia="宋体" w:cs="宋体"/>
          <w:b w:val="0"/>
          <w:bCs/>
          <w:color w:val="auto"/>
          <w:sz w:val="24"/>
          <w:szCs w:val="24"/>
          <w:highlight w:val="none"/>
        </w:rPr>
        <w:t>文件，内容不得违反法律、行政法规、强制性标准、政府采购政策，或者违反公开透明、公平竞争、公正和诚实信用原则；</w:t>
      </w:r>
    </w:p>
    <w:p w14:paraId="717C55FE">
      <w:pPr>
        <w:pageBreakBefore w:val="0"/>
        <w:kinsoku/>
        <w:wordWrap w:val="0"/>
        <w:overflowPunct/>
        <w:bidi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（2）不得向</w:t>
      </w:r>
      <w:r>
        <w:rPr>
          <w:rFonts w:hint="eastAsia" w:ascii="宋体" w:hAnsi="宋体" w:eastAsia="宋体" w:cs="宋体"/>
          <w:b w:val="0"/>
          <w:bCs/>
          <w:color w:val="auto"/>
          <w:sz w:val="24"/>
          <w:szCs w:val="24"/>
          <w:highlight w:val="none"/>
          <w:lang w:val="en-US" w:eastAsia="zh-CN"/>
        </w:rPr>
        <w:t>投标人</w:t>
      </w:r>
      <w:r>
        <w:rPr>
          <w:rFonts w:hint="eastAsia" w:ascii="宋体" w:hAnsi="宋体" w:eastAsia="宋体" w:cs="宋体"/>
          <w:b w:val="0"/>
          <w:bCs/>
          <w:color w:val="auto"/>
          <w:sz w:val="24"/>
          <w:szCs w:val="24"/>
          <w:highlight w:val="none"/>
        </w:rPr>
        <w:t>索要或者接受其给予的赠品、回扣或者与采购无关的其他商品、服务；</w:t>
      </w:r>
    </w:p>
    <w:p w14:paraId="35B62F91">
      <w:pPr>
        <w:pageBreakBefore w:val="0"/>
        <w:kinsoku/>
        <w:wordWrap w:val="0"/>
        <w:overflowPunct/>
        <w:bidi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（3）负责组织评审工作，并履行《政府采购货物和服务招标投标管理办法》(财政部令第 87 号)第四十五条规定的职责；</w:t>
      </w:r>
    </w:p>
    <w:p w14:paraId="452C16D9">
      <w:pPr>
        <w:pageBreakBefore w:val="0"/>
        <w:kinsoku/>
        <w:wordWrap w:val="0"/>
        <w:overflowPunct/>
        <w:bidi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（4）采取必要措施，保证评审在严格保密的情况下进行；</w:t>
      </w:r>
    </w:p>
    <w:p w14:paraId="09232213">
      <w:pPr>
        <w:pageBreakBefore w:val="0"/>
        <w:kinsoku/>
        <w:wordWrap w:val="0"/>
        <w:overflowPunct/>
        <w:bidi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w:t>
      </w:r>
      <w:r>
        <w:rPr>
          <w:rFonts w:hint="eastAsia" w:ascii="宋体" w:hAnsi="宋体" w:cs="宋体"/>
          <w:b w:val="0"/>
          <w:bCs/>
          <w:color w:val="auto"/>
          <w:sz w:val="24"/>
          <w:szCs w:val="24"/>
          <w:highlight w:val="none"/>
          <w:lang w:eastAsia="zh-CN"/>
        </w:rPr>
        <w:t>采购代理机构</w:t>
      </w:r>
      <w:r>
        <w:rPr>
          <w:rFonts w:hint="eastAsia" w:ascii="宋体" w:hAnsi="宋体" w:eastAsia="宋体" w:cs="宋体"/>
          <w:b w:val="0"/>
          <w:bCs/>
          <w:color w:val="auto"/>
          <w:sz w:val="24"/>
          <w:szCs w:val="24"/>
          <w:highlight w:val="none"/>
        </w:rPr>
        <w:t>及其分支机构不得在所代理的采购项目中投标或者代理投标，不得为所代理的采购项目的</w:t>
      </w:r>
      <w:r>
        <w:rPr>
          <w:rFonts w:hint="eastAsia" w:ascii="宋体" w:hAnsi="宋体" w:eastAsia="宋体" w:cs="宋体"/>
          <w:b w:val="0"/>
          <w:bCs/>
          <w:color w:val="auto"/>
          <w:sz w:val="24"/>
          <w:szCs w:val="24"/>
          <w:highlight w:val="none"/>
          <w:lang w:val="en-US" w:eastAsia="zh-CN"/>
        </w:rPr>
        <w:t>投标人</w:t>
      </w:r>
      <w:r>
        <w:rPr>
          <w:rFonts w:hint="eastAsia" w:ascii="宋体" w:hAnsi="宋体" w:eastAsia="宋体" w:cs="宋体"/>
          <w:b w:val="0"/>
          <w:bCs/>
          <w:color w:val="auto"/>
          <w:sz w:val="24"/>
          <w:szCs w:val="24"/>
          <w:highlight w:val="none"/>
        </w:rPr>
        <w:t>参加本项目提供投标咨询。</w:t>
      </w:r>
    </w:p>
    <w:p w14:paraId="238A5054">
      <w:pPr>
        <w:pageBreakBefore w:val="0"/>
        <w:kinsoku/>
        <w:wordWrap w:val="0"/>
        <w:overflowPunct/>
        <w:bidi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11.3</w:t>
      </w:r>
      <w:r>
        <w:rPr>
          <w:rFonts w:hint="eastAsia" w:ascii="宋体" w:hAnsi="宋体" w:eastAsia="宋体" w:cs="宋体"/>
          <w:b/>
          <w:color w:val="auto"/>
          <w:sz w:val="24"/>
          <w:szCs w:val="24"/>
          <w:highlight w:val="none"/>
        </w:rPr>
        <w:t>对投标人的纪律要求</w:t>
      </w:r>
      <w:bookmarkEnd w:id="212"/>
    </w:p>
    <w:p w14:paraId="3D5067EF">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投标人不得相互串通投标或者与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串通投标，不得向</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或者评标委员会成员行贿谋取中标，不得以他人名义投标或者以其他方式弄虚作假骗取中标；投标人不得以任何方式干扰、影响评标工作。</w:t>
      </w:r>
    </w:p>
    <w:p w14:paraId="2685CCF9">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213" w:name="_Toc17796"/>
      <w:bookmarkEnd w:id="213"/>
      <w:bookmarkStart w:id="214" w:name="_Toc29247"/>
      <w:r>
        <w:rPr>
          <w:rFonts w:hint="eastAsia" w:ascii="宋体" w:hAnsi="宋体" w:eastAsia="宋体" w:cs="宋体"/>
          <w:b/>
          <w:color w:val="auto"/>
          <w:sz w:val="24"/>
          <w:szCs w:val="24"/>
          <w:highlight w:val="none"/>
        </w:rPr>
        <w:t>11.</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 xml:space="preserve"> 对评标委员会成员的纪律要求</w:t>
      </w:r>
      <w:bookmarkEnd w:id="214"/>
    </w:p>
    <w:p w14:paraId="158BBE29">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评标委员会及其成员不得有下列行为：</w:t>
      </w:r>
    </w:p>
    <w:p w14:paraId="496037E8">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(1)确定参与评标至评标结束前私自接触投标人；</w:t>
      </w:r>
    </w:p>
    <w:p w14:paraId="790E4DE9">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(2)接受投标人提出的与投标文件不一致的澄清或者说明；</w:t>
      </w:r>
    </w:p>
    <w:p w14:paraId="3011F481">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(3)违反评标纪律发表倾向性意见或者征询</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的倾向性意见；</w:t>
      </w:r>
    </w:p>
    <w:p w14:paraId="4CAEFEF9">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(4)对需要专业判断的主观评审因素协商评分；</w:t>
      </w:r>
    </w:p>
    <w:p w14:paraId="3B9D810F">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(5)在评标过程中擅离职守，影响评标程序正常进行的；</w:t>
      </w:r>
    </w:p>
    <w:p w14:paraId="198683ED">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(6)记录、复制或者带走任何评标资料；</w:t>
      </w:r>
    </w:p>
    <w:p w14:paraId="22247D22">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(7)其他不遵守评标纪律的行为。</w:t>
      </w:r>
    </w:p>
    <w:p w14:paraId="7FE4B97A">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评标委员会成员有前款第(1)至(7)项行为之一的，其评审意见无效，并不得获取评审劳务报酬和报销异地评审差旅费。</w:t>
      </w:r>
    </w:p>
    <w:p w14:paraId="4A8CA4EF">
      <w:pPr>
        <w:pageBreakBefore w:val="0"/>
        <w:kinsoku/>
        <w:wordWrap w:val="0"/>
        <w:overflowPunct/>
        <w:bidi w:val="0"/>
        <w:spacing w:line="360" w:lineRule="auto"/>
        <w:rPr>
          <w:rFonts w:hint="eastAsia" w:ascii="宋体" w:hAnsi="宋体" w:eastAsia="宋体" w:cs="宋体"/>
          <w:b/>
          <w:color w:val="auto"/>
          <w:sz w:val="24"/>
          <w:szCs w:val="24"/>
          <w:highlight w:val="none"/>
        </w:rPr>
      </w:pPr>
      <w:bookmarkStart w:id="215" w:name="_Toc22639"/>
      <w:bookmarkEnd w:id="215"/>
      <w:bookmarkStart w:id="216" w:name="_Toc5153"/>
      <w:r>
        <w:rPr>
          <w:rFonts w:hint="eastAsia" w:ascii="宋体" w:hAnsi="宋体" w:eastAsia="宋体" w:cs="宋体"/>
          <w:b/>
          <w:color w:val="auto"/>
          <w:sz w:val="24"/>
          <w:szCs w:val="24"/>
          <w:highlight w:val="none"/>
        </w:rPr>
        <w:t>11.</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 xml:space="preserve"> 对与评标活动有关的工作人员的纪律要求</w:t>
      </w:r>
      <w:bookmarkEnd w:id="216"/>
    </w:p>
    <w:p w14:paraId="5B49EEAE">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45E25482">
      <w:pPr>
        <w:pageBreakBefore w:val="0"/>
        <w:kinsoku/>
        <w:wordWrap w:val="0"/>
        <w:overflowPunct/>
        <w:bidi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11.</w:t>
      </w:r>
      <w:r>
        <w:rPr>
          <w:rFonts w:hint="eastAsia" w:ascii="宋体" w:hAnsi="宋体" w:eastAsia="宋体" w:cs="宋体"/>
          <w:b/>
          <w:color w:val="auto"/>
          <w:sz w:val="24"/>
          <w:szCs w:val="24"/>
          <w:highlight w:val="none"/>
          <w:lang w:val="en-US" w:eastAsia="zh-CN"/>
        </w:rPr>
        <w:t>6</w:t>
      </w:r>
      <w:r>
        <w:rPr>
          <w:rFonts w:hint="eastAsia" w:ascii="宋体" w:hAnsi="宋体" w:cs="宋体"/>
          <w:b/>
          <w:color w:val="auto"/>
          <w:sz w:val="24"/>
          <w:szCs w:val="24"/>
          <w:highlight w:val="none"/>
          <w:lang w:val="en-US" w:eastAsia="zh-CN"/>
        </w:rPr>
        <w:t>采购人</w:t>
      </w:r>
      <w:r>
        <w:rPr>
          <w:rFonts w:hint="eastAsia" w:ascii="宋体" w:hAnsi="宋体" w:eastAsia="宋体" w:cs="宋体"/>
          <w:b/>
          <w:color w:val="auto"/>
          <w:sz w:val="24"/>
          <w:szCs w:val="24"/>
          <w:highlight w:val="none"/>
          <w:lang w:val="en-US" w:eastAsia="zh-CN"/>
        </w:rPr>
        <w:t>员及相关人员与投标人有下列利害关系之一的，应当回避：</w:t>
      </w:r>
    </w:p>
    <w:p w14:paraId="37504FA4">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（1）参加活动前3年与投标人存在劳动关系；</w:t>
      </w:r>
    </w:p>
    <w:p w14:paraId="5CFF985D">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（2）参加活动前3年内担任投标人的董事、监事；</w:t>
      </w:r>
    </w:p>
    <w:p w14:paraId="49B30C55">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（3）参加活动前3年内是投标人的控股股东或者实际控制人；</w:t>
      </w:r>
    </w:p>
    <w:p w14:paraId="3840130B">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（4）与投标人的法定代表人或者负责人有夫妻、直系血亲、三代以内旁系血亲或者姻亲关系；</w:t>
      </w:r>
    </w:p>
    <w:p w14:paraId="1B556EE9">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（5）与投标人有其他可能影响政府采购活动公平、公正进行的关系。</w:t>
      </w:r>
    </w:p>
    <w:p w14:paraId="0EE80883">
      <w:pPr>
        <w:pageBreakBefore w:val="0"/>
        <w:kinsoku/>
        <w:wordWrap w:val="0"/>
        <w:overflowPunct/>
        <w:bidi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11.7</w:t>
      </w:r>
      <w:r>
        <w:rPr>
          <w:rFonts w:hint="eastAsia" w:ascii="宋体" w:hAnsi="宋体" w:eastAsia="宋体" w:cs="宋体"/>
          <w:b/>
          <w:color w:val="auto"/>
          <w:sz w:val="24"/>
          <w:szCs w:val="24"/>
          <w:highlight w:val="none"/>
        </w:rPr>
        <w:t>廉洁自律规定</w:t>
      </w:r>
    </w:p>
    <w:p w14:paraId="7387B48D">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工作人员不得以不正当手段获取政府采购代理业务，不得与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、投标人恶意串通操纵政府采购活动。</w:t>
      </w:r>
    </w:p>
    <w:p w14:paraId="6F8D5128">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工作人员不得接受</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或者投标人组织的宴请、旅游、娱乐，不得收受礼品、现金、有价证券等，不得向</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或者投标人报销应当由个人承担的费用。</w:t>
      </w:r>
    </w:p>
    <w:p w14:paraId="697761F3">
      <w:pPr>
        <w:pStyle w:val="3"/>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rPr>
      </w:pPr>
      <w:bookmarkStart w:id="217" w:name="_Toc11291"/>
      <w:bookmarkEnd w:id="217"/>
      <w:bookmarkStart w:id="218" w:name="_Toc3960"/>
      <w:bookmarkEnd w:id="218"/>
      <w:bookmarkStart w:id="219" w:name="_Toc11354"/>
      <w:bookmarkEnd w:id="219"/>
      <w:bookmarkStart w:id="220" w:name="_Toc19873"/>
      <w:bookmarkEnd w:id="220"/>
      <w:bookmarkStart w:id="221" w:name="_Toc18697"/>
      <w:bookmarkEnd w:id="221"/>
      <w:bookmarkStart w:id="222" w:name="_Toc9082"/>
      <w:bookmarkStart w:id="223" w:name="_Toc14857"/>
      <w:r>
        <w:rPr>
          <w:rFonts w:hint="eastAsia" w:ascii="宋体" w:hAnsi="宋体" w:eastAsia="宋体" w:cs="宋体"/>
          <w:color w:val="auto"/>
          <w:sz w:val="24"/>
          <w:szCs w:val="24"/>
          <w:highlight w:val="none"/>
        </w:rPr>
        <w:t>12. 需要补充的其他内容</w:t>
      </w:r>
      <w:bookmarkEnd w:id="222"/>
      <w:bookmarkEnd w:id="223"/>
    </w:p>
    <w:p w14:paraId="266D3860">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需要补充的其他内容：见投标人须知前附表。</w:t>
      </w:r>
    </w:p>
    <w:p w14:paraId="6E8110B0">
      <w:pPr>
        <w:pageBreakBefore w:val="0"/>
        <w:kinsoku/>
        <w:wordWrap w:val="0"/>
        <w:overflowPunct/>
        <w:bidi w:val="0"/>
        <w:spacing w:line="2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224" w:name="_Toc31137"/>
      <w:bookmarkEnd w:id="224"/>
      <w:bookmarkStart w:id="225" w:name="_Toc13313"/>
    </w:p>
    <w:p w14:paraId="5FC42DB0">
      <w:pPr>
        <w:pageBreakBefore w:val="0"/>
        <w:kinsoku/>
        <w:wordWrap w:val="0"/>
        <w:overflowPunct/>
        <w:bidi w:val="0"/>
        <w:spacing w:line="360" w:lineRule="auto"/>
        <w:rPr>
          <w:rStyle w:val="62"/>
          <w:rFonts w:hint="eastAsia" w:ascii="宋体" w:hAnsi="宋体" w:eastAsia="宋体" w:cs="宋体"/>
          <w:color w:val="auto"/>
          <w:sz w:val="24"/>
          <w:szCs w:val="24"/>
          <w:highlight w:val="none"/>
        </w:rPr>
      </w:pPr>
      <w:r>
        <w:rPr>
          <w:rStyle w:val="62"/>
          <w:rFonts w:hint="eastAsia" w:ascii="宋体" w:hAnsi="宋体" w:eastAsia="宋体" w:cs="宋体"/>
          <w:color w:val="auto"/>
          <w:sz w:val="24"/>
          <w:szCs w:val="24"/>
          <w:highlight w:val="none"/>
        </w:rPr>
        <w:t>附件</w:t>
      </w:r>
      <w:bookmarkEnd w:id="225"/>
      <w:r>
        <w:rPr>
          <w:rStyle w:val="62"/>
          <w:rFonts w:hint="eastAsia" w:ascii="宋体" w:hAnsi="宋体" w:eastAsia="宋体" w:cs="宋体"/>
          <w:color w:val="auto"/>
          <w:sz w:val="24"/>
          <w:szCs w:val="24"/>
          <w:highlight w:val="none"/>
        </w:rPr>
        <w:t>一：问题澄清通知</w:t>
      </w:r>
    </w:p>
    <w:p w14:paraId="3240800F">
      <w:pPr>
        <w:pageBreakBefore w:val="0"/>
        <w:kinsoku/>
        <w:wordWrap w:val="0"/>
        <w:overflowPunct/>
        <w:bidi w:val="0"/>
        <w:spacing w:line="32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6B759549">
      <w:pPr>
        <w:pageBreakBefore w:val="0"/>
        <w:kinsoku/>
        <w:wordWrap w:val="0"/>
        <w:overflowPunct/>
        <w:bidi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问题澄清通知</w:t>
      </w:r>
    </w:p>
    <w:p w14:paraId="41E87956">
      <w:pPr>
        <w:pageBreakBefore w:val="0"/>
        <w:kinsoku/>
        <w:wordWrap w:val="0"/>
        <w:overflowPunct/>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24B3995">
      <w:pPr>
        <w:pageBreakBefore w:val="0"/>
        <w:kinsoku/>
        <w:wordWrap w:val="0"/>
        <w:overflowPunct/>
        <w:bidi w:val="0"/>
        <w:spacing w:line="360" w:lineRule="auto"/>
        <w:jc w:val="center"/>
        <w:rPr>
          <w:rFonts w:hint="eastAsia" w:ascii="宋体" w:hAnsi="宋体" w:eastAsia="宋体" w:cs="宋体"/>
          <w:color w:val="auto"/>
          <w:sz w:val="24"/>
          <w:szCs w:val="24"/>
          <w:highlight w:val="none"/>
        </w:rPr>
      </w:pPr>
    </w:p>
    <w:p w14:paraId="39AFB976">
      <w:pPr>
        <w:pageBreakBefore w:val="0"/>
        <w:kinsoku/>
        <w:wordWrap w:val="0"/>
        <w:overflowPunct/>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w:t>
      </w:r>
    </w:p>
    <w:p w14:paraId="7D391240">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评标委员会对你方的投标文件进行了仔细的审查，现需你方对下列问题以书面形式予以澄清、说明或补正：</w:t>
      </w:r>
    </w:p>
    <w:p w14:paraId="401A2142">
      <w:pPr>
        <w:pageBreakBefore w:val="0"/>
        <w:kinsoku/>
        <w:wordWrap w:val="0"/>
        <w:overflowPunct/>
        <w:bidi w:val="0"/>
        <w:spacing w:line="360" w:lineRule="auto"/>
        <w:ind w:right="357"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p w14:paraId="6CCFEEB1">
      <w:pPr>
        <w:pageBreakBefore w:val="0"/>
        <w:kinsoku/>
        <w:wordWrap w:val="0"/>
        <w:overflowPunct/>
        <w:bidi w:val="0"/>
        <w:spacing w:line="360" w:lineRule="auto"/>
        <w:ind w:right="357"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352A2A40">
      <w:pPr>
        <w:pageBreakBefore w:val="0"/>
        <w:kinsoku/>
        <w:wordWrap w:val="0"/>
        <w:overflowPunct/>
        <w:bidi w:val="0"/>
        <w:spacing w:line="360" w:lineRule="auto"/>
        <w:ind w:right="357"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1BBC94B">
      <w:pPr>
        <w:pageBreakBefore w:val="0"/>
        <w:kinsoku/>
        <w:wordWrap w:val="0"/>
        <w:overflowPunct/>
        <w:bidi w:val="0"/>
        <w:spacing w:line="360" w:lineRule="auto"/>
        <w:ind w:right="357"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请将上述问题的澄清、说明或补正于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时前递交至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(详细地址)或以扫描件发送至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（邮箱号）。采用扫描件发送方式的，应在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时前将原件递交至</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（详细地址）。</w:t>
      </w:r>
    </w:p>
    <w:p w14:paraId="2C626611">
      <w:pPr>
        <w:pageBreakBefore w:val="0"/>
        <w:kinsoku/>
        <w:wordWrap w:val="0"/>
        <w:overflowPunct/>
        <w:bidi w:val="0"/>
        <w:spacing w:line="360" w:lineRule="auto"/>
        <w:ind w:right="3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C7950A1">
      <w:pPr>
        <w:pageBreakBefore w:val="0"/>
        <w:kinsoku/>
        <w:wordWrap w:val="0"/>
        <w:overflowPunct/>
        <w:bidi w:val="0"/>
        <w:spacing w:line="360" w:lineRule="auto"/>
        <w:ind w:right="3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0B5D1C6">
      <w:pPr>
        <w:pageBreakBefore w:val="0"/>
        <w:kinsoku/>
        <w:wordWrap w:val="0"/>
        <w:overflowPunct/>
        <w:bidi w:val="0"/>
        <w:spacing w:line="360" w:lineRule="auto"/>
        <w:ind w:right="357" w:firstLine="960" w:firstLineChars="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04CFA855">
      <w:pPr>
        <w:pageBreakBefore w:val="0"/>
        <w:kinsoku/>
        <w:wordWrap w:val="0"/>
        <w:overflowPunct/>
        <w:bidi w:val="0"/>
        <w:spacing w:line="360" w:lineRule="auto"/>
        <w:ind w:right="357"/>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39274DD">
      <w:pPr>
        <w:pageBreakBefore w:val="0"/>
        <w:kinsoku/>
        <w:wordWrap w:val="0"/>
        <w:overflowPunct/>
        <w:bidi w:val="0"/>
        <w:spacing w:line="360" w:lineRule="auto"/>
        <w:ind w:firstLine="4920" w:firstLineChars="20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233F62F">
      <w:pPr>
        <w:pageBreakBefore w:val="0"/>
        <w:kinsoku/>
        <w:wordWrap w:val="0"/>
        <w:overflowPunct/>
        <w:bidi w:val="0"/>
        <w:spacing w:line="2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226" w:name="_Toc10860"/>
      <w:bookmarkEnd w:id="226"/>
      <w:bookmarkStart w:id="227" w:name="_Toc4237"/>
    </w:p>
    <w:p w14:paraId="4FCA6BD4">
      <w:pPr>
        <w:pageBreakBefore w:val="0"/>
        <w:kinsoku/>
        <w:wordWrap w:val="0"/>
        <w:overflowPunct/>
        <w:bidi w:val="0"/>
        <w:rPr>
          <w:rStyle w:val="62"/>
          <w:rFonts w:hint="eastAsia" w:ascii="宋体" w:hAnsi="宋体" w:eastAsia="宋体" w:cs="宋体"/>
          <w:color w:val="auto"/>
          <w:sz w:val="24"/>
          <w:szCs w:val="24"/>
          <w:highlight w:val="none"/>
        </w:rPr>
      </w:pPr>
      <w:r>
        <w:rPr>
          <w:rStyle w:val="62"/>
          <w:rFonts w:hint="eastAsia" w:ascii="宋体" w:hAnsi="宋体" w:eastAsia="宋体" w:cs="宋体"/>
          <w:color w:val="auto"/>
          <w:sz w:val="24"/>
          <w:szCs w:val="24"/>
          <w:highlight w:val="none"/>
        </w:rPr>
        <w:t>附件</w:t>
      </w:r>
      <w:bookmarkEnd w:id="227"/>
      <w:r>
        <w:rPr>
          <w:rStyle w:val="62"/>
          <w:rFonts w:hint="eastAsia" w:ascii="宋体" w:hAnsi="宋体" w:eastAsia="宋体" w:cs="宋体"/>
          <w:color w:val="auto"/>
          <w:sz w:val="24"/>
          <w:szCs w:val="24"/>
          <w:highlight w:val="none"/>
        </w:rPr>
        <w:t>二：问题的澄清</w:t>
      </w:r>
    </w:p>
    <w:p w14:paraId="0EC2604F">
      <w:pPr>
        <w:pageBreakBefore w:val="0"/>
        <w:kinsoku/>
        <w:wordWrap w:val="0"/>
        <w:overflowPunct/>
        <w:bidi w:val="0"/>
        <w:spacing w:line="32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4449A4BB">
      <w:pPr>
        <w:pageBreakBefore w:val="0"/>
        <w:kinsoku/>
        <w:wordWrap w:val="0"/>
        <w:overflowPunct/>
        <w:bidi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问题的澄清</w:t>
      </w:r>
    </w:p>
    <w:p w14:paraId="32574356">
      <w:pPr>
        <w:pageBreakBefore w:val="0"/>
        <w:kinsoku/>
        <w:wordWrap w:val="0"/>
        <w:overflowPunct/>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13764607">
      <w:pPr>
        <w:pageBreakBefore w:val="0"/>
        <w:kinsoku/>
        <w:wordWrap w:val="0"/>
        <w:overflowPunct/>
        <w:bidi w:val="0"/>
        <w:spacing w:line="360" w:lineRule="auto"/>
        <w:jc w:val="center"/>
        <w:rPr>
          <w:rFonts w:hint="eastAsia" w:ascii="宋体" w:hAnsi="宋体" w:eastAsia="宋体" w:cs="宋体"/>
          <w:color w:val="auto"/>
          <w:sz w:val="24"/>
          <w:szCs w:val="24"/>
          <w:highlight w:val="none"/>
        </w:rPr>
      </w:pPr>
    </w:p>
    <w:p w14:paraId="2269468E">
      <w:pPr>
        <w:pageBreakBefore w:val="0"/>
        <w:kinsoku/>
        <w:wordWrap w:val="0"/>
        <w:overflowPunct/>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评标委员会：</w:t>
      </w:r>
    </w:p>
    <w:p w14:paraId="75417176">
      <w:pPr>
        <w:pageBreakBefore w:val="0"/>
        <w:kinsoku/>
        <w:wordWrap w:val="0"/>
        <w:overflowPunct/>
        <w:bidi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问题澄清通知(编号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)已收悉，现澄清、说明或补正如下：</w:t>
      </w:r>
    </w:p>
    <w:p w14:paraId="1808D7ED">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p>
    <w:p w14:paraId="13495410">
      <w:pPr>
        <w:pageBreakBefore w:val="0"/>
        <w:kinsoku/>
        <w:wordWrap w:val="0"/>
        <w:overflowPunct/>
        <w:bidi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67375C97">
      <w:pPr>
        <w:pageBreakBefore w:val="0"/>
        <w:kinsoku/>
        <w:wordWrap w:val="0"/>
        <w:overflowPunct/>
        <w:bidi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C0AE083">
      <w:pPr>
        <w:pageBreakBefore w:val="0"/>
        <w:kinsoku/>
        <w:wordWrap w:val="0"/>
        <w:overflowPunct/>
        <w:bidi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上述问题澄清、说明或补正，不改变我方投标文件的实质性内容，构成我方投标文件的组成部分。</w:t>
      </w:r>
    </w:p>
    <w:p w14:paraId="2611C723">
      <w:pPr>
        <w:pageBreakBefore w:val="0"/>
        <w:kinsoku/>
        <w:wordWrap w:val="0"/>
        <w:overflowPunct/>
        <w:bidi w:val="0"/>
        <w:spacing w:line="360" w:lineRule="auto"/>
        <w:ind w:firstLine="2880" w:firstLineChars="1200"/>
        <w:rPr>
          <w:rFonts w:hint="eastAsia" w:ascii="宋体" w:hAnsi="宋体" w:eastAsia="宋体" w:cs="宋体"/>
          <w:color w:val="auto"/>
          <w:sz w:val="24"/>
          <w:szCs w:val="24"/>
          <w:highlight w:val="none"/>
        </w:rPr>
      </w:pPr>
    </w:p>
    <w:p w14:paraId="11070191">
      <w:pPr>
        <w:pStyle w:val="13"/>
        <w:pageBreakBefore w:val="0"/>
        <w:kinsoku/>
        <w:wordWrap w:val="0"/>
        <w:overflowPunct/>
        <w:bidi w:val="0"/>
        <w:rPr>
          <w:rFonts w:hint="eastAsia" w:ascii="宋体" w:hAnsi="宋体" w:eastAsia="宋体" w:cs="宋体"/>
          <w:color w:val="auto"/>
          <w:sz w:val="24"/>
          <w:szCs w:val="24"/>
          <w:highlight w:val="none"/>
        </w:rPr>
      </w:pPr>
    </w:p>
    <w:p w14:paraId="1C3D76D7">
      <w:pPr>
        <w:pStyle w:val="13"/>
        <w:pageBreakBefore w:val="0"/>
        <w:kinsoku/>
        <w:wordWrap w:val="0"/>
        <w:overflowPunct/>
        <w:bidi w:val="0"/>
        <w:rPr>
          <w:rFonts w:hint="eastAsia" w:ascii="宋体" w:hAnsi="宋体" w:eastAsia="宋体" w:cs="宋体"/>
          <w:color w:val="auto"/>
          <w:sz w:val="24"/>
          <w:szCs w:val="24"/>
          <w:highlight w:val="none"/>
        </w:rPr>
      </w:pPr>
    </w:p>
    <w:p w14:paraId="277A5393">
      <w:pPr>
        <w:pStyle w:val="13"/>
        <w:pageBreakBefore w:val="0"/>
        <w:kinsoku/>
        <w:wordWrap w:val="0"/>
        <w:overflowPunct/>
        <w:bidi w:val="0"/>
        <w:rPr>
          <w:rFonts w:hint="eastAsia" w:ascii="宋体" w:hAnsi="宋体" w:eastAsia="宋体" w:cs="宋体"/>
          <w:color w:val="auto"/>
          <w:sz w:val="24"/>
          <w:szCs w:val="24"/>
          <w:highlight w:val="none"/>
        </w:rPr>
      </w:pPr>
    </w:p>
    <w:p w14:paraId="280854D9">
      <w:pPr>
        <w:pStyle w:val="13"/>
        <w:pageBreakBefore w:val="0"/>
        <w:kinsoku/>
        <w:wordWrap w:val="0"/>
        <w:overflowPunct/>
        <w:bidi w:val="0"/>
        <w:rPr>
          <w:rFonts w:hint="eastAsia" w:ascii="宋体" w:hAnsi="宋体" w:eastAsia="宋体" w:cs="宋体"/>
          <w:color w:val="auto"/>
          <w:sz w:val="24"/>
          <w:szCs w:val="24"/>
          <w:highlight w:val="none"/>
        </w:rPr>
      </w:pPr>
    </w:p>
    <w:p w14:paraId="28E2339A">
      <w:pPr>
        <w:pStyle w:val="13"/>
        <w:pageBreakBefore w:val="0"/>
        <w:kinsoku/>
        <w:wordWrap w:val="0"/>
        <w:overflowPunct/>
        <w:bidi w:val="0"/>
        <w:rPr>
          <w:rFonts w:hint="eastAsia" w:ascii="宋体" w:hAnsi="宋体" w:eastAsia="宋体" w:cs="宋体"/>
          <w:color w:val="auto"/>
          <w:sz w:val="24"/>
          <w:szCs w:val="24"/>
          <w:highlight w:val="none"/>
        </w:rPr>
      </w:pPr>
    </w:p>
    <w:p w14:paraId="22E20EF8">
      <w:pPr>
        <w:pageBreakBefore w:val="0"/>
        <w:kinsoku/>
        <w:wordWrap w:val="0"/>
        <w:overflowPunct/>
        <w:bidi w:val="0"/>
        <w:spacing w:line="360" w:lineRule="auto"/>
        <w:ind w:firstLine="1440" w:firstLineChars="6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(加盖单位公章)</w:t>
      </w:r>
    </w:p>
    <w:p w14:paraId="7F22F5CA">
      <w:pPr>
        <w:pageBreakBefore w:val="0"/>
        <w:kinsoku/>
        <w:wordWrap w:val="0"/>
        <w:overflowPunct/>
        <w:bidi w:val="0"/>
        <w:spacing w:line="360" w:lineRule="auto"/>
        <w:ind w:firstLine="1440" w:firstLineChars="6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法定代表人(单位负责人)或其委托代理人：</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(签字)</w:t>
      </w:r>
    </w:p>
    <w:p w14:paraId="69DFD19E">
      <w:pPr>
        <w:pageBreakBefore w:val="0"/>
        <w:kinsoku/>
        <w:wordWrap w:val="0"/>
        <w:overflowPunct/>
        <w:bidi w:val="0"/>
        <w:spacing w:line="360" w:lineRule="auto"/>
        <w:ind w:firstLine="1440" w:firstLineChars="6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A55507D">
      <w:pPr>
        <w:pageBreakBefore w:val="0"/>
        <w:kinsoku/>
        <w:wordWrap w:val="0"/>
        <w:overflowPunct/>
        <w:bidi w:val="0"/>
        <w:spacing w:line="360" w:lineRule="auto"/>
        <w:ind w:firstLine="2880" w:firstLineChars="1200"/>
        <w:rPr>
          <w:rFonts w:hint="eastAsia" w:ascii="宋体" w:hAnsi="宋体" w:eastAsia="宋体" w:cs="宋体"/>
          <w:color w:val="auto"/>
          <w:sz w:val="24"/>
          <w:szCs w:val="24"/>
          <w:highlight w:val="none"/>
        </w:rPr>
      </w:pPr>
    </w:p>
    <w:p w14:paraId="40B30F66">
      <w:pPr>
        <w:pageBreakBefore w:val="0"/>
        <w:kinsoku/>
        <w:wordWrap w:val="0"/>
        <w:overflowPunct/>
        <w:bidi w:val="0"/>
        <w:spacing w:line="360" w:lineRule="auto"/>
        <w:ind w:firstLine="4680" w:firstLineChars="1950"/>
        <w:rPr>
          <w:rFonts w:hint="eastAsia" w:ascii="宋体" w:hAnsi="宋体" w:eastAsia="宋体" w:cs="宋体"/>
          <w:color w:val="auto"/>
          <w:sz w:val="24"/>
          <w:szCs w:val="24"/>
          <w:highlight w:val="none"/>
        </w:rPr>
      </w:pPr>
    </w:p>
    <w:p w14:paraId="0B1A8A31">
      <w:pPr>
        <w:pageBreakBefore w:val="0"/>
        <w:kinsoku/>
        <w:wordWrap w:val="0"/>
        <w:overflowPunct/>
        <w:bidi w:val="0"/>
        <w:spacing w:line="2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228" w:name="_Toc19810"/>
      <w:bookmarkEnd w:id="228"/>
      <w:bookmarkStart w:id="229" w:name="_Toc23493"/>
    </w:p>
    <w:bookmarkEnd w:id="229"/>
    <w:p w14:paraId="534F2A5C">
      <w:pPr>
        <w:pageBreakBefore w:val="0"/>
        <w:kinsoku/>
        <w:wordWrap w:val="0"/>
        <w:overflowPunct/>
        <w:bidi w:val="0"/>
        <w:rPr>
          <w:rStyle w:val="62"/>
          <w:rFonts w:hint="eastAsia" w:ascii="宋体" w:hAnsi="宋体" w:eastAsia="宋体" w:cs="宋体"/>
          <w:color w:val="auto"/>
          <w:sz w:val="24"/>
          <w:szCs w:val="24"/>
          <w:highlight w:val="none"/>
        </w:rPr>
      </w:pPr>
      <w:bookmarkStart w:id="230" w:name="_Toc22933"/>
      <w:bookmarkEnd w:id="230"/>
      <w:bookmarkStart w:id="231" w:name="_Toc30796"/>
      <w:r>
        <w:rPr>
          <w:rStyle w:val="62"/>
          <w:rFonts w:hint="eastAsia" w:ascii="宋体" w:hAnsi="宋体" w:eastAsia="宋体" w:cs="宋体"/>
          <w:color w:val="auto"/>
          <w:sz w:val="24"/>
          <w:szCs w:val="24"/>
          <w:highlight w:val="none"/>
        </w:rPr>
        <w:t>附件</w:t>
      </w:r>
      <w:bookmarkEnd w:id="231"/>
      <w:r>
        <w:rPr>
          <w:rStyle w:val="62"/>
          <w:rFonts w:hint="eastAsia" w:ascii="宋体" w:hAnsi="宋体" w:eastAsia="宋体" w:cs="宋体"/>
          <w:color w:val="auto"/>
          <w:sz w:val="24"/>
          <w:szCs w:val="24"/>
          <w:highlight w:val="none"/>
        </w:rPr>
        <w:t>三：确认通知</w:t>
      </w:r>
    </w:p>
    <w:p w14:paraId="2B9F69BE">
      <w:pPr>
        <w:pageBreakBefore w:val="0"/>
        <w:kinsoku/>
        <w:wordWrap w:val="0"/>
        <w:overflowPunct/>
        <w:bidi w:val="0"/>
        <w:spacing w:line="32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2B46CE4A">
      <w:pPr>
        <w:pageBreakBefore w:val="0"/>
        <w:kinsoku/>
        <w:wordWrap w:val="0"/>
        <w:overflowPunct/>
        <w:bidi w:val="0"/>
        <w:spacing w:line="32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13365A9B">
      <w:pPr>
        <w:pageBreakBefore w:val="0"/>
        <w:kinsoku/>
        <w:wordWrap w:val="0"/>
        <w:overflowPunct/>
        <w:bidi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确认通知</w:t>
      </w:r>
    </w:p>
    <w:p w14:paraId="25128CDA">
      <w:pPr>
        <w:pageBreakBefore w:val="0"/>
        <w:kinsoku/>
        <w:wordWrap w:val="0"/>
        <w:overflowPunct/>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37AA959">
      <w:pPr>
        <w:pageBreakBefore w:val="0"/>
        <w:kinsoku/>
        <w:wordWrap w:val="0"/>
        <w:overflowPunct/>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名称)：</w:t>
      </w:r>
    </w:p>
    <w:p w14:paraId="4493CD93">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你方于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日发出的</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(项目名称)招标关于</w:t>
      </w:r>
      <w:r>
        <w:rPr>
          <w:rFonts w:hint="eastAsia" w:ascii="宋体" w:hAnsi="宋体" w:eastAsia="宋体" w:cs="宋体"/>
          <w:color w:val="auto"/>
          <w:sz w:val="24"/>
          <w:szCs w:val="24"/>
          <w:highlight w:val="none"/>
          <w:u w:val="single"/>
        </w:rPr>
        <w:t>招标文件的澄清/修改</w:t>
      </w:r>
      <w:r>
        <w:rPr>
          <w:rFonts w:hint="eastAsia" w:ascii="宋体" w:hAnsi="宋体" w:eastAsia="宋体" w:cs="宋体"/>
          <w:color w:val="auto"/>
          <w:sz w:val="24"/>
          <w:szCs w:val="24"/>
          <w:highlight w:val="none"/>
        </w:rPr>
        <w:t>的通知，我方已于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日收到。</w:t>
      </w:r>
    </w:p>
    <w:p w14:paraId="13DA4CC6">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特此确认。</w:t>
      </w:r>
    </w:p>
    <w:p w14:paraId="11518E65">
      <w:pPr>
        <w:pageBreakBefore w:val="0"/>
        <w:kinsoku/>
        <w:wordWrap w:val="0"/>
        <w:overflowPunct/>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B84DBBE">
      <w:pPr>
        <w:pStyle w:val="13"/>
        <w:pageBreakBefore w:val="0"/>
        <w:kinsoku/>
        <w:wordWrap w:val="0"/>
        <w:overflowPunct/>
        <w:bidi w:val="0"/>
        <w:rPr>
          <w:rFonts w:hint="eastAsia" w:ascii="宋体" w:hAnsi="宋体" w:eastAsia="宋体" w:cs="宋体"/>
          <w:color w:val="auto"/>
          <w:sz w:val="24"/>
          <w:szCs w:val="24"/>
          <w:highlight w:val="none"/>
        </w:rPr>
      </w:pPr>
    </w:p>
    <w:p w14:paraId="268A8627">
      <w:pPr>
        <w:pStyle w:val="13"/>
        <w:pageBreakBefore w:val="0"/>
        <w:kinsoku/>
        <w:wordWrap w:val="0"/>
        <w:overflowPunct/>
        <w:bidi w:val="0"/>
        <w:rPr>
          <w:rFonts w:hint="eastAsia" w:ascii="宋体" w:hAnsi="宋体" w:eastAsia="宋体" w:cs="宋体"/>
          <w:color w:val="auto"/>
          <w:sz w:val="24"/>
          <w:szCs w:val="24"/>
          <w:highlight w:val="none"/>
        </w:rPr>
      </w:pPr>
    </w:p>
    <w:p w14:paraId="490938CD">
      <w:pPr>
        <w:pStyle w:val="13"/>
        <w:pageBreakBefore w:val="0"/>
        <w:kinsoku/>
        <w:wordWrap w:val="0"/>
        <w:overflowPunct/>
        <w:bidi w:val="0"/>
        <w:rPr>
          <w:rFonts w:hint="eastAsia" w:ascii="宋体" w:hAnsi="宋体" w:eastAsia="宋体" w:cs="宋体"/>
          <w:color w:val="auto"/>
          <w:sz w:val="24"/>
          <w:szCs w:val="24"/>
          <w:highlight w:val="none"/>
        </w:rPr>
      </w:pPr>
    </w:p>
    <w:p w14:paraId="52138DFA">
      <w:pPr>
        <w:pStyle w:val="13"/>
        <w:pageBreakBefore w:val="0"/>
        <w:kinsoku/>
        <w:wordWrap w:val="0"/>
        <w:overflowPunct/>
        <w:bidi w:val="0"/>
        <w:rPr>
          <w:rFonts w:hint="eastAsia" w:ascii="宋体" w:hAnsi="宋体" w:eastAsia="宋体" w:cs="宋体"/>
          <w:color w:val="auto"/>
          <w:sz w:val="24"/>
          <w:szCs w:val="24"/>
          <w:highlight w:val="none"/>
        </w:rPr>
      </w:pPr>
    </w:p>
    <w:p w14:paraId="6AC56980">
      <w:pPr>
        <w:pStyle w:val="13"/>
        <w:pageBreakBefore w:val="0"/>
        <w:kinsoku/>
        <w:wordWrap w:val="0"/>
        <w:overflowPunct/>
        <w:bidi w:val="0"/>
        <w:rPr>
          <w:rFonts w:hint="eastAsia" w:ascii="宋体" w:hAnsi="宋体" w:eastAsia="宋体" w:cs="宋体"/>
          <w:color w:val="auto"/>
          <w:sz w:val="24"/>
          <w:szCs w:val="24"/>
          <w:highlight w:val="none"/>
        </w:rPr>
      </w:pPr>
    </w:p>
    <w:p w14:paraId="18848B27">
      <w:pPr>
        <w:pStyle w:val="13"/>
        <w:pageBreakBefore w:val="0"/>
        <w:kinsoku/>
        <w:wordWrap w:val="0"/>
        <w:overflowPunct/>
        <w:bidi w:val="0"/>
        <w:rPr>
          <w:rFonts w:hint="eastAsia" w:ascii="宋体" w:hAnsi="宋体" w:eastAsia="宋体" w:cs="宋体"/>
          <w:color w:val="auto"/>
          <w:sz w:val="24"/>
          <w:szCs w:val="24"/>
          <w:highlight w:val="none"/>
        </w:rPr>
      </w:pPr>
    </w:p>
    <w:p w14:paraId="0B7F05F0">
      <w:pPr>
        <w:pageBreakBefore w:val="0"/>
        <w:kinsoku/>
        <w:wordWrap w:val="0"/>
        <w:overflowPunct/>
        <w:bidi w:val="0"/>
        <w:spacing w:line="360" w:lineRule="auto"/>
        <w:ind w:firstLine="1440" w:firstLineChars="6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(加盖单位公章)</w:t>
      </w:r>
    </w:p>
    <w:p w14:paraId="103D6981">
      <w:pPr>
        <w:pageBreakBefore w:val="0"/>
        <w:kinsoku/>
        <w:wordWrap w:val="0"/>
        <w:overflowPunct/>
        <w:bidi w:val="0"/>
        <w:spacing w:line="360" w:lineRule="auto"/>
        <w:ind w:firstLine="1440" w:firstLineChars="6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法定代表人(单位负责人)或其委托代理人：</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(签字)</w:t>
      </w:r>
    </w:p>
    <w:p w14:paraId="154F47A4">
      <w:pPr>
        <w:pageBreakBefore w:val="0"/>
        <w:kinsoku/>
        <w:wordWrap w:val="0"/>
        <w:overflowPunct/>
        <w:bidi w:val="0"/>
        <w:spacing w:line="360" w:lineRule="auto"/>
        <w:ind w:firstLine="1440" w:firstLineChars="6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日</w:t>
      </w:r>
    </w:p>
    <w:p w14:paraId="0AA6F6F0">
      <w:pPr>
        <w:pageBreakBefore w:val="0"/>
        <w:kinsoku/>
        <w:wordWrap w:val="0"/>
        <w:overflowPunct/>
        <w:bidi w:val="0"/>
        <w:spacing w:line="2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232" w:name="_Toc21356"/>
      <w:bookmarkEnd w:id="232"/>
      <w:bookmarkStart w:id="233" w:name="_Toc2268"/>
    </w:p>
    <w:bookmarkEnd w:id="233"/>
    <w:p w14:paraId="193019C1">
      <w:pPr>
        <w:pStyle w:val="3"/>
        <w:pageBreakBefore w:val="0"/>
        <w:kinsoku/>
        <w:wordWrap w:val="0"/>
        <w:overflowPunct/>
        <w:bidi w:val="0"/>
        <w:jc w:val="center"/>
        <w:rPr>
          <w:rFonts w:hint="eastAsia" w:ascii="宋体" w:hAnsi="宋体" w:eastAsia="宋体" w:cs="宋体"/>
          <w:color w:val="auto"/>
          <w:highlight w:val="none"/>
        </w:rPr>
      </w:pPr>
      <w:bookmarkStart w:id="234" w:name="_Toc31521"/>
      <w:bookmarkStart w:id="235" w:name="_Toc32052"/>
      <w:r>
        <w:rPr>
          <w:rFonts w:hint="eastAsia" w:ascii="宋体" w:hAnsi="宋体" w:eastAsia="宋体" w:cs="宋体"/>
          <w:color w:val="auto"/>
          <w:highlight w:val="none"/>
        </w:rPr>
        <w:t>第三章 资格审查</w:t>
      </w:r>
      <w:bookmarkEnd w:id="234"/>
      <w:bookmarkEnd w:id="235"/>
    </w:p>
    <w:p w14:paraId="5589FC1F">
      <w:pPr>
        <w:pStyle w:val="34"/>
        <w:pageBreakBefore w:val="0"/>
        <w:kinsoku/>
        <w:wordWrap w:val="0"/>
        <w:overflowPunct/>
        <w:bidi w:val="0"/>
        <w:spacing w:before="0" w:beforeAutospacing="0" w:after="0" w:afterAutospacing="0"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公开招标采购项目开标结束后，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(和/或)</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依法对投标人的资格进行审查。合格投标人不足3家的，不得评标。</w:t>
      </w:r>
    </w:p>
    <w:p w14:paraId="7C11A0C7">
      <w:pPr>
        <w:pageBreakBefore w:val="0"/>
        <w:kinsoku/>
        <w:wordWrap w:val="0"/>
        <w:overflowPunct/>
        <w:bidi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资格审查：</w:t>
      </w:r>
    </w:p>
    <w:p w14:paraId="4728F1A0">
      <w:pPr>
        <w:pStyle w:val="15"/>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依据法律法规和招标文件的规定，对投标文件中“证明投标人的资格文件”进行审查，以确定投标人是否具备投标资格。只有通过资格审查的投标文件才能进入评标。</w:t>
      </w:r>
    </w:p>
    <w:p w14:paraId="5D6384EB">
      <w:pPr>
        <w:pStyle w:val="15"/>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不符合下列情形之一的投标文件不能通过资格审查：</w:t>
      </w:r>
    </w:p>
    <w:tbl>
      <w:tblPr>
        <w:tblStyle w:val="38"/>
        <w:tblW w:w="8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2"/>
        <w:gridCol w:w="2597"/>
        <w:gridCol w:w="4998"/>
      </w:tblGrid>
      <w:tr w14:paraId="07E76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162" w:type="dxa"/>
            <w:vMerge w:val="restart"/>
            <w:vAlign w:val="center"/>
          </w:tcPr>
          <w:p w14:paraId="1722F22F">
            <w:pPr>
              <w:pageBreakBefore w:val="0"/>
              <w:kinsoku/>
              <w:wordWrap w:val="0"/>
              <w:overflowPunct/>
              <w:bidi w:val="0"/>
              <w:spacing w:line="440" w:lineRule="exact"/>
              <w:jc w:val="center"/>
              <w:rPr>
                <w:rFonts w:hint="eastAsia" w:ascii="宋体" w:hAnsi="宋体" w:eastAsia="宋体" w:cs="宋体"/>
                <w:color w:val="auto"/>
                <w:sz w:val="24"/>
                <w:szCs w:val="24"/>
                <w:highlight w:val="none"/>
              </w:rPr>
            </w:pPr>
            <w:bookmarkStart w:id="236" w:name="_Toc5266"/>
            <w:r>
              <w:rPr>
                <w:rFonts w:hint="eastAsia" w:ascii="宋体" w:hAnsi="宋体" w:eastAsia="宋体" w:cs="宋体"/>
                <w:color w:val="auto"/>
                <w:sz w:val="24"/>
                <w:szCs w:val="24"/>
                <w:highlight w:val="none"/>
              </w:rPr>
              <w:t>资格评审标准</w:t>
            </w:r>
          </w:p>
        </w:tc>
        <w:tc>
          <w:tcPr>
            <w:tcW w:w="2597" w:type="dxa"/>
            <w:vAlign w:val="center"/>
          </w:tcPr>
          <w:p w14:paraId="71B784B9">
            <w:pPr>
              <w:keepNext w:val="0"/>
              <w:keepLines w:val="0"/>
              <w:pageBreakBefore w:val="0"/>
              <w:widowControl w:val="0"/>
              <w:kinsoku/>
              <w:wordWrap w:val="0"/>
              <w:overflowPunct/>
              <w:topLinePunct w:val="0"/>
              <w:autoSpaceDE/>
              <w:autoSpaceDN/>
              <w:bidi w:val="0"/>
              <w:adjustRightInd w:val="0"/>
              <w:snapToGrid w:val="0"/>
              <w:spacing w:before="95" w:beforeLines="30" w:after="95" w:afterLines="30" w:line="276"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满足《中华人民共和国政府采购法》第二十二条规定的资料</w:t>
            </w:r>
          </w:p>
        </w:tc>
        <w:tc>
          <w:tcPr>
            <w:tcW w:w="4998" w:type="dxa"/>
            <w:vAlign w:val="center"/>
          </w:tcPr>
          <w:p w14:paraId="3E09834D">
            <w:pPr>
              <w:keepNext w:val="0"/>
              <w:keepLines w:val="0"/>
              <w:pageBreakBefore w:val="0"/>
              <w:widowControl w:val="0"/>
              <w:kinsoku/>
              <w:wordWrap w:val="0"/>
              <w:overflowPunct/>
              <w:topLinePunct w:val="0"/>
              <w:autoSpaceDE/>
              <w:autoSpaceDN/>
              <w:bidi w:val="0"/>
              <w:adjustRightInd w:val="0"/>
              <w:snapToGrid w:val="0"/>
              <w:spacing w:before="95" w:beforeLines="30" w:after="95" w:afterLines="30" w:line="276"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投标文件的格式及签署符合招标文件规定</w:t>
            </w:r>
            <w:r>
              <w:rPr>
                <w:rFonts w:hint="eastAsia" w:ascii="宋体" w:hAnsi="宋体" w:eastAsia="宋体" w:cs="宋体"/>
                <w:color w:val="auto"/>
                <w:sz w:val="24"/>
                <w:szCs w:val="24"/>
                <w:highlight w:val="none"/>
                <w:lang w:eastAsia="zh-CN"/>
              </w:rPr>
              <w:t>；</w:t>
            </w:r>
          </w:p>
          <w:p w14:paraId="47A2DF1D">
            <w:pPr>
              <w:keepNext w:val="0"/>
              <w:keepLines w:val="0"/>
              <w:pageBreakBefore w:val="0"/>
              <w:widowControl w:val="0"/>
              <w:kinsoku/>
              <w:wordWrap w:val="0"/>
              <w:overflowPunct/>
              <w:topLinePunct w:val="0"/>
              <w:autoSpaceDE/>
              <w:autoSpaceDN/>
              <w:bidi w:val="0"/>
              <w:adjustRightInd w:val="0"/>
              <w:snapToGrid w:val="0"/>
              <w:spacing w:before="95" w:beforeLines="30" w:after="95" w:afterLines="30" w:line="276"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符合“投标人须知前附表”第1.4.1项要求；</w:t>
            </w:r>
          </w:p>
        </w:tc>
      </w:tr>
      <w:tr w14:paraId="67F4C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1162" w:type="dxa"/>
            <w:vMerge w:val="continue"/>
            <w:vAlign w:val="center"/>
          </w:tcPr>
          <w:p w14:paraId="471B2EAA">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c>
          <w:tcPr>
            <w:tcW w:w="2597" w:type="dxa"/>
            <w:vAlign w:val="center"/>
          </w:tcPr>
          <w:p w14:paraId="1F7941D8">
            <w:pPr>
              <w:keepNext w:val="0"/>
              <w:keepLines w:val="0"/>
              <w:pageBreakBefore w:val="0"/>
              <w:widowControl w:val="0"/>
              <w:kinsoku/>
              <w:wordWrap w:val="0"/>
              <w:overflowPunct/>
              <w:topLinePunct w:val="0"/>
              <w:autoSpaceDE/>
              <w:autoSpaceDN/>
              <w:bidi w:val="0"/>
              <w:adjustRightInd w:val="0"/>
              <w:snapToGrid w:val="0"/>
              <w:spacing w:before="95" w:beforeLines="30" w:after="95" w:afterLines="30" w:line="276"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满足本项目的特定资格要求的资料</w:t>
            </w:r>
          </w:p>
        </w:tc>
        <w:tc>
          <w:tcPr>
            <w:tcW w:w="4998" w:type="dxa"/>
            <w:vAlign w:val="center"/>
          </w:tcPr>
          <w:p w14:paraId="68D0787E">
            <w:pPr>
              <w:keepNext w:val="0"/>
              <w:keepLines w:val="0"/>
              <w:pageBreakBefore w:val="0"/>
              <w:widowControl w:val="0"/>
              <w:kinsoku/>
              <w:wordWrap w:val="0"/>
              <w:overflowPunct/>
              <w:topLinePunct w:val="0"/>
              <w:autoSpaceDE/>
              <w:autoSpaceDN/>
              <w:bidi w:val="0"/>
              <w:adjustRightInd w:val="0"/>
              <w:snapToGrid w:val="0"/>
              <w:spacing w:before="95" w:beforeLines="30" w:after="95" w:afterLines="30" w:line="276"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投标文件的格式及签署符合招标文件规定；</w:t>
            </w:r>
          </w:p>
          <w:p w14:paraId="325AA28B">
            <w:pPr>
              <w:keepNext w:val="0"/>
              <w:keepLines w:val="0"/>
              <w:pageBreakBefore w:val="0"/>
              <w:widowControl w:val="0"/>
              <w:kinsoku/>
              <w:wordWrap w:val="0"/>
              <w:overflowPunct/>
              <w:topLinePunct w:val="0"/>
              <w:autoSpaceDE/>
              <w:autoSpaceDN/>
              <w:bidi w:val="0"/>
              <w:adjustRightInd w:val="0"/>
              <w:snapToGrid w:val="0"/>
              <w:spacing w:before="95" w:beforeLines="30" w:after="95" w:afterLines="30" w:line="276" w:lineRule="auto"/>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符合“投标人须知前附表”第1.4.1项要求</w:t>
            </w:r>
            <w:r>
              <w:rPr>
                <w:rFonts w:hint="eastAsia" w:ascii="宋体" w:hAnsi="宋体" w:eastAsia="宋体" w:cs="宋体"/>
                <w:color w:val="auto"/>
                <w:sz w:val="24"/>
                <w:szCs w:val="24"/>
                <w:highlight w:val="none"/>
                <w:lang w:eastAsia="zh-CN"/>
              </w:rPr>
              <w:t>；</w:t>
            </w:r>
          </w:p>
        </w:tc>
      </w:tr>
      <w:tr w14:paraId="3DFA1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2" w:type="dxa"/>
            <w:vMerge w:val="continue"/>
            <w:vAlign w:val="center"/>
          </w:tcPr>
          <w:p w14:paraId="4EDC5BE0">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c>
          <w:tcPr>
            <w:tcW w:w="2597" w:type="dxa"/>
            <w:vAlign w:val="center"/>
          </w:tcPr>
          <w:p w14:paraId="157D8757">
            <w:pPr>
              <w:keepNext w:val="0"/>
              <w:keepLines w:val="0"/>
              <w:pageBreakBefore w:val="0"/>
              <w:widowControl w:val="0"/>
              <w:kinsoku/>
              <w:wordWrap w:val="0"/>
              <w:overflowPunct/>
              <w:topLinePunct w:val="0"/>
              <w:autoSpaceDE/>
              <w:autoSpaceDN/>
              <w:bidi w:val="0"/>
              <w:adjustRightInd w:val="0"/>
              <w:snapToGrid w:val="0"/>
              <w:spacing w:before="95" w:beforeLines="30" w:after="95" w:afterLines="30" w:line="276"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需落实政府采购政策的材料</w:t>
            </w:r>
          </w:p>
        </w:tc>
        <w:tc>
          <w:tcPr>
            <w:tcW w:w="4998" w:type="dxa"/>
            <w:vAlign w:val="center"/>
          </w:tcPr>
          <w:p w14:paraId="56B975B4">
            <w:pPr>
              <w:keepNext w:val="0"/>
              <w:keepLines w:val="0"/>
              <w:pageBreakBefore w:val="0"/>
              <w:widowControl w:val="0"/>
              <w:kinsoku/>
              <w:wordWrap w:val="0"/>
              <w:overflowPunct/>
              <w:topLinePunct w:val="0"/>
              <w:autoSpaceDE/>
              <w:autoSpaceDN/>
              <w:bidi w:val="0"/>
              <w:adjustRightInd w:val="0"/>
              <w:snapToGrid w:val="0"/>
              <w:spacing w:before="95" w:beforeLines="30" w:after="95" w:afterLines="30" w:line="276"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投标文件的格式及签署符合招标文件规定</w:t>
            </w:r>
            <w:r>
              <w:rPr>
                <w:rFonts w:hint="eastAsia" w:ascii="宋体" w:hAnsi="宋体" w:eastAsia="宋体" w:cs="宋体"/>
                <w:color w:val="auto"/>
                <w:sz w:val="24"/>
                <w:szCs w:val="24"/>
                <w:highlight w:val="none"/>
              </w:rPr>
              <w:t>；</w:t>
            </w:r>
          </w:p>
          <w:p w14:paraId="47CD58ED">
            <w:pPr>
              <w:keepNext w:val="0"/>
              <w:keepLines w:val="0"/>
              <w:pageBreakBefore w:val="0"/>
              <w:widowControl w:val="0"/>
              <w:kinsoku/>
              <w:wordWrap w:val="0"/>
              <w:overflowPunct/>
              <w:topLinePunct w:val="0"/>
              <w:autoSpaceDE/>
              <w:autoSpaceDN/>
              <w:bidi w:val="0"/>
              <w:adjustRightInd w:val="0"/>
              <w:snapToGrid w:val="0"/>
              <w:spacing w:before="95" w:beforeLines="30" w:after="95" w:afterLines="30" w:line="276"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符合“投标人须知前附表”第</w:t>
            </w:r>
            <w:r>
              <w:rPr>
                <w:rFonts w:hint="eastAsia" w:ascii="宋体" w:hAnsi="宋体" w:eastAsia="宋体" w:cs="宋体"/>
                <w:color w:val="auto"/>
                <w:sz w:val="24"/>
                <w:szCs w:val="24"/>
                <w:highlight w:val="none"/>
                <w:lang w:val="en-US" w:eastAsia="zh-CN"/>
              </w:rPr>
              <w:t>1.4.1及12.5</w:t>
            </w:r>
            <w:r>
              <w:rPr>
                <w:rFonts w:hint="eastAsia" w:ascii="宋体" w:hAnsi="宋体" w:eastAsia="宋体" w:cs="宋体"/>
                <w:color w:val="auto"/>
                <w:sz w:val="24"/>
                <w:szCs w:val="24"/>
                <w:highlight w:val="none"/>
              </w:rPr>
              <w:t>项要求</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符合第七章资格审查部分规定</w:t>
            </w:r>
            <w:r>
              <w:rPr>
                <w:rFonts w:hint="eastAsia" w:ascii="宋体" w:hAnsi="宋体" w:eastAsia="宋体" w:cs="宋体"/>
                <w:color w:val="auto"/>
                <w:sz w:val="24"/>
                <w:szCs w:val="24"/>
                <w:highlight w:val="none"/>
                <w:lang w:eastAsia="zh-CN"/>
              </w:rPr>
              <w:t>；</w:t>
            </w:r>
          </w:p>
        </w:tc>
      </w:tr>
      <w:tr w14:paraId="3425A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2" w:type="dxa"/>
            <w:vMerge w:val="continue"/>
            <w:vAlign w:val="center"/>
          </w:tcPr>
          <w:p w14:paraId="11BAF137">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c>
          <w:tcPr>
            <w:tcW w:w="2597" w:type="dxa"/>
            <w:vAlign w:val="center"/>
          </w:tcPr>
          <w:p w14:paraId="2E0A32DD">
            <w:pPr>
              <w:keepNext w:val="0"/>
              <w:keepLines w:val="0"/>
              <w:pageBreakBefore w:val="0"/>
              <w:widowControl w:val="0"/>
              <w:kinsoku/>
              <w:wordWrap w:val="0"/>
              <w:overflowPunct/>
              <w:topLinePunct w:val="0"/>
              <w:autoSpaceDE/>
              <w:autoSpaceDN/>
              <w:bidi w:val="0"/>
              <w:adjustRightInd w:val="0"/>
              <w:snapToGrid w:val="0"/>
              <w:spacing w:before="99" w:beforeLines="30" w:after="99" w:afterLines="30" w:line="276"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w:t>
            </w:r>
          </w:p>
        </w:tc>
        <w:tc>
          <w:tcPr>
            <w:tcW w:w="4998" w:type="dxa"/>
            <w:vAlign w:val="center"/>
          </w:tcPr>
          <w:p w14:paraId="494DFAC9">
            <w:pPr>
              <w:keepNext w:val="0"/>
              <w:keepLines w:val="0"/>
              <w:pageBreakBefore w:val="0"/>
              <w:widowControl w:val="0"/>
              <w:kinsoku/>
              <w:wordWrap w:val="0"/>
              <w:overflowPunct/>
              <w:topLinePunct w:val="0"/>
              <w:autoSpaceDE/>
              <w:autoSpaceDN/>
              <w:bidi w:val="0"/>
              <w:adjustRightInd w:val="0"/>
              <w:snapToGrid w:val="0"/>
              <w:spacing w:before="99" w:beforeLines="30" w:after="99" w:afterLines="30" w:line="276" w:lineRule="auto"/>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未以</w:t>
            </w:r>
            <w:r>
              <w:rPr>
                <w:rFonts w:hint="eastAsia" w:ascii="宋体" w:hAnsi="宋体" w:eastAsia="宋体" w:cs="宋体"/>
                <w:color w:val="auto"/>
                <w:sz w:val="24"/>
                <w:szCs w:val="24"/>
                <w:highlight w:val="none"/>
              </w:rPr>
              <w:t>联合体</w:t>
            </w:r>
            <w:r>
              <w:rPr>
                <w:rFonts w:hint="eastAsia" w:ascii="宋体" w:hAnsi="宋体" w:cs="宋体"/>
                <w:color w:val="auto"/>
                <w:sz w:val="24"/>
                <w:szCs w:val="24"/>
                <w:highlight w:val="none"/>
                <w:lang w:val="en-US" w:eastAsia="zh-CN"/>
              </w:rPr>
              <w:t>形式投标</w:t>
            </w:r>
            <w:r>
              <w:rPr>
                <w:rFonts w:hint="eastAsia" w:ascii="宋体" w:hAnsi="宋体" w:eastAsia="宋体" w:cs="宋体"/>
                <w:color w:val="auto"/>
                <w:sz w:val="24"/>
                <w:szCs w:val="24"/>
                <w:highlight w:val="none"/>
                <w:lang w:eastAsia="zh-CN"/>
              </w:rPr>
              <w:t>；</w:t>
            </w:r>
          </w:p>
        </w:tc>
      </w:tr>
      <w:tr w14:paraId="5F9A7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2" w:type="dxa"/>
            <w:vMerge w:val="continue"/>
            <w:vAlign w:val="center"/>
          </w:tcPr>
          <w:p w14:paraId="773BFFE9">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c>
          <w:tcPr>
            <w:tcW w:w="2597" w:type="dxa"/>
            <w:vAlign w:val="center"/>
          </w:tcPr>
          <w:p w14:paraId="006C4A73">
            <w:pPr>
              <w:keepNext w:val="0"/>
              <w:keepLines w:val="0"/>
              <w:pageBreakBefore w:val="0"/>
              <w:widowControl w:val="0"/>
              <w:kinsoku/>
              <w:wordWrap w:val="0"/>
              <w:overflowPunct/>
              <w:topLinePunct w:val="0"/>
              <w:autoSpaceDE/>
              <w:autoSpaceDN/>
              <w:bidi w:val="0"/>
              <w:adjustRightInd w:val="0"/>
              <w:snapToGrid w:val="0"/>
              <w:spacing w:before="95" w:beforeLines="30" w:after="95" w:afterLines="30" w:line="276"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法定代表人（负责人）身份证明或附有法定代表人身份证明的授权委托书</w:t>
            </w:r>
          </w:p>
        </w:tc>
        <w:tc>
          <w:tcPr>
            <w:tcW w:w="4998" w:type="dxa"/>
            <w:vAlign w:val="center"/>
          </w:tcPr>
          <w:p w14:paraId="44EDDB67">
            <w:pPr>
              <w:keepNext w:val="0"/>
              <w:keepLines w:val="0"/>
              <w:pageBreakBefore w:val="0"/>
              <w:widowControl w:val="0"/>
              <w:kinsoku/>
              <w:wordWrap w:val="0"/>
              <w:overflowPunct/>
              <w:topLinePunct w:val="0"/>
              <w:autoSpaceDE/>
              <w:autoSpaceDN/>
              <w:bidi w:val="0"/>
              <w:adjustRightInd w:val="0"/>
              <w:snapToGrid w:val="0"/>
              <w:spacing w:before="95" w:beforeLines="30" w:after="95" w:afterLines="30" w:line="276"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投标文件的格式及签署符合招标文件规定</w:t>
            </w:r>
            <w:r>
              <w:rPr>
                <w:rFonts w:hint="eastAsia" w:ascii="宋体" w:hAnsi="宋体" w:eastAsia="宋体" w:cs="宋体"/>
                <w:color w:val="auto"/>
                <w:sz w:val="24"/>
                <w:szCs w:val="24"/>
                <w:highlight w:val="none"/>
              </w:rPr>
              <w:t>；</w:t>
            </w:r>
          </w:p>
          <w:p w14:paraId="26A44871">
            <w:pPr>
              <w:keepNext w:val="0"/>
              <w:keepLines w:val="0"/>
              <w:pageBreakBefore w:val="0"/>
              <w:widowControl w:val="0"/>
              <w:kinsoku/>
              <w:wordWrap w:val="0"/>
              <w:overflowPunct/>
              <w:topLinePunct w:val="0"/>
              <w:autoSpaceDE/>
              <w:autoSpaceDN/>
              <w:bidi w:val="0"/>
              <w:adjustRightInd w:val="0"/>
              <w:snapToGrid w:val="0"/>
              <w:spacing w:before="95" w:beforeLines="30" w:after="95" w:afterLines="30" w:line="276"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rPr>
              <w:t>法定代表人委托代理人投标的，应附法定代表人授权委托书原件扫描件</w:t>
            </w:r>
            <w:r>
              <w:rPr>
                <w:rFonts w:hint="eastAsia" w:ascii="宋体" w:hAnsi="宋体" w:eastAsia="宋体" w:cs="宋体"/>
                <w:color w:val="auto"/>
                <w:sz w:val="24"/>
                <w:szCs w:val="24"/>
                <w:highlight w:val="none"/>
                <w:lang w:eastAsia="zh-CN"/>
              </w:rPr>
              <w:t>；</w:t>
            </w:r>
          </w:p>
        </w:tc>
      </w:tr>
      <w:tr w14:paraId="75059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2" w:type="dxa"/>
            <w:vMerge w:val="continue"/>
            <w:vAlign w:val="center"/>
          </w:tcPr>
          <w:p w14:paraId="07A40C08">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c>
          <w:tcPr>
            <w:tcW w:w="2597" w:type="dxa"/>
            <w:vAlign w:val="center"/>
          </w:tcPr>
          <w:p w14:paraId="33CCCB07">
            <w:pPr>
              <w:keepNext w:val="0"/>
              <w:keepLines w:val="0"/>
              <w:pageBreakBefore w:val="0"/>
              <w:widowControl w:val="0"/>
              <w:kinsoku/>
              <w:wordWrap w:val="0"/>
              <w:overflowPunct/>
              <w:topLinePunct w:val="0"/>
              <w:autoSpaceDE/>
              <w:autoSpaceDN/>
              <w:bidi w:val="0"/>
              <w:adjustRightInd w:val="0"/>
              <w:snapToGrid w:val="0"/>
              <w:spacing w:before="95" w:beforeLines="30" w:after="95" w:afterLines="30" w:line="276"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其他资料</w:t>
            </w:r>
          </w:p>
        </w:tc>
        <w:tc>
          <w:tcPr>
            <w:tcW w:w="4998" w:type="dxa"/>
            <w:vAlign w:val="center"/>
          </w:tcPr>
          <w:p w14:paraId="7FB2D5BF">
            <w:pPr>
              <w:keepNext w:val="0"/>
              <w:keepLines w:val="0"/>
              <w:pageBreakBefore w:val="0"/>
              <w:widowControl w:val="0"/>
              <w:kinsoku/>
              <w:wordWrap w:val="0"/>
              <w:overflowPunct/>
              <w:topLinePunct w:val="0"/>
              <w:autoSpaceDE/>
              <w:autoSpaceDN/>
              <w:bidi w:val="0"/>
              <w:adjustRightInd w:val="0"/>
              <w:snapToGrid w:val="0"/>
              <w:spacing w:before="95" w:beforeLines="30" w:after="95" w:afterLines="30" w:line="276"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投标文件的格式及签署符合招标文件规定</w:t>
            </w:r>
            <w:r>
              <w:rPr>
                <w:rFonts w:hint="eastAsia" w:ascii="宋体" w:hAnsi="宋体" w:eastAsia="宋体" w:cs="宋体"/>
                <w:color w:val="auto"/>
                <w:sz w:val="24"/>
                <w:szCs w:val="24"/>
                <w:highlight w:val="none"/>
              </w:rPr>
              <w:t>；</w:t>
            </w:r>
          </w:p>
          <w:p w14:paraId="6C5EB45D">
            <w:pPr>
              <w:keepNext w:val="0"/>
              <w:keepLines w:val="0"/>
              <w:pageBreakBefore w:val="0"/>
              <w:widowControl w:val="0"/>
              <w:kinsoku/>
              <w:wordWrap w:val="0"/>
              <w:overflowPunct/>
              <w:topLinePunct w:val="0"/>
              <w:autoSpaceDE/>
              <w:autoSpaceDN/>
              <w:bidi w:val="0"/>
              <w:adjustRightInd w:val="0"/>
              <w:snapToGrid w:val="0"/>
              <w:spacing w:before="95" w:beforeLines="30" w:after="95" w:afterLines="30" w:line="276"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符合第七章资格审查部分规定及招标文件的要求</w:t>
            </w:r>
            <w:r>
              <w:rPr>
                <w:rFonts w:hint="eastAsia" w:ascii="宋体" w:hAnsi="宋体" w:eastAsia="宋体" w:cs="宋体"/>
                <w:color w:val="auto"/>
                <w:sz w:val="24"/>
                <w:szCs w:val="24"/>
                <w:highlight w:val="none"/>
                <w:lang w:eastAsia="zh-CN"/>
              </w:rPr>
              <w:t>。</w:t>
            </w:r>
          </w:p>
        </w:tc>
      </w:tr>
    </w:tbl>
    <w:p w14:paraId="694652BC">
      <w:pPr>
        <w:pageBreakBefore w:val="0"/>
        <w:kinsoku/>
        <w:wordWrap w:val="0"/>
        <w:overflowPunct/>
        <w:bidi w:val="0"/>
        <w:jc w:val="center"/>
        <w:outlineLvl w:val="0"/>
        <w:rPr>
          <w:rStyle w:val="51"/>
          <w:rFonts w:hint="eastAsia" w:ascii="宋体" w:hAnsi="宋体" w:eastAsia="宋体" w:cs="宋体"/>
          <w:color w:val="auto"/>
          <w:highlight w:val="none"/>
          <w:lang w:val="zh-CN" w:eastAsia="zh-CN"/>
        </w:rPr>
      </w:pPr>
      <w:r>
        <w:rPr>
          <w:rFonts w:hint="eastAsia" w:ascii="宋体" w:hAnsi="宋体" w:eastAsia="宋体" w:cs="宋体"/>
          <w:b/>
          <w:bCs/>
          <w:color w:val="auto"/>
          <w:sz w:val="24"/>
          <w:szCs w:val="24"/>
          <w:highlight w:val="none"/>
        </w:rPr>
        <w:br w:type="page"/>
      </w:r>
      <w:bookmarkStart w:id="237" w:name="_Toc24870"/>
      <w:r>
        <w:rPr>
          <w:rStyle w:val="51"/>
          <w:rFonts w:hint="eastAsia" w:ascii="宋体" w:hAnsi="宋体" w:eastAsia="宋体" w:cs="宋体"/>
          <w:color w:val="auto"/>
          <w:highlight w:val="none"/>
          <w:lang w:val="zh-CN" w:eastAsia="zh-CN"/>
        </w:rPr>
        <w:t>第四章 评标办法(综合评分法)</w:t>
      </w:r>
      <w:bookmarkEnd w:id="236"/>
      <w:bookmarkEnd w:id="237"/>
    </w:p>
    <w:p w14:paraId="2AAD9D5D">
      <w:pPr>
        <w:keepNext w:val="0"/>
        <w:keepLines w:val="0"/>
        <w:pageBreakBefore w:val="0"/>
        <w:widowControl/>
        <w:kinsoku/>
        <w:wordWrap w:val="0"/>
        <w:overflowPunct/>
        <w:topLinePunct w:val="0"/>
        <w:autoSpaceDE/>
        <w:autoSpaceDN/>
        <w:bidi w:val="0"/>
        <w:adjustRightInd w:val="0"/>
        <w:snapToGrid w:val="0"/>
        <w:spacing w:line="336" w:lineRule="auto"/>
        <w:ind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一、评标机构</w:t>
      </w:r>
    </w:p>
    <w:p w14:paraId="2F40C9DA">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评标机构为评标委员会，评标委员会的组成见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投标人须知前附表7.1.1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2A2DD4C1">
      <w:pPr>
        <w:keepNext w:val="0"/>
        <w:keepLines w:val="0"/>
        <w:pageBreakBefore w:val="0"/>
        <w:widowControl/>
        <w:kinsoku/>
        <w:wordWrap w:val="0"/>
        <w:overflowPunct/>
        <w:topLinePunct w:val="0"/>
        <w:autoSpaceDE/>
        <w:autoSpaceDN/>
        <w:bidi w:val="0"/>
        <w:adjustRightInd w:val="0"/>
        <w:snapToGrid w:val="0"/>
        <w:spacing w:line="33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w:t>
      </w:r>
      <w:r>
        <w:rPr>
          <w:rFonts w:hint="eastAsia" w:ascii="宋体" w:hAnsi="宋体" w:cs="宋体"/>
          <w:b/>
          <w:bCs/>
          <w:color w:val="auto"/>
          <w:sz w:val="24"/>
          <w:szCs w:val="24"/>
          <w:highlight w:val="none"/>
          <w:lang w:eastAsia="zh-CN"/>
        </w:rPr>
        <w:t>采购人</w:t>
      </w:r>
      <w:r>
        <w:rPr>
          <w:rFonts w:hint="eastAsia" w:ascii="宋体" w:hAnsi="宋体" w:eastAsia="宋体" w:cs="宋体"/>
          <w:b/>
          <w:bCs/>
          <w:color w:val="auto"/>
          <w:sz w:val="24"/>
          <w:szCs w:val="24"/>
          <w:highlight w:val="none"/>
        </w:rPr>
        <w:t>或者</w:t>
      </w:r>
      <w:r>
        <w:rPr>
          <w:rFonts w:hint="eastAsia" w:ascii="宋体" w:hAnsi="宋体" w:cs="宋体"/>
          <w:b/>
          <w:bCs/>
          <w:color w:val="auto"/>
          <w:sz w:val="24"/>
          <w:szCs w:val="24"/>
          <w:highlight w:val="none"/>
          <w:lang w:eastAsia="zh-CN"/>
        </w:rPr>
        <w:t>采购代理机构</w:t>
      </w:r>
      <w:r>
        <w:rPr>
          <w:rFonts w:hint="eastAsia" w:ascii="宋体" w:hAnsi="宋体" w:eastAsia="宋体" w:cs="宋体"/>
          <w:b/>
          <w:bCs/>
          <w:color w:val="auto"/>
          <w:sz w:val="24"/>
          <w:szCs w:val="24"/>
          <w:highlight w:val="none"/>
        </w:rPr>
        <w:t>职责</w:t>
      </w:r>
    </w:p>
    <w:p w14:paraId="42705DA5">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或者</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负责组织评标工作，并履行下列职责：</w:t>
      </w:r>
    </w:p>
    <w:p w14:paraId="0D701A39">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(一)核对评审专家身份和</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代表授权函，对评审专家在政府采购活动中的职责履行情况予以记录，并及时将有关违法违规行为向财政部门报告。</w:t>
      </w:r>
    </w:p>
    <w:p w14:paraId="2B8B47D9">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(二)宣布评标纪律。</w:t>
      </w:r>
    </w:p>
    <w:p w14:paraId="58B0C87E">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(三)公布投标人名单，告知评审专家应当回避的情形。</w:t>
      </w:r>
    </w:p>
    <w:p w14:paraId="1511CCBE">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)在评标期间采取必要的通讯管理措施，保证评标活动不受外界干扰。</w:t>
      </w:r>
    </w:p>
    <w:p w14:paraId="07E9814D">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)根据评标委员会的要求介绍政府采购相关政策法规、招标文件。</w:t>
      </w:r>
    </w:p>
    <w:p w14:paraId="4E0699B1">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)维护评标秩序，监督评标委员会依照招标文件规定的评标程序、方法和标准进行独立评审，及时制止和纠正</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代表、评审专家的倾向性言论或者违法违规行为。</w:t>
      </w:r>
    </w:p>
    <w:p w14:paraId="047B77E4">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)核对评标结果，有《政府采购货物和服务招标投标管理办法》（财政部第87号令）第六十四条规定情形的，要求评标委员会复核或者书面说明理由，评标委员会拒绝的，应予记录并向本级财政部门报告。</w:t>
      </w:r>
    </w:p>
    <w:p w14:paraId="67C57784">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)评审工作完成后，按照规定向评审专家支付劳务报酬和异地评审差旅费，不得向评审专家以外的其他人员支付评审劳务报酬。</w:t>
      </w:r>
    </w:p>
    <w:p w14:paraId="63893407">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)处理与评标有关的其他事项。</w:t>
      </w:r>
    </w:p>
    <w:p w14:paraId="53FEA8DF">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可以在评标前说明项目背景和采购需求，说明内容不得含有歧视性、倾向性意见，不得超出招标文件所述范围。说明应当提交书面材料，并随</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一并存档。</w:t>
      </w:r>
    </w:p>
    <w:p w14:paraId="4ECC1A2A">
      <w:pPr>
        <w:keepNext w:val="0"/>
        <w:keepLines w:val="0"/>
        <w:pageBreakBefore w:val="0"/>
        <w:widowControl/>
        <w:kinsoku/>
        <w:wordWrap w:val="0"/>
        <w:overflowPunct/>
        <w:topLinePunct w:val="0"/>
        <w:autoSpaceDE/>
        <w:autoSpaceDN/>
        <w:bidi w:val="0"/>
        <w:adjustRightInd w:val="0"/>
        <w:snapToGrid w:val="0"/>
        <w:spacing w:line="33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三、评标委员会职责</w:t>
      </w:r>
    </w:p>
    <w:p w14:paraId="1A15CE30">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评标委员会负责具体评标事务，并独立履行下列职责：</w:t>
      </w:r>
    </w:p>
    <w:p w14:paraId="08738144">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(一)审查、评价投标文件是否符合招标文件的商务、技术等实质性要求。</w:t>
      </w:r>
    </w:p>
    <w:p w14:paraId="6FF8BE50">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(二)要求投标人对投标文件有关事项作出澄清或者说明。</w:t>
      </w:r>
    </w:p>
    <w:p w14:paraId="3C4D0091">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(三)对投标文件进行比较和评价。</w:t>
      </w:r>
    </w:p>
    <w:p w14:paraId="28AAF5F3">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(四)确定中标候选人名单，以及根据</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委托直接确定中标人。</w:t>
      </w:r>
    </w:p>
    <w:p w14:paraId="3288E4DC">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(五)向</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或者有关部门报告评标中发现的违法行为。</w:t>
      </w:r>
    </w:p>
    <w:p w14:paraId="0B7BEE66">
      <w:pPr>
        <w:pStyle w:val="15"/>
        <w:keepNext w:val="0"/>
        <w:keepLines w:val="0"/>
        <w:pageBreakBefore w:val="0"/>
        <w:widowControl/>
        <w:kinsoku/>
        <w:wordWrap w:val="0"/>
        <w:overflowPunct/>
        <w:topLinePunct w:val="0"/>
        <w:autoSpaceDE/>
        <w:autoSpaceDN/>
        <w:bidi w:val="0"/>
        <w:adjustRightInd w:val="0"/>
        <w:snapToGrid w:val="0"/>
        <w:spacing w:line="33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四、评标纪律</w:t>
      </w:r>
    </w:p>
    <w:p w14:paraId="71242AB7">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(一)对评标内容和评标过程要严格保密，不得向投标人或与该过程无关</w:t>
      </w:r>
      <w:r>
        <w:rPr>
          <w:rFonts w:hint="eastAsia" w:ascii="宋体" w:hAnsi="宋体" w:eastAsia="宋体" w:cs="宋体"/>
          <w:color w:val="auto"/>
          <w:sz w:val="24"/>
          <w:szCs w:val="24"/>
          <w:highlight w:val="none"/>
          <w:lang w:eastAsia="zh-CN"/>
        </w:rPr>
        <w:t>的其他</w:t>
      </w:r>
      <w:r>
        <w:rPr>
          <w:rFonts w:hint="eastAsia" w:ascii="宋体" w:hAnsi="宋体" w:eastAsia="宋体" w:cs="宋体"/>
          <w:color w:val="auto"/>
          <w:sz w:val="24"/>
          <w:szCs w:val="24"/>
          <w:highlight w:val="none"/>
        </w:rPr>
        <w:t>人员泄露。</w:t>
      </w:r>
    </w:p>
    <w:p w14:paraId="4639223D">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(二)评标期间的一切资料，包括评标意见、评标记录和评标结论，一律不得向外传和泄露。</w:t>
      </w:r>
    </w:p>
    <w:p w14:paraId="6A8B68A5">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(三)任何属于投标文件审查、澄清、评价和比较的资料，不得向投标人或与该过程无关</w:t>
      </w:r>
      <w:r>
        <w:rPr>
          <w:rFonts w:hint="eastAsia" w:ascii="宋体" w:hAnsi="宋体" w:eastAsia="宋体" w:cs="宋体"/>
          <w:color w:val="auto"/>
          <w:sz w:val="24"/>
          <w:szCs w:val="24"/>
          <w:highlight w:val="none"/>
          <w:lang w:eastAsia="zh-CN"/>
        </w:rPr>
        <w:t>的其他</w:t>
      </w:r>
      <w:r>
        <w:rPr>
          <w:rFonts w:hint="eastAsia" w:ascii="宋体" w:hAnsi="宋体" w:eastAsia="宋体" w:cs="宋体"/>
          <w:color w:val="auto"/>
          <w:sz w:val="24"/>
          <w:szCs w:val="24"/>
          <w:highlight w:val="none"/>
        </w:rPr>
        <w:t>人员泄露。</w:t>
      </w:r>
    </w:p>
    <w:p w14:paraId="16663CB6">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(四)所有资料(包括招标文件、投标文件、评标表格及各种文字记录)在评标结束后均应分别整理、存档备查，任何人不得复制和保留。</w:t>
      </w:r>
    </w:p>
    <w:p w14:paraId="6BC41132">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(五)评标期间，未经允许评标委员会以外的任何单位或部门不得参加评标和采访评标工作。</w:t>
      </w:r>
    </w:p>
    <w:p w14:paraId="31A896B8">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(六)评标期间，评标人员不得外出，确需外出时应事先请假。</w:t>
      </w:r>
    </w:p>
    <w:p w14:paraId="007B634D">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(七)评标期间，所有与会人员均不得私自以任何方式和投标人进行联系，需询问、澄清的问题由评委会统一组织办理。</w:t>
      </w:r>
    </w:p>
    <w:p w14:paraId="0108DC27">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(八)评标结束后，与会人员不得向外界透露评标人员的评标意见，如因此造成的后果由责任者承担。</w:t>
      </w:r>
    </w:p>
    <w:p w14:paraId="055C633D">
      <w:pPr>
        <w:keepNext w:val="0"/>
        <w:keepLines w:val="0"/>
        <w:pageBreakBefore w:val="0"/>
        <w:widowControl/>
        <w:kinsoku/>
        <w:wordWrap w:val="0"/>
        <w:overflowPunct/>
        <w:topLinePunct w:val="0"/>
        <w:autoSpaceDE/>
        <w:autoSpaceDN/>
        <w:bidi w:val="0"/>
        <w:adjustRightInd w:val="0"/>
        <w:snapToGrid w:val="0"/>
        <w:spacing w:line="33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五、评标原则</w:t>
      </w:r>
    </w:p>
    <w:p w14:paraId="47DA7766">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评标将遵循下列原则：</w:t>
      </w:r>
    </w:p>
    <w:p w14:paraId="2E1760D5">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(一)坚持公平、公正、科学、择优的原则，本着实事求是的精神，不带有任何主观意愿和偏见，认真负责地做好评标工作，公平、公正地对待每一个投标人。</w:t>
      </w:r>
    </w:p>
    <w:p w14:paraId="30BC49A8">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(二)全面分析，综合评审。</w:t>
      </w:r>
    </w:p>
    <w:p w14:paraId="7BD4989E">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(三)评标只对投标人的投标文件进行评审，投标文件以外的资料、信息不应作为评标的依据。</w:t>
      </w:r>
    </w:p>
    <w:p w14:paraId="644B626C">
      <w:pPr>
        <w:keepNext w:val="0"/>
        <w:keepLines w:val="0"/>
        <w:pageBreakBefore w:val="0"/>
        <w:widowControl/>
        <w:kinsoku/>
        <w:wordWrap w:val="0"/>
        <w:overflowPunct/>
        <w:topLinePunct w:val="0"/>
        <w:autoSpaceDE/>
        <w:autoSpaceDN/>
        <w:bidi w:val="0"/>
        <w:adjustRightInd w:val="0"/>
        <w:snapToGrid w:val="0"/>
        <w:spacing w:line="33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六、评标程序</w:t>
      </w:r>
    </w:p>
    <w:p w14:paraId="26AF36DA">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招标所采用的评标方法为《政府采购货物和服务招标投标管理办法》(财政部令第87号)第五十五条规定的“综合评分法”，即：投标文件满足招标文件全部实质性要求，且按照评审因素的量化指标评审得分最高的投标人为中标候选人的评标方法。</w:t>
      </w:r>
    </w:p>
    <w:p w14:paraId="5C7AA974">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评标只对通过资格审查的投标文件进行评审。评标按：符合性审查→商务和技术评估、综合比较与评价→得分汇总→评标报告编写的程序进行。</w:t>
      </w:r>
    </w:p>
    <w:p w14:paraId="1F0B67F3">
      <w:pPr>
        <w:keepNext w:val="0"/>
        <w:keepLines w:val="0"/>
        <w:pageBreakBefore w:val="0"/>
        <w:widowControl/>
        <w:kinsoku/>
        <w:wordWrap w:val="0"/>
        <w:overflowPunct/>
        <w:topLinePunct w:val="0"/>
        <w:autoSpaceDE/>
        <w:autoSpaceDN/>
        <w:bidi w:val="0"/>
        <w:adjustRightInd w:val="0"/>
        <w:snapToGrid w:val="0"/>
        <w:spacing w:line="33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(一)符合性审查</w:t>
      </w:r>
    </w:p>
    <w:p w14:paraId="25F6077E">
      <w:pPr>
        <w:pStyle w:val="15"/>
        <w:keepNext w:val="0"/>
        <w:keepLines w:val="0"/>
        <w:pageBreakBefore w:val="0"/>
        <w:widowControl/>
        <w:kinsoku/>
        <w:wordWrap w:val="0"/>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评标委员会依据符合性评审标准对符合资格的投标人的投标文件进行符合性审查，有一项不符合评审标准的，评标委员会应当否决其投标。</w:t>
      </w:r>
    </w:p>
    <w:p w14:paraId="06E7D96B">
      <w:pPr>
        <w:pStyle w:val="15"/>
        <w:pageBreakBefore w:val="0"/>
        <w:kinsoku/>
        <w:wordWrap w:val="0"/>
        <w:overflowPunct/>
        <w:bidi w:val="0"/>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1、符合性审查表</w:t>
      </w:r>
    </w:p>
    <w:tbl>
      <w:tblPr>
        <w:tblStyle w:val="38"/>
        <w:tblW w:w="95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1541"/>
        <w:gridCol w:w="6781"/>
      </w:tblGrid>
      <w:tr w14:paraId="202D1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1227" w:type="dxa"/>
          </w:tcPr>
          <w:p w14:paraId="5488403E">
            <w:pPr>
              <w:pStyle w:val="15"/>
              <w:pageBreakBefore w:val="0"/>
              <w:widowControl w:val="0"/>
              <w:kinsoku/>
              <w:wordWrap w:val="0"/>
              <w:overflowPunct/>
              <w:bidi w:val="0"/>
              <w:ind w:firstLine="0"/>
              <w:jc w:val="center"/>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审查内容</w:t>
            </w:r>
          </w:p>
        </w:tc>
        <w:tc>
          <w:tcPr>
            <w:tcW w:w="1541" w:type="dxa"/>
          </w:tcPr>
          <w:p w14:paraId="67D65BCB">
            <w:pPr>
              <w:pStyle w:val="15"/>
              <w:pageBreakBefore w:val="0"/>
              <w:widowControl w:val="0"/>
              <w:kinsoku/>
              <w:wordWrap w:val="0"/>
              <w:overflowPunct/>
              <w:bidi w:val="0"/>
              <w:ind w:firstLine="0"/>
              <w:jc w:val="center"/>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评审因素</w:t>
            </w:r>
          </w:p>
        </w:tc>
        <w:tc>
          <w:tcPr>
            <w:tcW w:w="6781" w:type="dxa"/>
          </w:tcPr>
          <w:p w14:paraId="5B889A1F">
            <w:pPr>
              <w:pStyle w:val="15"/>
              <w:pageBreakBefore w:val="0"/>
              <w:widowControl w:val="0"/>
              <w:kinsoku/>
              <w:wordWrap w:val="0"/>
              <w:overflowPunct/>
              <w:bidi w:val="0"/>
              <w:ind w:firstLine="0"/>
              <w:jc w:val="center"/>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评审标准</w:t>
            </w:r>
          </w:p>
        </w:tc>
      </w:tr>
      <w:tr w14:paraId="5C70F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227" w:type="dxa"/>
            <w:vAlign w:val="center"/>
          </w:tcPr>
          <w:p w14:paraId="5909D9D2">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报价部分</w:t>
            </w:r>
          </w:p>
        </w:tc>
        <w:tc>
          <w:tcPr>
            <w:tcW w:w="1541" w:type="dxa"/>
            <w:vAlign w:val="center"/>
          </w:tcPr>
          <w:p w14:paraId="0D4AC6A9">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ind w:firstLine="0" w:firstLineChars="0"/>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rPr>
              <w:t>投标报价</w:t>
            </w:r>
          </w:p>
        </w:tc>
        <w:tc>
          <w:tcPr>
            <w:tcW w:w="6781" w:type="dxa"/>
            <w:vAlign w:val="top"/>
          </w:tcPr>
          <w:p w14:paraId="199A66FC">
            <w:pPr>
              <w:keepNext w:val="0"/>
              <w:keepLines w:val="0"/>
              <w:pageBreakBefore w:val="0"/>
              <w:widowControl w:val="0"/>
              <w:kinsoku/>
              <w:wordWrap w:val="0"/>
              <w:overflowPunct/>
              <w:topLinePunct w:val="0"/>
              <w:autoSpaceDE/>
              <w:autoSpaceDN/>
              <w:bidi w:val="0"/>
              <w:adjustRightInd w:val="0"/>
              <w:snapToGrid w:val="0"/>
              <w:spacing w:before="64" w:beforeLines="20" w:line="30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投标文件的格式及签署符合招标文件规定</w:t>
            </w:r>
            <w:r>
              <w:rPr>
                <w:rFonts w:hint="eastAsia" w:ascii="宋体" w:hAnsi="宋体" w:eastAsia="宋体" w:cs="宋体"/>
                <w:color w:val="auto"/>
                <w:sz w:val="24"/>
                <w:szCs w:val="24"/>
                <w:highlight w:val="none"/>
              </w:rPr>
              <w:t>；</w:t>
            </w:r>
          </w:p>
          <w:p w14:paraId="1C7F5E0B">
            <w:pPr>
              <w:pStyle w:val="15"/>
              <w:keepNext w:val="0"/>
              <w:keepLines w:val="0"/>
              <w:pageBreakBefore w:val="0"/>
              <w:widowControl w:val="0"/>
              <w:kinsoku/>
              <w:wordWrap w:val="0"/>
              <w:overflowPunct/>
              <w:topLinePunct w:val="0"/>
              <w:autoSpaceDE/>
              <w:autoSpaceDN/>
              <w:bidi w:val="0"/>
              <w:adjustRightInd w:val="0"/>
              <w:snapToGrid w:val="0"/>
              <w:spacing w:before="64" w:beforeLines="20" w:line="300" w:lineRule="auto"/>
              <w:ind w:firstLine="0" w:firstLineChars="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rPr>
              <w:t>符合第二章“投标人须知”第3.2项规定</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符合第七章</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部分规定</w:t>
            </w:r>
            <w:r>
              <w:rPr>
                <w:rFonts w:hint="eastAsia" w:ascii="宋体" w:hAnsi="宋体" w:eastAsia="宋体" w:cs="宋体"/>
                <w:color w:val="auto"/>
                <w:sz w:val="24"/>
                <w:szCs w:val="24"/>
                <w:highlight w:val="none"/>
                <w:lang w:eastAsia="zh-CN"/>
              </w:rPr>
              <w:t>。</w:t>
            </w:r>
          </w:p>
          <w:p w14:paraId="4800940D">
            <w:pPr>
              <w:pStyle w:val="15"/>
              <w:keepNext w:val="0"/>
              <w:keepLines w:val="0"/>
              <w:pageBreakBefore w:val="0"/>
              <w:widowControl w:val="0"/>
              <w:kinsoku/>
              <w:wordWrap w:val="0"/>
              <w:overflowPunct/>
              <w:topLinePunct w:val="0"/>
              <w:autoSpaceDE/>
              <w:autoSpaceDN/>
              <w:bidi w:val="0"/>
              <w:adjustRightInd w:val="0"/>
              <w:snapToGrid w:val="0"/>
              <w:spacing w:before="64" w:beforeLines="20" w:line="300" w:lineRule="auto"/>
              <w:ind w:firstLine="0" w:firstLineChars="0"/>
              <w:jc w:val="both"/>
              <w:textAlignment w:val="auto"/>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.政府采购异常低价审查</w:t>
            </w:r>
            <w:r>
              <w:rPr>
                <w:rFonts w:hint="eastAsia" w:ascii="宋体" w:hAnsi="宋体" w:cs="宋体"/>
                <w:b/>
                <w:bCs/>
                <w:color w:val="auto"/>
                <w:sz w:val="24"/>
                <w:szCs w:val="24"/>
                <w:highlight w:val="none"/>
                <w:lang w:val="en-US" w:eastAsia="zh-CN"/>
              </w:rPr>
              <w:t>：</w:t>
            </w:r>
            <w:r>
              <w:rPr>
                <w:rFonts w:hint="eastAsia" w:ascii="宋体" w:hAnsi="宋体" w:eastAsia="宋体" w:cs="宋体"/>
                <w:color w:val="auto"/>
                <w:sz w:val="24"/>
                <w:szCs w:val="24"/>
                <w:highlight w:val="none"/>
                <w:lang w:val="en-US"/>
              </w:rPr>
              <w:t>符合第二章“投标人须知”第</w:t>
            </w:r>
            <w:r>
              <w:rPr>
                <w:rFonts w:hint="eastAsia" w:ascii="宋体" w:hAnsi="宋体" w:eastAsia="宋体" w:cs="宋体"/>
                <w:color w:val="auto"/>
                <w:sz w:val="24"/>
                <w:szCs w:val="24"/>
                <w:highlight w:val="none"/>
                <w:lang w:val="en-US" w:eastAsia="zh-CN"/>
              </w:rPr>
              <w:t>12.10</w:t>
            </w:r>
            <w:r>
              <w:rPr>
                <w:rFonts w:hint="eastAsia" w:ascii="宋体" w:hAnsi="宋体" w:eastAsia="宋体" w:cs="宋体"/>
                <w:color w:val="auto"/>
                <w:sz w:val="24"/>
                <w:szCs w:val="24"/>
                <w:highlight w:val="none"/>
                <w:lang w:val="en-US"/>
              </w:rPr>
              <w:t>项规定</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符合第七章</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部分规定</w:t>
            </w:r>
            <w:r>
              <w:rPr>
                <w:rFonts w:hint="eastAsia" w:ascii="宋体" w:hAnsi="宋体" w:eastAsia="宋体" w:cs="宋体"/>
                <w:color w:val="auto"/>
                <w:sz w:val="24"/>
                <w:szCs w:val="24"/>
                <w:highlight w:val="none"/>
                <w:lang w:eastAsia="zh-CN"/>
              </w:rPr>
              <w:t>。</w:t>
            </w:r>
          </w:p>
        </w:tc>
      </w:tr>
      <w:tr w14:paraId="5FE6E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227" w:type="dxa"/>
            <w:vMerge w:val="restart"/>
            <w:vAlign w:val="center"/>
          </w:tcPr>
          <w:p w14:paraId="54552BD3">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商务及技术部分</w:t>
            </w:r>
          </w:p>
        </w:tc>
        <w:tc>
          <w:tcPr>
            <w:tcW w:w="1541" w:type="dxa"/>
            <w:vAlign w:val="center"/>
          </w:tcPr>
          <w:p w14:paraId="551E6E6B">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ind w:firstLine="0" w:firstLineChars="0"/>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rPr>
              <w:t>投标有效期</w:t>
            </w:r>
          </w:p>
        </w:tc>
        <w:tc>
          <w:tcPr>
            <w:tcW w:w="6781" w:type="dxa"/>
            <w:vAlign w:val="top"/>
          </w:tcPr>
          <w:p w14:paraId="1FC5CA5A">
            <w:pPr>
              <w:keepNext w:val="0"/>
              <w:keepLines w:val="0"/>
              <w:pageBreakBefore w:val="0"/>
              <w:widowControl w:val="0"/>
              <w:kinsoku/>
              <w:wordWrap w:val="0"/>
              <w:overflowPunct/>
              <w:topLinePunct w:val="0"/>
              <w:autoSpaceDE/>
              <w:autoSpaceDN/>
              <w:bidi w:val="0"/>
              <w:adjustRightInd w:val="0"/>
              <w:snapToGrid w:val="0"/>
              <w:spacing w:before="64" w:beforeLines="20" w:line="30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投标文件的格式及签署符合招标文件规定</w:t>
            </w:r>
            <w:r>
              <w:rPr>
                <w:rFonts w:hint="eastAsia" w:ascii="宋体" w:hAnsi="宋体" w:eastAsia="宋体" w:cs="宋体"/>
                <w:color w:val="auto"/>
                <w:sz w:val="24"/>
                <w:szCs w:val="24"/>
                <w:highlight w:val="none"/>
              </w:rPr>
              <w:t>；</w:t>
            </w:r>
          </w:p>
          <w:p w14:paraId="633B1F11">
            <w:pPr>
              <w:pStyle w:val="15"/>
              <w:keepNext w:val="0"/>
              <w:keepLines w:val="0"/>
              <w:pageBreakBefore w:val="0"/>
              <w:widowControl w:val="0"/>
              <w:kinsoku/>
              <w:wordWrap w:val="0"/>
              <w:overflowPunct/>
              <w:topLinePunct w:val="0"/>
              <w:autoSpaceDE/>
              <w:autoSpaceDN/>
              <w:bidi w:val="0"/>
              <w:adjustRightInd w:val="0"/>
              <w:snapToGrid w:val="0"/>
              <w:spacing w:before="64" w:beforeLines="20" w:line="300" w:lineRule="auto"/>
              <w:ind w:firstLine="0" w:firstLineChars="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rPr>
              <w:t>符合第二章“投标人须知前附表”第3.3.1款规定</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符合第七章</w:t>
            </w:r>
            <w:r>
              <w:rPr>
                <w:rFonts w:hint="eastAsia" w:ascii="宋体" w:hAnsi="宋体" w:eastAsia="宋体" w:cs="宋体"/>
                <w:color w:val="auto"/>
                <w:sz w:val="24"/>
                <w:szCs w:val="24"/>
                <w:highlight w:val="none"/>
                <w:lang w:val="en-US" w:eastAsia="zh-CN"/>
              </w:rPr>
              <w:t>商务及技术</w:t>
            </w:r>
            <w:r>
              <w:rPr>
                <w:rFonts w:hint="eastAsia" w:ascii="宋体" w:hAnsi="宋体" w:eastAsia="宋体" w:cs="宋体"/>
                <w:color w:val="auto"/>
                <w:sz w:val="24"/>
                <w:szCs w:val="24"/>
                <w:highlight w:val="none"/>
              </w:rPr>
              <w:t>部分规定</w:t>
            </w:r>
            <w:r>
              <w:rPr>
                <w:rFonts w:hint="eastAsia" w:ascii="宋体" w:hAnsi="宋体" w:eastAsia="宋体" w:cs="宋体"/>
                <w:color w:val="auto"/>
                <w:sz w:val="24"/>
                <w:szCs w:val="24"/>
                <w:highlight w:val="none"/>
                <w:lang w:eastAsia="zh-CN"/>
              </w:rPr>
              <w:t>。</w:t>
            </w:r>
          </w:p>
        </w:tc>
      </w:tr>
      <w:tr w14:paraId="058A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227" w:type="dxa"/>
            <w:vMerge w:val="continue"/>
            <w:vAlign w:val="center"/>
          </w:tcPr>
          <w:p w14:paraId="6FC6AE73">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ind w:firstLine="0"/>
              <w:jc w:val="center"/>
              <w:textAlignment w:val="auto"/>
              <w:rPr>
                <w:rFonts w:hint="eastAsia" w:ascii="宋体" w:hAnsi="宋体" w:eastAsia="宋体" w:cs="宋体"/>
                <w:color w:val="auto"/>
                <w:sz w:val="24"/>
                <w:szCs w:val="24"/>
                <w:highlight w:val="none"/>
                <w:lang w:val="en-US" w:eastAsia="zh-CN"/>
              </w:rPr>
            </w:pPr>
          </w:p>
        </w:tc>
        <w:tc>
          <w:tcPr>
            <w:tcW w:w="1541" w:type="dxa"/>
            <w:vAlign w:val="center"/>
          </w:tcPr>
          <w:p w14:paraId="1D755E87">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投标保证金</w:t>
            </w:r>
          </w:p>
        </w:tc>
        <w:tc>
          <w:tcPr>
            <w:tcW w:w="6781" w:type="dxa"/>
            <w:vAlign w:val="top"/>
          </w:tcPr>
          <w:p w14:paraId="2911DD29">
            <w:pPr>
              <w:keepNext w:val="0"/>
              <w:keepLines w:val="0"/>
              <w:pageBreakBefore w:val="0"/>
              <w:widowControl w:val="0"/>
              <w:kinsoku/>
              <w:wordWrap w:val="0"/>
              <w:overflowPunct/>
              <w:topLinePunct w:val="0"/>
              <w:autoSpaceDE/>
              <w:autoSpaceDN/>
              <w:bidi w:val="0"/>
              <w:adjustRightInd w:val="0"/>
              <w:snapToGrid w:val="0"/>
              <w:spacing w:before="64" w:beforeLines="20" w:line="30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投标文件的格式及签署符合招标文件规定</w:t>
            </w:r>
            <w:r>
              <w:rPr>
                <w:rFonts w:hint="eastAsia" w:ascii="宋体" w:hAnsi="宋体" w:eastAsia="宋体" w:cs="宋体"/>
                <w:color w:val="auto"/>
                <w:sz w:val="24"/>
                <w:szCs w:val="24"/>
                <w:highlight w:val="none"/>
              </w:rPr>
              <w:t>；</w:t>
            </w:r>
          </w:p>
          <w:p w14:paraId="3886EEBA">
            <w:pPr>
              <w:pStyle w:val="15"/>
              <w:keepNext w:val="0"/>
              <w:keepLines w:val="0"/>
              <w:pageBreakBefore w:val="0"/>
              <w:widowControl w:val="0"/>
              <w:kinsoku/>
              <w:wordWrap w:val="0"/>
              <w:overflowPunct/>
              <w:topLinePunct w:val="0"/>
              <w:autoSpaceDE/>
              <w:autoSpaceDN/>
              <w:bidi w:val="0"/>
              <w:adjustRightInd w:val="0"/>
              <w:snapToGrid w:val="0"/>
              <w:spacing w:before="64" w:beforeLines="20" w:line="300" w:lineRule="auto"/>
              <w:ind w:firstLine="0" w:firstLine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rPr>
              <w:t>符合第二章“投标人须知前附表”第3.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rPr>
              <w:t>.1款规定</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符合第七章</w:t>
            </w:r>
            <w:r>
              <w:rPr>
                <w:rFonts w:hint="eastAsia" w:ascii="宋体" w:hAnsi="宋体" w:eastAsia="宋体" w:cs="宋体"/>
                <w:color w:val="auto"/>
                <w:sz w:val="24"/>
                <w:szCs w:val="24"/>
                <w:highlight w:val="none"/>
                <w:lang w:val="en-US" w:eastAsia="zh-CN"/>
              </w:rPr>
              <w:t>商务及技术</w:t>
            </w:r>
            <w:r>
              <w:rPr>
                <w:rFonts w:hint="eastAsia" w:ascii="宋体" w:hAnsi="宋体" w:eastAsia="宋体" w:cs="宋体"/>
                <w:color w:val="auto"/>
                <w:sz w:val="24"/>
                <w:szCs w:val="24"/>
                <w:highlight w:val="none"/>
              </w:rPr>
              <w:t>部分规定</w:t>
            </w:r>
            <w:r>
              <w:rPr>
                <w:rFonts w:hint="eastAsia" w:ascii="宋体" w:hAnsi="宋体" w:eastAsia="宋体" w:cs="宋体"/>
                <w:color w:val="auto"/>
                <w:sz w:val="24"/>
                <w:szCs w:val="24"/>
                <w:highlight w:val="none"/>
                <w:lang w:eastAsia="zh-CN"/>
              </w:rPr>
              <w:t>。</w:t>
            </w:r>
          </w:p>
        </w:tc>
      </w:tr>
      <w:tr w14:paraId="4B4F6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vMerge w:val="continue"/>
          </w:tcPr>
          <w:p w14:paraId="7657D789">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jc w:val="both"/>
              <w:textAlignment w:val="auto"/>
              <w:rPr>
                <w:rFonts w:hint="eastAsia" w:ascii="宋体" w:hAnsi="宋体" w:eastAsia="宋体" w:cs="宋体"/>
                <w:color w:val="auto"/>
                <w:sz w:val="24"/>
                <w:szCs w:val="24"/>
                <w:highlight w:val="none"/>
                <w:lang w:val="en-US"/>
              </w:rPr>
            </w:pPr>
          </w:p>
        </w:tc>
        <w:tc>
          <w:tcPr>
            <w:tcW w:w="1541" w:type="dxa"/>
            <w:vAlign w:val="center"/>
          </w:tcPr>
          <w:p w14:paraId="704A8519">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ind w:firstLine="0" w:firstLineChars="0"/>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
              </w:rPr>
              <w:t>合同履行期限</w:t>
            </w:r>
          </w:p>
        </w:tc>
        <w:tc>
          <w:tcPr>
            <w:tcW w:w="6781" w:type="dxa"/>
            <w:vAlign w:val="top"/>
          </w:tcPr>
          <w:p w14:paraId="3703A6E6">
            <w:pPr>
              <w:keepNext w:val="0"/>
              <w:keepLines w:val="0"/>
              <w:pageBreakBefore w:val="0"/>
              <w:widowControl w:val="0"/>
              <w:kinsoku/>
              <w:wordWrap w:val="0"/>
              <w:overflowPunct/>
              <w:topLinePunct w:val="0"/>
              <w:autoSpaceDE/>
              <w:autoSpaceDN/>
              <w:bidi w:val="0"/>
              <w:adjustRightInd w:val="0"/>
              <w:snapToGrid w:val="0"/>
              <w:spacing w:before="64" w:beforeLines="20" w:line="30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投标文件的格式及签署符合招标文件规定</w:t>
            </w:r>
            <w:r>
              <w:rPr>
                <w:rFonts w:hint="eastAsia" w:ascii="宋体" w:hAnsi="宋体" w:eastAsia="宋体" w:cs="宋体"/>
                <w:color w:val="auto"/>
                <w:sz w:val="24"/>
                <w:szCs w:val="24"/>
                <w:highlight w:val="none"/>
              </w:rPr>
              <w:t>；</w:t>
            </w:r>
          </w:p>
          <w:p w14:paraId="5FFBA848">
            <w:pPr>
              <w:pStyle w:val="15"/>
              <w:keepNext w:val="0"/>
              <w:keepLines w:val="0"/>
              <w:pageBreakBefore w:val="0"/>
              <w:widowControl w:val="0"/>
              <w:kinsoku/>
              <w:wordWrap w:val="0"/>
              <w:overflowPunct/>
              <w:topLinePunct w:val="0"/>
              <w:autoSpaceDE/>
              <w:autoSpaceDN/>
              <w:bidi w:val="0"/>
              <w:adjustRightInd w:val="0"/>
              <w:snapToGrid w:val="0"/>
              <w:spacing w:before="64" w:beforeLines="20" w:line="300" w:lineRule="auto"/>
              <w:ind w:firstLine="0" w:firstLineChars="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rPr>
              <w:t>符合第二章“投标人须知前附表”第1.3.2款规定</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符合第七章</w:t>
            </w:r>
            <w:r>
              <w:rPr>
                <w:rFonts w:hint="eastAsia" w:ascii="宋体" w:hAnsi="宋体" w:eastAsia="宋体" w:cs="宋体"/>
                <w:color w:val="auto"/>
                <w:sz w:val="24"/>
                <w:szCs w:val="24"/>
                <w:highlight w:val="none"/>
                <w:lang w:val="en-US" w:eastAsia="zh-CN"/>
              </w:rPr>
              <w:t>商务及技术</w:t>
            </w:r>
            <w:r>
              <w:rPr>
                <w:rFonts w:hint="eastAsia" w:ascii="宋体" w:hAnsi="宋体" w:eastAsia="宋体" w:cs="宋体"/>
                <w:color w:val="auto"/>
                <w:sz w:val="24"/>
                <w:szCs w:val="24"/>
                <w:highlight w:val="none"/>
              </w:rPr>
              <w:t>部分规定</w:t>
            </w:r>
            <w:r>
              <w:rPr>
                <w:rFonts w:hint="eastAsia" w:ascii="宋体" w:hAnsi="宋体" w:eastAsia="宋体" w:cs="宋体"/>
                <w:color w:val="auto"/>
                <w:sz w:val="24"/>
                <w:szCs w:val="24"/>
                <w:highlight w:val="none"/>
                <w:lang w:eastAsia="zh-CN"/>
              </w:rPr>
              <w:t>。</w:t>
            </w:r>
          </w:p>
        </w:tc>
      </w:tr>
      <w:tr w14:paraId="22841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227" w:type="dxa"/>
            <w:vMerge w:val="continue"/>
          </w:tcPr>
          <w:p w14:paraId="7D12D994">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jc w:val="both"/>
              <w:textAlignment w:val="auto"/>
              <w:rPr>
                <w:rFonts w:hint="eastAsia" w:ascii="宋体" w:hAnsi="宋体" w:eastAsia="宋体" w:cs="宋体"/>
                <w:color w:val="auto"/>
                <w:sz w:val="24"/>
                <w:szCs w:val="24"/>
                <w:highlight w:val="none"/>
                <w:lang w:val="en-US"/>
              </w:rPr>
            </w:pPr>
          </w:p>
        </w:tc>
        <w:tc>
          <w:tcPr>
            <w:tcW w:w="1541" w:type="dxa"/>
            <w:vAlign w:val="center"/>
          </w:tcPr>
          <w:p w14:paraId="3AF65781">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ind w:firstLine="0" w:firstLineChars="0"/>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质量要求</w:t>
            </w:r>
          </w:p>
        </w:tc>
        <w:tc>
          <w:tcPr>
            <w:tcW w:w="6781" w:type="dxa"/>
            <w:vAlign w:val="top"/>
          </w:tcPr>
          <w:p w14:paraId="5754B484">
            <w:pPr>
              <w:keepNext w:val="0"/>
              <w:keepLines w:val="0"/>
              <w:pageBreakBefore w:val="0"/>
              <w:widowControl w:val="0"/>
              <w:kinsoku/>
              <w:wordWrap w:val="0"/>
              <w:overflowPunct/>
              <w:topLinePunct w:val="0"/>
              <w:autoSpaceDE/>
              <w:autoSpaceDN/>
              <w:bidi w:val="0"/>
              <w:adjustRightInd w:val="0"/>
              <w:snapToGrid w:val="0"/>
              <w:spacing w:before="64" w:beforeLines="20" w:line="30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投标文件的格式及签署符合招标文件规定</w:t>
            </w:r>
            <w:r>
              <w:rPr>
                <w:rFonts w:hint="eastAsia" w:ascii="宋体" w:hAnsi="宋体" w:eastAsia="宋体" w:cs="宋体"/>
                <w:color w:val="auto"/>
                <w:sz w:val="24"/>
                <w:szCs w:val="24"/>
                <w:highlight w:val="none"/>
              </w:rPr>
              <w:t>；</w:t>
            </w:r>
          </w:p>
          <w:p w14:paraId="41B52815">
            <w:pPr>
              <w:pStyle w:val="15"/>
              <w:keepNext w:val="0"/>
              <w:keepLines w:val="0"/>
              <w:pageBreakBefore w:val="0"/>
              <w:widowControl w:val="0"/>
              <w:kinsoku/>
              <w:wordWrap w:val="0"/>
              <w:overflowPunct/>
              <w:topLinePunct w:val="0"/>
              <w:autoSpaceDE/>
              <w:autoSpaceDN/>
              <w:bidi w:val="0"/>
              <w:adjustRightInd w:val="0"/>
              <w:snapToGrid w:val="0"/>
              <w:spacing w:before="64" w:beforeLines="20" w:line="300" w:lineRule="auto"/>
              <w:ind w:firstLine="0" w:firstLineChars="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rPr>
              <w:t>符合第二章“投标人须知前附表”第1.3.3款规定</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符合第七章</w:t>
            </w:r>
            <w:r>
              <w:rPr>
                <w:rFonts w:hint="eastAsia" w:ascii="宋体" w:hAnsi="宋体" w:eastAsia="宋体" w:cs="宋体"/>
                <w:color w:val="auto"/>
                <w:sz w:val="24"/>
                <w:szCs w:val="24"/>
                <w:highlight w:val="none"/>
                <w:lang w:val="en-US" w:eastAsia="zh-CN"/>
              </w:rPr>
              <w:t>商务及技术</w:t>
            </w:r>
            <w:r>
              <w:rPr>
                <w:rFonts w:hint="eastAsia" w:ascii="宋体" w:hAnsi="宋体" w:eastAsia="宋体" w:cs="宋体"/>
                <w:color w:val="auto"/>
                <w:sz w:val="24"/>
                <w:szCs w:val="24"/>
                <w:highlight w:val="none"/>
              </w:rPr>
              <w:t>部分规定</w:t>
            </w:r>
            <w:r>
              <w:rPr>
                <w:rFonts w:hint="eastAsia" w:ascii="宋体" w:hAnsi="宋体" w:eastAsia="宋体" w:cs="宋体"/>
                <w:color w:val="auto"/>
                <w:sz w:val="24"/>
                <w:szCs w:val="24"/>
                <w:highlight w:val="none"/>
                <w:lang w:eastAsia="zh-CN"/>
              </w:rPr>
              <w:t>。</w:t>
            </w:r>
          </w:p>
        </w:tc>
      </w:tr>
      <w:tr w14:paraId="7A135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1227" w:type="dxa"/>
            <w:vMerge w:val="continue"/>
          </w:tcPr>
          <w:p w14:paraId="55246B9B">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jc w:val="both"/>
              <w:textAlignment w:val="auto"/>
              <w:rPr>
                <w:rFonts w:hint="eastAsia" w:ascii="宋体" w:hAnsi="宋体" w:eastAsia="宋体" w:cs="宋体"/>
                <w:color w:val="auto"/>
                <w:sz w:val="24"/>
                <w:szCs w:val="24"/>
                <w:highlight w:val="none"/>
                <w:lang w:val="en-US"/>
              </w:rPr>
            </w:pPr>
          </w:p>
        </w:tc>
        <w:tc>
          <w:tcPr>
            <w:tcW w:w="1541" w:type="dxa"/>
            <w:vAlign w:val="center"/>
          </w:tcPr>
          <w:p w14:paraId="59DFE932">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ind w:firstLine="0" w:firstLineChars="0"/>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rPr>
              <w:t>交货地点</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rPr>
              <w:t>方式</w:t>
            </w:r>
          </w:p>
        </w:tc>
        <w:tc>
          <w:tcPr>
            <w:tcW w:w="6781" w:type="dxa"/>
            <w:vAlign w:val="top"/>
          </w:tcPr>
          <w:p w14:paraId="4292A621">
            <w:pPr>
              <w:keepNext w:val="0"/>
              <w:keepLines w:val="0"/>
              <w:pageBreakBefore w:val="0"/>
              <w:widowControl w:val="0"/>
              <w:kinsoku/>
              <w:wordWrap w:val="0"/>
              <w:overflowPunct/>
              <w:topLinePunct w:val="0"/>
              <w:autoSpaceDE/>
              <w:autoSpaceDN/>
              <w:bidi w:val="0"/>
              <w:adjustRightInd w:val="0"/>
              <w:snapToGrid w:val="0"/>
              <w:spacing w:before="64" w:beforeLines="20" w:line="30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投标文件的格式及签署符合招标文件规定</w:t>
            </w:r>
            <w:r>
              <w:rPr>
                <w:rFonts w:hint="eastAsia" w:ascii="宋体" w:hAnsi="宋体" w:eastAsia="宋体" w:cs="宋体"/>
                <w:color w:val="auto"/>
                <w:sz w:val="24"/>
                <w:szCs w:val="24"/>
                <w:highlight w:val="none"/>
              </w:rPr>
              <w:t>；</w:t>
            </w:r>
          </w:p>
          <w:p w14:paraId="2E767FE2">
            <w:pPr>
              <w:pStyle w:val="15"/>
              <w:keepNext w:val="0"/>
              <w:keepLines w:val="0"/>
              <w:pageBreakBefore w:val="0"/>
              <w:widowControl w:val="0"/>
              <w:kinsoku/>
              <w:wordWrap w:val="0"/>
              <w:overflowPunct/>
              <w:topLinePunct w:val="0"/>
              <w:autoSpaceDE/>
              <w:autoSpaceDN/>
              <w:bidi w:val="0"/>
              <w:adjustRightInd w:val="0"/>
              <w:snapToGrid w:val="0"/>
              <w:spacing w:before="64" w:beforeLines="20" w:line="300" w:lineRule="auto"/>
              <w:ind w:firstLine="0" w:firstLineChars="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rPr>
              <w:t>符合第二章“投标人须知前附表”第1.3.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rPr>
              <w:t>款规定</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符合第七章</w:t>
            </w:r>
            <w:r>
              <w:rPr>
                <w:rFonts w:hint="eastAsia" w:ascii="宋体" w:hAnsi="宋体" w:eastAsia="宋体" w:cs="宋体"/>
                <w:color w:val="auto"/>
                <w:sz w:val="24"/>
                <w:szCs w:val="24"/>
                <w:highlight w:val="none"/>
                <w:lang w:val="en-US" w:eastAsia="zh-CN"/>
              </w:rPr>
              <w:t>商务及技术</w:t>
            </w:r>
            <w:r>
              <w:rPr>
                <w:rFonts w:hint="eastAsia" w:ascii="宋体" w:hAnsi="宋体" w:eastAsia="宋体" w:cs="宋体"/>
                <w:color w:val="auto"/>
                <w:sz w:val="24"/>
                <w:szCs w:val="24"/>
                <w:highlight w:val="none"/>
              </w:rPr>
              <w:t>部分规定</w:t>
            </w:r>
            <w:r>
              <w:rPr>
                <w:rFonts w:hint="eastAsia" w:ascii="宋体" w:hAnsi="宋体" w:eastAsia="宋体" w:cs="宋体"/>
                <w:color w:val="auto"/>
                <w:sz w:val="24"/>
                <w:szCs w:val="24"/>
                <w:highlight w:val="none"/>
                <w:lang w:eastAsia="zh-CN"/>
              </w:rPr>
              <w:t>。</w:t>
            </w:r>
          </w:p>
        </w:tc>
      </w:tr>
      <w:tr w14:paraId="2EE30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27" w:type="dxa"/>
            <w:vMerge w:val="continue"/>
          </w:tcPr>
          <w:p w14:paraId="62B05C34">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jc w:val="both"/>
              <w:textAlignment w:val="auto"/>
              <w:rPr>
                <w:rFonts w:hint="eastAsia" w:ascii="宋体" w:hAnsi="宋体" w:eastAsia="宋体" w:cs="宋体"/>
                <w:color w:val="auto"/>
                <w:sz w:val="24"/>
                <w:szCs w:val="24"/>
                <w:highlight w:val="none"/>
                <w:lang w:val="en-US"/>
              </w:rPr>
            </w:pPr>
          </w:p>
        </w:tc>
        <w:tc>
          <w:tcPr>
            <w:tcW w:w="1541" w:type="dxa"/>
            <w:vAlign w:val="center"/>
          </w:tcPr>
          <w:p w14:paraId="6CA05290">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ind w:firstLine="0" w:firstLineChars="0"/>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rPr>
              <w:t>投标内容</w:t>
            </w:r>
          </w:p>
        </w:tc>
        <w:tc>
          <w:tcPr>
            <w:tcW w:w="6781" w:type="dxa"/>
            <w:vAlign w:val="center"/>
          </w:tcPr>
          <w:p w14:paraId="3951FF89">
            <w:pPr>
              <w:keepNext w:val="0"/>
              <w:keepLines w:val="0"/>
              <w:pageBreakBefore w:val="0"/>
              <w:widowControl w:val="0"/>
              <w:kinsoku/>
              <w:wordWrap w:val="0"/>
              <w:overflowPunct/>
              <w:topLinePunct w:val="0"/>
              <w:autoSpaceDE/>
              <w:autoSpaceDN/>
              <w:bidi w:val="0"/>
              <w:adjustRightInd w:val="0"/>
              <w:snapToGrid w:val="0"/>
              <w:spacing w:before="64" w:beforeLines="20" w:line="30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投标文件的格式及签署符合招标文件规定</w:t>
            </w:r>
            <w:r>
              <w:rPr>
                <w:rFonts w:hint="eastAsia" w:ascii="宋体" w:hAnsi="宋体" w:eastAsia="宋体" w:cs="宋体"/>
                <w:color w:val="auto"/>
                <w:sz w:val="24"/>
                <w:szCs w:val="24"/>
                <w:highlight w:val="none"/>
              </w:rPr>
              <w:t>；</w:t>
            </w:r>
          </w:p>
          <w:p w14:paraId="305A2573">
            <w:pPr>
              <w:pStyle w:val="15"/>
              <w:keepNext w:val="0"/>
              <w:keepLines w:val="0"/>
              <w:pageBreakBefore w:val="0"/>
              <w:widowControl w:val="0"/>
              <w:kinsoku/>
              <w:wordWrap w:val="0"/>
              <w:overflowPunct/>
              <w:topLinePunct w:val="0"/>
              <w:autoSpaceDE/>
              <w:autoSpaceDN/>
              <w:bidi w:val="0"/>
              <w:adjustRightInd w:val="0"/>
              <w:snapToGrid w:val="0"/>
              <w:spacing w:before="64" w:beforeLines="20" w:line="300" w:lineRule="auto"/>
              <w:ind w:firstLine="0" w:firstLineChars="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rPr>
              <w:t>投标人提供的</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lang w:val="en-US"/>
              </w:rPr>
              <w:t>无实质性遗漏</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rPr>
              <w:t>符合第</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lang w:val="en-US"/>
              </w:rPr>
              <w:t>章“</w:t>
            </w:r>
            <w:r>
              <w:rPr>
                <w:rFonts w:hint="eastAsia" w:ascii="宋体" w:hAnsi="宋体" w:eastAsia="宋体" w:cs="宋体"/>
                <w:color w:val="auto"/>
                <w:sz w:val="24"/>
                <w:szCs w:val="24"/>
                <w:highlight w:val="none"/>
                <w:lang w:val="en-US" w:eastAsia="zh-CN"/>
              </w:rPr>
              <w:t>采购需求及技术规格要求</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rPr>
              <w:t>规定</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rPr>
              <w:t>符合第七章</w:t>
            </w:r>
            <w:r>
              <w:rPr>
                <w:rFonts w:hint="eastAsia" w:ascii="宋体" w:hAnsi="宋体" w:eastAsia="宋体" w:cs="宋体"/>
                <w:color w:val="auto"/>
                <w:sz w:val="24"/>
                <w:szCs w:val="24"/>
                <w:highlight w:val="none"/>
                <w:lang w:val="en-US" w:eastAsia="zh-CN"/>
              </w:rPr>
              <w:t>商务及技术</w:t>
            </w:r>
            <w:r>
              <w:rPr>
                <w:rFonts w:hint="eastAsia" w:ascii="宋体" w:hAnsi="宋体" w:eastAsia="宋体" w:cs="宋体"/>
                <w:color w:val="auto"/>
                <w:sz w:val="24"/>
                <w:szCs w:val="24"/>
                <w:highlight w:val="none"/>
              </w:rPr>
              <w:t>部分规定</w:t>
            </w:r>
            <w:r>
              <w:rPr>
                <w:rFonts w:hint="eastAsia" w:ascii="宋体" w:hAnsi="宋体" w:eastAsia="宋体" w:cs="宋体"/>
                <w:color w:val="auto"/>
                <w:sz w:val="24"/>
                <w:szCs w:val="24"/>
                <w:highlight w:val="none"/>
                <w:lang w:eastAsia="zh-CN"/>
              </w:rPr>
              <w:t>。</w:t>
            </w:r>
          </w:p>
        </w:tc>
      </w:tr>
      <w:tr w14:paraId="5565E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227" w:type="dxa"/>
            <w:vMerge w:val="continue"/>
          </w:tcPr>
          <w:p w14:paraId="57F305F1">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jc w:val="both"/>
              <w:textAlignment w:val="auto"/>
              <w:rPr>
                <w:rFonts w:hint="eastAsia" w:ascii="宋体" w:hAnsi="宋体" w:eastAsia="宋体" w:cs="宋体"/>
                <w:color w:val="auto"/>
                <w:sz w:val="24"/>
                <w:szCs w:val="24"/>
                <w:highlight w:val="none"/>
                <w:lang w:val="en-US"/>
              </w:rPr>
            </w:pPr>
          </w:p>
        </w:tc>
        <w:tc>
          <w:tcPr>
            <w:tcW w:w="1541" w:type="dxa"/>
            <w:vAlign w:val="center"/>
          </w:tcPr>
          <w:p w14:paraId="0FEA9517">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ind w:firstLine="0" w:firstLineChars="0"/>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rPr>
              <w:t>不允许偏离的实质性要求和条件</w:t>
            </w:r>
          </w:p>
        </w:tc>
        <w:tc>
          <w:tcPr>
            <w:tcW w:w="6781" w:type="dxa"/>
            <w:vAlign w:val="center"/>
          </w:tcPr>
          <w:p w14:paraId="4BDEA13C">
            <w:pPr>
              <w:keepNext w:val="0"/>
              <w:keepLines w:val="0"/>
              <w:pageBreakBefore w:val="0"/>
              <w:widowControl w:val="0"/>
              <w:kinsoku/>
              <w:wordWrap w:val="0"/>
              <w:overflowPunct/>
              <w:topLinePunct w:val="0"/>
              <w:autoSpaceDE/>
              <w:autoSpaceDN/>
              <w:bidi w:val="0"/>
              <w:adjustRightInd w:val="0"/>
              <w:snapToGrid w:val="0"/>
              <w:spacing w:before="64" w:beforeLines="20" w:line="30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投标文件的格式及签署符合招标文件规定</w:t>
            </w:r>
            <w:r>
              <w:rPr>
                <w:rFonts w:hint="eastAsia" w:ascii="宋体" w:hAnsi="宋体" w:eastAsia="宋体" w:cs="宋体"/>
                <w:color w:val="auto"/>
                <w:sz w:val="24"/>
                <w:szCs w:val="24"/>
                <w:highlight w:val="none"/>
              </w:rPr>
              <w:t>；</w:t>
            </w:r>
          </w:p>
          <w:p w14:paraId="58BA1094">
            <w:pPr>
              <w:keepNext w:val="0"/>
              <w:keepLines w:val="0"/>
              <w:pageBreakBefore w:val="0"/>
              <w:widowControl w:val="0"/>
              <w:kinsoku/>
              <w:wordWrap w:val="0"/>
              <w:overflowPunct/>
              <w:topLinePunct w:val="0"/>
              <w:autoSpaceDE/>
              <w:autoSpaceDN/>
              <w:bidi w:val="0"/>
              <w:adjustRightInd w:val="0"/>
              <w:snapToGrid w:val="0"/>
              <w:spacing w:before="64" w:beforeLines="20" w:line="30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符合第二章“投标人须知”第</w:t>
            </w:r>
            <w:r>
              <w:rPr>
                <w:rFonts w:hint="eastAsia" w:ascii="宋体" w:hAnsi="宋体" w:eastAsia="宋体" w:cs="宋体"/>
                <w:color w:val="auto"/>
                <w:kern w:val="2"/>
                <w:sz w:val="24"/>
                <w:szCs w:val="24"/>
                <w:highlight w:val="none"/>
              </w:rPr>
              <w:t>1.1</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条款规定</w:t>
            </w:r>
          </w:p>
        </w:tc>
      </w:tr>
      <w:tr w14:paraId="4A6E4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7" w:type="dxa"/>
            <w:vMerge w:val="continue"/>
          </w:tcPr>
          <w:p w14:paraId="470D95F1">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jc w:val="both"/>
              <w:textAlignment w:val="auto"/>
              <w:rPr>
                <w:rFonts w:hint="eastAsia" w:ascii="宋体" w:hAnsi="宋体" w:eastAsia="宋体" w:cs="宋体"/>
                <w:color w:val="auto"/>
                <w:sz w:val="24"/>
                <w:szCs w:val="24"/>
                <w:highlight w:val="none"/>
                <w:lang w:val="en-US"/>
              </w:rPr>
            </w:pPr>
          </w:p>
        </w:tc>
        <w:tc>
          <w:tcPr>
            <w:tcW w:w="1541" w:type="dxa"/>
            <w:vAlign w:val="center"/>
          </w:tcPr>
          <w:p w14:paraId="6B4CEBFB">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ind w:left="0" w:leftChars="0" w:firstLine="0" w:firstLineChars="0"/>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rPr>
              <w:t>权利义务</w:t>
            </w:r>
          </w:p>
        </w:tc>
        <w:tc>
          <w:tcPr>
            <w:tcW w:w="6781" w:type="dxa"/>
            <w:vAlign w:val="center"/>
          </w:tcPr>
          <w:p w14:paraId="559B1677">
            <w:pPr>
              <w:keepNext w:val="0"/>
              <w:keepLines w:val="0"/>
              <w:pageBreakBefore w:val="0"/>
              <w:widowControl w:val="0"/>
              <w:kinsoku/>
              <w:wordWrap w:val="0"/>
              <w:overflowPunct/>
              <w:topLinePunct w:val="0"/>
              <w:autoSpaceDE/>
              <w:autoSpaceDN/>
              <w:bidi w:val="0"/>
              <w:adjustRightInd w:val="0"/>
              <w:snapToGrid w:val="0"/>
              <w:spacing w:before="64" w:beforeLines="20" w:line="30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投标文件的格式及签署符合招标文件规定</w:t>
            </w:r>
            <w:r>
              <w:rPr>
                <w:rFonts w:hint="eastAsia" w:ascii="宋体" w:hAnsi="宋体" w:eastAsia="宋体" w:cs="宋体"/>
                <w:color w:val="auto"/>
                <w:sz w:val="24"/>
                <w:szCs w:val="24"/>
                <w:highlight w:val="none"/>
              </w:rPr>
              <w:t>；</w:t>
            </w:r>
          </w:p>
          <w:p w14:paraId="6A1ADAFA">
            <w:pPr>
              <w:pStyle w:val="15"/>
              <w:keepNext w:val="0"/>
              <w:keepLines w:val="0"/>
              <w:pageBreakBefore w:val="0"/>
              <w:widowControl w:val="0"/>
              <w:kinsoku/>
              <w:wordWrap w:val="0"/>
              <w:overflowPunct/>
              <w:topLinePunct w:val="0"/>
              <w:autoSpaceDE/>
              <w:autoSpaceDN/>
              <w:bidi w:val="0"/>
              <w:adjustRightInd w:val="0"/>
              <w:snapToGrid w:val="0"/>
              <w:spacing w:before="64" w:beforeLines="20" w:line="300" w:lineRule="auto"/>
              <w:ind w:firstLine="0" w:firstLineChars="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rPr>
              <w:t>符合第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lang w:val="en-US"/>
              </w:rPr>
              <w:t>章“合同条款及格式”</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rPr>
              <w:t>第</w:t>
            </w:r>
            <w:r>
              <w:rPr>
                <w:rFonts w:hint="eastAsia" w:ascii="宋体" w:hAnsi="宋体" w:eastAsia="宋体" w:cs="宋体"/>
                <w:color w:val="auto"/>
                <w:sz w:val="24"/>
                <w:szCs w:val="24"/>
                <w:highlight w:val="none"/>
                <w:lang w:val="en-US" w:eastAsia="zh-CN"/>
              </w:rPr>
              <w:t>六章“采购需求及技术规格要求”规定；</w:t>
            </w:r>
          </w:p>
        </w:tc>
      </w:tr>
      <w:tr w14:paraId="4B79B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vMerge w:val="continue"/>
          </w:tcPr>
          <w:p w14:paraId="7C5D9925">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jc w:val="both"/>
              <w:textAlignment w:val="auto"/>
              <w:rPr>
                <w:rFonts w:hint="eastAsia" w:ascii="宋体" w:hAnsi="宋体" w:eastAsia="宋体" w:cs="宋体"/>
                <w:color w:val="auto"/>
                <w:sz w:val="24"/>
                <w:szCs w:val="24"/>
                <w:highlight w:val="none"/>
                <w:lang w:val="en-US"/>
              </w:rPr>
            </w:pPr>
          </w:p>
        </w:tc>
        <w:tc>
          <w:tcPr>
            <w:tcW w:w="1541" w:type="dxa"/>
            <w:vAlign w:val="center"/>
          </w:tcPr>
          <w:p w14:paraId="75AF77A4">
            <w:pPr>
              <w:keepNext w:val="0"/>
              <w:keepLines w:val="0"/>
              <w:pageBreakBefore w:val="0"/>
              <w:widowControl w:val="0"/>
              <w:tabs>
                <w:tab w:val="left" w:pos="1260"/>
                <w:tab w:val="left" w:pos="1620"/>
              </w:tabs>
              <w:kinsoku/>
              <w:wordWrap w:val="0"/>
              <w:overflowPunct/>
              <w:topLinePunct w:val="0"/>
              <w:autoSpaceDE/>
              <w:autoSpaceDN/>
              <w:bidi w:val="0"/>
              <w:adjustRightInd/>
              <w:snapToGrid w:val="0"/>
              <w:spacing w:before="32" w:beforeLines="10" w:after="32" w:afterLines="10" w:line="30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其他无效情形</w:t>
            </w:r>
          </w:p>
        </w:tc>
        <w:tc>
          <w:tcPr>
            <w:tcW w:w="6781" w:type="dxa"/>
            <w:vAlign w:val="center"/>
          </w:tcPr>
          <w:p w14:paraId="35FA6B94">
            <w:pPr>
              <w:pStyle w:val="15"/>
              <w:keepNext w:val="0"/>
              <w:keepLines w:val="0"/>
              <w:pageBreakBefore w:val="0"/>
              <w:widowControl w:val="0"/>
              <w:kinsoku/>
              <w:wordWrap w:val="0"/>
              <w:overflowPunct/>
              <w:topLinePunct w:val="0"/>
              <w:autoSpaceDE/>
              <w:autoSpaceDN/>
              <w:bidi w:val="0"/>
              <w:adjustRightInd w:val="0"/>
              <w:snapToGrid w:val="0"/>
              <w:spacing w:before="64" w:beforeLines="20" w:line="300" w:lineRule="auto"/>
              <w:ind w:firstLine="0" w:firstLineChars="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rPr>
              <w:t>详见本章附件</w:t>
            </w: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lang w:val="en-US"/>
              </w:rPr>
              <w:t>：否决投标条款</w:t>
            </w:r>
          </w:p>
        </w:tc>
      </w:tr>
      <w:tr w14:paraId="704A1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vMerge w:val="continue"/>
          </w:tcPr>
          <w:p w14:paraId="3DB441DC">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jc w:val="both"/>
              <w:textAlignment w:val="auto"/>
              <w:rPr>
                <w:rFonts w:hint="eastAsia" w:ascii="宋体" w:hAnsi="宋体" w:eastAsia="宋体" w:cs="宋体"/>
                <w:color w:val="auto"/>
                <w:sz w:val="24"/>
                <w:szCs w:val="24"/>
                <w:highlight w:val="none"/>
                <w:lang w:val="en-US"/>
              </w:rPr>
            </w:pPr>
          </w:p>
        </w:tc>
        <w:tc>
          <w:tcPr>
            <w:tcW w:w="1541" w:type="dxa"/>
            <w:vAlign w:val="center"/>
          </w:tcPr>
          <w:p w14:paraId="2CC15F67">
            <w:pPr>
              <w:pStyle w:val="15"/>
              <w:keepNext w:val="0"/>
              <w:keepLines w:val="0"/>
              <w:pageBreakBefore w:val="0"/>
              <w:widowControl w:val="0"/>
              <w:kinsoku/>
              <w:wordWrap w:val="0"/>
              <w:overflowPunct/>
              <w:topLinePunct w:val="0"/>
              <w:autoSpaceDE/>
              <w:autoSpaceDN/>
              <w:bidi w:val="0"/>
              <w:adjustRightInd/>
              <w:snapToGrid w:val="0"/>
              <w:spacing w:before="32" w:beforeLines="10" w:after="32" w:afterLines="10" w:line="300" w:lineRule="auto"/>
              <w:ind w:firstLine="0" w:firstLineChars="0"/>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rPr>
              <w:t>附加条件</w:t>
            </w:r>
          </w:p>
        </w:tc>
        <w:tc>
          <w:tcPr>
            <w:tcW w:w="6781" w:type="dxa"/>
            <w:vAlign w:val="top"/>
          </w:tcPr>
          <w:p w14:paraId="1AB24AB2">
            <w:pPr>
              <w:pStyle w:val="15"/>
              <w:keepNext w:val="0"/>
              <w:keepLines w:val="0"/>
              <w:pageBreakBefore w:val="0"/>
              <w:widowControl w:val="0"/>
              <w:kinsoku/>
              <w:wordWrap w:val="0"/>
              <w:overflowPunct/>
              <w:topLinePunct w:val="0"/>
              <w:autoSpaceDE/>
              <w:autoSpaceDN/>
              <w:bidi w:val="0"/>
              <w:adjustRightInd w:val="0"/>
              <w:snapToGrid w:val="0"/>
              <w:spacing w:before="64" w:beforeLines="20" w:line="300" w:lineRule="auto"/>
              <w:ind w:firstLine="0" w:firstLineChars="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rPr>
              <w:t>投标文件未含有</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rPr>
              <w:t>不能接受的附加条件</w:t>
            </w:r>
          </w:p>
        </w:tc>
      </w:tr>
    </w:tbl>
    <w:p w14:paraId="051B5385">
      <w:pPr>
        <w:pStyle w:val="15"/>
        <w:pageBreakBefore w:val="0"/>
        <w:kinsoku/>
        <w:wordWrap w:val="0"/>
        <w:overflowPunct/>
        <w:bidi w:val="0"/>
        <w:ind w:firstLine="482" w:firstLineChars="200"/>
        <w:rPr>
          <w:rFonts w:hint="eastAsia" w:ascii="宋体" w:hAnsi="宋体" w:eastAsia="宋体" w:cs="宋体"/>
          <w:b/>
          <w:bCs/>
          <w:color w:val="auto"/>
          <w:sz w:val="24"/>
          <w:szCs w:val="24"/>
          <w:highlight w:val="none"/>
        </w:rPr>
      </w:pPr>
    </w:p>
    <w:p w14:paraId="4CBD80D7">
      <w:pPr>
        <w:pStyle w:val="15"/>
        <w:keepNext w:val="0"/>
        <w:keepLines w:val="0"/>
        <w:pageBreakBefore w:val="0"/>
        <w:kinsoku/>
        <w:wordWrap w:val="0"/>
        <w:overflowPunct/>
        <w:topLinePunct w:val="0"/>
        <w:bidi w:val="0"/>
        <w:adjustRightInd/>
        <w:snapToGrid w:val="0"/>
        <w:spacing w:before="158" w:beforeLines="50"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(二)澄清有关问题</w:t>
      </w:r>
    </w:p>
    <w:p w14:paraId="021660E4">
      <w:pPr>
        <w:pStyle w:val="15"/>
        <w:keepNext w:val="0"/>
        <w:keepLines w:val="0"/>
        <w:pageBreakBefore w:val="0"/>
        <w:kinsoku/>
        <w:wordWrap w:val="0"/>
        <w:overflowPunct/>
        <w:topLinePunct w:val="0"/>
        <w:bidi w:val="0"/>
        <w:adjustRightInd/>
        <w:snapToGrid w:val="0"/>
        <w:spacing w:before="158" w:beforeLines="50"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1.投标文件内容澄清</w:t>
      </w:r>
    </w:p>
    <w:p w14:paraId="173EEB79">
      <w:pPr>
        <w:pStyle w:val="15"/>
        <w:keepNext w:val="0"/>
        <w:keepLines w:val="0"/>
        <w:pageBreakBefore w:val="0"/>
        <w:kinsoku/>
        <w:wordWrap w:val="0"/>
        <w:overflowPunct/>
        <w:topLinePunct w:val="0"/>
        <w:bidi w:val="0"/>
        <w:adjustRightInd/>
        <w:snapToGrid w:val="0"/>
        <w:spacing w:before="158" w:beforeLines="5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77302604">
      <w:pPr>
        <w:pStyle w:val="15"/>
        <w:keepNext w:val="0"/>
        <w:keepLines w:val="0"/>
        <w:pageBreakBefore w:val="0"/>
        <w:kinsoku/>
        <w:wordWrap w:val="0"/>
        <w:overflowPunct/>
        <w:topLinePunct w:val="0"/>
        <w:bidi w:val="0"/>
        <w:adjustRightInd/>
        <w:snapToGrid w:val="0"/>
        <w:spacing w:before="158" w:beforeLines="50"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2.报价不一致情形澄清</w:t>
      </w:r>
    </w:p>
    <w:p w14:paraId="3DCD8B75">
      <w:pPr>
        <w:keepNext w:val="0"/>
        <w:keepLines w:val="0"/>
        <w:pageBreakBefore w:val="0"/>
        <w:kinsoku/>
        <w:wordWrap w:val="0"/>
        <w:overflowPunct/>
        <w:topLinePunct w:val="0"/>
        <w:bidi w:val="0"/>
        <w:adjustRightInd/>
        <w:snapToGrid w:val="0"/>
        <w:spacing w:before="158" w:beforeLines="5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投标文件报价出现前后不一致的，除招标文件另有规定外，按照下列规定修正：</w:t>
      </w:r>
    </w:p>
    <w:p w14:paraId="3321D88F">
      <w:pPr>
        <w:keepNext w:val="0"/>
        <w:keepLines w:val="0"/>
        <w:pageBreakBefore w:val="0"/>
        <w:kinsoku/>
        <w:wordWrap w:val="0"/>
        <w:overflowPunct/>
        <w:topLinePunct w:val="0"/>
        <w:bidi w:val="0"/>
        <w:adjustRightInd/>
        <w:snapToGrid w:val="0"/>
        <w:spacing w:before="158" w:beforeLines="5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21185F85">
      <w:pPr>
        <w:keepNext w:val="0"/>
        <w:keepLines w:val="0"/>
        <w:pageBreakBefore w:val="0"/>
        <w:kinsoku/>
        <w:wordWrap w:val="0"/>
        <w:overflowPunct/>
        <w:topLinePunct w:val="0"/>
        <w:bidi w:val="0"/>
        <w:adjustRightInd/>
        <w:snapToGrid w:val="0"/>
        <w:spacing w:before="158" w:beforeLines="5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0196C59A">
      <w:pPr>
        <w:keepNext w:val="0"/>
        <w:keepLines w:val="0"/>
        <w:pageBreakBefore w:val="0"/>
        <w:kinsoku/>
        <w:wordWrap w:val="0"/>
        <w:overflowPunct/>
        <w:topLinePunct w:val="0"/>
        <w:bidi w:val="0"/>
        <w:adjustRightInd/>
        <w:snapToGrid w:val="0"/>
        <w:spacing w:before="158" w:beforeLines="5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03F129B3">
      <w:pPr>
        <w:keepNext w:val="0"/>
        <w:keepLines w:val="0"/>
        <w:pageBreakBefore w:val="0"/>
        <w:kinsoku/>
        <w:wordWrap w:val="0"/>
        <w:overflowPunct/>
        <w:topLinePunct w:val="0"/>
        <w:bidi w:val="0"/>
        <w:adjustRightInd/>
        <w:snapToGrid w:val="0"/>
        <w:spacing w:before="158" w:beforeLines="5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2C7783C2">
      <w:pPr>
        <w:pStyle w:val="15"/>
        <w:keepNext w:val="0"/>
        <w:keepLines w:val="0"/>
        <w:pageBreakBefore w:val="0"/>
        <w:kinsoku/>
        <w:wordWrap w:val="0"/>
        <w:overflowPunct/>
        <w:topLinePunct w:val="0"/>
        <w:bidi w:val="0"/>
        <w:adjustRightInd/>
        <w:snapToGrid w:val="0"/>
        <w:spacing w:before="158" w:beforeLines="5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同时出现两种以上不一致的，按照前款规定的顺序修正。修正后的报价经投标人确认后产生约束力，投标人不确认的，其投标无效。</w:t>
      </w:r>
    </w:p>
    <w:p w14:paraId="17B74E5E">
      <w:pPr>
        <w:pStyle w:val="15"/>
        <w:keepNext w:val="0"/>
        <w:keepLines w:val="0"/>
        <w:pageBreakBefore w:val="0"/>
        <w:kinsoku/>
        <w:wordWrap w:val="0"/>
        <w:overflowPunct/>
        <w:topLinePunct w:val="0"/>
        <w:bidi w:val="0"/>
        <w:adjustRightInd/>
        <w:snapToGrid w:val="0"/>
        <w:spacing w:before="158" w:beforeLines="50"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3.政府采购异常低价审查　　</w:t>
      </w:r>
    </w:p>
    <w:p w14:paraId="5154AF58">
      <w:pPr>
        <w:keepNext w:val="0"/>
        <w:keepLines w:val="0"/>
        <w:pageBreakBefore w:val="0"/>
        <w:kinsoku/>
        <w:wordWrap w:val="0"/>
        <w:overflowPunct/>
        <w:topLinePunct w:val="0"/>
        <w:bidi w:val="0"/>
        <w:adjustRightInd/>
        <w:snapToGrid w:val="0"/>
        <w:spacing w:before="158" w:beforeLines="5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政府采购评审中出现下列情形之一的，评审委员会应当启动异常低价投标（响应）审查程序： </w:t>
      </w:r>
    </w:p>
    <w:p w14:paraId="032F27E6">
      <w:pPr>
        <w:keepNext w:val="0"/>
        <w:keepLines w:val="0"/>
        <w:pageBreakBefore w:val="0"/>
        <w:kinsoku/>
        <w:wordWrap w:val="0"/>
        <w:overflowPunct/>
        <w:topLinePunct w:val="0"/>
        <w:bidi w:val="0"/>
        <w:adjustRightInd/>
        <w:snapToGrid w:val="0"/>
        <w:spacing w:before="158" w:beforeLines="5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投标（响应）报价低于全部通过符合性审查供应商投标（响应）报价平均值</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%的，即投标（响应）报价&lt;全部通过符合性审查供应商投标（响应）报价平均值×</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 </w:t>
      </w:r>
    </w:p>
    <w:p w14:paraId="45A3B9C0">
      <w:pPr>
        <w:keepNext w:val="0"/>
        <w:keepLines w:val="0"/>
        <w:pageBreakBefore w:val="0"/>
        <w:kinsoku/>
        <w:wordWrap w:val="0"/>
        <w:overflowPunct/>
        <w:topLinePunct w:val="0"/>
        <w:bidi w:val="0"/>
        <w:adjustRightInd/>
        <w:snapToGrid w:val="0"/>
        <w:spacing w:before="158" w:beforeLines="5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2.投标（响应）报价低于通过符合性审查的次低报价供应商投标（响应）报价</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%的，即投标（响应）报价&lt;通过符合性审查的次低报价供应商投标（响应）报价×</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 </w:t>
      </w:r>
    </w:p>
    <w:p w14:paraId="4D673AAA">
      <w:pPr>
        <w:keepNext w:val="0"/>
        <w:keepLines w:val="0"/>
        <w:pageBreakBefore w:val="0"/>
        <w:kinsoku/>
        <w:wordWrap w:val="0"/>
        <w:overflowPunct/>
        <w:topLinePunct w:val="0"/>
        <w:bidi w:val="0"/>
        <w:adjustRightInd/>
        <w:snapToGrid w:val="0"/>
        <w:spacing w:before="158" w:beforeLines="5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3.投标（响应）报价低于采购项目最高限价</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%的，即投标（响应）报价&lt;采购项目最高限价×</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 </w:t>
      </w:r>
    </w:p>
    <w:p w14:paraId="0E9413CF">
      <w:pPr>
        <w:keepNext w:val="0"/>
        <w:keepLines w:val="0"/>
        <w:pageBreakBefore w:val="0"/>
        <w:kinsoku/>
        <w:wordWrap w:val="0"/>
        <w:overflowPunct/>
        <w:topLinePunct w:val="0"/>
        <w:bidi w:val="0"/>
        <w:adjustRightInd/>
        <w:snapToGrid w:val="0"/>
        <w:spacing w:before="158" w:beforeLines="5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4.评审委员会基于专业判断，认为供应商报价过低，有可能影响产品质量或者不能诚信履约的其他情形。 </w:t>
      </w:r>
    </w:p>
    <w:p w14:paraId="3B516986">
      <w:pPr>
        <w:keepNext w:val="0"/>
        <w:keepLines w:val="0"/>
        <w:pageBreakBefore w:val="0"/>
        <w:kinsoku/>
        <w:wordWrap w:val="0"/>
        <w:overflowPunct/>
        <w:topLinePunct w:val="0"/>
        <w:bidi w:val="0"/>
        <w:adjustRightInd/>
        <w:snapToGrid w:val="0"/>
        <w:spacing w:before="158" w:beforeLines="5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相关法律法规对供应商报价有规定的，从其规定。 </w:t>
      </w:r>
    </w:p>
    <w:p w14:paraId="3626F591">
      <w:pPr>
        <w:keepNext w:val="0"/>
        <w:keepLines w:val="0"/>
        <w:pageBreakBefore w:val="0"/>
        <w:kinsoku/>
        <w:wordWrap w:val="0"/>
        <w:overflowPunct/>
        <w:topLinePunct w:val="0"/>
        <w:bidi w:val="0"/>
        <w:adjustRightInd/>
        <w:snapToGrid w:val="0"/>
        <w:spacing w:before="158" w:beforeLines="5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0CFD3B79">
      <w:pPr>
        <w:keepNext w:val="0"/>
        <w:keepLines w:val="0"/>
        <w:pageBreakBefore w:val="0"/>
        <w:kinsoku/>
        <w:wordWrap w:val="0"/>
        <w:overflowPunct/>
        <w:topLinePunct w:val="0"/>
        <w:bidi w:val="0"/>
        <w:adjustRightInd/>
        <w:snapToGrid w:val="0"/>
        <w:spacing w:before="158" w:beforeLines="5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 w:val="24"/>
          <w:szCs w:val="24"/>
          <w:highlight w:val="none"/>
        </w:rPr>
        <w:t>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auto"/>
          <w:sz w:val="24"/>
          <w:szCs w:val="24"/>
          <w:highlight w:val="none"/>
        </w:rPr>
        <w:t> </w:t>
      </w:r>
    </w:p>
    <w:p w14:paraId="64C43892">
      <w:pPr>
        <w:keepNext w:val="0"/>
        <w:keepLines w:val="0"/>
        <w:pageBreakBefore w:val="0"/>
        <w:kinsoku/>
        <w:wordWrap w:val="0"/>
        <w:overflowPunct/>
        <w:topLinePunct w:val="0"/>
        <w:bidi w:val="0"/>
        <w:adjustRightInd/>
        <w:snapToGrid w:val="0"/>
        <w:spacing w:before="158" w:beforeLines="5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45935669">
      <w:pPr>
        <w:keepNext w:val="0"/>
        <w:keepLines w:val="0"/>
        <w:pageBreakBefore w:val="0"/>
        <w:kinsoku/>
        <w:wordWrap w:val="0"/>
        <w:overflowPunct/>
        <w:topLinePunct w:val="0"/>
        <w:bidi w:val="0"/>
        <w:adjustRightInd/>
        <w:snapToGrid w:val="0"/>
        <w:spacing w:before="158" w:beforeLines="5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41EDEB3F">
      <w:pPr>
        <w:keepNext w:val="0"/>
        <w:keepLines w:val="0"/>
        <w:pageBreakBefore w:val="0"/>
        <w:kinsoku/>
        <w:wordWrap w:val="0"/>
        <w:overflowPunct/>
        <w:topLinePunct w:val="0"/>
        <w:bidi w:val="0"/>
        <w:adjustRightInd/>
        <w:snapToGrid w:val="0"/>
        <w:spacing w:before="158" w:beforeLines="50"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(三)商务和技术评估、综合比较与评价</w:t>
      </w:r>
    </w:p>
    <w:p w14:paraId="47329CD3">
      <w:pPr>
        <w:keepNext w:val="0"/>
        <w:keepLines w:val="0"/>
        <w:pageBreakBefore w:val="0"/>
        <w:widowControl w:val="0"/>
        <w:kinsoku/>
        <w:wordWrap w:val="0"/>
        <w:overflowPunct/>
        <w:topLinePunct w:val="0"/>
        <w:bidi w:val="0"/>
        <w:adjustRightInd/>
        <w:snapToGrid w:val="0"/>
        <w:spacing w:before="158" w:beforeLines="50" w:line="360" w:lineRule="auto"/>
        <w:ind w:firstLine="472" w:firstLineChars="196"/>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.落实的政府采购政策</w:t>
      </w:r>
      <w:r>
        <w:rPr>
          <w:rFonts w:hint="eastAsia" w:ascii="宋体" w:hAnsi="宋体" w:eastAsia="宋体" w:cs="宋体"/>
          <w:b/>
          <w:bCs/>
          <w:color w:val="auto"/>
          <w:sz w:val="24"/>
          <w:szCs w:val="24"/>
          <w:highlight w:val="none"/>
          <w:lang w:val="en-US" w:eastAsia="zh-CN"/>
        </w:rPr>
        <w:t>详见“投标人须知前附表12.5”</w:t>
      </w:r>
    </w:p>
    <w:p w14:paraId="3F631BE2">
      <w:pPr>
        <w:keepNext w:val="0"/>
        <w:keepLines w:val="0"/>
        <w:pageBreakBefore w:val="0"/>
        <w:kinsoku/>
        <w:wordWrap w:val="0"/>
        <w:overflowPunct/>
        <w:topLinePunct w:val="0"/>
        <w:autoSpaceDE w:val="0"/>
        <w:autoSpaceDN w:val="0"/>
        <w:bidi w:val="0"/>
        <w:adjustRightInd/>
        <w:snapToGrid w:val="0"/>
        <w:spacing w:before="158" w:beforeLines="50" w:line="360" w:lineRule="auto"/>
        <w:ind w:firstLine="472" w:firstLineChars="196"/>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bCs/>
          <w:color w:val="auto"/>
          <w:sz w:val="24"/>
          <w:szCs w:val="24"/>
          <w:highlight w:val="none"/>
        </w:rPr>
        <w:t>.综合评分方式</w:t>
      </w:r>
    </w:p>
    <w:p w14:paraId="3DA327BE">
      <w:pPr>
        <w:pStyle w:val="15"/>
        <w:keepNext w:val="0"/>
        <w:keepLines w:val="0"/>
        <w:pageBreakBefore w:val="0"/>
        <w:kinsoku/>
        <w:wordWrap w:val="0"/>
        <w:overflowPunct/>
        <w:topLinePunct w:val="0"/>
        <w:bidi w:val="0"/>
        <w:adjustRightInd/>
        <w:snapToGrid w:val="0"/>
        <w:spacing w:before="158" w:beforeLines="5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具体评审细则如下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满分100分）</w:t>
      </w:r>
      <w:r>
        <w:rPr>
          <w:rFonts w:hint="eastAsia" w:ascii="宋体" w:hAnsi="宋体" w:eastAsia="宋体" w:cs="宋体"/>
          <w:color w:val="auto"/>
          <w:sz w:val="24"/>
          <w:szCs w:val="24"/>
          <w:highlight w:val="none"/>
        </w:rPr>
        <w:t>：</w:t>
      </w:r>
    </w:p>
    <w:tbl>
      <w:tblPr>
        <w:tblStyle w:val="38"/>
        <w:tblW w:w="10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080"/>
        <w:gridCol w:w="733"/>
        <w:gridCol w:w="7679"/>
      </w:tblGrid>
      <w:tr w14:paraId="717DF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6" w:type="dxa"/>
            <w:gridSpan w:val="2"/>
            <w:shd w:val="clear" w:color="auto" w:fill="E0E0E0"/>
            <w:vAlign w:val="center"/>
          </w:tcPr>
          <w:p w14:paraId="2BD206E2">
            <w:pPr>
              <w:pageBreakBefore w:val="0"/>
              <w:kinsoku/>
              <w:wordWrap w:val="0"/>
              <w:overflowPunct/>
              <w:bidi w:val="0"/>
              <w:snapToGrid w:val="0"/>
              <w:spacing w:line="360" w:lineRule="exact"/>
              <w:jc w:val="center"/>
              <w:rPr>
                <w:rFonts w:hint="eastAsia" w:ascii="宋体" w:hAnsi="宋体" w:eastAsia="宋体" w:cs="宋体"/>
                <w:b/>
                <w:color w:val="auto"/>
                <w:sz w:val="24"/>
                <w:szCs w:val="24"/>
                <w:highlight w:val="none"/>
              </w:rPr>
            </w:pPr>
            <w:bookmarkStart w:id="238" w:name="_Hlk22646381"/>
            <w:r>
              <w:rPr>
                <w:rFonts w:hint="eastAsia" w:ascii="宋体" w:hAnsi="宋体" w:eastAsia="宋体" w:cs="宋体"/>
                <w:b/>
                <w:color w:val="auto"/>
                <w:sz w:val="24"/>
                <w:szCs w:val="24"/>
                <w:highlight w:val="none"/>
              </w:rPr>
              <w:t>评分因素</w:t>
            </w:r>
          </w:p>
        </w:tc>
        <w:tc>
          <w:tcPr>
            <w:tcW w:w="733" w:type="dxa"/>
            <w:shd w:val="clear" w:color="auto" w:fill="E0E0E0"/>
            <w:vAlign w:val="center"/>
          </w:tcPr>
          <w:p w14:paraId="399964BE">
            <w:pPr>
              <w:pageBreakBefore w:val="0"/>
              <w:kinsoku/>
              <w:wordWrap w:val="0"/>
              <w:overflowPunct/>
              <w:bidi w:val="0"/>
              <w:snapToGrid w:val="0"/>
              <w:spacing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7679" w:type="dxa"/>
            <w:shd w:val="clear" w:color="auto" w:fill="E0E0E0"/>
            <w:vAlign w:val="center"/>
          </w:tcPr>
          <w:p w14:paraId="220256C2">
            <w:pPr>
              <w:pageBreakBefore w:val="0"/>
              <w:kinsoku/>
              <w:wordWrap w:val="0"/>
              <w:overflowPunct/>
              <w:bidi w:val="0"/>
              <w:adjustRightInd w:val="0"/>
              <w:snapToGrid w:val="0"/>
              <w:spacing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评审标准</w:t>
            </w:r>
          </w:p>
        </w:tc>
      </w:tr>
      <w:tr w14:paraId="550F6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706" w:type="dxa"/>
            <w:vAlign w:val="center"/>
          </w:tcPr>
          <w:p w14:paraId="38E9347F">
            <w:pPr>
              <w:pageBreakBefore w:val="0"/>
              <w:kinsoku/>
              <w:wordWrap w:val="0"/>
              <w:overflowPunct/>
              <w:bidi w:val="0"/>
              <w:spacing w:line="360" w:lineRule="exact"/>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报价部分</w:t>
            </w:r>
          </w:p>
        </w:tc>
        <w:tc>
          <w:tcPr>
            <w:tcW w:w="1080" w:type="dxa"/>
            <w:vAlign w:val="center"/>
          </w:tcPr>
          <w:p w14:paraId="5A7A8D70">
            <w:pPr>
              <w:pageBreakBefore w:val="0"/>
              <w:kinsoku/>
              <w:wordWrap w:val="0"/>
              <w:overflowPunct/>
              <w:bidi w:val="0"/>
              <w:spacing w:line="3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投标报价评审</w:t>
            </w:r>
          </w:p>
        </w:tc>
        <w:tc>
          <w:tcPr>
            <w:tcW w:w="733" w:type="dxa"/>
            <w:vAlign w:val="center"/>
          </w:tcPr>
          <w:p w14:paraId="6A30D7A1">
            <w:pPr>
              <w:pageBreakBefore w:val="0"/>
              <w:kinsoku/>
              <w:wordWrap w:val="0"/>
              <w:overflowPunct/>
              <w:bidi w:val="0"/>
              <w:spacing w:line="360" w:lineRule="exact"/>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分</w:t>
            </w:r>
          </w:p>
        </w:tc>
        <w:tc>
          <w:tcPr>
            <w:tcW w:w="7679" w:type="dxa"/>
            <w:vAlign w:val="center"/>
          </w:tcPr>
          <w:p w14:paraId="4CBC7B93">
            <w:pPr>
              <w:keepNext w:val="0"/>
              <w:keepLines w:val="0"/>
              <w:pageBreakBefore w:val="0"/>
              <w:widowControl/>
              <w:kinsoku/>
              <w:wordWrap w:val="0"/>
              <w:overflowPunct/>
              <w:topLinePunct w:val="0"/>
              <w:autoSpaceDE/>
              <w:autoSpaceDN/>
              <w:bidi w:val="0"/>
              <w:adjustRightInd w:val="0"/>
              <w:snapToGrid w:val="0"/>
              <w:spacing w:line="360" w:lineRule="auto"/>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根据各投标人投标总价按照以下规则进行打分。</w:t>
            </w:r>
          </w:p>
          <w:p w14:paraId="6B5FC703">
            <w:pPr>
              <w:keepNext w:val="0"/>
              <w:keepLines w:val="0"/>
              <w:pageBreakBefore w:val="0"/>
              <w:widowControl/>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算术修正报价</w:t>
            </w:r>
          </w:p>
          <w:p w14:paraId="7EA038C5">
            <w:pPr>
              <w:keepNext w:val="0"/>
              <w:keepLines w:val="0"/>
              <w:pageBreakBefore w:val="0"/>
              <w:widowControl/>
              <w:kinsoku/>
              <w:wordWrap w:val="0"/>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若存在算术修正，应按修正后的</w:t>
            </w:r>
            <w:r>
              <w:rPr>
                <w:rFonts w:hint="eastAsia" w:ascii="宋体" w:hAnsi="宋体" w:eastAsia="宋体" w:cs="宋体"/>
                <w:color w:val="auto"/>
                <w:spacing w:val="6"/>
                <w:sz w:val="24"/>
                <w:szCs w:val="24"/>
                <w:highlight w:val="none"/>
              </w:rPr>
              <w:t>投标总价</w:t>
            </w:r>
            <w:r>
              <w:rPr>
                <w:rFonts w:hint="eastAsia" w:ascii="宋体" w:hAnsi="宋体" w:eastAsia="宋体" w:cs="宋体"/>
                <w:color w:val="auto"/>
                <w:sz w:val="24"/>
                <w:szCs w:val="24"/>
                <w:highlight w:val="none"/>
              </w:rPr>
              <w:t>进行</w:t>
            </w:r>
            <w:r>
              <w:rPr>
                <w:rFonts w:hint="eastAsia" w:ascii="宋体" w:hAnsi="宋体" w:eastAsia="宋体" w:cs="宋体"/>
                <w:color w:val="auto"/>
                <w:sz w:val="24"/>
                <w:szCs w:val="24"/>
                <w:highlight w:val="none"/>
                <w:lang w:val="en-US" w:eastAsia="zh-CN"/>
              </w:rPr>
              <w:t>评标</w:t>
            </w:r>
            <w:r>
              <w:rPr>
                <w:rFonts w:hint="eastAsia" w:ascii="宋体" w:hAnsi="宋体" w:eastAsia="宋体" w:cs="宋体"/>
                <w:color w:val="auto"/>
                <w:sz w:val="24"/>
                <w:szCs w:val="24"/>
                <w:highlight w:val="none"/>
              </w:rPr>
              <w:t>基准价和投标报价得分计算</w:t>
            </w:r>
          </w:p>
          <w:p w14:paraId="6CB2BE5D">
            <w:pPr>
              <w:keepNext w:val="0"/>
              <w:keepLines w:val="0"/>
              <w:pageBreakBefore w:val="0"/>
              <w:widowControl/>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lang w:val="en-US" w:eastAsia="zh-CN"/>
              </w:rPr>
              <w:t>2.</w:t>
            </w:r>
            <w:r>
              <w:rPr>
                <w:rFonts w:hint="eastAsia" w:ascii="宋体" w:hAnsi="宋体" w:eastAsia="宋体" w:cs="宋体"/>
                <w:b/>
                <w:bCs/>
                <w:color w:val="auto"/>
                <w:spacing w:val="6"/>
                <w:sz w:val="24"/>
                <w:szCs w:val="24"/>
                <w:highlight w:val="none"/>
              </w:rPr>
              <w:t>政策优惠报价--小微企业或</w:t>
            </w:r>
            <w:r>
              <w:rPr>
                <w:rFonts w:hint="eastAsia" w:ascii="宋体" w:hAnsi="宋体" w:eastAsia="宋体" w:cs="宋体"/>
                <w:b/>
                <w:bCs/>
                <w:color w:val="auto"/>
                <w:sz w:val="24"/>
                <w:szCs w:val="24"/>
                <w:highlight w:val="none"/>
              </w:rPr>
              <w:t>监狱企业或残疾人福利性单位</w:t>
            </w:r>
            <w:r>
              <w:rPr>
                <w:rFonts w:hint="eastAsia" w:ascii="宋体" w:hAnsi="宋体" w:eastAsia="宋体" w:cs="宋体"/>
                <w:b/>
                <w:bCs/>
                <w:color w:val="auto"/>
                <w:spacing w:val="6"/>
                <w:sz w:val="24"/>
                <w:szCs w:val="24"/>
                <w:highlight w:val="none"/>
              </w:rPr>
              <w:t>政策</w:t>
            </w:r>
          </w:p>
          <w:p w14:paraId="77E489ED">
            <w:pPr>
              <w:keepNext w:val="0"/>
              <w:keepLines w:val="0"/>
              <w:pageBreakBefore w:val="0"/>
              <w:widowControl/>
              <w:kinsoku/>
              <w:wordWrap w:val="0"/>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若存在符合条件的小微企业或监狱企业或残疾人福利性单位给予的报价优惠的情形，用扣除后的</w:t>
            </w:r>
            <w:r>
              <w:rPr>
                <w:rFonts w:hint="eastAsia" w:ascii="宋体" w:hAnsi="宋体" w:eastAsia="宋体" w:cs="宋体"/>
                <w:b/>
                <w:bCs/>
                <w:color w:val="auto"/>
                <w:sz w:val="24"/>
                <w:szCs w:val="24"/>
                <w:highlight w:val="none"/>
                <w:lang w:val="en-US" w:eastAsia="zh-CN"/>
              </w:rPr>
              <w:t>评标价</w:t>
            </w:r>
            <w:r>
              <w:rPr>
                <w:rFonts w:hint="eastAsia" w:ascii="宋体" w:hAnsi="宋体" w:eastAsia="宋体" w:cs="宋体"/>
                <w:color w:val="auto"/>
                <w:sz w:val="24"/>
                <w:szCs w:val="24"/>
                <w:highlight w:val="none"/>
              </w:rPr>
              <w:t>进行评标基准价和投标报价得分计算。</w:t>
            </w:r>
            <w:r>
              <w:rPr>
                <w:rFonts w:hint="eastAsia" w:ascii="宋体" w:hAnsi="宋体" w:eastAsia="宋体" w:cs="宋体"/>
                <w:b/>
                <w:bCs/>
                <w:color w:val="auto"/>
                <w:sz w:val="24"/>
                <w:szCs w:val="24"/>
                <w:highlight w:val="none"/>
              </w:rPr>
              <w:t>对于同时属于小微企业、监狱企业或残疾人福利性单位的，不重复进行投标报价扣除。</w:t>
            </w:r>
            <w:r>
              <w:rPr>
                <w:rFonts w:hint="eastAsia" w:ascii="宋体" w:hAnsi="宋体" w:eastAsia="宋体" w:cs="宋体"/>
                <w:color w:val="auto"/>
                <w:sz w:val="24"/>
                <w:szCs w:val="24"/>
                <w:highlight w:val="none"/>
              </w:rPr>
              <w:t>若同时存在算术修正，应在算术修正后的报价基础上进行优惠报价的扣除。</w:t>
            </w:r>
          </w:p>
          <w:p w14:paraId="752C1E2B">
            <w:pPr>
              <w:keepNext w:val="0"/>
              <w:keepLines w:val="0"/>
              <w:pageBreakBefore w:val="0"/>
              <w:widowControl/>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3.评标价=投标总价算数修正、政策优惠后的价格</w:t>
            </w:r>
          </w:p>
          <w:p w14:paraId="24B0FBD1">
            <w:pPr>
              <w:keepNext w:val="0"/>
              <w:keepLines w:val="0"/>
              <w:pageBreakBefore w:val="0"/>
              <w:widowControl/>
              <w:kinsoku/>
              <w:wordWrap w:val="0"/>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lang w:val="en-US" w:eastAsia="zh-CN"/>
              </w:rPr>
              <w:t>4.</w:t>
            </w:r>
            <w:r>
              <w:rPr>
                <w:rFonts w:hint="eastAsia" w:ascii="宋体" w:hAnsi="宋体" w:eastAsia="宋体" w:cs="宋体"/>
                <w:b/>
                <w:bCs/>
                <w:color w:val="auto"/>
                <w:spacing w:val="6"/>
                <w:sz w:val="24"/>
                <w:szCs w:val="24"/>
                <w:highlight w:val="none"/>
              </w:rPr>
              <w:t>评标基准价</w:t>
            </w:r>
            <w:r>
              <w:rPr>
                <w:rFonts w:hint="eastAsia" w:ascii="宋体" w:hAnsi="宋体" w:eastAsia="宋体" w:cs="宋体"/>
                <w:color w:val="auto"/>
                <w:sz w:val="24"/>
                <w:szCs w:val="24"/>
                <w:highlight w:val="none"/>
              </w:rPr>
              <w:t>＝满足招标文件要求且</w:t>
            </w:r>
            <w:r>
              <w:rPr>
                <w:rFonts w:hint="eastAsia" w:ascii="宋体" w:hAnsi="宋体" w:eastAsia="宋体" w:cs="宋体"/>
                <w:b/>
                <w:bCs/>
                <w:color w:val="auto"/>
                <w:spacing w:val="6"/>
                <w:sz w:val="24"/>
                <w:szCs w:val="24"/>
                <w:highlight w:val="none"/>
                <w:lang w:val="en-US" w:eastAsia="zh-CN"/>
              </w:rPr>
              <w:t>投标总价</w:t>
            </w:r>
            <w:r>
              <w:rPr>
                <w:rFonts w:hint="eastAsia" w:ascii="宋体" w:hAnsi="宋体" w:eastAsia="宋体" w:cs="宋体"/>
                <w:color w:val="auto"/>
                <w:spacing w:val="6"/>
                <w:sz w:val="24"/>
                <w:szCs w:val="24"/>
                <w:highlight w:val="none"/>
                <w:lang w:val="en-US" w:eastAsia="zh-CN"/>
              </w:rPr>
              <w:t>评标价</w:t>
            </w:r>
            <w:r>
              <w:rPr>
                <w:rFonts w:hint="eastAsia" w:ascii="宋体" w:hAnsi="宋体" w:eastAsia="宋体" w:cs="宋体"/>
                <w:color w:val="auto"/>
                <w:sz w:val="24"/>
                <w:szCs w:val="24"/>
                <w:highlight w:val="none"/>
              </w:rPr>
              <w:t>最低的</w:t>
            </w:r>
            <w:r>
              <w:rPr>
                <w:rFonts w:hint="eastAsia" w:ascii="宋体" w:hAnsi="宋体" w:eastAsia="宋体" w:cs="宋体"/>
                <w:color w:val="auto"/>
                <w:sz w:val="24"/>
                <w:szCs w:val="24"/>
                <w:highlight w:val="none"/>
                <w:lang w:val="en-US" w:eastAsia="zh-CN"/>
              </w:rPr>
              <w:t>评标价</w:t>
            </w:r>
            <w:r>
              <w:rPr>
                <w:rFonts w:hint="eastAsia" w:ascii="宋体" w:hAnsi="宋体" w:eastAsia="宋体" w:cs="宋体"/>
                <w:color w:val="auto"/>
                <w:sz w:val="24"/>
                <w:szCs w:val="24"/>
                <w:highlight w:val="none"/>
              </w:rPr>
              <w:t>为评标基准价；</w:t>
            </w:r>
          </w:p>
          <w:p w14:paraId="49D7DAF3">
            <w:pPr>
              <w:keepNext w:val="0"/>
              <w:keepLines w:val="0"/>
              <w:pageBreakBefore w:val="0"/>
              <w:widowControl/>
              <w:kinsoku/>
              <w:wordWrap w:val="0"/>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lang w:val="en-US" w:eastAsia="zh-CN"/>
              </w:rPr>
              <w:t>5.</w:t>
            </w:r>
            <w:r>
              <w:rPr>
                <w:rFonts w:hint="eastAsia" w:ascii="宋体" w:hAnsi="宋体" w:eastAsia="宋体" w:cs="宋体"/>
                <w:b/>
                <w:bCs/>
                <w:color w:val="auto"/>
                <w:spacing w:val="6"/>
                <w:sz w:val="24"/>
                <w:szCs w:val="24"/>
                <w:highlight w:val="none"/>
              </w:rPr>
              <w:t>得分计算</w:t>
            </w:r>
            <w:r>
              <w:rPr>
                <w:rFonts w:hint="eastAsia" w:ascii="宋体" w:hAnsi="宋体" w:eastAsia="宋体" w:cs="宋体"/>
                <w:color w:val="auto"/>
                <w:spacing w:val="6"/>
                <w:sz w:val="24"/>
                <w:szCs w:val="24"/>
                <w:highlight w:val="none"/>
              </w:rPr>
              <w:t>：</w:t>
            </w:r>
            <w:r>
              <w:rPr>
                <w:rFonts w:hint="eastAsia" w:ascii="宋体" w:hAnsi="宋体" w:eastAsia="宋体" w:cs="宋体"/>
                <w:color w:val="auto"/>
                <w:sz w:val="24"/>
                <w:szCs w:val="24"/>
                <w:highlight w:val="none"/>
              </w:rPr>
              <w:t>满足招标文件要求且</w:t>
            </w:r>
            <w:r>
              <w:rPr>
                <w:rFonts w:hint="eastAsia" w:ascii="宋体" w:hAnsi="宋体" w:eastAsia="宋体" w:cs="宋体"/>
                <w:b/>
                <w:bCs/>
                <w:color w:val="auto"/>
                <w:spacing w:val="6"/>
                <w:sz w:val="24"/>
                <w:szCs w:val="24"/>
                <w:highlight w:val="none"/>
                <w:lang w:val="en-US" w:eastAsia="zh-CN"/>
              </w:rPr>
              <w:t>投标总价</w:t>
            </w:r>
            <w:r>
              <w:rPr>
                <w:rFonts w:hint="eastAsia" w:ascii="宋体" w:hAnsi="宋体" w:eastAsia="宋体" w:cs="宋体"/>
                <w:color w:val="auto"/>
                <w:sz w:val="24"/>
                <w:szCs w:val="24"/>
                <w:highlight w:val="none"/>
              </w:rPr>
              <w:t>最低的</w:t>
            </w:r>
            <w:r>
              <w:rPr>
                <w:rFonts w:hint="eastAsia" w:ascii="宋体" w:hAnsi="宋体" w:eastAsia="宋体" w:cs="宋体"/>
                <w:color w:val="auto"/>
                <w:sz w:val="24"/>
                <w:szCs w:val="24"/>
                <w:highlight w:val="none"/>
                <w:lang w:val="en-US" w:eastAsia="zh-CN"/>
              </w:rPr>
              <w:t>评标价</w:t>
            </w:r>
            <w:r>
              <w:rPr>
                <w:rFonts w:hint="eastAsia" w:ascii="宋体" w:hAnsi="宋体" w:eastAsia="宋体" w:cs="宋体"/>
                <w:color w:val="auto"/>
                <w:sz w:val="24"/>
                <w:szCs w:val="24"/>
                <w:highlight w:val="none"/>
              </w:rPr>
              <w:t>，其价格分为满分。其他投标人的价格分统一按照下列公式计算：</w:t>
            </w:r>
          </w:p>
          <w:p w14:paraId="75EB9331">
            <w:pPr>
              <w:keepNext w:val="0"/>
              <w:keepLines w:val="0"/>
              <w:pageBreakBefore w:val="0"/>
              <w:widowControl/>
              <w:kinsoku/>
              <w:wordWrap w:val="0"/>
              <w:overflowPunct/>
              <w:topLinePunct w:val="0"/>
              <w:autoSpaceDE/>
              <w:autoSpaceDN/>
              <w:bidi w:val="0"/>
              <w:adjustRightInd w:val="0"/>
              <w:snapToGrid w:val="0"/>
              <w:spacing w:line="360" w:lineRule="auto"/>
              <w:textAlignment w:val="auto"/>
              <w:rPr>
                <w:rFonts w:hint="default"/>
                <w:color w:val="auto"/>
                <w:highlight w:val="none"/>
                <w:lang w:val="en-US"/>
              </w:rPr>
            </w:pPr>
            <w:r>
              <w:rPr>
                <w:rFonts w:hint="eastAsia" w:ascii="宋体" w:hAnsi="宋体" w:eastAsia="宋体" w:cs="宋体"/>
                <w:b/>
                <w:bCs/>
                <w:color w:val="auto"/>
                <w:sz w:val="24"/>
                <w:szCs w:val="24"/>
                <w:highlight w:val="none"/>
              </w:rPr>
              <w:t>投标报价得分</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(评标基准价/评标价)×</w:t>
            </w:r>
            <w:r>
              <w:rPr>
                <w:rFonts w:hint="eastAsia" w:ascii="宋体" w:hAnsi="宋体" w:cs="宋体"/>
                <w:b/>
                <w:bCs/>
                <w:color w:val="auto"/>
                <w:sz w:val="24"/>
                <w:szCs w:val="24"/>
                <w:highlight w:val="none"/>
                <w:lang w:val="en-US" w:eastAsia="zh-CN"/>
              </w:rPr>
              <w:t>30</w:t>
            </w:r>
          </w:p>
        </w:tc>
      </w:tr>
      <w:tr w14:paraId="3D708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706" w:type="dxa"/>
            <w:vMerge w:val="restart"/>
            <w:vAlign w:val="center"/>
          </w:tcPr>
          <w:p w14:paraId="2015144D">
            <w:pPr>
              <w:pageBreakBefore w:val="0"/>
              <w:kinsoku/>
              <w:wordWrap w:val="0"/>
              <w:overflowPunct/>
              <w:bidi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商务及技术部分</w:t>
            </w:r>
          </w:p>
        </w:tc>
        <w:tc>
          <w:tcPr>
            <w:tcW w:w="1080" w:type="dxa"/>
            <w:vMerge w:val="restart"/>
            <w:vAlign w:val="center"/>
          </w:tcPr>
          <w:p w14:paraId="5D9E1EA2">
            <w:pPr>
              <w:pageBreakBefore w:val="0"/>
              <w:kinsoku/>
              <w:wordWrap w:val="0"/>
              <w:overflowPunct/>
              <w:bidi w:val="0"/>
              <w:spacing w:line="36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技术能力</w:t>
            </w:r>
          </w:p>
        </w:tc>
        <w:tc>
          <w:tcPr>
            <w:tcW w:w="733" w:type="dxa"/>
            <w:vAlign w:val="center"/>
          </w:tcPr>
          <w:p w14:paraId="58C6920A">
            <w:pPr>
              <w:pageBreakBefore w:val="0"/>
              <w:kinsoku/>
              <w:wordWrap w:val="0"/>
              <w:overflowPunct/>
              <w:bidi w:val="0"/>
              <w:spacing w:line="360" w:lineRule="exact"/>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1分</w:t>
            </w:r>
          </w:p>
        </w:tc>
        <w:tc>
          <w:tcPr>
            <w:tcW w:w="7679" w:type="dxa"/>
            <w:shd w:val="clear" w:color="auto" w:fill="auto"/>
            <w:vAlign w:val="center"/>
          </w:tcPr>
          <w:p w14:paraId="30B346AC">
            <w:pPr>
              <w:keepNext w:val="0"/>
              <w:keepLines w:val="0"/>
              <w:pageBreakBefore w:val="0"/>
              <w:widowControl/>
              <w:kinsoku/>
              <w:wordWrap w:val="0"/>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投标产品有一项及以上认定为节能产品或环保产品的得1分。</w:t>
            </w:r>
          </w:p>
          <w:p w14:paraId="5455F457">
            <w:pPr>
              <w:keepNext w:val="0"/>
              <w:keepLines w:val="0"/>
              <w:pageBreakBefore w:val="0"/>
              <w:widowControl/>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投标产品属于优先采购范围内的节能产品的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经国家认定的节能产品或环境标志产品，提供国家确定的认证机构出具的有效期内的节能产品认证证书或环境标志产品认证证书扫描件（加盖电子签章）。</w:t>
            </w:r>
          </w:p>
          <w:p w14:paraId="6430425E">
            <w:pPr>
              <w:keepNext w:val="0"/>
              <w:keepLines w:val="0"/>
              <w:pageBreakBefore w:val="0"/>
              <w:widowControl/>
              <w:kinsoku/>
              <w:wordWrap w:val="0"/>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宋体"/>
                <w:color w:val="auto"/>
                <w:sz w:val="21"/>
                <w:szCs w:val="21"/>
                <w:highlight w:val="none"/>
                <w:lang w:val="en-US" w:eastAsia="zh-CN" w:bidi="ar-SA"/>
              </w:rPr>
            </w:pPr>
            <w:r>
              <w:rPr>
                <w:rFonts w:hint="eastAsia" w:ascii="宋体" w:hAnsi="宋体" w:eastAsia="宋体" w:cs="宋体"/>
                <w:color w:val="auto"/>
                <w:sz w:val="24"/>
                <w:szCs w:val="24"/>
                <w:highlight w:val="none"/>
              </w:rPr>
              <w:t>未提供的不得分。</w:t>
            </w:r>
          </w:p>
        </w:tc>
      </w:tr>
      <w:tr w14:paraId="3788A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0" w:hRule="atLeast"/>
          <w:jc w:val="center"/>
        </w:trPr>
        <w:tc>
          <w:tcPr>
            <w:tcW w:w="706" w:type="dxa"/>
            <w:vMerge w:val="continue"/>
            <w:vAlign w:val="center"/>
          </w:tcPr>
          <w:p w14:paraId="565D3756">
            <w:pPr>
              <w:pageBreakBefore w:val="0"/>
              <w:kinsoku/>
              <w:wordWrap w:val="0"/>
              <w:overflowPunct/>
              <w:bidi w:val="0"/>
              <w:spacing w:line="360" w:lineRule="exact"/>
              <w:jc w:val="center"/>
              <w:rPr>
                <w:rFonts w:hint="eastAsia" w:ascii="宋体" w:hAnsi="宋体" w:eastAsia="宋体" w:cs="宋体"/>
                <w:color w:val="auto"/>
                <w:sz w:val="24"/>
                <w:szCs w:val="24"/>
                <w:highlight w:val="none"/>
                <w:lang w:val="en-US" w:eastAsia="zh-CN"/>
              </w:rPr>
            </w:pPr>
          </w:p>
        </w:tc>
        <w:tc>
          <w:tcPr>
            <w:tcW w:w="1080" w:type="dxa"/>
            <w:vMerge w:val="continue"/>
            <w:vAlign w:val="center"/>
          </w:tcPr>
          <w:p w14:paraId="40CC4856">
            <w:pPr>
              <w:pageBreakBefore w:val="0"/>
              <w:kinsoku/>
              <w:wordWrap w:val="0"/>
              <w:overflowPunct/>
              <w:bidi w:val="0"/>
              <w:spacing w:line="360" w:lineRule="exact"/>
              <w:jc w:val="center"/>
              <w:rPr>
                <w:rFonts w:hint="eastAsia" w:ascii="宋体" w:hAnsi="宋体" w:eastAsia="宋体" w:cs="宋体"/>
                <w:color w:val="auto"/>
                <w:sz w:val="24"/>
                <w:szCs w:val="24"/>
                <w:highlight w:val="none"/>
                <w:lang w:val="en-US" w:eastAsia="zh-CN" w:bidi="ar-SA"/>
              </w:rPr>
            </w:pPr>
          </w:p>
        </w:tc>
        <w:tc>
          <w:tcPr>
            <w:tcW w:w="733" w:type="dxa"/>
            <w:vAlign w:val="center"/>
          </w:tcPr>
          <w:p w14:paraId="197BD5C7">
            <w:pPr>
              <w:pageBreakBefore w:val="0"/>
              <w:kinsoku/>
              <w:wordWrap w:val="0"/>
              <w:overflowPunct/>
              <w:bidi w:val="0"/>
              <w:spacing w:line="360" w:lineRule="exact"/>
              <w:jc w:val="center"/>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23</w:t>
            </w:r>
            <w:r>
              <w:rPr>
                <w:rFonts w:hint="eastAsia" w:ascii="宋体" w:hAnsi="宋体" w:eastAsia="宋体" w:cs="宋体"/>
                <w:bCs/>
                <w:color w:val="auto"/>
                <w:sz w:val="24"/>
                <w:szCs w:val="24"/>
                <w:highlight w:val="none"/>
              </w:rPr>
              <w:t>分</w:t>
            </w:r>
          </w:p>
        </w:tc>
        <w:tc>
          <w:tcPr>
            <w:tcW w:w="7679" w:type="dxa"/>
            <w:vAlign w:val="center"/>
          </w:tcPr>
          <w:p w14:paraId="733F7356">
            <w:pPr>
              <w:keepNext w:val="0"/>
              <w:keepLines w:val="0"/>
              <w:pageBreakBefore w:val="0"/>
              <w:widowControl/>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（1）重要技术参数评审评分（满分15分）</w:t>
            </w:r>
          </w:p>
          <w:p w14:paraId="76317133">
            <w:pPr>
              <w:keepNext w:val="0"/>
              <w:keepLines w:val="0"/>
              <w:pageBreakBefore w:val="0"/>
              <w:widowControl/>
              <w:kinsoku/>
              <w:wordWrap w:val="0"/>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根据投标人对第六章《采购需求及技术规格要求》技术参数及要求的响应情况进行评审，标注“</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”参数为重要技术参数，若投标人未对重要技术参数内容作出响应或响应为负偏离的，每一条扣</w:t>
            </w:r>
            <w:r>
              <w:rPr>
                <w:rFonts w:hint="eastAsia" w:ascii="宋体" w:hAnsi="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lang w:val="en-US" w:eastAsia="zh-CN"/>
              </w:rPr>
              <w:t>分</w:t>
            </w:r>
            <w:r>
              <w:rPr>
                <w:rFonts w:hint="eastAsia" w:ascii="宋体" w:hAnsi="宋体" w:cs="宋体"/>
                <w:color w:val="auto"/>
                <w:sz w:val="24"/>
                <w:szCs w:val="24"/>
                <w:highlight w:val="none"/>
                <w:u w:val="none"/>
                <w:lang w:val="en-US" w:eastAsia="zh-CN"/>
              </w:rPr>
              <w:t>，</w:t>
            </w:r>
            <w:r>
              <w:rPr>
                <w:rFonts w:hint="eastAsia" w:ascii="宋体" w:hAnsi="宋体" w:cs="宋体"/>
                <w:color w:val="auto"/>
                <w:szCs w:val="21"/>
                <w:highlight w:val="none"/>
              </w:rPr>
              <w:t>扣完为止。</w:t>
            </w:r>
          </w:p>
          <w:p w14:paraId="53C3DE57">
            <w:pPr>
              <w:keepNext w:val="0"/>
              <w:keepLines w:val="0"/>
              <w:pageBreakBefore w:val="0"/>
              <w:widowControl/>
              <w:kinsoku/>
              <w:wordWrap w:val="0"/>
              <w:overflowPunct/>
              <w:topLinePunct w:val="0"/>
              <w:autoSpaceDE/>
              <w:autoSpaceDN/>
              <w:bidi w:val="0"/>
              <w:adjustRightInd w:val="0"/>
              <w:snapToGrid w:val="0"/>
              <w:spacing w:line="360" w:lineRule="auto"/>
              <w:ind w:firstLine="482"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注意：招标文件要求提供技术参数证明材料的参数及对应要求的证明材料:</w:t>
            </w:r>
            <w:r>
              <w:rPr>
                <w:rFonts w:hint="eastAsia" w:ascii="仿宋" w:hAnsi="仿宋" w:eastAsia="仿宋" w:cs="仿宋"/>
                <w:b/>
                <w:bCs/>
                <w:color w:val="auto"/>
                <w:sz w:val="24"/>
                <w:szCs w:val="24"/>
                <w:highlight w:val="none"/>
                <w:lang w:val="en-US" w:eastAsia="zh-CN"/>
              </w:rPr>
              <w:t>①</w:t>
            </w:r>
            <w:r>
              <w:rPr>
                <w:rFonts w:hint="eastAsia" w:ascii="宋体" w:hAnsi="宋体" w:cs="宋体"/>
                <w:b/>
                <w:bCs/>
                <w:color w:val="auto"/>
                <w:sz w:val="24"/>
                <w:szCs w:val="24"/>
                <w:highlight w:val="none"/>
                <w:lang w:val="en-US" w:eastAsia="zh-CN"/>
              </w:rPr>
              <w:t>针对第六章“技术指标内容”中有明确要求证明材料的参数，投标人除如实填写技术规格偏离表外，还须提供符合“技术指标内容”要求的证明材料。</w:t>
            </w:r>
            <w:r>
              <w:rPr>
                <w:rFonts w:hint="eastAsia" w:ascii="仿宋" w:hAnsi="仿宋" w:eastAsia="仿宋" w:cs="仿宋"/>
                <w:b/>
                <w:bCs/>
                <w:color w:val="auto"/>
                <w:sz w:val="24"/>
                <w:szCs w:val="24"/>
                <w:highlight w:val="none"/>
                <w:lang w:val="en-US" w:eastAsia="zh-CN"/>
              </w:rPr>
              <w:t>②</w:t>
            </w:r>
            <w:r>
              <w:rPr>
                <w:rFonts w:hint="eastAsia" w:ascii="宋体" w:hAnsi="宋体" w:cs="宋体"/>
                <w:b/>
                <w:bCs/>
                <w:color w:val="auto"/>
                <w:sz w:val="24"/>
                <w:szCs w:val="24"/>
                <w:highlight w:val="none"/>
                <w:lang w:val="en-US" w:eastAsia="zh-CN"/>
              </w:rPr>
              <w:t>针对第六章“技术指标内容”中没有明确要求证明材料但为标注“</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的重要参数，投标人除如实填写技术规格偏离表外，还须提供最新技术支持资料支持技术规格偏离表应答(技术支持资料包括:检验报告或宣传彩页或图纸或技术白皮书或软件功能截图等，不接受投标人自行印刷、打印或者手写的技术支持资料)。凡不符合上述要求的，视为未提供技术参数证明材料</w:t>
            </w:r>
            <w:r>
              <w:rPr>
                <w:rFonts w:hint="eastAsia" w:ascii="宋体" w:hAnsi="宋体" w:eastAsia="宋体" w:cs="宋体"/>
                <w:b/>
                <w:bCs/>
                <w:color w:val="auto"/>
                <w:sz w:val="24"/>
                <w:szCs w:val="24"/>
                <w:highlight w:val="none"/>
                <w:lang w:val="en-US" w:eastAsia="zh-CN"/>
              </w:rPr>
              <w:t>，视为负偏离。</w:t>
            </w:r>
          </w:p>
          <w:p w14:paraId="197886C0">
            <w:pPr>
              <w:keepNext w:val="0"/>
              <w:keepLines w:val="0"/>
              <w:pageBreakBefore w:val="0"/>
              <w:widowControl/>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（2）一般技术参数评审评分（满分</w:t>
            </w:r>
            <w:r>
              <w:rPr>
                <w:rFonts w:hint="eastAsia" w:ascii="宋体" w:hAnsi="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val="en-US" w:eastAsia="zh-CN"/>
              </w:rPr>
              <w:t>分）</w:t>
            </w:r>
          </w:p>
          <w:p w14:paraId="0F53C527">
            <w:pPr>
              <w:keepNext w:val="0"/>
              <w:keepLines w:val="0"/>
              <w:pageBreakBefore w:val="0"/>
              <w:widowControl/>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根据投标人对第六章《采购需求及技术规格要求》技术参数及要求的响应情况进行评审，未标注“</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”号的为一般技术参数，若投标人未对一般技术参数内容作出响应或响应为负偏离的，每出现一条扣</w:t>
            </w:r>
            <w:r>
              <w:rPr>
                <w:rFonts w:hint="eastAsia" w:ascii="宋体" w:hAnsi="宋体" w:eastAsia="宋体" w:cs="宋体"/>
                <w:color w:val="auto"/>
                <w:sz w:val="24"/>
                <w:szCs w:val="24"/>
                <w:highlight w:val="none"/>
                <w:u w:val="single"/>
                <w:lang w:val="en-US" w:eastAsia="zh-CN"/>
              </w:rPr>
              <w:t>0.5</w:t>
            </w:r>
            <w:r>
              <w:rPr>
                <w:rFonts w:hint="eastAsia" w:ascii="宋体" w:hAnsi="宋体" w:eastAsia="宋体" w:cs="宋体"/>
                <w:color w:val="auto"/>
                <w:sz w:val="24"/>
                <w:szCs w:val="24"/>
                <w:highlight w:val="none"/>
                <w:lang w:val="en-US" w:eastAsia="zh-CN"/>
              </w:rPr>
              <w:t>分，扣完为止。</w:t>
            </w:r>
          </w:p>
          <w:p w14:paraId="1ABE5EEF">
            <w:pPr>
              <w:keepNext w:val="0"/>
              <w:keepLines w:val="0"/>
              <w:pageBreakBefore w:val="0"/>
              <w:widowControl/>
              <w:kinsoku/>
              <w:wordWrap w:val="0"/>
              <w:overflowPunct/>
              <w:topLinePunct w:val="0"/>
              <w:autoSpaceDE/>
              <w:autoSpaceDN/>
              <w:bidi w:val="0"/>
              <w:adjustRightInd w:val="0"/>
              <w:snapToGrid w:val="0"/>
              <w:spacing w:line="360" w:lineRule="auto"/>
              <w:ind w:firstLine="482"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注意：招标文件要求提供技术参数证明材料的参数及对应要求的证明材料:</w:t>
            </w:r>
            <w:r>
              <w:rPr>
                <w:rFonts w:hint="eastAsia" w:ascii="仿宋" w:hAnsi="仿宋" w:eastAsia="仿宋" w:cs="仿宋"/>
                <w:b/>
                <w:bCs/>
                <w:color w:val="auto"/>
                <w:sz w:val="24"/>
                <w:szCs w:val="24"/>
                <w:highlight w:val="none"/>
                <w:lang w:val="en-US" w:eastAsia="zh-CN"/>
              </w:rPr>
              <w:t>①</w:t>
            </w:r>
            <w:r>
              <w:rPr>
                <w:rFonts w:hint="eastAsia" w:ascii="宋体" w:hAnsi="宋体" w:cs="宋体"/>
                <w:b/>
                <w:bCs/>
                <w:color w:val="auto"/>
                <w:sz w:val="24"/>
                <w:szCs w:val="24"/>
                <w:highlight w:val="none"/>
                <w:lang w:val="en-US" w:eastAsia="zh-CN"/>
              </w:rPr>
              <w:t>针对第六章“技术指标内容”中有明确要求证明材料的参数，投标人除如实填写技术规格偏离表外，还须提供符合“技术指标内容”要求的证明材料。凡不符合上述要求的，视为未提供技术参数证明材料</w:t>
            </w:r>
            <w:r>
              <w:rPr>
                <w:rFonts w:hint="eastAsia" w:ascii="宋体" w:hAnsi="宋体" w:eastAsia="宋体" w:cs="宋体"/>
                <w:b/>
                <w:bCs/>
                <w:color w:val="auto"/>
                <w:sz w:val="24"/>
                <w:szCs w:val="24"/>
                <w:highlight w:val="none"/>
                <w:lang w:val="en-US" w:eastAsia="zh-CN"/>
              </w:rPr>
              <w:t>，视为负偏离。</w:t>
            </w:r>
          </w:p>
          <w:p w14:paraId="29FA02BD">
            <w:pPr>
              <w:keepNext w:val="0"/>
              <w:keepLines w:val="0"/>
              <w:pageBreakBefore w:val="0"/>
              <w:widowControl/>
              <w:kinsoku/>
              <w:wordWrap w:val="0"/>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专家根据第六章采购需求及技术规格要求中的“技术指标内容”评审投标人的技术参数响应情况。</w:t>
            </w:r>
          </w:p>
        </w:tc>
      </w:tr>
      <w:tr w14:paraId="62251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6" w:type="dxa"/>
            <w:vMerge w:val="continue"/>
            <w:vAlign w:val="center"/>
          </w:tcPr>
          <w:p w14:paraId="41E410AA">
            <w:pPr>
              <w:pageBreakBefore w:val="0"/>
              <w:widowControl/>
              <w:shd w:val="clear" w:color="auto" w:fill="FFFFFF" w:themeFill="background1"/>
              <w:kinsoku/>
              <w:wordWrap w:val="0"/>
              <w:overflowPunct/>
              <w:bidi w:val="0"/>
              <w:spacing w:line="240" w:lineRule="auto"/>
              <w:ind w:firstLine="0" w:firstLineChars="0"/>
              <w:jc w:val="center"/>
              <w:textAlignment w:val="center"/>
              <w:rPr>
                <w:rFonts w:hint="eastAsia" w:ascii="宋体" w:hAnsi="宋体" w:eastAsia="宋体" w:cs="宋体"/>
                <w:color w:val="auto"/>
                <w:kern w:val="0"/>
                <w:sz w:val="24"/>
                <w:highlight w:val="none"/>
                <w:lang w:val="en-US" w:eastAsia="zh-CN" w:bidi="ar"/>
              </w:rPr>
            </w:pPr>
          </w:p>
        </w:tc>
        <w:tc>
          <w:tcPr>
            <w:tcW w:w="1080" w:type="dxa"/>
            <w:vAlign w:val="center"/>
          </w:tcPr>
          <w:p w14:paraId="2EB7EB9B">
            <w:pPr>
              <w:pageBreakBefore w:val="0"/>
              <w:kinsoku/>
              <w:wordWrap w:val="0"/>
              <w:overflowPunct/>
              <w:bidi w:val="0"/>
              <w:spacing w:line="360" w:lineRule="exact"/>
              <w:jc w:val="center"/>
              <w:rPr>
                <w:rFonts w:hint="eastAsia" w:ascii="宋体" w:hAnsi="宋体" w:eastAsia="宋体" w:cs="宋体"/>
                <w:color w:val="auto"/>
                <w:kern w:val="0"/>
                <w:sz w:val="24"/>
                <w:szCs w:val="21"/>
                <w:highlight w:val="none"/>
                <w:lang w:val="en-US" w:eastAsia="zh-CN" w:bidi="ar"/>
              </w:rPr>
            </w:pPr>
            <w:r>
              <w:rPr>
                <w:rFonts w:hint="eastAsia" w:ascii="宋体" w:hAnsi="宋体" w:eastAsia="宋体" w:cs="宋体"/>
                <w:color w:val="auto"/>
                <w:sz w:val="24"/>
                <w:szCs w:val="24"/>
                <w:highlight w:val="none"/>
                <w:lang w:val="en-US" w:eastAsia="zh-CN"/>
              </w:rPr>
              <w:t>项目实施方案</w:t>
            </w:r>
          </w:p>
        </w:tc>
        <w:tc>
          <w:tcPr>
            <w:tcW w:w="733" w:type="dxa"/>
            <w:vAlign w:val="center"/>
          </w:tcPr>
          <w:p w14:paraId="535CA849">
            <w:pPr>
              <w:pageBreakBefore w:val="0"/>
              <w:widowControl/>
              <w:shd w:val="clear" w:color="auto" w:fill="FFFFFF" w:themeFill="background1"/>
              <w:kinsoku/>
              <w:wordWrap w:val="0"/>
              <w:overflowPunct/>
              <w:bidi w:val="0"/>
              <w:spacing w:line="240" w:lineRule="auto"/>
              <w:ind w:firstLine="0" w:firstLineChars="0"/>
              <w:jc w:val="center"/>
              <w:textAlignment w:val="center"/>
              <w:rPr>
                <w:rFonts w:hint="eastAsia"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15</w:t>
            </w:r>
            <w:r>
              <w:rPr>
                <w:rFonts w:hint="eastAsia" w:ascii="宋体" w:hAnsi="宋体" w:eastAsia="宋体" w:cs="宋体"/>
                <w:color w:val="auto"/>
                <w:kern w:val="0"/>
                <w:sz w:val="24"/>
                <w:highlight w:val="none"/>
                <w:lang w:val="en-US" w:eastAsia="zh-CN" w:bidi="ar"/>
              </w:rPr>
              <w:t>分</w:t>
            </w:r>
          </w:p>
        </w:tc>
        <w:tc>
          <w:tcPr>
            <w:tcW w:w="7679" w:type="dxa"/>
            <w:vAlign w:val="center"/>
          </w:tcPr>
          <w:p w14:paraId="45E270E4">
            <w:pPr>
              <w:keepNext w:val="0"/>
              <w:keepLines w:val="0"/>
              <w:pageBreakBefore w:val="0"/>
              <w:widowControl/>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依据本项目采购需求和特点，分项评审：①货物组织运输方案；</w:t>
            </w:r>
            <w:r>
              <w:rPr>
                <w:rFonts w:hint="eastAsia" w:ascii="宋体" w:hAnsi="宋体" w:eastAsia="宋体" w:cs="宋体"/>
                <w:b/>
                <w:bCs/>
                <w:color w:val="auto"/>
                <w:sz w:val="24"/>
                <w:szCs w:val="24"/>
                <w:highlight w:val="none"/>
                <w:lang w:val="en-US" w:eastAsia="zh-CN"/>
              </w:rPr>
              <w:fldChar w:fldCharType="begin"/>
            </w:r>
            <w:r>
              <w:rPr>
                <w:rFonts w:hint="eastAsia" w:ascii="宋体" w:hAnsi="宋体" w:eastAsia="宋体" w:cs="宋体"/>
                <w:b/>
                <w:bCs/>
                <w:color w:val="auto"/>
                <w:sz w:val="24"/>
                <w:szCs w:val="24"/>
                <w:highlight w:val="none"/>
                <w:lang w:val="en-US" w:eastAsia="zh-CN"/>
              </w:rPr>
              <w:instrText xml:space="preserve"> = 2 \* GB3 </w:instrText>
            </w:r>
            <w:r>
              <w:rPr>
                <w:rFonts w:hint="eastAsia" w:ascii="宋体" w:hAnsi="宋体" w:eastAsia="宋体" w:cs="宋体"/>
                <w:b/>
                <w:bCs/>
                <w:color w:val="auto"/>
                <w:sz w:val="24"/>
                <w:szCs w:val="24"/>
                <w:highlight w:val="none"/>
                <w:lang w:val="en-US" w:eastAsia="zh-CN"/>
              </w:rPr>
              <w:fldChar w:fldCharType="separate"/>
            </w:r>
            <w:r>
              <w:rPr>
                <w:rFonts w:hint="eastAsia" w:ascii="宋体" w:hAnsi="宋体" w:eastAsia="宋体" w:cs="宋体"/>
                <w:b/>
                <w:bCs/>
                <w:color w:val="auto"/>
                <w:sz w:val="24"/>
                <w:szCs w:val="24"/>
                <w:highlight w:val="none"/>
                <w:lang w:val="en-US" w:eastAsia="zh-CN"/>
              </w:rPr>
              <w:t>②</w:t>
            </w:r>
            <w:r>
              <w:rPr>
                <w:rFonts w:hint="eastAsia" w:ascii="宋体" w:hAnsi="宋体" w:eastAsia="宋体" w:cs="宋体"/>
                <w:b/>
                <w:bCs/>
                <w:color w:val="auto"/>
                <w:sz w:val="24"/>
                <w:szCs w:val="24"/>
                <w:highlight w:val="none"/>
                <w:lang w:val="en-US" w:eastAsia="zh-CN"/>
              </w:rPr>
              <w:fldChar w:fldCharType="end"/>
            </w:r>
            <w:r>
              <w:rPr>
                <w:rFonts w:hint="eastAsia" w:ascii="宋体" w:hAnsi="宋体" w:eastAsia="宋体" w:cs="宋体"/>
                <w:b/>
                <w:bCs/>
                <w:color w:val="auto"/>
                <w:sz w:val="24"/>
                <w:szCs w:val="24"/>
                <w:highlight w:val="none"/>
                <w:lang w:val="en-US" w:eastAsia="zh-CN"/>
              </w:rPr>
              <w:t>人员配置与职责；</w:t>
            </w:r>
            <w:r>
              <w:rPr>
                <w:rFonts w:hint="eastAsia" w:ascii="宋体" w:hAnsi="宋体" w:eastAsia="宋体" w:cs="宋体"/>
                <w:b/>
                <w:bCs/>
                <w:color w:val="auto"/>
                <w:sz w:val="24"/>
                <w:szCs w:val="24"/>
                <w:highlight w:val="none"/>
                <w:lang w:val="en-US" w:eastAsia="zh-CN"/>
              </w:rPr>
              <w:fldChar w:fldCharType="begin"/>
            </w:r>
            <w:r>
              <w:rPr>
                <w:rFonts w:hint="eastAsia" w:ascii="宋体" w:hAnsi="宋体" w:eastAsia="宋体" w:cs="宋体"/>
                <w:b/>
                <w:bCs/>
                <w:color w:val="auto"/>
                <w:sz w:val="24"/>
                <w:szCs w:val="24"/>
                <w:highlight w:val="none"/>
                <w:lang w:val="en-US" w:eastAsia="zh-CN"/>
              </w:rPr>
              <w:instrText xml:space="preserve"> = 3 \* GB3 </w:instrText>
            </w:r>
            <w:r>
              <w:rPr>
                <w:rFonts w:hint="eastAsia" w:ascii="宋体" w:hAnsi="宋体" w:eastAsia="宋体" w:cs="宋体"/>
                <w:b/>
                <w:bCs/>
                <w:color w:val="auto"/>
                <w:sz w:val="24"/>
                <w:szCs w:val="24"/>
                <w:highlight w:val="none"/>
                <w:lang w:val="en-US" w:eastAsia="zh-CN"/>
              </w:rPr>
              <w:fldChar w:fldCharType="separate"/>
            </w:r>
            <w:r>
              <w:rPr>
                <w:rFonts w:hint="eastAsia" w:ascii="宋体" w:hAnsi="宋体" w:eastAsia="宋体" w:cs="宋体"/>
                <w:b/>
                <w:bCs/>
                <w:color w:val="auto"/>
                <w:sz w:val="24"/>
                <w:szCs w:val="24"/>
                <w:highlight w:val="none"/>
                <w:lang w:val="en-US" w:eastAsia="zh-CN"/>
              </w:rPr>
              <w:t>③</w:t>
            </w:r>
            <w:r>
              <w:rPr>
                <w:rFonts w:hint="eastAsia" w:ascii="宋体" w:hAnsi="宋体" w:eastAsia="宋体" w:cs="宋体"/>
                <w:b/>
                <w:bCs/>
                <w:color w:val="auto"/>
                <w:sz w:val="24"/>
                <w:szCs w:val="24"/>
                <w:highlight w:val="none"/>
                <w:lang w:val="en-US" w:eastAsia="zh-CN"/>
              </w:rPr>
              <w:fldChar w:fldCharType="end"/>
            </w:r>
            <w:r>
              <w:rPr>
                <w:rFonts w:hint="eastAsia" w:ascii="宋体" w:hAnsi="宋体" w:eastAsia="宋体" w:cs="宋体"/>
                <w:b/>
                <w:bCs/>
                <w:color w:val="auto"/>
                <w:sz w:val="24"/>
                <w:szCs w:val="24"/>
                <w:highlight w:val="none"/>
                <w:lang w:val="en-US" w:eastAsia="zh-CN"/>
              </w:rPr>
              <w:t>交货期及进度计划保障措施；</w:t>
            </w:r>
            <w:r>
              <w:rPr>
                <w:rFonts w:hint="eastAsia" w:ascii="宋体" w:hAnsi="宋体" w:eastAsia="宋体" w:cs="宋体"/>
                <w:b/>
                <w:bCs/>
                <w:color w:val="auto"/>
                <w:sz w:val="24"/>
                <w:szCs w:val="24"/>
                <w:highlight w:val="none"/>
                <w:lang w:val="en-US" w:eastAsia="zh-CN"/>
              </w:rPr>
              <w:fldChar w:fldCharType="begin"/>
            </w:r>
            <w:r>
              <w:rPr>
                <w:rFonts w:hint="eastAsia" w:ascii="宋体" w:hAnsi="宋体" w:eastAsia="宋体" w:cs="宋体"/>
                <w:b/>
                <w:bCs/>
                <w:color w:val="auto"/>
                <w:sz w:val="24"/>
                <w:szCs w:val="24"/>
                <w:highlight w:val="none"/>
                <w:lang w:val="en-US" w:eastAsia="zh-CN"/>
              </w:rPr>
              <w:instrText xml:space="preserve"> = 4 \* GB3 </w:instrText>
            </w:r>
            <w:r>
              <w:rPr>
                <w:rFonts w:hint="eastAsia" w:ascii="宋体" w:hAnsi="宋体" w:eastAsia="宋体" w:cs="宋体"/>
                <w:b/>
                <w:bCs/>
                <w:color w:val="auto"/>
                <w:sz w:val="24"/>
                <w:szCs w:val="24"/>
                <w:highlight w:val="none"/>
                <w:lang w:val="en-US" w:eastAsia="zh-CN"/>
              </w:rPr>
              <w:fldChar w:fldCharType="separate"/>
            </w:r>
            <w:r>
              <w:rPr>
                <w:rFonts w:hint="eastAsia" w:ascii="宋体" w:hAnsi="宋体" w:eastAsia="宋体" w:cs="宋体"/>
                <w:b/>
                <w:bCs/>
                <w:color w:val="auto"/>
                <w:sz w:val="24"/>
                <w:szCs w:val="24"/>
                <w:highlight w:val="none"/>
                <w:lang w:val="en-US" w:eastAsia="zh-CN"/>
              </w:rPr>
              <w:t>④</w:t>
            </w:r>
            <w:r>
              <w:rPr>
                <w:rFonts w:hint="eastAsia" w:ascii="宋体" w:hAnsi="宋体" w:eastAsia="宋体" w:cs="宋体"/>
                <w:b/>
                <w:bCs/>
                <w:color w:val="auto"/>
                <w:sz w:val="24"/>
                <w:szCs w:val="24"/>
                <w:highlight w:val="none"/>
                <w:lang w:val="en-US" w:eastAsia="zh-CN"/>
              </w:rPr>
              <w:fldChar w:fldCharType="end"/>
            </w:r>
            <w:r>
              <w:rPr>
                <w:rFonts w:hint="eastAsia" w:ascii="宋体" w:hAnsi="宋体" w:eastAsia="宋体" w:cs="宋体"/>
                <w:b/>
                <w:bCs/>
                <w:color w:val="auto"/>
                <w:sz w:val="24"/>
                <w:szCs w:val="24"/>
                <w:highlight w:val="none"/>
                <w:lang w:val="en-US" w:eastAsia="zh-CN"/>
              </w:rPr>
              <w:t>安装调试计划及保障措施；⑤项目验收措施。</w:t>
            </w:r>
          </w:p>
          <w:p w14:paraId="5EDDCC53">
            <w:pPr>
              <w:keepNext w:val="0"/>
              <w:keepLines w:val="0"/>
              <w:pageBreakBefore w:val="0"/>
              <w:widowControl/>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项目实施</w:t>
            </w:r>
            <w:r>
              <w:rPr>
                <w:rFonts w:hint="eastAsia" w:ascii="宋体" w:hAnsi="宋体" w:eastAsia="宋体" w:cs="宋体"/>
                <w:color w:val="auto"/>
                <w:sz w:val="24"/>
                <w:szCs w:val="24"/>
                <w:highlight w:val="none"/>
                <w:lang w:val="en-US" w:eastAsia="zh-CN"/>
              </w:rPr>
              <w:t>方案内容详实完整、要素齐全，紧密结合本项目实际需求制定，针对性较强，流程清晰、措施具体可行，可直接指导项目实施，具备较强的可操作性</w:t>
            </w:r>
            <w:r>
              <w:rPr>
                <w:rFonts w:hint="eastAsia" w:ascii="宋体" w:hAnsi="宋体" w:cs="宋体"/>
                <w:color w:val="auto"/>
                <w:sz w:val="24"/>
                <w:szCs w:val="24"/>
                <w:highlight w:val="none"/>
                <w:lang w:val="en-US" w:eastAsia="zh-CN"/>
              </w:rPr>
              <w:t>得15分</w:t>
            </w:r>
            <w:r>
              <w:rPr>
                <w:rFonts w:hint="eastAsia" w:ascii="宋体" w:hAnsi="宋体" w:eastAsia="宋体" w:cs="宋体"/>
                <w:color w:val="auto"/>
                <w:sz w:val="24"/>
                <w:szCs w:val="24"/>
                <w:highlight w:val="none"/>
                <w:lang w:val="en-US" w:eastAsia="zh-CN"/>
              </w:rPr>
              <w:t>。</w:t>
            </w:r>
          </w:p>
          <w:p w14:paraId="7D1AE238">
            <w:pPr>
              <w:keepNext w:val="0"/>
              <w:keepLines w:val="0"/>
              <w:pageBreakBefore w:val="0"/>
              <w:widowControl/>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每缺少一项内容扣3分，有一项内容</w:t>
            </w:r>
            <w:r>
              <w:rPr>
                <w:rFonts w:hint="eastAsia" w:ascii="宋体" w:hAnsi="宋体" w:eastAsia="宋体" w:cs="宋体"/>
                <w:color w:val="auto"/>
                <w:sz w:val="24"/>
                <w:szCs w:val="24"/>
                <w:highlight w:val="none"/>
                <w:lang w:val="en-US" w:eastAsia="zh-CN"/>
              </w:rPr>
              <w:t>相对简略、</w:t>
            </w:r>
            <w:r>
              <w:rPr>
                <w:rFonts w:hint="eastAsia" w:ascii="宋体" w:hAnsi="宋体" w:cs="宋体"/>
                <w:color w:val="auto"/>
                <w:sz w:val="24"/>
                <w:szCs w:val="24"/>
                <w:highlight w:val="none"/>
                <w:lang w:val="en-US" w:eastAsia="zh-CN"/>
              </w:rPr>
              <w:t>叙述不完整、不详细或不符合本项目实际需求的，扣1-3（不含3）分，本项分值扣完为止。</w:t>
            </w:r>
          </w:p>
        </w:tc>
      </w:tr>
      <w:tr w14:paraId="4A147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706" w:type="dxa"/>
            <w:vMerge w:val="continue"/>
            <w:vAlign w:val="center"/>
          </w:tcPr>
          <w:p w14:paraId="2BC2B0B4">
            <w:pPr>
              <w:pageBreakBefore w:val="0"/>
              <w:widowControl/>
              <w:shd w:val="clear" w:color="auto" w:fill="FFFFFF" w:themeFill="background1"/>
              <w:kinsoku/>
              <w:wordWrap w:val="0"/>
              <w:overflowPunct/>
              <w:bidi w:val="0"/>
              <w:spacing w:line="240" w:lineRule="auto"/>
              <w:ind w:firstLine="0" w:firstLineChars="0"/>
              <w:jc w:val="center"/>
              <w:textAlignment w:val="center"/>
              <w:rPr>
                <w:rFonts w:hint="eastAsia" w:ascii="宋体" w:hAnsi="宋体" w:eastAsia="宋体" w:cs="宋体"/>
                <w:color w:val="auto"/>
                <w:kern w:val="0"/>
                <w:sz w:val="24"/>
                <w:highlight w:val="none"/>
                <w:lang w:bidi="ar"/>
              </w:rPr>
            </w:pPr>
          </w:p>
        </w:tc>
        <w:tc>
          <w:tcPr>
            <w:tcW w:w="1080" w:type="dxa"/>
            <w:vAlign w:val="center"/>
          </w:tcPr>
          <w:p w14:paraId="5C4501FE">
            <w:pPr>
              <w:keepNext w:val="0"/>
              <w:keepLines w:val="0"/>
              <w:pageBreakBefore w:val="0"/>
              <w:widowControl/>
              <w:kinsoku/>
              <w:wordWrap w:val="0"/>
              <w:overflowPunct/>
              <w:topLinePunct w:val="0"/>
              <w:autoSpaceDE/>
              <w:autoSpaceDN/>
              <w:bidi w:val="0"/>
              <w:adjustRightInd w:val="0"/>
              <w:snapToGrid w:val="0"/>
              <w:spacing w:line="288"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质量承诺及保障措施</w:t>
            </w:r>
          </w:p>
        </w:tc>
        <w:tc>
          <w:tcPr>
            <w:tcW w:w="733" w:type="dxa"/>
            <w:vAlign w:val="center"/>
          </w:tcPr>
          <w:p w14:paraId="6E76CBE5">
            <w:pPr>
              <w:keepNext w:val="0"/>
              <w:keepLines w:val="0"/>
              <w:pageBreakBefore w:val="0"/>
              <w:widowControl/>
              <w:kinsoku/>
              <w:wordWrap w:val="0"/>
              <w:overflowPunct/>
              <w:topLinePunct w:val="0"/>
              <w:autoSpaceDE/>
              <w:autoSpaceDN/>
              <w:bidi w:val="0"/>
              <w:adjustRightInd w:val="0"/>
              <w:snapToGrid w:val="0"/>
              <w:spacing w:line="288"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8分</w:t>
            </w:r>
          </w:p>
        </w:tc>
        <w:tc>
          <w:tcPr>
            <w:tcW w:w="7679" w:type="dxa"/>
            <w:vAlign w:val="center"/>
          </w:tcPr>
          <w:p w14:paraId="1771869F">
            <w:pPr>
              <w:keepNext w:val="0"/>
              <w:keepLines w:val="0"/>
              <w:pageBreakBefore w:val="0"/>
              <w:widowControl/>
              <w:kinsoku/>
              <w:wordWrap w:val="0"/>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依据本项目采购需求和特点，分项评审：①提供制造厂商质量保证和售后服务承诺书；②质保期、质量承诺、质量保障、违约处罚措施。</w:t>
            </w:r>
          </w:p>
          <w:p w14:paraId="62ADC05A">
            <w:pPr>
              <w:keepNext w:val="0"/>
              <w:keepLines w:val="0"/>
              <w:pageBreakBefore w:val="0"/>
              <w:widowControl/>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质量承诺及保障措施中有原厂商盖章的承诺书，内容阐述完整全面、详细具体，科学规范，切合本项目实际，具有可实施性及针对性得8分。</w:t>
            </w:r>
          </w:p>
          <w:p w14:paraId="759A1114">
            <w:pPr>
              <w:keepNext w:val="0"/>
              <w:keepLines w:val="0"/>
              <w:pageBreakBefore w:val="0"/>
              <w:widowControl/>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每缺少一项内容扣4分，有一项内容阐述相对简略、阐述不全、存在不合理内容、缺失或者阐述错误、不符合本项目实际需求的扣1-4（不含4）分，本项分值扣完为止。</w:t>
            </w:r>
          </w:p>
        </w:tc>
      </w:tr>
      <w:tr w14:paraId="30583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706" w:type="dxa"/>
            <w:vMerge w:val="continue"/>
            <w:vAlign w:val="center"/>
          </w:tcPr>
          <w:p w14:paraId="498886FB">
            <w:pPr>
              <w:pageBreakBefore w:val="0"/>
              <w:widowControl/>
              <w:shd w:val="clear" w:color="auto" w:fill="FFFFFF" w:themeFill="background1"/>
              <w:kinsoku/>
              <w:wordWrap w:val="0"/>
              <w:overflowPunct/>
              <w:bidi w:val="0"/>
              <w:spacing w:line="240" w:lineRule="auto"/>
              <w:ind w:firstLine="0" w:firstLineChars="0"/>
              <w:jc w:val="center"/>
              <w:textAlignment w:val="center"/>
              <w:rPr>
                <w:rFonts w:hint="eastAsia" w:ascii="宋体" w:hAnsi="宋体" w:eastAsia="宋体" w:cs="宋体"/>
                <w:color w:val="auto"/>
                <w:kern w:val="0"/>
                <w:sz w:val="24"/>
                <w:szCs w:val="21"/>
                <w:highlight w:val="none"/>
                <w:lang w:val="en-US" w:eastAsia="zh-CN" w:bidi="ar"/>
              </w:rPr>
            </w:pPr>
          </w:p>
        </w:tc>
        <w:tc>
          <w:tcPr>
            <w:tcW w:w="1080" w:type="dxa"/>
            <w:vAlign w:val="center"/>
          </w:tcPr>
          <w:p w14:paraId="161F027D">
            <w:pPr>
              <w:pageBreakBefore w:val="0"/>
              <w:widowControl/>
              <w:shd w:val="clear" w:color="auto" w:fill="FFFFFF" w:themeFill="background1"/>
              <w:kinsoku/>
              <w:wordWrap w:val="0"/>
              <w:overflowPunct/>
              <w:bidi w:val="0"/>
              <w:spacing w:line="240" w:lineRule="auto"/>
              <w:ind w:firstLine="0" w:firstLineChars="0"/>
              <w:jc w:val="center"/>
              <w:textAlignment w:val="center"/>
              <w:rPr>
                <w:rFonts w:hint="eastAsia" w:ascii="宋体" w:hAnsi="宋体" w:eastAsia="宋体" w:cs="宋体"/>
                <w:color w:val="auto"/>
                <w:kern w:val="0"/>
                <w:sz w:val="24"/>
                <w:szCs w:val="21"/>
                <w:highlight w:val="none"/>
                <w:lang w:val="en-US" w:eastAsia="zh-CN" w:bidi="ar"/>
              </w:rPr>
            </w:pPr>
            <w:r>
              <w:rPr>
                <w:rFonts w:hint="eastAsia" w:ascii="宋体" w:hAnsi="宋体" w:eastAsia="宋体" w:cs="宋体"/>
                <w:color w:val="auto"/>
                <w:sz w:val="21"/>
                <w:szCs w:val="21"/>
                <w:highlight w:val="none"/>
                <w:lang w:val="en-US" w:eastAsia="zh-CN"/>
              </w:rPr>
              <w:t>培训计划及保障措施</w:t>
            </w:r>
          </w:p>
        </w:tc>
        <w:tc>
          <w:tcPr>
            <w:tcW w:w="733" w:type="dxa"/>
            <w:vAlign w:val="center"/>
          </w:tcPr>
          <w:p w14:paraId="7826A699">
            <w:pPr>
              <w:pageBreakBefore w:val="0"/>
              <w:widowControl/>
              <w:shd w:val="clear" w:color="auto" w:fill="FFFFFF" w:themeFill="background1"/>
              <w:kinsoku/>
              <w:wordWrap w:val="0"/>
              <w:overflowPunct/>
              <w:bidi w:val="0"/>
              <w:spacing w:line="240" w:lineRule="auto"/>
              <w:ind w:firstLine="0" w:firstLineChars="0"/>
              <w:jc w:val="center"/>
              <w:textAlignment w:val="center"/>
              <w:rPr>
                <w:rFonts w:hint="eastAsia" w:ascii="宋体" w:hAnsi="宋体" w:eastAsia="宋体" w:cs="宋体"/>
                <w:color w:val="auto"/>
                <w:kern w:val="0"/>
                <w:sz w:val="24"/>
                <w:szCs w:val="21"/>
                <w:highlight w:val="none"/>
                <w:lang w:val="en-US" w:eastAsia="zh-CN" w:bidi="ar"/>
              </w:rPr>
            </w:pPr>
            <w:r>
              <w:rPr>
                <w:rFonts w:hint="eastAsia" w:ascii="宋体" w:hAnsi="宋体" w:cs="宋体"/>
                <w:color w:val="auto"/>
                <w:kern w:val="0"/>
                <w:sz w:val="24"/>
                <w:highlight w:val="none"/>
                <w:lang w:val="en-US" w:eastAsia="zh-CN" w:bidi="ar"/>
              </w:rPr>
              <w:t>8</w:t>
            </w:r>
            <w:r>
              <w:rPr>
                <w:rFonts w:hint="eastAsia" w:ascii="宋体" w:hAnsi="宋体" w:eastAsia="宋体" w:cs="宋体"/>
                <w:color w:val="auto"/>
                <w:kern w:val="0"/>
                <w:sz w:val="24"/>
                <w:highlight w:val="none"/>
                <w:lang w:val="en-US" w:eastAsia="zh-CN" w:bidi="ar"/>
              </w:rPr>
              <w:t>分</w:t>
            </w:r>
          </w:p>
        </w:tc>
        <w:tc>
          <w:tcPr>
            <w:tcW w:w="7679" w:type="dxa"/>
            <w:vAlign w:val="center"/>
          </w:tcPr>
          <w:p w14:paraId="74BCF9C1">
            <w:pPr>
              <w:keepNext w:val="0"/>
              <w:keepLines w:val="0"/>
              <w:pageBreakBefore w:val="0"/>
              <w:widowControl/>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依据本项目采购需求和特点，分项评审：①项目培训计划；②培训保障措施及违约承诺。</w:t>
            </w:r>
          </w:p>
          <w:p w14:paraId="4F7A761C">
            <w:pPr>
              <w:keepNext w:val="0"/>
              <w:keepLines w:val="0"/>
              <w:pageBreakBefore w:val="0"/>
              <w:widowControl/>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培训计划及保障措施内容阐述完整全面、详细具体，科学规范，切合本项目实际，具有可实施性及针对性</w:t>
            </w:r>
            <w:r>
              <w:rPr>
                <w:rFonts w:hint="eastAsia" w:ascii="宋体" w:hAnsi="宋体" w:cs="宋体"/>
                <w:color w:val="auto"/>
                <w:sz w:val="24"/>
                <w:szCs w:val="24"/>
                <w:highlight w:val="none"/>
                <w:lang w:val="en-US" w:eastAsia="zh-CN"/>
              </w:rPr>
              <w:t>得8分</w:t>
            </w:r>
            <w:r>
              <w:rPr>
                <w:rFonts w:hint="eastAsia" w:ascii="宋体" w:hAnsi="宋体" w:eastAsia="宋体" w:cs="宋体"/>
                <w:color w:val="auto"/>
                <w:sz w:val="24"/>
                <w:szCs w:val="24"/>
                <w:highlight w:val="none"/>
                <w:lang w:val="en-US" w:eastAsia="zh-CN"/>
              </w:rPr>
              <w:t>。</w:t>
            </w:r>
          </w:p>
          <w:p w14:paraId="32685132">
            <w:pPr>
              <w:keepNext w:val="0"/>
              <w:keepLines w:val="0"/>
              <w:pageBreakBefore w:val="0"/>
              <w:widowControl/>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sz w:val="24"/>
                <w:szCs w:val="24"/>
                <w:highlight w:val="none"/>
                <w:lang w:val="en-US" w:eastAsia="zh-CN"/>
              </w:rPr>
              <w:t>每缺少一项内容扣4分，有一项内容</w:t>
            </w:r>
            <w:r>
              <w:rPr>
                <w:rFonts w:hint="eastAsia" w:ascii="宋体" w:hAnsi="宋体" w:eastAsia="宋体" w:cs="宋体"/>
                <w:color w:val="auto"/>
                <w:sz w:val="24"/>
                <w:szCs w:val="24"/>
                <w:highlight w:val="none"/>
                <w:lang w:val="en-US" w:eastAsia="zh-CN"/>
              </w:rPr>
              <w:t>阐述相对简略</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阐述不全</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存在不合理内容</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缺失或者阐述错误</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不符合本项目实际需求的</w:t>
            </w:r>
            <w:r>
              <w:rPr>
                <w:rFonts w:hint="eastAsia" w:ascii="宋体" w:hAnsi="宋体" w:cs="宋体"/>
                <w:color w:val="auto"/>
                <w:sz w:val="24"/>
                <w:szCs w:val="24"/>
                <w:highlight w:val="none"/>
                <w:lang w:val="en-US" w:eastAsia="zh-CN"/>
              </w:rPr>
              <w:t>扣1-4（不含4）分，本项分值扣完为止。</w:t>
            </w:r>
          </w:p>
        </w:tc>
      </w:tr>
      <w:tr w14:paraId="40A19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06" w:type="dxa"/>
            <w:vMerge w:val="continue"/>
            <w:vAlign w:val="center"/>
          </w:tcPr>
          <w:p w14:paraId="0A3767FD">
            <w:pPr>
              <w:pageBreakBefore w:val="0"/>
              <w:widowControl/>
              <w:shd w:val="clear" w:color="auto" w:fill="FFFFFF" w:themeFill="background1"/>
              <w:kinsoku/>
              <w:wordWrap w:val="0"/>
              <w:overflowPunct/>
              <w:bidi w:val="0"/>
              <w:spacing w:line="240" w:lineRule="auto"/>
              <w:ind w:firstLine="0" w:firstLineChars="0"/>
              <w:jc w:val="center"/>
              <w:textAlignment w:val="center"/>
              <w:rPr>
                <w:rFonts w:hint="eastAsia" w:ascii="宋体" w:hAnsi="宋体" w:eastAsia="宋体" w:cs="宋体"/>
                <w:color w:val="auto"/>
                <w:kern w:val="0"/>
                <w:sz w:val="24"/>
                <w:highlight w:val="none"/>
                <w:lang w:bidi="ar"/>
              </w:rPr>
            </w:pPr>
          </w:p>
        </w:tc>
        <w:tc>
          <w:tcPr>
            <w:tcW w:w="1080" w:type="dxa"/>
            <w:vAlign w:val="center"/>
          </w:tcPr>
          <w:p w14:paraId="4C2F18F6">
            <w:pPr>
              <w:keepNext w:val="0"/>
              <w:keepLines w:val="0"/>
              <w:pageBreakBefore w:val="0"/>
              <w:widowControl/>
              <w:kinsoku/>
              <w:wordWrap w:val="0"/>
              <w:overflowPunct/>
              <w:topLinePunct w:val="0"/>
              <w:autoSpaceDE/>
              <w:autoSpaceDN/>
              <w:bidi w:val="0"/>
              <w:adjustRightInd w:val="0"/>
              <w:snapToGrid w:val="0"/>
              <w:spacing w:line="288"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1"/>
                <w:szCs w:val="21"/>
                <w:highlight w:val="none"/>
              </w:rPr>
              <w:t>售后服务方案</w:t>
            </w:r>
          </w:p>
        </w:tc>
        <w:tc>
          <w:tcPr>
            <w:tcW w:w="733" w:type="dxa"/>
            <w:vAlign w:val="center"/>
          </w:tcPr>
          <w:p w14:paraId="1283C7AF">
            <w:pPr>
              <w:keepNext w:val="0"/>
              <w:keepLines w:val="0"/>
              <w:pageBreakBefore w:val="0"/>
              <w:widowControl/>
              <w:kinsoku/>
              <w:wordWrap w:val="0"/>
              <w:overflowPunct/>
              <w:topLinePunct w:val="0"/>
              <w:autoSpaceDE/>
              <w:autoSpaceDN/>
              <w:bidi w:val="0"/>
              <w:adjustRightInd w:val="0"/>
              <w:snapToGrid w:val="0"/>
              <w:spacing w:line="288"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p>
        </w:tc>
        <w:tc>
          <w:tcPr>
            <w:tcW w:w="7679" w:type="dxa"/>
            <w:vAlign w:val="center"/>
          </w:tcPr>
          <w:p w14:paraId="11446DB8">
            <w:pPr>
              <w:keepNext w:val="0"/>
              <w:keepLines w:val="0"/>
              <w:pageBreakBefore w:val="0"/>
              <w:widowControl/>
              <w:kinsoku/>
              <w:wordWrap w:val="0"/>
              <w:overflowPunct/>
              <w:topLinePunct w:val="0"/>
              <w:autoSpaceDE/>
              <w:autoSpaceDN/>
              <w:bidi w:val="0"/>
              <w:adjustRightInd w:val="0"/>
              <w:snapToGrid w:val="0"/>
              <w:spacing w:line="360" w:lineRule="auto"/>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依据本项目采购需求和特点，分项评审：①售后服务体系</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资源投入</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保障措施</w:t>
            </w:r>
            <w:r>
              <w:rPr>
                <w:rFonts w:hint="eastAsia" w:ascii="宋体" w:hAnsi="宋体" w:cs="宋体"/>
                <w:b/>
                <w:bCs/>
                <w:color w:val="auto"/>
                <w:sz w:val="24"/>
                <w:szCs w:val="24"/>
                <w:highlight w:val="none"/>
                <w:lang w:val="en-US" w:eastAsia="zh-CN"/>
              </w:rPr>
              <w:t>及应急保障方案</w:t>
            </w:r>
            <w:r>
              <w:rPr>
                <w:rFonts w:hint="eastAsia" w:ascii="宋体" w:hAnsi="宋体" w:eastAsia="宋体" w:cs="宋体"/>
                <w:b/>
                <w:bCs/>
                <w:color w:val="auto"/>
                <w:sz w:val="24"/>
                <w:szCs w:val="24"/>
                <w:highlight w:val="none"/>
                <w:lang w:val="en-US" w:eastAsia="zh-CN"/>
              </w:rPr>
              <w:t>；②售后服务响应承诺</w:t>
            </w:r>
            <w:r>
              <w:rPr>
                <w:rFonts w:hint="eastAsia" w:ascii="宋体" w:hAnsi="宋体" w:cs="宋体"/>
                <w:b/>
                <w:bCs/>
                <w:color w:val="auto"/>
                <w:sz w:val="24"/>
                <w:szCs w:val="24"/>
                <w:highlight w:val="none"/>
                <w:lang w:val="en-US" w:eastAsia="zh-CN"/>
              </w:rPr>
              <w:t>及违约承诺</w:t>
            </w:r>
            <w:r>
              <w:rPr>
                <w:rFonts w:hint="eastAsia" w:ascii="宋体" w:hAnsi="宋体" w:eastAsia="宋体" w:cs="宋体"/>
                <w:b/>
                <w:bCs/>
                <w:color w:val="auto"/>
                <w:sz w:val="24"/>
                <w:szCs w:val="24"/>
                <w:highlight w:val="none"/>
                <w:lang w:val="en-US" w:eastAsia="zh-CN"/>
              </w:rPr>
              <w:t>；③提供原产商集中培训服务承诺书（免费提供需求单位不少于3名技术人员到厂家指定地点进行相同设备专项技能培训，培训时间原则上不少于3天）。</w:t>
            </w:r>
          </w:p>
          <w:p w14:paraId="5B6660E9">
            <w:pPr>
              <w:keepNext w:val="0"/>
              <w:keepLines w:val="0"/>
              <w:pageBreakBefore w:val="0"/>
              <w:widowControl/>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售后服务方案</w:t>
            </w:r>
            <w:r>
              <w:rPr>
                <w:rFonts w:hint="eastAsia" w:ascii="宋体" w:hAnsi="宋体" w:eastAsia="宋体" w:cs="宋体"/>
                <w:b w:val="0"/>
                <w:bCs w:val="0"/>
                <w:color w:val="auto"/>
                <w:sz w:val="24"/>
                <w:szCs w:val="24"/>
                <w:highlight w:val="none"/>
                <w:lang w:val="en-US" w:eastAsia="zh-CN"/>
              </w:rPr>
              <w:t>有原厂商盖章的承诺书、</w:t>
            </w:r>
            <w:r>
              <w:rPr>
                <w:rFonts w:hint="eastAsia" w:ascii="宋体" w:hAnsi="宋体" w:eastAsia="宋体" w:cs="宋体"/>
                <w:color w:val="auto"/>
                <w:sz w:val="24"/>
                <w:szCs w:val="24"/>
                <w:highlight w:val="none"/>
                <w:lang w:val="en-US" w:eastAsia="zh-CN"/>
              </w:rPr>
              <w:t>内容阐述完整全面、详细具体，科学规范，切合本项目实际、具有可实施性及针对性</w:t>
            </w:r>
            <w:r>
              <w:rPr>
                <w:rFonts w:hint="eastAsia" w:ascii="宋体" w:hAnsi="宋体" w:cs="宋体"/>
                <w:color w:val="auto"/>
                <w:sz w:val="24"/>
                <w:szCs w:val="24"/>
                <w:highlight w:val="none"/>
                <w:lang w:val="en-US" w:eastAsia="zh-CN"/>
              </w:rPr>
              <w:t>得15分</w:t>
            </w:r>
            <w:r>
              <w:rPr>
                <w:rFonts w:hint="eastAsia" w:ascii="宋体" w:hAnsi="宋体" w:eastAsia="宋体" w:cs="宋体"/>
                <w:color w:val="auto"/>
                <w:sz w:val="24"/>
                <w:szCs w:val="24"/>
                <w:highlight w:val="none"/>
                <w:lang w:val="en-US" w:eastAsia="zh-CN"/>
              </w:rPr>
              <w:t>。</w:t>
            </w:r>
          </w:p>
          <w:p w14:paraId="3CE09B22">
            <w:pPr>
              <w:keepNext w:val="0"/>
              <w:keepLines w:val="0"/>
              <w:pageBreakBefore w:val="0"/>
              <w:widowControl/>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每缺少一项内容扣5分，有一项内容</w:t>
            </w:r>
            <w:r>
              <w:rPr>
                <w:rFonts w:hint="eastAsia" w:ascii="宋体" w:hAnsi="宋体" w:eastAsia="宋体" w:cs="宋体"/>
                <w:color w:val="auto"/>
                <w:sz w:val="24"/>
                <w:szCs w:val="24"/>
                <w:highlight w:val="none"/>
                <w:lang w:val="en-US" w:eastAsia="zh-CN"/>
              </w:rPr>
              <w:t>阐述相对简略</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阐述不全</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存在不合理内容</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缺失或者阐述错误</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不符合本项目实际需求的</w:t>
            </w:r>
            <w:r>
              <w:rPr>
                <w:rFonts w:hint="eastAsia" w:ascii="宋体" w:hAnsi="宋体" w:cs="宋体"/>
                <w:color w:val="auto"/>
                <w:sz w:val="24"/>
                <w:szCs w:val="24"/>
                <w:highlight w:val="none"/>
                <w:lang w:val="en-US" w:eastAsia="zh-CN"/>
              </w:rPr>
              <w:t>扣1-5（不含5）分，本项分值扣完为止。</w:t>
            </w:r>
          </w:p>
        </w:tc>
      </w:tr>
      <w:bookmarkEnd w:id="238"/>
    </w:tbl>
    <w:p w14:paraId="288F0DD9">
      <w:pPr>
        <w:pageBreakBefore w:val="0"/>
        <w:kinsoku/>
        <w:wordWrap w:val="0"/>
        <w:overflowPunct/>
        <w:bidi w:val="0"/>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本项目核心产品为：</w:t>
      </w:r>
      <w:r>
        <w:rPr>
          <w:rFonts w:hint="eastAsia" w:ascii="宋体" w:hAnsi="宋体" w:eastAsia="宋体" w:cs="宋体"/>
          <w:b/>
          <w:bCs/>
          <w:color w:val="auto"/>
          <w:sz w:val="24"/>
          <w:szCs w:val="24"/>
          <w:highlight w:val="none"/>
          <w:u w:val="single"/>
          <w:lang w:val="en-US" w:eastAsia="zh-CN"/>
        </w:rPr>
        <w:t>液相色谱-串联三重四极杆质谱</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提供相同核心品牌产品且通过资格审查、符合性审查的不同投标人参加同一合同项下投标的，按一家投标人计算，评审后得分最高的同品牌投标人获得中标人推荐资格；评审得分相同的，由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b/>
          <w:bCs/>
          <w:color w:val="auto"/>
          <w:sz w:val="24"/>
          <w:szCs w:val="24"/>
          <w:highlight w:val="none"/>
          <w:lang w:eastAsia="zh-CN"/>
        </w:rPr>
        <w:t>采购人</w:t>
      </w:r>
      <w:r>
        <w:rPr>
          <w:rFonts w:hint="eastAsia" w:ascii="宋体" w:hAnsi="宋体" w:eastAsia="宋体" w:cs="宋体"/>
          <w:b/>
          <w:bCs/>
          <w:color w:val="auto"/>
          <w:sz w:val="24"/>
          <w:szCs w:val="24"/>
          <w:highlight w:val="none"/>
        </w:rPr>
        <w:t>或者</w:t>
      </w:r>
      <w:r>
        <w:rPr>
          <w:rFonts w:hint="eastAsia" w:ascii="宋体" w:hAnsi="宋体" w:cs="宋体"/>
          <w:b/>
          <w:bCs/>
          <w:color w:val="auto"/>
          <w:sz w:val="24"/>
          <w:szCs w:val="24"/>
          <w:highlight w:val="none"/>
          <w:lang w:eastAsia="zh-CN"/>
        </w:rPr>
        <w:t>采购人</w:t>
      </w:r>
      <w:r>
        <w:rPr>
          <w:rFonts w:hint="eastAsia" w:ascii="宋体" w:hAnsi="宋体" w:eastAsia="宋体" w:cs="宋体"/>
          <w:b/>
          <w:bCs/>
          <w:color w:val="auto"/>
          <w:sz w:val="24"/>
          <w:szCs w:val="24"/>
          <w:highlight w:val="none"/>
        </w:rPr>
        <w:t>委托评标委员会按照招标文件规定的方式确定一个投标人获得中标人推荐资格，招标文件未规定的采取随机抽取方式确定，其他同品牌投标人不作为中标候选人。</w:t>
      </w:r>
    </w:p>
    <w:p w14:paraId="51759769">
      <w:pPr>
        <w:pageBreakBefore w:val="0"/>
        <w:kinsoku/>
        <w:wordWrap w:val="0"/>
        <w:overflowPunct/>
        <w:bidi w:val="0"/>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(四)得分汇总</w:t>
      </w:r>
    </w:p>
    <w:p w14:paraId="47E3F924">
      <w:pPr>
        <w:pStyle w:val="15"/>
        <w:pageBreakBefore w:val="0"/>
        <w:kinsoku/>
        <w:wordWrap w:val="0"/>
        <w:overflowPunct/>
        <w:bidi w:val="0"/>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1.评委应首先对各投标人投标文件进行评审，写出书面意见并按招标文件规定分值评分。</w:t>
      </w:r>
    </w:p>
    <w:p w14:paraId="4A2B60EB">
      <w:pPr>
        <w:pStyle w:val="15"/>
        <w:pageBreakBefore w:val="0"/>
        <w:kinsoku/>
        <w:wordWrap w:val="0"/>
        <w:overflowPunct/>
        <w:bidi w:val="0"/>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2.除投标价格得分外，其余部分由各评委自主评分并签字确认。</w:t>
      </w:r>
    </w:p>
    <w:p w14:paraId="031A40B6">
      <w:pPr>
        <w:pStyle w:val="15"/>
        <w:pageBreakBefore w:val="0"/>
        <w:kinsoku/>
        <w:wordWrap w:val="0"/>
        <w:overflowPunct/>
        <w:bidi w:val="0"/>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3.统分原则：计算评委打分的算术平均值为投标人的该项评分因素的得分，投标报价得分除外(保留小数点后两位)。</w:t>
      </w:r>
    </w:p>
    <w:p w14:paraId="76500F94">
      <w:pPr>
        <w:pStyle w:val="15"/>
        <w:pageBreakBefore w:val="0"/>
        <w:kinsoku/>
        <w:wordWrap w:val="0"/>
        <w:overflowPunct/>
        <w:bidi w:val="0"/>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4.得分汇总：各项评分因素得分的总和即为投标人最后得分。</w:t>
      </w:r>
    </w:p>
    <w:p w14:paraId="07B28B96">
      <w:pPr>
        <w:pStyle w:val="15"/>
        <w:pageBreakBefore w:val="0"/>
        <w:kinsoku/>
        <w:wordWrap w:val="0"/>
        <w:overflowPunct/>
        <w:bidi w:val="0"/>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5.经评标委员会认定评分畸高、畸低的，评标委员会应当当场修改评标结果，并在评标报告中记载。</w:t>
      </w:r>
    </w:p>
    <w:p w14:paraId="310A25CD">
      <w:pPr>
        <w:pageBreakBefore w:val="0"/>
        <w:kinsoku/>
        <w:wordWrap w:val="0"/>
        <w:overflowPunct/>
        <w:bidi w:val="0"/>
        <w:spacing w:before="95" w:beforeLines="30" w:after="95" w:afterLines="30"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七、推荐</w:t>
      </w:r>
    </w:p>
    <w:p w14:paraId="50870BE0">
      <w:pPr>
        <w:pageBreakBefore w:val="0"/>
        <w:kinsoku/>
        <w:wordWrap w:val="0"/>
        <w:overflowPunct/>
        <w:autoSpaceDE w:val="0"/>
        <w:autoSpaceDN w:val="0"/>
        <w:bidi w:val="0"/>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评标委员会按得分汇总计算出各投标人的总得分，评标结果按评审后总得分由高到低顺序排</w:t>
      </w:r>
      <w:r>
        <w:rPr>
          <w:rFonts w:hint="eastAsia" w:ascii="宋体" w:hAnsi="宋体" w:eastAsia="宋体" w:cs="宋体"/>
          <w:color w:val="auto"/>
          <w:sz w:val="24"/>
          <w:szCs w:val="24"/>
          <w:highlight w:val="none"/>
          <w:lang w:val="en-US" w:eastAsia="zh-CN"/>
        </w:rPr>
        <w:t>序</w:t>
      </w:r>
      <w:r>
        <w:rPr>
          <w:rFonts w:hint="eastAsia" w:ascii="宋体" w:hAnsi="宋体" w:eastAsia="宋体" w:cs="宋体"/>
          <w:color w:val="auto"/>
          <w:sz w:val="24"/>
          <w:szCs w:val="24"/>
          <w:highlight w:val="none"/>
        </w:rPr>
        <w:t>推荐1～3名</w:t>
      </w:r>
      <w:r>
        <w:rPr>
          <w:rFonts w:hint="eastAsia" w:ascii="宋体" w:hAnsi="宋体" w:eastAsia="宋体" w:cs="宋体"/>
          <w:color w:val="auto"/>
          <w:sz w:val="24"/>
          <w:szCs w:val="24"/>
          <w:highlight w:val="none"/>
          <w:lang w:val="en-US" w:eastAsia="zh-CN"/>
        </w:rPr>
        <w:t>中标候选人</w:t>
      </w:r>
      <w:r>
        <w:rPr>
          <w:rFonts w:hint="eastAsia" w:ascii="宋体" w:hAnsi="宋体" w:eastAsia="宋体" w:cs="宋体"/>
          <w:color w:val="auto"/>
          <w:sz w:val="24"/>
          <w:szCs w:val="24"/>
          <w:highlight w:val="none"/>
        </w:rPr>
        <w:t>。总得分相同的，按投标报价由低到高顺序排列。得分且投标报价相同的</w:t>
      </w:r>
      <w:r>
        <w:rPr>
          <w:rFonts w:hint="eastAsia" w:ascii="宋体" w:hAnsi="宋体" w:eastAsia="宋体" w:cs="宋体"/>
          <w:color w:val="auto"/>
          <w:sz w:val="24"/>
          <w:szCs w:val="24"/>
          <w:highlight w:val="none"/>
          <w:lang w:val="en-US" w:eastAsia="zh-CN"/>
        </w:rPr>
        <w:t>并列</w:t>
      </w:r>
      <w:r>
        <w:rPr>
          <w:rFonts w:hint="eastAsia" w:ascii="宋体" w:hAnsi="宋体" w:eastAsia="宋体" w:cs="宋体"/>
          <w:color w:val="auto"/>
          <w:sz w:val="24"/>
          <w:szCs w:val="24"/>
          <w:highlight w:val="none"/>
        </w:rPr>
        <w:t>。投标文件满足招标文件全部实质性要求，且按照评审因素的量化指标评审总得分最高的投标人为排名第一的中标候选人。</w:t>
      </w:r>
    </w:p>
    <w:p w14:paraId="1C9E64D8">
      <w:pPr>
        <w:pageBreakBefore w:val="0"/>
        <w:kinsoku/>
        <w:wordWrap w:val="0"/>
        <w:overflowPunct/>
        <w:bidi w:val="0"/>
        <w:spacing w:before="95" w:beforeLines="30" w:after="95" w:afterLines="30"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八、评标报告编写</w:t>
      </w:r>
    </w:p>
    <w:p w14:paraId="40DAC367">
      <w:pPr>
        <w:pageBreakBefore w:val="0"/>
        <w:kinsoku/>
        <w:wordWrap w:val="0"/>
        <w:overflowPunct/>
        <w:autoSpaceDE w:val="0"/>
        <w:autoSpaceDN w:val="0"/>
        <w:bidi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评标委员会根据全体评标成员签字的原始评标记录和评标结果编写评标报告。</w:t>
      </w:r>
    </w:p>
    <w:p w14:paraId="5C57867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48B7F5A4">
      <w:pPr>
        <w:pStyle w:val="3"/>
        <w:pageBreakBefore w:val="0"/>
        <w:numPr>
          <w:ilvl w:val="0"/>
          <w:numId w:val="0"/>
        </w:numPr>
        <w:tabs>
          <w:tab w:val="left" w:pos="642"/>
        </w:tabs>
        <w:kinsoku/>
        <w:wordWrap w:val="0"/>
        <w:overflowPunct/>
        <w:bidi w:val="0"/>
        <w:spacing w:before="0" w:after="0" w:line="525" w:lineRule="exact"/>
        <w:ind w:left="240" w:leftChars="0" w:right="0" w:rightChars="0"/>
        <w:jc w:val="left"/>
        <w:outlineLvl w:val="1"/>
        <w:rPr>
          <w:rFonts w:hint="eastAsia" w:ascii="宋体" w:hAnsi="宋体" w:eastAsia="宋体" w:cs="宋体"/>
          <w:b w:val="0"/>
          <w:bCs w:val="0"/>
          <w:color w:val="auto"/>
          <w:sz w:val="24"/>
          <w:szCs w:val="24"/>
          <w:highlight w:val="none"/>
        </w:rPr>
      </w:pPr>
      <w:bookmarkStart w:id="239" w:name="_Toc21476"/>
      <w:bookmarkEnd w:id="239"/>
      <w:bookmarkStart w:id="240" w:name="_Toc8239"/>
      <w:bookmarkEnd w:id="240"/>
      <w:bookmarkStart w:id="241" w:name="_Toc416"/>
      <w:bookmarkStart w:id="242" w:name="_Toc23023"/>
      <w:r>
        <w:rPr>
          <w:rFonts w:hint="eastAsia" w:ascii="宋体" w:hAnsi="宋体" w:eastAsia="宋体" w:cs="宋体"/>
          <w:b w:val="0"/>
          <w:bCs w:val="0"/>
          <w:color w:val="auto"/>
          <w:sz w:val="24"/>
          <w:szCs w:val="24"/>
          <w:highlight w:val="none"/>
        </w:rPr>
        <w:t>附件</w:t>
      </w:r>
      <w:r>
        <w:rPr>
          <w:rFonts w:hint="eastAsia" w:ascii="宋体" w:hAnsi="宋体" w:eastAsia="宋体" w:cs="宋体"/>
          <w:b w:val="0"/>
          <w:bCs w:val="0"/>
          <w:color w:val="auto"/>
          <w:sz w:val="24"/>
          <w:szCs w:val="24"/>
          <w:highlight w:val="none"/>
          <w:lang w:val="en-US" w:eastAsia="zh-CN"/>
        </w:rPr>
        <w:t>A</w:t>
      </w:r>
      <w:r>
        <w:rPr>
          <w:rFonts w:hint="eastAsia" w:ascii="宋体" w:hAnsi="宋体" w:eastAsia="宋体" w:cs="宋体"/>
          <w:b w:val="0"/>
          <w:bCs w:val="0"/>
          <w:color w:val="auto"/>
          <w:sz w:val="24"/>
          <w:szCs w:val="24"/>
          <w:highlight w:val="none"/>
        </w:rPr>
        <w:t>：否决投标条款</w:t>
      </w:r>
      <w:bookmarkEnd w:id="241"/>
      <w:bookmarkEnd w:id="242"/>
    </w:p>
    <w:p w14:paraId="687B0622">
      <w:pPr>
        <w:pageBreakBefore w:val="0"/>
        <w:kinsoku/>
        <w:wordWrap w:val="0"/>
        <w:overflowPunct/>
        <w:bidi w:val="0"/>
        <w:spacing w:line="240" w:lineRule="exact"/>
        <w:ind w:firstLine="480" w:firstLineChars="200"/>
        <w:rPr>
          <w:rFonts w:hint="eastAsia" w:ascii="宋体" w:hAnsi="宋体" w:eastAsia="宋体" w:cs="宋体"/>
          <w:color w:val="auto"/>
          <w:sz w:val="24"/>
          <w:szCs w:val="24"/>
          <w:highlight w:val="none"/>
        </w:rPr>
      </w:pPr>
    </w:p>
    <w:p w14:paraId="43A867EF">
      <w:pPr>
        <w:pageBreakBefore w:val="0"/>
        <w:kinsoku/>
        <w:wordWrap w:val="0"/>
        <w:overflowPunct/>
        <w:topLinePunct w:val="0"/>
        <w:bidi w:val="0"/>
        <w:adjustRightInd w:val="0"/>
        <w:snapToGrid w:val="0"/>
        <w:spacing w:after="158" w:afterLines="50" w:line="460" w:lineRule="exact"/>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否决投标条款</w:t>
      </w:r>
    </w:p>
    <w:p w14:paraId="4F1FF635">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0.总  则</w:t>
      </w:r>
    </w:p>
    <w:p w14:paraId="4579D3BD">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本附件所集中列示的废标条件，是本章“评标办法”的组成部分，是对第二章“投标人须知”和本章正文部分所规定的废标条件的总结和补充，如果出现相互矛盾的情况，以本节的规定为准。</w:t>
      </w:r>
    </w:p>
    <w:p w14:paraId="480C7EB2">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1.否决投标条款</w:t>
      </w:r>
    </w:p>
    <w:p w14:paraId="117D0682">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有下列情形之一的，其投标作否决投标处理：</w:t>
      </w:r>
    </w:p>
    <w:p w14:paraId="1689E621">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rPr>
        <w:t>未按照</w:t>
      </w:r>
      <w:r>
        <w:rPr>
          <w:rFonts w:hint="eastAsia" w:ascii="宋体" w:hAnsi="宋体" w:eastAsia="宋体" w:cs="宋体"/>
          <w:color w:val="auto"/>
          <w:sz w:val="24"/>
          <w:szCs w:val="24"/>
          <w:highlight w:val="none"/>
          <w:lang w:val="en-US" w:eastAsia="zh-CN"/>
        </w:rPr>
        <w:t>招</w:t>
      </w:r>
      <w:r>
        <w:rPr>
          <w:rFonts w:hint="eastAsia" w:ascii="宋体" w:hAnsi="宋体" w:eastAsia="宋体" w:cs="宋体"/>
          <w:color w:val="auto"/>
          <w:sz w:val="24"/>
          <w:szCs w:val="24"/>
          <w:highlight w:val="none"/>
          <w:lang w:val="en-US"/>
        </w:rPr>
        <w:t>标文件的规定提交投标保证金的；</w:t>
      </w:r>
    </w:p>
    <w:p w14:paraId="1B179EC0">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rPr>
        <w:t>投标文件未按招标文件要求签署、盖章的；</w:t>
      </w:r>
    </w:p>
    <w:p w14:paraId="7EFFD23F">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rPr>
        <w:t>不具备</w:t>
      </w:r>
      <w:r>
        <w:rPr>
          <w:rFonts w:hint="eastAsia" w:ascii="宋体" w:hAnsi="宋体" w:eastAsia="宋体" w:cs="宋体"/>
          <w:color w:val="auto"/>
          <w:sz w:val="24"/>
          <w:szCs w:val="24"/>
          <w:highlight w:val="none"/>
          <w:lang w:val="en-US" w:eastAsia="zh-CN"/>
        </w:rPr>
        <w:t>招</w:t>
      </w:r>
      <w:r>
        <w:rPr>
          <w:rFonts w:hint="eastAsia" w:ascii="宋体" w:hAnsi="宋体" w:eastAsia="宋体" w:cs="宋体"/>
          <w:color w:val="auto"/>
          <w:sz w:val="24"/>
          <w:szCs w:val="24"/>
          <w:highlight w:val="none"/>
          <w:lang w:val="en-US"/>
        </w:rPr>
        <w:t>标文件中规定的资格要求的；</w:t>
      </w:r>
    </w:p>
    <w:p w14:paraId="36D7F98D">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投标报价未满足投标人须知前附表的；</w:t>
      </w:r>
    </w:p>
    <w:p w14:paraId="0E639FA7">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en-US"/>
        </w:rPr>
        <w:t>报价超过</w:t>
      </w:r>
      <w:r>
        <w:rPr>
          <w:rFonts w:hint="eastAsia" w:ascii="宋体" w:hAnsi="宋体" w:eastAsia="宋体" w:cs="宋体"/>
          <w:color w:val="auto"/>
          <w:sz w:val="24"/>
          <w:szCs w:val="24"/>
          <w:highlight w:val="none"/>
          <w:lang w:val="en-US" w:eastAsia="zh-CN"/>
        </w:rPr>
        <w:t>招</w:t>
      </w:r>
      <w:r>
        <w:rPr>
          <w:rFonts w:hint="eastAsia" w:ascii="宋体" w:hAnsi="宋体" w:eastAsia="宋体" w:cs="宋体"/>
          <w:color w:val="auto"/>
          <w:sz w:val="24"/>
          <w:szCs w:val="24"/>
          <w:highlight w:val="none"/>
          <w:lang w:val="en-US"/>
        </w:rPr>
        <w:t>标文件中规定的最高限价的；</w:t>
      </w:r>
    </w:p>
    <w:p w14:paraId="050779BD">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en-US"/>
        </w:rPr>
        <w:t>投标文件含有</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rPr>
        <w:t>不能接受的附加条件的；</w:t>
      </w:r>
    </w:p>
    <w:p w14:paraId="2C34C83A">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en-US"/>
        </w:rPr>
        <w:t>存在</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rPr>
        <w:t>文件“</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rPr>
        <w:t>须知正文1.4.3及1.4.4”的情况。</w:t>
      </w:r>
    </w:p>
    <w:p w14:paraId="72881965">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投标函不满足第</w:t>
      </w: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章“投标函”要求的；</w:t>
      </w:r>
    </w:p>
    <w:p w14:paraId="12F077E6">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9合同履行期限</w:t>
      </w:r>
      <w:r>
        <w:rPr>
          <w:rFonts w:hint="eastAsia" w:ascii="宋体" w:hAnsi="宋体" w:eastAsia="宋体" w:cs="宋体"/>
          <w:color w:val="auto"/>
          <w:sz w:val="24"/>
          <w:szCs w:val="24"/>
          <w:highlight w:val="none"/>
        </w:rPr>
        <w:t>不满足投标人须知前附表的；</w:t>
      </w:r>
    </w:p>
    <w:p w14:paraId="1D5EBDC1">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10服务</w:t>
      </w:r>
      <w:r>
        <w:rPr>
          <w:rFonts w:hint="eastAsia" w:ascii="宋体" w:hAnsi="宋体" w:eastAsia="宋体" w:cs="宋体"/>
          <w:color w:val="auto"/>
          <w:sz w:val="24"/>
          <w:szCs w:val="24"/>
          <w:highlight w:val="none"/>
        </w:rPr>
        <w:t>要求未满足投标人须知前附表的；</w:t>
      </w:r>
    </w:p>
    <w:p w14:paraId="073070B5">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B1.</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联合体投标不满足投标人须知前附表的；</w:t>
      </w:r>
    </w:p>
    <w:p w14:paraId="41A7E958">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分包未满足投标人须知前附表的；</w:t>
      </w:r>
    </w:p>
    <w:p w14:paraId="55DDF0F6">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偏离不满足投标人须知前附表的；</w:t>
      </w:r>
    </w:p>
    <w:p w14:paraId="386146EA">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投标有效期未满足投标人须知前附表的；</w:t>
      </w:r>
    </w:p>
    <w:p w14:paraId="28D8644E">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投标文件格式未满足投标人须知前附表的；</w:t>
      </w:r>
    </w:p>
    <w:p w14:paraId="77AD32AA">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6未</w:t>
      </w:r>
      <w:r>
        <w:rPr>
          <w:rFonts w:hint="eastAsia" w:ascii="宋体" w:hAnsi="宋体" w:eastAsia="宋体" w:cs="宋体"/>
          <w:color w:val="auto"/>
          <w:sz w:val="24"/>
          <w:szCs w:val="24"/>
          <w:highlight w:val="none"/>
        </w:rPr>
        <w:t>按规定格式填写，内容不全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承诺未由法定代表人亲自签署</w:t>
      </w:r>
      <w:r>
        <w:rPr>
          <w:rFonts w:hint="eastAsia" w:ascii="宋体" w:hAnsi="宋体" w:eastAsia="宋体" w:cs="宋体"/>
          <w:color w:val="auto"/>
          <w:sz w:val="24"/>
          <w:szCs w:val="24"/>
          <w:highlight w:val="none"/>
        </w:rPr>
        <w:t>或者关键内容字迹模糊，无法辨认的；</w:t>
      </w:r>
    </w:p>
    <w:p w14:paraId="38AE89F3">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投标人拒不按照评标委员会要求对投标文件进行澄清、说明、补正的；</w:t>
      </w:r>
    </w:p>
    <w:p w14:paraId="0DC94C55">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不同投标人委托同一人投标的；</w:t>
      </w:r>
    </w:p>
    <w:p w14:paraId="32FA3C42">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不同投标人的投标文件由同一台电脑编制的；</w:t>
      </w:r>
    </w:p>
    <w:p w14:paraId="5F9ED8D5">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不同投标人的投标文件内容存在非正常一致的；</w:t>
      </w:r>
    </w:p>
    <w:p w14:paraId="40DD499B">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不同投标人的投标文件错漏之处一致的；</w:t>
      </w:r>
    </w:p>
    <w:p w14:paraId="411DA53B">
      <w:pPr>
        <w:pageBreakBefore w:val="0"/>
        <w:kinsoku/>
        <w:wordWrap w:val="0"/>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不同投标人的投标报价或者报价组成异常一致或者呈规律性变化的；</w:t>
      </w:r>
    </w:p>
    <w:p w14:paraId="5BB15D4A">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内容填写不全或者关键字迹模糊无法辨认的；</w:t>
      </w:r>
    </w:p>
    <w:p w14:paraId="39CE6F1D">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扫描件模糊不清无法辨认的；</w:t>
      </w:r>
    </w:p>
    <w:p w14:paraId="76C24E29">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违反国家、省、市相关法律法规的；</w:t>
      </w:r>
    </w:p>
    <w:p w14:paraId="6C46131A">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sectPr>
          <w:pgSz w:w="11906" w:h="16838"/>
          <w:pgMar w:top="1440" w:right="1083" w:bottom="1440" w:left="1083" w:header="720" w:footer="720" w:gutter="0"/>
          <w:pgBorders>
            <w:top w:val="none" w:sz="0" w:space="0"/>
            <w:left w:val="none" w:sz="0" w:space="0"/>
            <w:bottom w:val="none" w:sz="0" w:space="0"/>
            <w:right w:val="none" w:sz="0" w:space="0"/>
          </w:pgBorders>
          <w:pgNumType w:fmt="decimal"/>
          <w:cols w:space="720" w:num="1"/>
          <w:docGrid w:type="lines" w:linePitch="317" w:charSpace="0"/>
        </w:sect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26</w:t>
      </w:r>
      <w:r>
        <w:rPr>
          <w:rFonts w:hint="eastAsia" w:ascii="宋体" w:hAnsi="宋体" w:eastAsia="宋体" w:cs="宋体"/>
          <w:color w:val="auto"/>
          <w:sz w:val="24"/>
          <w:szCs w:val="24"/>
          <w:highlight w:val="none"/>
          <w:lang w:val="en-US"/>
        </w:rPr>
        <w:t>法律、法规和</w:t>
      </w:r>
      <w:r>
        <w:rPr>
          <w:rFonts w:hint="eastAsia" w:ascii="宋体" w:hAnsi="宋体" w:eastAsia="宋体" w:cs="宋体"/>
          <w:color w:val="auto"/>
          <w:sz w:val="24"/>
          <w:szCs w:val="24"/>
          <w:highlight w:val="none"/>
          <w:lang w:val="en-US" w:eastAsia="zh-CN"/>
        </w:rPr>
        <w:t>招</w:t>
      </w:r>
      <w:r>
        <w:rPr>
          <w:rFonts w:hint="eastAsia" w:ascii="宋体" w:hAnsi="宋体" w:eastAsia="宋体" w:cs="宋体"/>
          <w:color w:val="auto"/>
          <w:sz w:val="24"/>
          <w:szCs w:val="24"/>
          <w:highlight w:val="none"/>
          <w:lang w:val="en-US"/>
        </w:rPr>
        <w:t>标文件规定的其他无效情形。</w:t>
      </w:r>
    </w:p>
    <w:p w14:paraId="446C223A">
      <w:pPr>
        <w:pStyle w:val="2"/>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rPr>
      </w:pPr>
      <w:bookmarkStart w:id="243" w:name="_Toc18440"/>
      <w:bookmarkEnd w:id="243"/>
      <w:bookmarkStart w:id="244" w:name="_Toc26828"/>
      <w:bookmarkEnd w:id="244"/>
      <w:bookmarkStart w:id="245" w:name="_Toc30727"/>
      <w:bookmarkStart w:id="246" w:name="_Toc15431"/>
    </w:p>
    <w:p w14:paraId="3A754388">
      <w:pPr>
        <w:pStyle w:val="2"/>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rPr>
      </w:pPr>
    </w:p>
    <w:p w14:paraId="4971AC9F">
      <w:pPr>
        <w:pStyle w:val="2"/>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rPr>
      </w:pPr>
    </w:p>
    <w:p w14:paraId="3899E15D">
      <w:pPr>
        <w:pStyle w:val="2"/>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rPr>
      </w:pPr>
    </w:p>
    <w:p w14:paraId="66E8B107">
      <w:pPr>
        <w:pStyle w:val="2"/>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rPr>
      </w:pPr>
    </w:p>
    <w:p w14:paraId="1DCB01BC">
      <w:pPr>
        <w:pStyle w:val="2"/>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rPr>
      </w:pPr>
    </w:p>
    <w:p w14:paraId="3FDABC96">
      <w:pPr>
        <w:pStyle w:val="2"/>
        <w:pageBreakBefore w:val="0"/>
        <w:kinsoku/>
        <w:wordWrap w:val="0"/>
        <w:overflowPunct/>
        <w:bidi w:val="0"/>
        <w:spacing w:before="0" w:after="0" w:line="360" w:lineRule="auto"/>
        <w:jc w:val="center"/>
        <w:rPr>
          <w:rFonts w:hint="eastAsia" w:ascii="宋体" w:hAnsi="宋体" w:eastAsia="宋体" w:cs="宋体"/>
          <w:color w:val="auto"/>
          <w:sz w:val="24"/>
          <w:szCs w:val="24"/>
          <w:highlight w:val="none"/>
        </w:rPr>
      </w:pPr>
    </w:p>
    <w:p w14:paraId="4CCBAD8D">
      <w:pPr>
        <w:pStyle w:val="3"/>
        <w:pageBreakBefore w:val="0"/>
        <w:kinsoku/>
        <w:wordWrap w:val="0"/>
        <w:overflowPunct/>
        <w:bidi w:val="0"/>
        <w:jc w:val="center"/>
        <w:rPr>
          <w:rFonts w:hint="eastAsia" w:ascii="宋体" w:hAnsi="宋体" w:eastAsia="宋体" w:cs="宋体"/>
          <w:color w:val="auto"/>
          <w:highlight w:val="none"/>
        </w:rPr>
      </w:pPr>
      <w:bookmarkStart w:id="247" w:name="_Toc7237"/>
      <w:r>
        <w:rPr>
          <w:rFonts w:hint="eastAsia" w:ascii="宋体" w:hAnsi="宋体" w:eastAsia="宋体" w:cs="宋体"/>
          <w:color w:val="auto"/>
          <w:highlight w:val="none"/>
        </w:rPr>
        <w:t>第五章 合同条款及格式</w:t>
      </w:r>
      <w:bookmarkEnd w:id="245"/>
      <w:bookmarkEnd w:id="247"/>
    </w:p>
    <w:p w14:paraId="11F0A2F8">
      <w:pPr>
        <w:pageBreakBefore w:val="0"/>
        <w:kinsoku/>
        <w:wordWrap w:val="0"/>
        <w:overflowPunct/>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br w:type="page"/>
      </w:r>
    </w:p>
    <w:bookmarkEnd w:id="246"/>
    <w:p w14:paraId="2D4995C0">
      <w:pPr>
        <w:widowControl/>
        <w:jc w:val="center"/>
        <w:rPr>
          <w:rFonts w:hint="eastAsia" w:ascii="宋体" w:hAnsi="宋体" w:eastAsia="宋体" w:cs="宋体"/>
          <w:color w:val="auto"/>
          <w:kern w:val="0"/>
          <w:sz w:val="72"/>
          <w:szCs w:val="72"/>
          <w:highlight w:val="none"/>
          <w:lang w:bidi="ar"/>
        </w:rPr>
      </w:pPr>
      <w:bookmarkStart w:id="248" w:name="_Toc8577"/>
      <w:r>
        <w:rPr>
          <w:rFonts w:hint="eastAsia" w:ascii="宋体" w:hAnsi="宋体" w:eastAsia="宋体" w:cs="宋体"/>
          <w:color w:val="auto"/>
          <w:kern w:val="0"/>
          <w:sz w:val="72"/>
          <w:szCs w:val="72"/>
          <w:highlight w:val="none"/>
          <w:lang w:bidi="ar"/>
        </w:rPr>
        <w:t>政府采购合同</w:t>
      </w:r>
    </w:p>
    <w:p w14:paraId="074E5FF6">
      <w:pPr>
        <w:pStyle w:val="13"/>
        <w:rPr>
          <w:rFonts w:hint="eastAsia" w:ascii="宋体" w:hAnsi="宋体" w:eastAsia="宋体" w:cs="宋体"/>
          <w:color w:val="auto"/>
          <w:highlight w:val="none"/>
        </w:rPr>
      </w:pPr>
    </w:p>
    <w:p w14:paraId="43E84C3D">
      <w:pPr>
        <w:widowControl/>
        <w:jc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（电子招标采购项目适用）</w:t>
      </w:r>
    </w:p>
    <w:p w14:paraId="07E52862">
      <w:pPr>
        <w:widowControl/>
        <w:ind w:firstLine="576"/>
        <w:jc w:val="center"/>
        <w:rPr>
          <w:rFonts w:hint="eastAsia" w:ascii="宋体" w:hAnsi="宋体" w:eastAsia="宋体" w:cs="宋体"/>
          <w:color w:val="auto"/>
          <w:kern w:val="0"/>
          <w:sz w:val="22"/>
          <w:szCs w:val="22"/>
          <w:highlight w:val="none"/>
          <w:lang w:eastAsia="zh-CN" w:bidi="ar"/>
        </w:rPr>
      </w:pPr>
    </w:p>
    <w:p w14:paraId="0F80EAF0">
      <w:pPr>
        <w:pStyle w:val="13"/>
        <w:rPr>
          <w:rFonts w:hint="eastAsia" w:ascii="宋体" w:hAnsi="宋体" w:eastAsia="宋体" w:cs="宋体"/>
          <w:color w:val="auto"/>
          <w:highlight w:val="none"/>
          <w:lang w:eastAsia="zh-CN"/>
        </w:rPr>
      </w:pPr>
    </w:p>
    <w:p w14:paraId="15FE7D1F">
      <w:pPr>
        <w:pStyle w:val="13"/>
        <w:pageBreakBefore w:val="0"/>
        <w:kinsoku/>
        <w:wordWrap w:val="0"/>
        <w:overflowPunct/>
        <w:bidi w:val="0"/>
        <w:jc w:val="center"/>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bidi="ar"/>
        </w:rPr>
        <w:t>项目名称：</w:t>
      </w:r>
      <w:r>
        <w:rPr>
          <w:rFonts w:hint="eastAsia" w:ascii="宋体" w:hAnsi="宋体" w:eastAsia="宋体" w:cs="宋体"/>
          <w:color w:val="auto"/>
          <w:kern w:val="0"/>
          <w:sz w:val="28"/>
          <w:szCs w:val="28"/>
          <w:highlight w:val="none"/>
          <w:u w:val="single"/>
          <w:lang w:bidi="ar"/>
        </w:rPr>
        <w:t xml:space="preserve"> </w:t>
      </w:r>
      <w:r>
        <w:rPr>
          <w:rFonts w:hint="eastAsia" w:ascii="宋体" w:hAnsi="宋体" w:eastAsia="宋体" w:cs="宋体"/>
          <w:b/>
          <w:bCs/>
          <w:color w:val="auto"/>
          <w:kern w:val="0"/>
          <w:sz w:val="28"/>
          <w:szCs w:val="28"/>
          <w:highlight w:val="none"/>
          <w:u w:val="single"/>
          <w:lang w:eastAsia="zh-CN" w:bidi="ar"/>
        </w:rPr>
        <w:t>芒市海关进境食用水生动物实验室检测能力提升项目实验室仪器设备采购</w:t>
      </w:r>
    </w:p>
    <w:p w14:paraId="6285D19C">
      <w:pPr>
        <w:widowControl/>
        <w:spacing w:line="360" w:lineRule="auto"/>
        <w:ind w:firstLine="733" w:firstLineChars="262"/>
        <w:rPr>
          <w:rFonts w:hint="eastAsia" w:ascii="宋体" w:hAnsi="宋体" w:eastAsia="宋体" w:cs="宋体"/>
          <w:color w:val="auto"/>
          <w:sz w:val="28"/>
          <w:szCs w:val="28"/>
          <w:highlight w:val="none"/>
        </w:rPr>
      </w:pPr>
    </w:p>
    <w:p w14:paraId="1A4E28E0">
      <w:pPr>
        <w:pStyle w:val="2"/>
        <w:rPr>
          <w:rFonts w:hint="eastAsia"/>
          <w:color w:val="auto"/>
          <w:highlight w:val="none"/>
        </w:rPr>
      </w:pPr>
    </w:p>
    <w:p w14:paraId="0AD149CD">
      <w:pPr>
        <w:widowControl/>
        <w:spacing w:line="360" w:lineRule="auto"/>
        <w:ind w:firstLine="733" w:firstLineChars="262"/>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合同编号</w:t>
      </w:r>
      <w:r>
        <w:rPr>
          <w:rFonts w:hint="eastAsia" w:ascii="宋体" w:hAnsi="宋体" w:eastAsia="宋体" w:cs="宋体"/>
          <w:color w:val="auto"/>
          <w:kern w:val="0"/>
          <w:sz w:val="28"/>
          <w:szCs w:val="28"/>
          <w:highlight w:val="none"/>
          <w:lang w:eastAsia="zh-CN" w:bidi="ar"/>
        </w:rPr>
        <w:t>：</w:t>
      </w:r>
      <w:r>
        <w:rPr>
          <w:rFonts w:hint="eastAsia" w:ascii="宋体" w:hAnsi="宋体" w:eastAsia="宋体" w:cs="宋体"/>
          <w:color w:val="auto"/>
          <w:kern w:val="0"/>
          <w:sz w:val="28"/>
          <w:szCs w:val="28"/>
          <w:highlight w:val="none"/>
          <w:u w:val="single"/>
          <w:lang w:bidi="ar"/>
        </w:rPr>
        <w:t xml:space="preserve">                     </w:t>
      </w:r>
      <w:r>
        <w:rPr>
          <w:rFonts w:hint="eastAsia" w:ascii="宋体" w:hAnsi="宋体" w:eastAsia="宋体" w:cs="宋体"/>
          <w:color w:val="auto"/>
          <w:kern w:val="0"/>
          <w:sz w:val="28"/>
          <w:szCs w:val="28"/>
          <w:highlight w:val="none"/>
          <w:lang w:bidi="ar"/>
        </w:rPr>
        <w:t>（系统编号）</w:t>
      </w:r>
    </w:p>
    <w:p w14:paraId="0078A56F">
      <w:pPr>
        <w:widowControl/>
        <w:spacing w:line="360" w:lineRule="auto"/>
        <w:ind w:left="0" w:leftChars="0" w:firstLine="2100" w:firstLineChars="750"/>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u w:val="single"/>
          <w:lang w:bidi="ar"/>
        </w:rPr>
        <w:t xml:space="preserve">   </w:t>
      </w:r>
      <w:r>
        <w:rPr>
          <w:rFonts w:hint="eastAsia" w:ascii="宋体" w:hAnsi="宋体" w:eastAsia="宋体" w:cs="宋体"/>
          <w:color w:val="auto"/>
          <w:kern w:val="0"/>
          <w:sz w:val="28"/>
          <w:szCs w:val="28"/>
          <w:highlight w:val="none"/>
          <w:u w:val="single"/>
          <w:lang w:val="en-US" w:eastAsia="zh-CN" w:bidi="ar"/>
        </w:rPr>
        <w:t xml:space="preserve">    </w:t>
      </w:r>
      <w:r>
        <w:rPr>
          <w:rFonts w:hint="eastAsia" w:ascii="宋体" w:hAnsi="宋体" w:eastAsia="宋体" w:cs="宋体"/>
          <w:color w:val="auto"/>
          <w:kern w:val="0"/>
          <w:sz w:val="28"/>
          <w:szCs w:val="28"/>
          <w:highlight w:val="none"/>
          <w:u w:val="single"/>
          <w:lang w:bidi="ar"/>
        </w:rPr>
        <w:t xml:space="preserve">                </w:t>
      </w:r>
      <w:r>
        <w:rPr>
          <w:rFonts w:hint="eastAsia" w:ascii="宋体" w:hAnsi="宋体" w:eastAsia="宋体" w:cs="宋体"/>
          <w:color w:val="auto"/>
          <w:kern w:val="0"/>
          <w:sz w:val="28"/>
          <w:szCs w:val="28"/>
          <w:highlight w:val="none"/>
          <w:lang w:bidi="ar"/>
        </w:rPr>
        <w:t>（合同自编号，如有）</w:t>
      </w:r>
    </w:p>
    <w:p w14:paraId="65456AC3">
      <w:pPr>
        <w:widowControl/>
        <w:ind w:firstLine="733" w:firstLineChars="262"/>
        <w:jc w:val="center"/>
        <w:rPr>
          <w:rFonts w:hint="eastAsia" w:ascii="宋体" w:hAnsi="宋体" w:eastAsia="宋体" w:cs="宋体"/>
          <w:color w:val="auto"/>
          <w:kern w:val="0"/>
          <w:sz w:val="28"/>
          <w:szCs w:val="28"/>
          <w:highlight w:val="none"/>
          <w:lang w:bidi="ar"/>
        </w:rPr>
      </w:pPr>
    </w:p>
    <w:p w14:paraId="650D54C0">
      <w:pPr>
        <w:widowControl/>
        <w:ind w:firstLine="733" w:firstLineChars="262"/>
        <w:jc w:val="center"/>
        <w:rPr>
          <w:rFonts w:hint="eastAsia" w:ascii="宋体" w:hAnsi="宋体" w:eastAsia="宋体" w:cs="宋体"/>
          <w:color w:val="auto"/>
          <w:kern w:val="0"/>
          <w:sz w:val="28"/>
          <w:szCs w:val="28"/>
          <w:highlight w:val="none"/>
          <w:lang w:bidi="ar"/>
        </w:rPr>
      </w:pPr>
    </w:p>
    <w:p w14:paraId="33600817">
      <w:pPr>
        <w:widowControl/>
        <w:ind w:firstLine="733" w:firstLineChars="262"/>
        <w:jc w:val="center"/>
        <w:rPr>
          <w:rFonts w:hint="eastAsia" w:ascii="宋体" w:hAnsi="宋体" w:eastAsia="宋体" w:cs="宋体"/>
          <w:color w:val="auto"/>
          <w:kern w:val="0"/>
          <w:sz w:val="28"/>
          <w:szCs w:val="28"/>
          <w:highlight w:val="none"/>
          <w:lang w:bidi="ar"/>
        </w:rPr>
      </w:pPr>
    </w:p>
    <w:p w14:paraId="24C3C255">
      <w:pPr>
        <w:widowControl/>
        <w:ind w:firstLine="733" w:firstLineChars="262"/>
        <w:jc w:val="center"/>
        <w:rPr>
          <w:rFonts w:hint="eastAsia" w:ascii="宋体" w:hAnsi="宋体" w:eastAsia="宋体" w:cs="宋体"/>
          <w:color w:val="auto"/>
          <w:kern w:val="0"/>
          <w:sz w:val="28"/>
          <w:szCs w:val="28"/>
          <w:highlight w:val="none"/>
          <w:lang w:bidi="ar"/>
        </w:rPr>
      </w:pPr>
    </w:p>
    <w:p w14:paraId="3705F240">
      <w:pPr>
        <w:widowControl/>
        <w:ind w:firstLine="733" w:firstLineChars="262"/>
        <w:rPr>
          <w:rFonts w:hint="eastAsia" w:ascii="宋体" w:hAnsi="宋体" w:eastAsia="宋体" w:cs="宋体"/>
          <w:color w:val="auto"/>
          <w:sz w:val="28"/>
          <w:szCs w:val="28"/>
          <w:highlight w:val="none"/>
          <w:lang w:eastAsia="zh-CN"/>
        </w:rPr>
      </w:pPr>
      <w:r>
        <w:rPr>
          <w:rFonts w:hint="eastAsia" w:ascii="宋体" w:hAnsi="宋体" w:eastAsia="宋体" w:cs="宋体"/>
          <w:color w:val="auto"/>
          <w:kern w:val="0"/>
          <w:sz w:val="28"/>
          <w:szCs w:val="28"/>
          <w:highlight w:val="none"/>
          <w:lang w:bidi="ar"/>
        </w:rPr>
        <w:t>甲  方：</w:t>
      </w:r>
      <w:r>
        <w:rPr>
          <w:rFonts w:hint="eastAsia" w:ascii="宋体" w:hAnsi="宋体" w:cs="宋体"/>
          <w:color w:val="auto"/>
          <w:kern w:val="0"/>
          <w:sz w:val="28"/>
          <w:szCs w:val="28"/>
          <w:highlight w:val="none"/>
          <w:lang w:eastAsia="zh-CN" w:bidi="ar"/>
        </w:rPr>
        <w:t>芒市商务局</w:t>
      </w:r>
    </w:p>
    <w:p w14:paraId="37C9A0B0">
      <w:pPr>
        <w:widowControl/>
        <w:ind w:firstLine="733" w:firstLineChars="262"/>
        <w:jc w:val="center"/>
        <w:rPr>
          <w:rFonts w:hint="eastAsia" w:ascii="宋体" w:hAnsi="宋体" w:eastAsia="宋体" w:cs="宋体"/>
          <w:color w:val="auto"/>
          <w:kern w:val="0"/>
          <w:sz w:val="28"/>
          <w:szCs w:val="28"/>
          <w:highlight w:val="none"/>
          <w:lang w:bidi="ar"/>
        </w:rPr>
      </w:pPr>
    </w:p>
    <w:p w14:paraId="3E1ABC35">
      <w:pPr>
        <w:widowControl/>
        <w:ind w:firstLine="733" w:firstLineChars="262"/>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bidi="ar"/>
        </w:rPr>
        <w:t>乙  方：</w:t>
      </w:r>
    </w:p>
    <w:p w14:paraId="30A1859E">
      <w:pPr>
        <w:pStyle w:val="37"/>
        <w:ind w:left="0" w:leftChars="0" w:firstLine="628" w:firstLineChars="262"/>
        <w:rPr>
          <w:rFonts w:hint="eastAsia" w:ascii="宋体" w:hAnsi="宋体" w:eastAsia="宋体" w:cs="宋体"/>
          <w:color w:val="auto"/>
          <w:highlight w:val="none"/>
          <w:lang w:val="zh-CN"/>
        </w:rPr>
      </w:pPr>
      <w:r>
        <w:rPr>
          <w:rFonts w:hint="eastAsia" w:ascii="宋体" w:hAnsi="宋体" w:eastAsia="宋体" w:cs="宋体"/>
          <w:b/>
          <w:bCs/>
          <w:color w:val="auto"/>
          <w:kern w:val="0"/>
          <w:sz w:val="24"/>
          <w:highlight w:val="none"/>
        </w:rPr>
        <w:br w:type="page"/>
      </w:r>
    </w:p>
    <w:p w14:paraId="79271546">
      <w:pPr>
        <w:pStyle w:val="37"/>
        <w:rPr>
          <w:rFonts w:hint="eastAsia" w:ascii="宋体" w:hAnsi="宋体" w:eastAsia="宋体" w:cs="宋体"/>
          <w:color w:val="auto"/>
          <w:highlight w:val="none"/>
          <w:lang w:val="zh-CN"/>
        </w:rPr>
      </w:pPr>
    </w:p>
    <w:p w14:paraId="77A8DC6D">
      <w:pPr>
        <w:shd w:val="clear" w:color="auto" w:fill="FFFFFF"/>
        <w:adjustRightInd w:val="0"/>
        <w:snapToGrid w:val="0"/>
        <w:spacing w:line="500" w:lineRule="exact"/>
        <w:ind w:firstLine="480"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甲方</w:t>
      </w: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u w:val="single"/>
        </w:rPr>
        <w:t xml:space="preserve">  </w:t>
      </w:r>
      <w:r>
        <w:rPr>
          <w:rFonts w:hint="eastAsia" w:ascii="宋体" w:hAnsi="宋体" w:eastAsia="宋体" w:cs="宋体"/>
          <w:b/>
          <w:bCs/>
          <w:color w:val="auto"/>
          <w:kern w:val="0"/>
          <w:sz w:val="24"/>
          <w:highlight w:val="none"/>
          <w:u w:val="single"/>
          <w:lang w:val="en-US" w:eastAsia="zh-CN"/>
        </w:rPr>
        <w:t xml:space="preserve">       芒市商务局 </w:t>
      </w:r>
      <w:r>
        <w:rPr>
          <w:rFonts w:hint="eastAsia" w:ascii="宋体" w:hAnsi="宋体" w:eastAsia="宋体" w:cs="宋体"/>
          <w:b/>
          <w:bCs/>
          <w:color w:val="auto"/>
          <w:kern w:val="0"/>
          <w:sz w:val="24"/>
          <w:highlight w:val="none"/>
          <w:u w:val="single"/>
        </w:rPr>
        <w:t xml:space="preserve"> </w:t>
      </w:r>
      <w:r>
        <w:rPr>
          <w:rFonts w:hint="eastAsia" w:ascii="宋体" w:hAnsi="宋体" w:eastAsia="宋体" w:cs="宋体"/>
          <w:b/>
          <w:bCs/>
          <w:color w:val="auto"/>
          <w:kern w:val="0"/>
          <w:sz w:val="24"/>
          <w:highlight w:val="none"/>
          <w:u w:val="single"/>
          <w:lang w:val="en-US" w:eastAsia="zh-CN"/>
        </w:rPr>
        <w:t xml:space="preserve">  </w:t>
      </w:r>
      <w:r>
        <w:rPr>
          <w:rFonts w:hint="eastAsia" w:ascii="宋体" w:hAnsi="宋体" w:eastAsia="宋体" w:cs="宋体"/>
          <w:b/>
          <w:bCs/>
          <w:color w:val="auto"/>
          <w:kern w:val="0"/>
          <w:sz w:val="24"/>
          <w:highlight w:val="none"/>
          <w:u w:val="single"/>
        </w:rPr>
        <w:t xml:space="preserve">     </w:t>
      </w:r>
    </w:p>
    <w:p w14:paraId="2FA89F96">
      <w:pPr>
        <w:shd w:val="clear" w:color="auto" w:fill="FFFFFF"/>
        <w:snapToGrid w:val="0"/>
        <w:spacing w:line="460" w:lineRule="exact"/>
        <w:ind w:firstLine="480" w:firstLineChars="20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乙方</w:t>
      </w: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u w:val="single"/>
        </w:rPr>
        <w:t xml:space="preserve">                              </w:t>
      </w:r>
    </w:p>
    <w:p w14:paraId="3DC13CFC">
      <w:pPr>
        <w:spacing w:line="400" w:lineRule="exact"/>
        <w:ind w:firstLine="480" w:firstLineChars="200"/>
        <w:rPr>
          <w:rFonts w:hint="eastAsia" w:ascii="宋体" w:hAnsi="宋体" w:eastAsia="宋体" w:cs="宋体"/>
          <w:color w:val="auto"/>
          <w:sz w:val="24"/>
          <w:highlight w:val="none"/>
        </w:rPr>
      </w:pPr>
    </w:p>
    <w:p w14:paraId="5421E6CA">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根据《中华人民共和国政府采购法》《中华人民共和国民法典》等有关法律法规规定，</w:t>
      </w:r>
      <w:r>
        <w:rPr>
          <w:rFonts w:hint="eastAsia" w:ascii="宋体" w:hAnsi="宋体" w:cs="宋体"/>
          <w:b/>
          <w:color w:val="auto"/>
          <w:sz w:val="24"/>
          <w:highlight w:val="none"/>
          <w:u w:val="single"/>
          <w:lang w:val="en-US" w:eastAsia="zh-CN"/>
        </w:rPr>
        <w:t>芒市商务局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以下简称：“甲方”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通过</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u w:val="single"/>
        </w:rPr>
        <w:t>公开招标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采购方式</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确定</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color w:val="auto"/>
          <w:sz w:val="24"/>
          <w:highlight w:val="none"/>
          <w:u w:val="single"/>
          <w:lang w:val="en-US" w:eastAsia="zh-CN"/>
        </w:rPr>
        <w:t xml:space="preserve">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中标人</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以下简称：“乙方”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为</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lang w:eastAsia="zh-CN"/>
        </w:rPr>
        <w:t>芒市海关进境食用水生动物实验室检测能力提升项目实验室仪器设备采购</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eastAsia="zh-CN"/>
        </w:rPr>
        <w:t>）</w:t>
      </w:r>
      <w:r>
        <w:rPr>
          <w:rFonts w:hint="eastAsia" w:ascii="宋体" w:hAnsi="宋体" w:eastAsia="宋体" w:cs="宋体"/>
          <w:b/>
          <w:bCs/>
          <w:color w:val="auto"/>
          <w:sz w:val="24"/>
          <w:highlight w:val="none"/>
          <w:u w:val="none"/>
        </w:rPr>
        <w:t>中标</w:t>
      </w:r>
      <w:r>
        <w:rPr>
          <w:rFonts w:hint="eastAsia" w:ascii="宋体" w:hAnsi="宋体" w:eastAsia="宋体" w:cs="宋体"/>
          <w:b/>
          <w:bCs/>
          <w:color w:val="auto"/>
          <w:sz w:val="24"/>
          <w:highlight w:val="none"/>
          <w:u w:val="none"/>
          <w:lang w:val="en-US" w:eastAsia="zh-CN"/>
        </w:rPr>
        <w:t>人</w:t>
      </w:r>
      <w:r>
        <w:rPr>
          <w:rFonts w:hint="eastAsia" w:ascii="宋体" w:hAnsi="宋体" w:eastAsia="宋体" w:cs="宋体"/>
          <w:color w:val="auto"/>
          <w:sz w:val="24"/>
          <w:highlight w:val="none"/>
        </w:rPr>
        <w:t>。甲乙双方协商一致同意签署《</w:t>
      </w:r>
      <w:r>
        <w:rPr>
          <w:rFonts w:hint="eastAsia" w:ascii="宋体" w:hAnsi="宋体" w:cs="宋体"/>
          <w:b/>
          <w:bCs/>
          <w:color w:val="auto"/>
          <w:sz w:val="24"/>
          <w:highlight w:val="none"/>
          <w:u w:val="single"/>
          <w:lang w:eastAsia="zh-CN"/>
        </w:rPr>
        <w:t xml:space="preserve"> 芒市海关进境食用水生动物实验室检测能力提升项目实验室仪器设备采购</w:t>
      </w:r>
      <w:r>
        <w:rPr>
          <w:rFonts w:hint="eastAsia" w:ascii="宋体" w:hAnsi="宋体" w:cs="宋体"/>
          <w:b/>
          <w:bCs/>
          <w:color w:val="auto"/>
          <w:sz w:val="24"/>
          <w:highlight w:val="none"/>
          <w:u w:val="single"/>
          <w:lang w:val="en-US" w:eastAsia="zh-CN"/>
        </w:rPr>
        <w:t>合同</w:t>
      </w:r>
      <w:r>
        <w:rPr>
          <w:rFonts w:hint="eastAsia" w:ascii="宋体" w:hAnsi="宋体" w:eastAsia="宋体" w:cs="宋体"/>
          <w:color w:val="auto"/>
          <w:sz w:val="24"/>
          <w:highlight w:val="none"/>
        </w:rPr>
        <w:t>》，以下简称：“合同”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03F6D4D7">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一、货物</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产品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名称、品牌、型号规格、数量、单价（甲乙双方据实填写）</w:t>
      </w:r>
    </w:p>
    <w:tbl>
      <w:tblPr>
        <w:tblStyle w:val="38"/>
        <w:tblpPr w:leftFromText="180" w:rightFromText="180" w:vertAnchor="text" w:horzAnchor="page" w:tblpX="1528" w:tblpY="217"/>
        <w:tblOverlap w:val="never"/>
        <w:tblW w:w="9106" w:type="dxa"/>
        <w:tblInd w:w="0" w:type="dxa"/>
        <w:tblLayout w:type="fixed"/>
        <w:tblCellMar>
          <w:top w:w="0" w:type="dxa"/>
          <w:left w:w="108" w:type="dxa"/>
          <w:bottom w:w="0" w:type="dxa"/>
          <w:right w:w="108" w:type="dxa"/>
        </w:tblCellMar>
      </w:tblPr>
      <w:tblGrid>
        <w:gridCol w:w="570"/>
        <w:gridCol w:w="1366"/>
        <w:gridCol w:w="1335"/>
        <w:gridCol w:w="1284"/>
        <w:gridCol w:w="801"/>
        <w:gridCol w:w="945"/>
        <w:gridCol w:w="1515"/>
        <w:gridCol w:w="1290"/>
      </w:tblGrid>
      <w:tr w14:paraId="7158E6D0">
        <w:tblPrEx>
          <w:tblCellMar>
            <w:top w:w="0" w:type="dxa"/>
            <w:left w:w="108" w:type="dxa"/>
            <w:bottom w:w="0" w:type="dxa"/>
            <w:right w:w="108" w:type="dxa"/>
          </w:tblCellMar>
        </w:tblPrEx>
        <w:trPr>
          <w:trHeight w:val="700" w:hRule="atLeast"/>
        </w:trPr>
        <w:tc>
          <w:tcPr>
            <w:tcW w:w="57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94EF00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序号</w:t>
            </w:r>
          </w:p>
        </w:tc>
        <w:tc>
          <w:tcPr>
            <w:tcW w:w="1366"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9A45CD6">
            <w:pPr>
              <w:widowControl/>
              <w:jc w:val="center"/>
              <w:textAlignment w:val="center"/>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产品</w:t>
            </w:r>
            <w:r>
              <w:rPr>
                <w:rFonts w:hint="eastAsia" w:ascii="宋体" w:hAnsi="宋体" w:eastAsia="宋体" w:cs="宋体"/>
                <w:color w:val="auto"/>
                <w:kern w:val="0"/>
                <w:sz w:val="24"/>
                <w:szCs w:val="24"/>
                <w:highlight w:val="none"/>
                <w:lang w:bidi="ar"/>
              </w:rPr>
              <w:t>名称</w:t>
            </w:r>
          </w:p>
        </w:tc>
        <w:tc>
          <w:tcPr>
            <w:tcW w:w="1335"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46DF97B">
            <w:pPr>
              <w:widowControl/>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bidi="ar"/>
              </w:rPr>
              <w:t>品牌</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制造商、国别</w:t>
            </w:r>
          </w:p>
        </w:tc>
        <w:tc>
          <w:tcPr>
            <w:tcW w:w="128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7A199A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规格、型号</w:t>
            </w:r>
          </w:p>
        </w:tc>
        <w:tc>
          <w:tcPr>
            <w:tcW w:w="80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6C0503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数量</w:t>
            </w:r>
          </w:p>
        </w:tc>
        <w:tc>
          <w:tcPr>
            <w:tcW w:w="945"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F17759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单位</w:t>
            </w:r>
          </w:p>
        </w:tc>
        <w:tc>
          <w:tcPr>
            <w:tcW w:w="1515"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D30704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单价（元）</w:t>
            </w:r>
          </w:p>
        </w:tc>
        <w:tc>
          <w:tcPr>
            <w:tcW w:w="129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61E2FA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bidi="ar"/>
              </w:rPr>
              <w:t>合计</w:t>
            </w:r>
            <w:r>
              <w:rPr>
                <w:rFonts w:hint="eastAsia" w:ascii="宋体" w:hAnsi="宋体" w:eastAsia="宋体" w:cs="宋体"/>
                <w:color w:val="auto"/>
                <w:kern w:val="0"/>
                <w:sz w:val="24"/>
                <w:szCs w:val="24"/>
                <w:highlight w:val="none"/>
                <w:lang w:bidi="ar"/>
              </w:rPr>
              <w:t>（元）</w:t>
            </w:r>
          </w:p>
        </w:tc>
      </w:tr>
      <w:tr w14:paraId="1C71427F">
        <w:tblPrEx>
          <w:tblCellMar>
            <w:top w:w="0" w:type="dxa"/>
            <w:left w:w="108" w:type="dxa"/>
            <w:bottom w:w="0" w:type="dxa"/>
            <w:right w:w="108" w:type="dxa"/>
          </w:tblCellMar>
        </w:tblPrEx>
        <w:trPr>
          <w:trHeight w:val="700" w:hRule="atLeast"/>
        </w:trPr>
        <w:tc>
          <w:tcPr>
            <w:tcW w:w="570" w:type="dxa"/>
            <w:tcBorders>
              <w:top w:val="nil"/>
              <w:left w:val="single" w:color="000000" w:sz="8" w:space="0"/>
              <w:bottom w:val="single" w:color="000000" w:sz="8" w:space="0"/>
              <w:right w:val="single" w:color="000000" w:sz="8" w:space="0"/>
            </w:tcBorders>
            <w:shd w:val="clear" w:color="auto" w:fill="FFFFFF"/>
            <w:noWrap w:val="0"/>
            <w:vAlign w:val="center"/>
          </w:tcPr>
          <w:p w14:paraId="585DCB6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1366" w:type="dxa"/>
            <w:tcBorders>
              <w:top w:val="single" w:color="000000" w:sz="8" w:space="0"/>
              <w:left w:val="single" w:color="000000" w:sz="8" w:space="0"/>
              <w:bottom w:val="single" w:color="000000" w:sz="8" w:space="0"/>
              <w:right w:val="single" w:color="000000" w:sz="8" w:space="0"/>
            </w:tcBorders>
            <w:noWrap w:val="0"/>
            <w:vAlign w:val="center"/>
          </w:tcPr>
          <w:p w14:paraId="3F0DE781">
            <w:pPr>
              <w:widowControl/>
              <w:jc w:val="center"/>
              <w:textAlignment w:val="center"/>
              <w:rPr>
                <w:rFonts w:hint="eastAsia" w:ascii="宋体" w:hAnsi="宋体" w:eastAsia="宋体" w:cs="宋体"/>
                <w:color w:val="auto"/>
                <w:sz w:val="24"/>
                <w:szCs w:val="24"/>
                <w:highlight w:val="none"/>
              </w:rPr>
            </w:pPr>
          </w:p>
        </w:tc>
        <w:tc>
          <w:tcPr>
            <w:tcW w:w="1335" w:type="dxa"/>
            <w:tcBorders>
              <w:top w:val="nil"/>
              <w:left w:val="single" w:color="000000" w:sz="8" w:space="0"/>
              <w:bottom w:val="single" w:color="000000" w:sz="8" w:space="0"/>
              <w:right w:val="single" w:color="000000" w:sz="8" w:space="0"/>
            </w:tcBorders>
            <w:noWrap w:val="0"/>
            <w:vAlign w:val="center"/>
          </w:tcPr>
          <w:p w14:paraId="082D9F37">
            <w:pPr>
              <w:widowControl/>
              <w:jc w:val="center"/>
              <w:textAlignment w:val="center"/>
              <w:rPr>
                <w:rFonts w:hint="eastAsia" w:ascii="宋体" w:hAnsi="宋体" w:eastAsia="宋体" w:cs="宋体"/>
                <w:color w:val="auto"/>
                <w:sz w:val="24"/>
                <w:szCs w:val="24"/>
                <w:highlight w:val="none"/>
              </w:rPr>
            </w:pPr>
          </w:p>
        </w:tc>
        <w:tc>
          <w:tcPr>
            <w:tcW w:w="1284" w:type="dxa"/>
            <w:tcBorders>
              <w:top w:val="nil"/>
              <w:left w:val="single" w:color="000000" w:sz="8" w:space="0"/>
              <w:bottom w:val="single" w:color="000000" w:sz="8" w:space="0"/>
              <w:right w:val="single" w:color="000000" w:sz="8" w:space="0"/>
            </w:tcBorders>
            <w:noWrap w:val="0"/>
            <w:vAlign w:val="center"/>
          </w:tcPr>
          <w:p w14:paraId="0E364138">
            <w:pPr>
              <w:widowControl/>
              <w:jc w:val="center"/>
              <w:textAlignment w:val="center"/>
              <w:rPr>
                <w:rFonts w:hint="eastAsia" w:ascii="宋体" w:hAnsi="宋体" w:eastAsia="宋体" w:cs="宋体"/>
                <w:color w:val="auto"/>
                <w:sz w:val="24"/>
                <w:szCs w:val="24"/>
                <w:highlight w:val="none"/>
              </w:rPr>
            </w:pPr>
          </w:p>
        </w:tc>
        <w:tc>
          <w:tcPr>
            <w:tcW w:w="801" w:type="dxa"/>
            <w:tcBorders>
              <w:top w:val="single" w:color="000000" w:sz="8" w:space="0"/>
              <w:left w:val="single" w:color="000000" w:sz="8" w:space="0"/>
              <w:bottom w:val="single" w:color="000000" w:sz="8" w:space="0"/>
              <w:right w:val="single" w:color="000000" w:sz="8" w:space="0"/>
            </w:tcBorders>
            <w:noWrap w:val="0"/>
            <w:vAlign w:val="center"/>
          </w:tcPr>
          <w:p w14:paraId="71D0466D">
            <w:pPr>
              <w:widowControl/>
              <w:jc w:val="center"/>
              <w:textAlignment w:val="center"/>
              <w:rPr>
                <w:rFonts w:hint="eastAsia" w:ascii="宋体" w:hAnsi="宋体" w:eastAsia="宋体" w:cs="宋体"/>
                <w:color w:val="auto"/>
                <w:sz w:val="24"/>
                <w:szCs w:val="24"/>
                <w:highlight w:val="none"/>
              </w:rPr>
            </w:pPr>
          </w:p>
        </w:tc>
        <w:tc>
          <w:tcPr>
            <w:tcW w:w="945" w:type="dxa"/>
            <w:tcBorders>
              <w:top w:val="single" w:color="000000" w:sz="8" w:space="0"/>
              <w:left w:val="single" w:color="000000" w:sz="8" w:space="0"/>
              <w:bottom w:val="single" w:color="000000" w:sz="8" w:space="0"/>
              <w:right w:val="single" w:color="000000" w:sz="8" w:space="0"/>
            </w:tcBorders>
            <w:noWrap w:val="0"/>
            <w:vAlign w:val="center"/>
          </w:tcPr>
          <w:p w14:paraId="05F806AA">
            <w:pPr>
              <w:widowControl/>
              <w:jc w:val="left"/>
              <w:textAlignment w:val="center"/>
              <w:rPr>
                <w:rFonts w:hint="eastAsia" w:ascii="宋体" w:hAnsi="宋体" w:eastAsia="宋体" w:cs="宋体"/>
                <w:color w:val="auto"/>
                <w:sz w:val="24"/>
                <w:szCs w:val="24"/>
                <w:highlight w:val="none"/>
              </w:rPr>
            </w:pPr>
          </w:p>
        </w:tc>
        <w:tc>
          <w:tcPr>
            <w:tcW w:w="1515" w:type="dxa"/>
            <w:tcBorders>
              <w:top w:val="nil"/>
              <w:left w:val="single" w:color="000000" w:sz="8" w:space="0"/>
              <w:bottom w:val="single" w:color="000000" w:sz="8" w:space="0"/>
              <w:right w:val="single" w:color="000000" w:sz="8" w:space="0"/>
            </w:tcBorders>
            <w:noWrap w:val="0"/>
            <w:vAlign w:val="center"/>
          </w:tcPr>
          <w:p w14:paraId="1ADDCAF8">
            <w:pPr>
              <w:widowControl/>
              <w:jc w:val="center"/>
              <w:textAlignment w:val="center"/>
              <w:rPr>
                <w:rFonts w:hint="eastAsia" w:ascii="宋体" w:hAnsi="宋体" w:eastAsia="宋体" w:cs="宋体"/>
                <w:color w:val="auto"/>
                <w:sz w:val="24"/>
                <w:szCs w:val="24"/>
                <w:highlight w:val="none"/>
              </w:rPr>
            </w:pPr>
          </w:p>
        </w:tc>
        <w:tc>
          <w:tcPr>
            <w:tcW w:w="1290" w:type="dxa"/>
            <w:tcBorders>
              <w:top w:val="nil"/>
              <w:left w:val="single" w:color="000000" w:sz="8" w:space="0"/>
              <w:bottom w:val="single" w:color="000000" w:sz="8" w:space="0"/>
              <w:right w:val="single" w:color="000000" w:sz="8" w:space="0"/>
            </w:tcBorders>
            <w:noWrap w:val="0"/>
            <w:vAlign w:val="center"/>
          </w:tcPr>
          <w:p w14:paraId="4A908786">
            <w:pPr>
              <w:widowControl/>
              <w:jc w:val="center"/>
              <w:textAlignment w:val="center"/>
              <w:rPr>
                <w:rFonts w:hint="eastAsia" w:ascii="宋体" w:hAnsi="宋体" w:eastAsia="宋体" w:cs="宋体"/>
                <w:color w:val="auto"/>
                <w:sz w:val="24"/>
                <w:szCs w:val="24"/>
                <w:highlight w:val="none"/>
              </w:rPr>
            </w:pPr>
          </w:p>
        </w:tc>
      </w:tr>
      <w:tr w14:paraId="4081195B">
        <w:tblPrEx>
          <w:tblCellMar>
            <w:top w:w="0" w:type="dxa"/>
            <w:left w:w="108" w:type="dxa"/>
            <w:bottom w:w="0" w:type="dxa"/>
            <w:right w:w="108" w:type="dxa"/>
          </w:tblCellMar>
        </w:tblPrEx>
        <w:trPr>
          <w:trHeight w:val="700" w:hRule="atLeast"/>
        </w:trPr>
        <w:tc>
          <w:tcPr>
            <w:tcW w:w="570" w:type="dxa"/>
            <w:tcBorders>
              <w:top w:val="nil"/>
              <w:left w:val="single" w:color="000000" w:sz="8" w:space="0"/>
              <w:bottom w:val="single" w:color="000000" w:sz="8" w:space="0"/>
              <w:right w:val="single" w:color="000000" w:sz="8" w:space="0"/>
            </w:tcBorders>
            <w:shd w:val="clear" w:color="auto" w:fill="FFFFFF"/>
            <w:noWrap w:val="0"/>
            <w:vAlign w:val="center"/>
          </w:tcPr>
          <w:p w14:paraId="253C049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c>
          <w:tcPr>
            <w:tcW w:w="1366" w:type="dxa"/>
            <w:tcBorders>
              <w:top w:val="nil"/>
              <w:left w:val="single" w:color="000000" w:sz="8" w:space="0"/>
              <w:bottom w:val="single" w:color="000000" w:sz="8" w:space="0"/>
              <w:right w:val="single" w:color="000000" w:sz="8" w:space="0"/>
            </w:tcBorders>
            <w:noWrap w:val="0"/>
            <w:vAlign w:val="center"/>
          </w:tcPr>
          <w:p w14:paraId="166A4977">
            <w:pPr>
              <w:widowControl/>
              <w:jc w:val="center"/>
              <w:textAlignment w:val="center"/>
              <w:rPr>
                <w:rFonts w:hint="eastAsia" w:ascii="宋体" w:hAnsi="宋体" w:eastAsia="宋体" w:cs="宋体"/>
                <w:color w:val="auto"/>
                <w:sz w:val="24"/>
                <w:szCs w:val="24"/>
                <w:highlight w:val="none"/>
              </w:rPr>
            </w:pPr>
          </w:p>
        </w:tc>
        <w:tc>
          <w:tcPr>
            <w:tcW w:w="1335" w:type="dxa"/>
            <w:tcBorders>
              <w:top w:val="nil"/>
              <w:left w:val="single" w:color="000000" w:sz="8" w:space="0"/>
              <w:bottom w:val="single" w:color="000000" w:sz="8" w:space="0"/>
              <w:right w:val="single" w:color="000000" w:sz="8" w:space="0"/>
            </w:tcBorders>
            <w:noWrap w:val="0"/>
            <w:vAlign w:val="center"/>
          </w:tcPr>
          <w:p w14:paraId="25E47FAF">
            <w:pPr>
              <w:widowControl/>
              <w:jc w:val="center"/>
              <w:textAlignment w:val="center"/>
              <w:rPr>
                <w:rFonts w:hint="eastAsia" w:ascii="宋体" w:hAnsi="宋体" w:eastAsia="宋体" w:cs="宋体"/>
                <w:color w:val="auto"/>
                <w:sz w:val="24"/>
                <w:szCs w:val="24"/>
                <w:highlight w:val="none"/>
              </w:rPr>
            </w:pPr>
          </w:p>
        </w:tc>
        <w:tc>
          <w:tcPr>
            <w:tcW w:w="1284" w:type="dxa"/>
            <w:tcBorders>
              <w:top w:val="nil"/>
              <w:left w:val="single" w:color="000000" w:sz="8" w:space="0"/>
              <w:bottom w:val="single" w:color="000000" w:sz="8" w:space="0"/>
              <w:right w:val="single" w:color="000000" w:sz="8" w:space="0"/>
            </w:tcBorders>
            <w:noWrap w:val="0"/>
            <w:vAlign w:val="center"/>
          </w:tcPr>
          <w:p w14:paraId="0F5169EC">
            <w:pPr>
              <w:widowControl/>
              <w:jc w:val="center"/>
              <w:textAlignment w:val="center"/>
              <w:rPr>
                <w:rFonts w:hint="eastAsia" w:ascii="宋体" w:hAnsi="宋体" w:eastAsia="宋体" w:cs="宋体"/>
                <w:color w:val="auto"/>
                <w:sz w:val="24"/>
                <w:szCs w:val="24"/>
                <w:highlight w:val="none"/>
              </w:rPr>
            </w:pPr>
          </w:p>
        </w:tc>
        <w:tc>
          <w:tcPr>
            <w:tcW w:w="801" w:type="dxa"/>
            <w:tcBorders>
              <w:top w:val="nil"/>
              <w:left w:val="single" w:color="000000" w:sz="8" w:space="0"/>
              <w:bottom w:val="single" w:color="000000" w:sz="8" w:space="0"/>
              <w:right w:val="single" w:color="000000" w:sz="8" w:space="0"/>
            </w:tcBorders>
            <w:noWrap w:val="0"/>
            <w:vAlign w:val="center"/>
          </w:tcPr>
          <w:p w14:paraId="41AE5184">
            <w:pPr>
              <w:widowControl/>
              <w:jc w:val="center"/>
              <w:textAlignment w:val="center"/>
              <w:rPr>
                <w:rFonts w:hint="eastAsia" w:ascii="宋体" w:hAnsi="宋体" w:eastAsia="宋体" w:cs="宋体"/>
                <w:color w:val="auto"/>
                <w:sz w:val="24"/>
                <w:szCs w:val="24"/>
                <w:highlight w:val="none"/>
              </w:rPr>
            </w:pPr>
          </w:p>
        </w:tc>
        <w:tc>
          <w:tcPr>
            <w:tcW w:w="945" w:type="dxa"/>
            <w:tcBorders>
              <w:top w:val="nil"/>
              <w:left w:val="single" w:color="000000" w:sz="8" w:space="0"/>
              <w:bottom w:val="single" w:color="000000" w:sz="8" w:space="0"/>
              <w:right w:val="single" w:color="000000" w:sz="8" w:space="0"/>
            </w:tcBorders>
            <w:noWrap w:val="0"/>
            <w:vAlign w:val="center"/>
          </w:tcPr>
          <w:p w14:paraId="47F55C1A">
            <w:pPr>
              <w:widowControl/>
              <w:jc w:val="left"/>
              <w:textAlignment w:val="center"/>
              <w:rPr>
                <w:rFonts w:hint="eastAsia" w:ascii="宋体" w:hAnsi="宋体" w:eastAsia="宋体" w:cs="宋体"/>
                <w:color w:val="auto"/>
                <w:sz w:val="24"/>
                <w:szCs w:val="24"/>
                <w:highlight w:val="none"/>
              </w:rPr>
            </w:pPr>
          </w:p>
        </w:tc>
        <w:tc>
          <w:tcPr>
            <w:tcW w:w="1515" w:type="dxa"/>
            <w:tcBorders>
              <w:top w:val="nil"/>
              <w:left w:val="single" w:color="000000" w:sz="8" w:space="0"/>
              <w:bottom w:val="single" w:color="000000" w:sz="8" w:space="0"/>
              <w:right w:val="single" w:color="000000" w:sz="8" w:space="0"/>
            </w:tcBorders>
            <w:noWrap w:val="0"/>
            <w:vAlign w:val="center"/>
          </w:tcPr>
          <w:p w14:paraId="1C44FE7B">
            <w:pPr>
              <w:widowControl/>
              <w:jc w:val="center"/>
              <w:textAlignment w:val="center"/>
              <w:rPr>
                <w:rFonts w:hint="eastAsia" w:ascii="宋体" w:hAnsi="宋体" w:eastAsia="宋体" w:cs="宋体"/>
                <w:color w:val="auto"/>
                <w:sz w:val="24"/>
                <w:szCs w:val="24"/>
                <w:highlight w:val="none"/>
              </w:rPr>
            </w:pPr>
          </w:p>
        </w:tc>
        <w:tc>
          <w:tcPr>
            <w:tcW w:w="1290" w:type="dxa"/>
            <w:tcBorders>
              <w:top w:val="nil"/>
              <w:left w:val="single" w:color="000000" w:sz="8" w:space="0"/>
              <w:bottom w:val="single" w:color="000000" w:sz="8" w:space="0"/>
              <w:right w:val="single" w:color="000000" w:sz="8" w:space="0"/>
            </w:tcBorders>
            <w:noWrap w:val="0"/>
            <w:vAlign w:val="center"/>
          </w:tcPr>
          <w:p w14:paraId="52183EC7">
            <w:pPr>
              <w:widowControl/>
              <w:jc w:val="center"/>
              <w:textAlignment w:val="center"/>
              <w:rPr>
                <w:rFonts w:hint="eastAsia" w:ascii="宋体" w:hAnsi="宋体" w:eastAsia="宋体" w:cs="宋体"/>
                <w:color w:val="auto"/>
                <w:sz w:val="24"/>
                <w:szCs w:val="24"/>
                <w:highlight w:val="none"/>
              </w:rPr>
            </w:pPr>
          </w:p>
        </w:tc>
      </w:tr>
      <w:tr w14:paraId="6539C03E">
        <w:tblPrEx>
          <w:tblCellMar>
            <w:top w:w="0" w:type="dxa"/>
            <w:left w:w="108" w:type="dxa"/>
            <w:bottom w:w="0" w:type="dxa"/>
            <w:right w:w="108" w:type="dxa"/>
          </w:tblCellMar>
        </w:tblPrEx>
        <w:trPr>
          <w:trHeight w:val="700" w:hRule="atLeast"/>
        </w:trPr>
        <w:tc>
          <w:tcPr>
            <w:tcW w:w="570" w:type="dxa"/>
            <w:tcBorders>
              <w:top w:val="nil"/>
              <w:left w:val="single" w:color="000000" w:sz="8" w:space="0"/>
              <w:bottom w:val="single" w:color="000000" w:sz="8" w:space="0"/>
              <w:right w:val="single" w:color="000000" w:sz="8" w:space="0"/>
            </w:tcBorders>
            <w:shd w:val="clear" w:color="auto" w:fill="FFFFFF"/>
            <w:noWrap w:val="0"/>
            <w:vAlign w:val="center"/>
          </w:tcPr>
          <w:p w14:paraId="6693923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w:t>
            </w:r>
          </w:p>
        </w:tc>
        <w:tc>
          <w:tcPr>
            <w:tcW w:w="1366" w:type="dxa"/>
            <w:tcBorders>
              <w:top w:val="nil"/>
              <w:left w:val="single" w:color="000000" w:sz="8" w:space="0"/>
              <w:bottom w:val="single" w:color="000000" w:sz="8" w:space="0"/>
              <w:right w:val="single" w:color="000000" w:sz="8" w:space="0"/>
            </w:tcBorders>
            <w:noWrap w:val="0"/>
            <w:vAlign w:val="center"/>
          </w:tcPr>
          <w:p w14:paraId="1A3B72F2">
            <w:pPr>
              <w:widowControl/>
              <w:jc w:val="center"/>
              <w:textAlignment w:val="center"/>
              <w:rPr>
                <w:rFonts w:hint="eastAsia" w:ascii="宋体" w:hAnsi="宋体" w:eastAsia="宋体" w:cs="宋体"/>
                <w:color w:val="auto"/>
                <w:sz w:val="24"/>
                <w:szCs w:val="24"/>
                <w:highlight w:val="none"/>
              </w:rPr>
            </w:pPr>
          </w:p>
        </w:tc>
        <w:tc>
          <w:tcPr>
            <w:tcW w:w="1335" w:type="dxa"/>
            <w:tcBorders>
              <w:top w:val="nil"/>
              <w:left w:val="single" w:color="000000" w:sz="8" w:space="0"/>
              <w:bottom w:val="single" w:color="000000" w:sz="8" w:space="0"/>
              <w:right w:val="single" w:color="000000" w:sz="8" w:space="0"/>
            </w:tcBorders>
            <w:noWrap w:val="0"/>
            <w:vAlign w:val="center"/>
          </w:tcPr>
          <w:p w14:paraId="33C59200">
            <w:pPr>
              <w:widowControl/>
              <w:jc w:val="center"/>
              <w:textAlignment w:val="center"/>
              <w:rPr>
                <w:rFonts w:hint="eastAsia" w:ascii="宋体" w:hAnsi="宋体" w:eastAsia="宋体" w:cs="宋体"/>
                <w:color w:val="auto"/>
                <w:sz w:val="24"/>
                <w:szCs w:val="24"/>
                <w:highlight w:val="none"/>
              </w:rPr>
            </w:pPr>
          </w:p>
        </w:tc>
        <w:tc>
          <w:tcPr>
            <w:tcW w:w="1284" w:type="dxa"/>
            <w:tcBorders>
              <w:top w:val="nil"/>
              <w:left w:val="single" w:color="000000" w:sz="8" w:space="0"/>
              <w:bottom w:val="single" w:color="000000" w:sz="8" w:space="0"/>
              <w:right w:val="single" w:color="000000" w:sz="8" w:space="0"/>
            </w:tcBorders>
            <w:noWrap w:val="0"/>
            <w:vAlign w:val="center"/>
          </w:tcPr>
          <w:p w14:paraId="4EE70715">
            <w:pPr>
              <w:widowControl/>
              <w:jc w:val="center"/>
              <w:textAlignment w:val="center"/>
              <w:rPr>
                <w:rFonts w:hint="eastAsia" w:ascii="宋体" w:hAnsi="宋体" w:eastAsia="宋体" w:cs="宋体"/>
                <w:color w:val="auto"/>
                <w:sz w:val="24"/>
                <w:szCs w:val="24"/>
                <w:highlight w:val="none"/>
              </w:rPr>
            </w:pPr>
          </w:p>
        </w:tc>
        <w:tc>
          <w:tcPr>
            <w:tcW w:w="801" w:type="dxa"/>
            <w:tcBorders>
              <w:top w:val="nil"/>
              <w:left w:val="single" w:color="000000" w:sz="8" w:space="0"/>
              <w:bottom w:val="single" w:color="000000" w:sz="8" w:space="0"/>
              <w:right w:val="single" w:color="000000" w:sz="8" w:space="0"/>
            </w:tcBorders>
            <w:noWrap w:val="0"/>
            <w:vAlign w:val="center"/>
          </w:tcPr>
          <w:p w14:paraId="679378D5">
            <w:pPr>
              <w:widowControl/>
              <w:jc w:val="center"/>
              <w:textAlignment w:val="center"/>
              <w:rPr>
                <w:rFonts w:hint="eastAsia" w:ascii="宋体" w:hAnsi="宋体" w:eastAsia="宋体" w:cs="宋体"/>
                <w:color w:val="auto"/>
                <w:sz w:val="24"/>
                <w:szCs w:val="24"/>
                <w:highlight w:val="none"/>
              </w:rPr>
            </w:pPr>
          </w:p>
        </w:tc>
        <w:tc>
          <w:tcPr>
            <w:tcW w:w="945" w:type="dxa"/>
            <w:tcBorders>
              <w:top w:val="nil"/>
              <w:left w:val="single" w:color="000000" w:sz="8" w:space="0"/>
              <w:bottom w:val="single" w:color="000000" w:sz="8" w:space="0"/>
              <w:right w:val="single" w:color="000000" w:sz="8" w:space="0"/>
            </w:tcBorders>
            <w:noWrap w:val="0"/>
            <w:vAlign w:val="center"/>
          </w:tcPr>
          <w:p w14:paraId="32BAE971">
            <w:pPr>
              <w:widowControl/>
              <w:jc w:val="left"/>
              <w:textAlignment w:val="center"/>
              <w:rPr>
                <w:rFonts w:hint="eastAsia" w:ascii="宋体" w:hAnsi="宋体" w:eastAsia="宋体" w:cs="宋体"/>
                <w:color w:val="auto"/>
                <w:sz w:val="24"/>
                <w:szCs w:val="24"/>
                <w:highlight w:val="none"/>
              </w:rPr>
            </w:pPr>
          </w:p>
        </w:tc>
        <w:tc>
          <w:tcPr>
            <w:tcW w:w="1515" w:type="dxa"/>
            <w:tcBorders>
              <w:top w:val="nil"/>
              <w:left w:val="single" w:color="000000" w:sz="8" w:space="0"/>
              <w:bottom w:val="single" w:color="000000" w:sz="8" w:space="0"/>
              <w:right w:val="single" w:color="000000" w:sz="8" w:space="0"/>
            </w:tcBorders>
            <w:noWrap w:val="0"/>
            <w:vAlign w:val="center"/>
          </w:tcPr>
          <w:p w14:paraId="213AD64E">
            <w:pPr>
              <w:widowControl/>
              <w:jc w:val="center"/>
              <w:textAlignment w:val="center"/>
              <w:rPr>
                <w:rFonts w:hint="eastAsia" w:ascii="宋体" w:hAnsi="宋体" w:eastAsia="宋体" w:cs="宋体"/>
                <w:color w:val="auto"/>
                <w:sz w:val="24"/>
                <w:szCs w:val="24"/>
                <w:highlight w:val="none"/>
              </w:rPr>
            </w:pPr>
          </w:p>
        </w:tc>
        <w:tc>
          <w:tcPr>
            <w:tcW w:w="1290" w:type="dxa"/>
            <w:tcBorders>
              <w:top w:val="nil"/>
              <w:left w:val="single" w:color="000000" w:sz="8" w:space="0"/>
              <w:bottom w:val="single" w:color="000000" w:sz="8" w:space="0"/>
              <w:right w:val="single" w:color="000000" w:sz="8" w:space="0"/>
            </w:tcBorders>
            <w:noWrap w:val="0"/>
            <w:vAlign w:val="center"/>
          </w:tcPr>
          <w:p w14:paraId="05BB4B71">
            <w:pPr>
              <w:widowControl/>
              <w:jc w:val="center"/>
              <w:textAlignment w:val="center"/>
              <w:rPr>
                <w:rFonts w:hint="eastAsia" w:ascii="宋体" w:hAnsi="宋体" w:eastAsia="宋体" w:cs="宋体"/>
                <w:color w:val="auto"/>
                <w:sz w:val="24"/>
                <w:szCs w:val="24"/>
                <w:highlight w:val="none"/>
              </w:rPr>
            </w:pPr>
          </w:p>
        </w:tc>
      </w:tr>
      <w:tr w14:paraId="44CE1C00">
        <w:tblPrEx>
          <w:tblCellMar>
            <w:top w:w="0" w:type="dxa"/>
            <w:left w:w="108" w:type="dxa"/>
            <w:bottom w:w="0" w:type="dxa"/>
            <w:right w:w="108" w:type="dxa"/>
          </w:tblCellMar>
        </w:tblPrEx>
        <w:trPr>
          <w:trHeight w:val="700" w:hRule="atLeast"/>
        </w:trPr>
        <w:tc>
          <w:tcPr>
            <w:tcW w:w="570" w:type="dxa"/>
            <w:tcBorders>
              <w:top w:val="nil"/>
              <w:left w:val="single" w:color="000000" w:sz="8" w:space="0"/>
              <w:bottom w:val="single" w:color="000000" w:sz="8" w:space="0"/>
              <w:right w:val="single" w:color="000000" w:sz="8" w:space="0"/>
            </w:tcBorders>
            <w:shd w:val="clear" w:color="auto" w:fill="FFFFFF"/>
            <w:noWrap w:val="0"/>
            <w:vAlign w:val="center"/>
          </w:tcPr>
          <w:p w14:paraId="44DFBCA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w:t>
            </w:r>
          </w:p>
        </w:tc>
        <w:tc>
          <w:tcPr>
            <w:tcW w:w="1366" w:type="dxa"/>
            <w:tcBorders>
              <w:top w:val="nil"/>
              <w:left w:val="single" w:color="000000" w:sz="8" w:space="0"/>
              <w:bottom w:val="single" w:color="000000" w:sz="8" w:space="0"/>
              <w:right w:val="single" w:color="000000" w:sz="8" w:space="0"/>
            </w:tcBorders>
            <w:noWrap w:val="0"/>
            <w:vAlign w:val="center"/>
          </w:tcPr>
          <w:p w14:paraId="77ACE9D2">
            <w:pPr>
              <w:widowControl/>
              <w:jc w:val="center"/>
              <w:textAlignment w:val="center"/>
              <w:rPr>
                <w:rFonts w:hint="eastAsia" w:ascii="宋体" w:hAnsi="宋体" w:eastAsia="宋体" w:cs="宋体"/>
                <w:color w:val="auto"/>
                <w:sz w:val="24"/>
                <w:szCs w:val="24"/>
                <w:highlight w:val="none"/>
              </w:rPr>
            </w:pPr>
          </w:p>
        </w:tc>
        <w:tc>
          <w:tcPr>
            <w:tcW w:w="1335" w:type="dxa"/>
            <w:tcBorders>
              <w:top w:val="nil"/>
              <w:left w:val="single" w:color="000000" w:sz="8" w:space="0"/>
              <w:bottom w:val="single" w:color="000000" w:sz="8" w:space="0"/>
              <w:right w:val="single" w:color="000000" w:sz="8" w:space="0"/>
            </w:tcBorders>
            <w:noWrap w:val="0"/>
            <w:vAlign w:val="center"/>
          </w:tcPr>
          <w:p w14:paraId="664DBD03">
            <w:pPr>
              <w:widowControl/>
              <w:jc w:val="center"/>
              <w:textAlignment w:val="center"/>
              <w:rPr>
                <w:rFonts w:hint="eastAsia" w:ascii="宋体" w:hAnsi="宋体" w:eastAsia="宋体" w:cs="宋体"/>
                <w:color w:val="auto"/>
                <w:sz w:val="24"/>
                <w:szCs w:val="24"/>
                <w:highlight w:val="none"/>
              </w:rPr>
            </w:pPr>
          </w:p>
        </w:tc>
        <w:tc>
          <w:tcPr>
            <w:tcW w:w="1284" w:type="dxa"/>
            <w:tcBorders>
              <w:top w:val="nil"/>
              <w:left w:val="single" w:color="000000" w:sz="8" w:space="0"/>
              <w:bottom w:val="single" w:color="000000" w:sz="8" w:space="0"/>
              <w:right w:val="single" w:color="000000" w:sz="8" w:space="0"/>
            </w:tcBorders>
            <w:noWrap w:val="0"/>
            <w:vAlign w:val="center"/>
          </w:tcPr>
          <w:p w14:paraId="133926C5">
            <w:pPr>
              <w:widowControl/>
              <w:jc w:val="center"/>
              <w:textAlignment w:val="center"/>
              <w:rPr>
                <w:rFonts w:hint="eastAsia" w:ascii="宋体" w:hAnsi="宋体" w:eastAsia="宋体" w:cs="宋体"/>
                <w:color w:val="auto"/>
                <w:sz w:val="24"/>
                <w:szCs w:val="24"/>
                <w:highlight w:val="none"/>
              </w:rPr>
            </w:pPr>
          </w:p>
        </w:tc>
        <w:tc>
          <w:tcPr>
            <w:tcW w:w="801" w:type="dxa"/>
            <w:tcBorders>
              <w:top w:val="nil"/>
              <w:left w:val="single" w:color="000000" w:sz="8" w:space="0"/>
              <w:bottom w:val="single" w:color="000000" w:sz="8" w:space="0"/>
              <w:right w:val="single" w:color="000000" w:sz="8" w:space="0"/>
            </w:tcBorders>
            <w:noWrap w:val="0"/>
            <w:vAlign w:val="center"/>
          </w:tcPr>
          <w:p w14:paraId="1160E2FC">
            <w:pPr>
              <w:widowControl/>
              <w:jc w:val="center"/>
              <w:textAlignment w:val="center"/>
              <w:rPr>
                <w:rFonts w:hint="eastAsia" w:ascii="宋体" w:hAnsi="宋体" w:eastAsia="宋体" w:cs="宋体"/>
                <w:color w:val="auto"/>
                <w:sz w:val="24"/>
                <w:szCs w:val="24"/>
                <w:highlight w:val="none"/>
              </w:rPr>
            </w:pPr>
          </w:p>
        </w:tc>
        <w:tc>
          <w:tcPr>
            <w:tcW w:w="945" w:type="dxa"/>
            <w:tcBorders>
              <w:top w:val="nil"/>
              <w:left w:val="single" w:color="000000" w:sz="8" w:space="0"/>
              <w:bottom w:val="single" w:color="000000" w:sz="8" w:space="0"/>
              <w:right w:val="single" w:color="000000" w:sz="8" w:space="0"/>
            </w:tcBorders>
            <w:noWrap w:val="0"/>
            <w:vAlign w:val="center"/>
          </w:tcPr>
          <w:p w14:paraId="7A7AE9B9">
            <w:pPr>
              <w:widowControl/>
              <w:jc w:val="left"/>
              <w:textAlignment w:val="center"/>
              <w:rPr>
                <w:rFonts w:hint="eastAsia" w:ascii="宋体" w:hAnsi="宋体" w:eastAsia="宋体" w:cs="宋体"/>
                <w:color w:val="auto"/>
                <w:sz w:val="24"/>
                <w:szCs w:val="24"/>
                <w:highlight w:val="none"/>
              </w:rPr>
            </w:pPr>
          </w:p>
        </w:tc>
        <w:tc>
          <w:tcPr>
            <w:tcW w:w="1515" w:type="dxa"/>
            <w:tcBorders>
              <w:top w:val="nil"/>
              <w:left w:val="single" w:color="000000" w:sz="8" w:space="0"/>
              <w:bottom w:val="single" w:color="000000" w:sz="8" w:space="0"/>
              <w:right w:val="single" w:color="000000" w:sz="8" w:space="0"/>
            </w:tcBorders>
            <w:noWrap w:val="0"/>
            <w:vAlign w:val="center"/>
          </w:tcPr>
          <w:p w14:paraId="6B63F704">
            <w:pPr>
              <w:widowControl/>
              <w:jc w:val="center"/>
              <w:textAlignment w:val="center"/>
              <w:rPr>
                <w:rFonts w:hint="eastAsia" w:ascii="宋体" w:hAnsi="宋体" w:eastAsia="宋体" w:cs="宋体"/>
                <w:color w:val="auto"/>
                <w:sz w:val="24"/>
                <w:szCs w:val="24"/>
                <w:highlight w:val="none"/>
              </w:rPr>
            </w:pPr>
          </w:p>
        </w:tc>
        <w:tc>
          <w:tcPr>
            <w:tcW w:w="1290" w:type="dxa"/>
            <w:tcBorders>
              <w:top w:val="nil"/>
              <w:left w:val="single" w:color="000000" w:sz="8" w:space="0"/>
              <w:bottom w:val="single" w:color="000000" w:sz="8" w:space="0"/>
              <w:right w:val="single" w:color="000000" w:sz="8" w:space="0"/>
            </w:tcBorders>
            <w:noWrap w:val="0"/>
            <w:vAlign w:val="center"/>
          </w:tcPr>
          <w:p w14:paraId="2027DD92">
            <w:pPr>
              <w:widowControl/>
              <w:jc w:val="center"/>
              <w:textAlignment w:val="center"/>
              <w:rPr>
                <w:rFonts w:hint="eastAsia" w:ascii="宋体" w:hAnsi="宋体" w:eastAsia="宋体" w:cs="宋体"/>
                <w:color w:val="auto"/>
                <w:sz w:val="24"/>
                <w:szCs w:val="24"/>
                <w:highlight w:val="none"/>
              </w:rPr>
            </w:pPr>
          </w:p>
        </w:tc>
      </w:tr>
      <w:tr w14:paraId="68BF39A0">
        <w:tblPrEx>
          <w:tblCellMar>
            <w:top w:w="0" w:type="dxa"/>
            <w:left w:w="108" w:type="dxa"/>
            <w:bottom w:w="0" w:type="dxa"/>
            <w:right w:w="108" w:type="dxa"/>
          </w:tblCellMar>
        </w:tblPrEx>
        <w:trPr>
          <w:trHeight w:val="700" w:hRule="atLeast"/>
        </w:trPr>
        <w:tc>
          <w:tcPr>
            <w:tcW w:w="570" w:type="dxa"/>
            <w:tcBorders>
              <w:top w:val="nil"/>
              <w:left w:val="single" w:color="000000" w:sz="8" w:space="0"/>
              <w:bottom w:val="single" w:color="000000" w:sz="8" w:space="0"/>
              <w:right w:val="single" w:color="000000" w:sz="8" w:space="0"/>
            </w:tcBorders>
            <w:shd w:val="clear" w:color="auto" w:fill="FFFFFF"/>
            <w:noWrap w:val="0"/>
            <w:vAlign w:val="center"/>
          </w:tcPr>
          <w:p w14:paraId="13C8738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w:t>
            </w:r>
          </w:p>
        </w:tc>
        <w:tc>
          <w:tcPr>
            <w:tcW w:w="1366" w:type="dxa"/>
            <w:tcBorders>
              <w:top w:val="nil"/>
              <w:left w:val="single" w:color="000000" w:sz="8" w:space="0"/>
              <w:bottom w:val="single" w:color="000000" w:sz="8" w:space="0"/>
              <w:right w:val="single" w:color="000000" w:sz="8" w:space="0"/>
            </w:tcBorders>
            <w:noWrap w:val="0"/>
            <w:vAlign w:val="center"/>
          </w:tcPr>
          <w:p w14:paraId="42B09BF7">
            <w:pPr>
              <w:widowControl/>
              <w:jc w:val="center"/>
              <w:textAlignment w:val="center"/>
              <w:rPr>
                <w:rFonts w:hint="eastAsia" w:ascii="宋体" w:hAnsi="宋体" w:eastAsia="宋体" w:cs="宋体"/>
                <w:color w:val="auto"/>
                <w:sz w:val="24"/>
                <w:szCs w:val="24"/>
                <w:highlight w:val="none"/>
              </w:rPr>
            </w:pPr>
          </w:p>
        </w:tc>
        <w:tc>
          <w:tcPr>
            <w:tcW w:w="1335" w:type="dxa"/>
            <w:tcBorders>
              <w:top w:val="nil"/>
              <w:left w:val="single" w:color="000000" w:sz="8" w:space="0"/>
              <w:bottom w:val="single" w:color="000000" w:sz="8" w:space="0"/>
              <w:right w:val="single" w:color="000000" w:sz="8" w:space="0"/>
            </w:tcBorders>
            <w:noWrap w:val="0"/>
            <w:vAlign w:val="center"/>
          </w:tcPr>
          <w:p w14:paraId="7170B2D0">
            <w:pPr>
              <w:widowControl/>
              <w:jc w:val="center"/>
              <w:textAlignment w:val="center"/>
              <w:rPr>
                <w:rFonts w:hint="eastAsia" w:ascii="宋体" w:hAnsi="宋体" w:eastAsia="宋体" w:cs="宋体"/>
                <w:color w:val="auto"/>
                <w:sz w:val="24"/>
                <w:szCs w:val="24"/>
                <w:highlight w:val="none"/>
              </w:rPr>
            </w:pPr>
          </w:p>
        </w:tc>
        <w:tc>
          <w:tcPr>
            <w:tcW w:w="1284" w:type="dxa"/>
            <w:tcBorders>
              <w:top w:val="nil"/>
              <w:left w:val="single" w:color="000000" w:sz="8" w:space="0"/>
              <w:bottom w:val="single" w:color="000000" w:sz="8" w:space="0"/>
              <w:right w:val="single" w:color="000000" w:sz="8" w:space="0"/>
            </w:tcBorders>
            <w:noWrap w:val="0"/>
            <w:vAlign w:val="center"/>
          </w:tcPr>
          <w:p w14:paraId="4FAA27E5">
            <w:pPr>
              <w:widowControl/>
              <w:jc w:val="center"/>
              <w:textAlignment w:val="center"/>
              <w:rPr>
                <w:rFonts w:hint="eastAsia" w:ascii="宋体" w:hAnsi="宋体" w:eastAsia="宋体" w:cs="宋体"/>
                <w:color w:val="auto"/>
                <w:sz w:val="24"/>
                <w:szCs w:val="24"/>
                <w:highlight w:val="none"/>
              </w:rPr>
            </w:pPr>
          </w:p>
        </w:tc>
        <w:tc>
          <w:tcPr>
            <w:tcW w:w="801" w:type="dxa"/>
            <w:tcBorders>
              <w:top w:val="nil"/>
              <w:left w:val="single" w:color="000000" w:sz="8" w:space="0"/>
              <w:bottom w:val="single" w:color="000000" w:sz="8" w:space="0"/>
              <w:right w:val="single" w:color="000000" w:sz="8" w:space="0"/>
            </w:tcBorders>
            <w:noWrap w:val="0"/>
            <w:vAlign w:val="center"/>
          </w:tcPr>
          <w:p w14:paraId="7A362396">
            <w:pPr>
              <w:widowControl/>
              <w:jc w:val="center"/>
              <w:textAlignment w:val="center"/>
              <w:rPr>
                <w:rFonts w:hint="eastAsia" w:ascii="宋体" w:hAnsi="宋体" w:eastAsia="宋体" w:cs="宋体"/>
                <w:color w:val="auto"/>
                <w:sz w:val="24"/>
                <w:szCs w:val="24"/>
                <w:highlight w:val="none"/>
              </w:rPr>
            </w:pPr>
          </w:p>
        </w:tc>
        <w:tc>
          <w:tcPr>
            <w:tcW w:w="945" w:type="dxa"/>
            <w:tcBorders>
              <w:top w:val="nil"/>
              <w:left w:val="single" w:color="000000" w:sz="8" w:space="0"/>
              <w:bottom w:val="single" w:color="000000" w:sz="8" w:space="0"/>
              <w:right w:val="single" w:color="000000" w:sz="8" w:space="0"/>
            </w:tcBorders>
            <w:noWrap w:val="0"/>
            <w:vAlign w:val="center"/>
          </w:tcPr>
          <w:p w14:paraId="7A27C1EC">
            <w:pPr>
              <w:widowControl/>
              <w:jc w:val="left"/>
              <w:textAlignment w:val="center"/>
              <w:rPr>
                <w:rFonts w:hint="eastAsia" w:ascii="宋体" w:hAnsi="宋体" w:eastAsia="宋体" w:cs="宋体"/>
                <w:color w:val="auto"/>
                <w:sz w:val="24"/>
                <w:szCs w:val="24"/>
                <w:highlight w:val="none"/>
              </w:rPr>
            </w:pPr>
          </w:p>
        </w:tc>
        <w:tc>
          <w:tcPr>
            <w:tcW w:w="1515" w:type="dxa"/>
            <w:tcBorders>
              <w:top w:val="nil"/>
              <w:left w:val="single" w:color="000000" w:sz="8" w:space="0"/>
              <w:bottom w:val="single" w:color="000000" w:sz="8" w:space="0"/>
              <w:right w:val="single" w:color="000000" w:sz="8" w:space="0"/>
            </w:tcBorders>
            <w:noWrap w:val="0"/>
            <w:vAlign w:val="center"/>
          </w:tcPr>
          <w:p w14:paraId="50FF226B">
            <w:pPr>
              <w:widowControl/>
              <w:jc w:val="center"/>
              <w:textAlignment w:val="center"/>
              <w:rPr>
                <w:rFonts w:hint="eastAsia" w:ascii="宋体" w:hAnsi="宋体" w:eastAsia="宋体" w:cs="宋体"/>
                <w:color w:val="auto"/>
                <w:sz w:val="24"/>
                <w:szCs w:val="24"/>
                <w:highlight w:val="none"/>
              </w:rPr>
            </w:pPr>
          </w:p>
        </w:tc>
        <w:tc>
          <w:tcPr>
            <w:tcW w:w="1290" w:type="dxa"/>
            <w:tcBorders>
              <w:top w:val="nil"/>
              <w:left w:val="single" w:color="000000" w:sz="8" w:space="0"/>
              <w:bottom w:val="single" w:color="000000" w:sz="8" w:space="0"/>
              <w:right w:val="single" w:color="000000" w:sz="8" w:space="0"/>
            </w:tcBorders>
            <w:noWrap w:val="0"/>
            <w:vAlign w:val="center"/>
          </w:tcPr>
          <w:p w14:paraId="588808BA">
            <w:pPr>
              <w:widowControl/>
              <w:jc w:val="center"/>
              <w:textAlignment w:val="center"/>
              <w:rPr>
                <w:rFonts w:hint="eastAsia" w:ascii="宋体" w:hAnsi="宋体" w:eastAsia="宋体" w:cs="宋体"/>
                <w:color w:val="auto"/>
                <w:sz w:val="24"/>
                <w:szCs w:val="24"/>
                <w:highlight w:val="none"/>
              </w:rPr>
            </w:pPr>
          </w:p>
        </w:tc>
      </w:tr>
      <w:tr w14:paraId="6BB7E3B9">
        <w:tblPrEx>
          <w:tblCellMar>
            <w:top w:w="0" w:type="dxa"/>
            <w:left w:w="108" w:type="dxa"/>
            <w:bottom w:w="0" w:type="dxa"/>
            <w:right w:w="108" w:type="dxa"/>
          </w:tblCellMar>
        </w:tblPrEx>
        <w:trPr>
          <w:trHeight w:val="700" w:hRule="atLeast"/>
        </w:trPr>
        <w:tc>
          <w:tcPr>
            <w:tcW w:w="570" w:type="dxa"/>
            <w:tcBorders>
              <w:top w:val="nil"/>
              <w:left w:val="single" w:color="000000" w:sz="8" w:space="0"/>
              <w:bottom w:val="single" w:color="000000" w:sz="8" w:space="0"/>
              <w:right w:val="single" w:color="000000" w:sz="8" w:space="0"/>
            </w:tcBorders>
            <w:shd w:val="clear" w:color="auto" w:fill="FFFFFF"/>
            <w:noWrap w:val="0"/>
            <w:vAlign w:val="center"/>
          </w:tcPr>
          <w:p w14:paraId="7FB1333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6</w:t>
            </w:r>
          </w:p>
        </w:tc>
        <w:tc>
          <w:tcPr>
            <w:tcW w:w="1366" w:type="dxa"/>
            <w:tcBorders>
              <w:top w:val="nil"/>
              <w:left w:val="single" w:color="000000" w:sz="8" w:space="0"/>
              <w:bottom w:val="single" w:color="000000" w:sz="8" w:space="0"/>
              <w:right w:val="single" w:color="000000" w:sz="8" w:space="0"/>
            </w:tcBorders>
            <w:noWrap w:val="0"/>
            <w:vAlign w:val="center"/>
          </w:tcPr>
          <w:p w14:paraId="09E018AB">
            <w:pPr>
              <w:widowControl/>
              <w:jc w:val="center"/>
              <w:textAlignment w:val="center"/>
              <w:rPr>
                <w:rFonts w:hint="eastAsia" w:ascii="宋体" w:hAnsi="宋体" w:eastAsia="宋体" w:cs="宋体"/>
                <w:color w:val="auto"/>
                <w:sz w:val="24"/>
                <w:szCs w:val="24"/>
                <w:highlight w:val="none"/>
              </w:rPr>
            </w:pPr>
          </w:p>
        </w:tc>
        <w:tc>
          <w:tcPr>
            <w:tcW w:w="1335" w:type="dxa"/>
            <w:tcBorders>
              <w:top w:val="nil"/>
              <w:left w:val="single" w:color="000000" w:sz="8" w:space="0"/>
              <w:bottom w:val="single" w:color="000000" w:sz="8" w:space="0"/>
              <w:right w:val="single" w:color="000000" w:sz="8" w:space="0"/>
            </w:tcBorders>
            <w:noWrap w:val="0"/>
            <w:vAlign w:val="center"/>
          </w:tcPr>
          <w:p w14:paraId="6D88D836">
            <w:pPr>
              <w:widowControl/>
              <w:jc w:val="center"/>
              <w:textAlignment w:val="center"/>
              <w:rPr>
                <w:rFonts w:hint="eastAsia" w:ascii="宋体" w:hAnsi="宋体" w:eastAsia="宋体" w:cs="宋体"/>
                <w:color w:val="auto"/>
                <w:sz w:val="24"/>
                <w:szCs w:val="24"/>
                <w:highlight w:val="none"/>
              </w:rPr>
            </w:pPr>
          </w:p>
        </w:tc>
        <w:tc>
          <w:tcPr>
            <w:tcW w:w="1284" w:type="dxa"/>
            <w:tcBorders>
              <w:top w:val="nil"/>
              <w:left w:val="single" w:color="000000" w:sz="8" w:space="0"/>
              <w:bottom w:val="single" w:color="000000" w:sz="8" w:space="0"/>
              <w:right w:val="single" w:color="000000" w:sz="8" w:space="0"/>
            </w:tcBorders>
            <w:noWrap w:val="0"/>
            <w:vAlign w:val="center"/>
          </w:tcPr>
          <w:p w14:paraId="1549600A">
            <w:pPr>
              <w:widowControl/>
              <w:jc w:val="center"/>
              <w:textAlignment w:val="center"/>
              <w:rPr>
                <w:rFonts w:hint="eastAsia" w:ascii="宋体" w:hAnsi="宋体" w:eastAsia="宋体" w:cs="宋体"/>
                <w:color w:val="auto"/>
                <w:sz w:val="24"/>
                <w:szCs w:val="24"/>
                <w:highlight w:val="none"/>
              </w:rPr>
            </w:pPr>
          </w:p>
        </w:tc>
        <w:tc>
          <w:tcPr>
            <w:tcW w:w="801" w:type="dxa"/>
            <w:tcBorders>
              <w:top w:val="nil"/>
              <w:left w:val="single" w:color="000000" w:sz="8" w:space="0"/>
              <w:bottom w:val="single" w:color="000000" w:sz="8" w:space="0"/>
              <w:right w:val="single" w:color="000000" w:sz="8" w:space="0"/>
            </w:tcBorders>
            <w:noWrap w:val="0"/>
            <w:vAlign w:val="center"/>
          </w:tcPr>
          <w:p w14:paraId="2A5AFB7B">
            <w:pPr>
              <w:widowControl/>
              <w:jc w:val="center"/>
              <w:textAlignment w:val="center"/>
              <w:rPr>
                <w:rFonts w:hint="eastAsia" w:ascii="宋体" w:hAnsi="宋体" w:eastAsia="宋体" w:cs="宋体"/>
                <w:color w:val="auto"/>
                <w:sz w:val="24"/>
                <w:szCs w:val="24"/>
                <w:highlight w:val="none"/>
              </w:rPr>
            </w:pPr>
          </w:p>
        </w:tc>
        <w:tc>
          <w:tcPr>
            <w:tcW w:w="945" w:type="dxa"/>
            <w:tcBorders>
              <w:top w:val="nil"/>
              <w:left w:val="single" w:color="000000" w:sz="8" w:space="0"/>
              <w:bottom w:val="single" w:color="000000" w:sz="8" w:space="0"/>
              <w:right w:val="single" w:color="000000" w:sz="8" w:space="0"/>
            </w:tcBorders>
            <w:noWrap w:val="0"/>
            <w:vAlign w:val="center"/>
          </w:tcPr>
          <w:p w14:paraId="70BECF9B">
            <w:pPr>
              <w:widowControl/>
              <w:jc w:val="left"/>
              <w:textAlignment w:val="center"/>
              <w:rPr>
                <w:rFonts w:hint="eastAsia" w:ascii="宋体" w:hAnsi="宋体" w:eastAsia="宋体" w:cs="宋体"/>
                <w:color w:val="auto"/>
                <w:sz w:val="24"/>
                <w:szCs w:val="24"/>
                <w:highlight w:val="none"/>
              </w:rPr>
            </w:pPr>
          </w:p>
        </w:tc>
        <w:tc>
          <w:tcPr>
            <w:tcW w:w="1515" w:type="dxa"/>
            <w:tcBorders>
              <w:top w:val="nil"/>
              <w:left w:val="single" w:color="000000" w:sz="8" w:space="0"/>
              <w:bottom w:val="single" w:color="000000" w:sz="8" w:space="0"/>
              <w:right w:val="single" w:color="000000" w:sz="8" w:space="0"/>
            </w:tcBorders>
            <w:noWrap w:val="0"/>
            <w:vAlign w:val="center"/>
          </w:tcPr>
          <w:p w14:paraId="118E965F">
            <w:pPr>
              <w:widowControl/>
              <w:jc w:val="center"/>
              <w:textAlignment w:val="center"/>
              <w:rPr>
                <w:rFonts w:hint="eastAsia" w:ascii="宋体" w:hAnsi="宋体" w:eastAsia="宋体" w:cs="宋体"/>
                <w:color w:val="auto"/>
                <w:sz w:val="24"/>
                <w:szCs w:val="24"/>
                <w:highlight w:val="none"/>
              </w:rPr>
            </w:pPr>
          </w:p>
        </w:tc>
        <w:tc>
          <w:tcPr>
            <w:tcW w:w="1290" w:type="dxa"/>
            <w:tcBorders>
              <w:top w:val="nil"/>
              <w:left w:val="single" w:color="000000" w:sz="8" w:space="0"/>
              <w:bottom w:val="single" w:color="000000" w:sz="8" w:space="0"/>
              <w:right w:val="single" w:color="000000" w:sz="8" w:space="0"/>
            </w:tcBorders>
            <w:noWrap w:val="0"/>
            <w:vAlign w:val="center"/>
          </w:tcPr>
          <w:p w14:paraId="70159CF1">
            <w:pPr>
              <w:widowControl/>
              <w:jc w:val="center"/>
              <w:textAlignment w:val="center"/>
              <w:rPr>
                <w:rFonts w:hint="eastAsia" w:ascii="宋体" w:hAnsi="宋体" w:eastAsia="宋体" w:cs="宋体"/>
                <w:color w:val="auto"/>
                <w:sz w:val="24"/>
                <w:szCs w:val="24"/>
                <w:highlight w:val="none"/>
              </w:rPr>
            </w:pPr>
          </w:p>
        </w:tc>
      </w:tr>
      <w:tr w14:paraId="35659AC7">
        <w:tblPrEx>
          <w:tblCellMar>
            <w:top w:w="0" w:type="dxa"/>
            <w:left w:w="108" w:type="dxa"/>
            <w:bottom w:w="0" w:type="dxa"/>
            <w:right w:w="108" w:type="dxa"/>
          </w:tblCellMar>
        </w:tblPrEx>
        <w:trPr>
          <w:trHeight w:val="700" w:hRule="atLeast"/>
        </w:trPr>
        <w:tc>
          <w:tcPr>
            <w:tcW w:w="570" w:type="dxa"/>
            <w:tcBorders>
              <w:top w:val="nil"/>
              <w:left w:val="single" w:color="000000" w:sz="8" w:space="0"/>
              <w:bottom w:val="single" w:color="000000" w:sz="8" w:space="0"/>
              <w:right w:val="single" w:color="000000" w:sz="8" w:space="0"/>
            </w:tcBorders>
            <w:shd w:val="clear" w:color="auto" w:fill="FFFFFF"/>
            <w:noWrap w:val="0"/>
            <w:vAlign w:val="center"/>
          </w:tcPr>
          <w:p w14:paraId="256C97F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w:t>
            </w:r>
          </w:p>
        </w:tc>
        <w:tc>
          <w:tcPr>
            <w:tcW w:w="1366" w:type="dxa"/>
            <w:tcBorders>
              <w:top w:val="nil"/>
              <w:left w:val="single" w:color="000000" w:sz="8" w:space="0"/>
              <w:bottom w:val="single" w:color="000000" w:sz="8" w:space="0"/>
              <w:right w:val="single" w:color="000000" w:sz="8" w:space="0"/>
            </w:tcBorders>
            <w:noWrap w:val="0"/>
            <w:vAlign w:val="center"/>
          </w:tcPr>
          <w:p w14:paraId="77D2FCBC">
            <w:pPr>
              <w:widowControl/>
              <w:jc w:val="center"/>
              <w:textAlignment w:val="center"/>
              <w:rPr>
                <w:rFonts w:hint="eastAsia" w:ascii="宋体" w:hAnsi="宋体" w:eastAsia="宋体" w:cs="宋体"/>
                <w:color w:val="auto"/>
                <w:sz w:val="24"/>
                <w:szCs w:val="24"/>
                <w:highlight w:val="none"/>
              </w:rPr>
            </w:pPr>
          </w:p>
        </w:tc>
        <w:tc>
          <w:tcPr>
            <w:tcW w:w="1335" w:type="dxa"/>
            <w:tcBorders>
              <w:top w:val="nil"/>
              <w:left w:val="single" w:color="000000" w:sz="8" w:space="0"/>
              <w:bottom w:val="single" w:color="000000" w:sz="8" w:space="0"/>
              <w:right w:val="single" w:color="000000" w:sz="8" w:space="0"/>
            </w:tcBorders>
            <w:noWrap w:val="0"/>
            <w:vAlign w:val="center"/>
          </w:tcPr>
          <w:p w14:paraId="100F587A">
            <w:pPr>
              <w:widowControl/>
              <w:jc w:val="center"/>
              <w:textAlignment w:val="center"/>
              <w:rPr>
                <w:rFonts w:hint="eastAsia" w:ascii="宋体" w:hAnsi="宋体" w:eastAsia="宋体" w:cs="宋体"/>
                <w:color w:val="auto"/>
                <w:sz w:val="24"/>
                <w:szCs w:val="24"/>
                <w:highlight w:val="none"/>
              </w:rPr>
            </w:pPr>
          </w:p>
        </w:tc>
        <w:tc>
          <w:tcPr>
            <w:tcW w:w="1284" w:type="dxa"/>
            <w:tcBorders>
              <w:top w:val="nil"/>
              <w:left w:val="single" w:color="000000" w:sz="8" w:space="0"/>
              <w:bottom w:val="single" w:color="000000" w:sz="8" w:space="0"/>
              <w:right w:val="single" w:color="000000" w:sz="8" w:space="0"/>
            </w:tcBorders>
            <w:noWrap w:val="0"/>
            <w:vAlign w:val="center"/>
          </w:tcPr>
          <w:p w14:paraId="5CECE0F6">
            <w:pPr>
              <w:widowControl/>
              <w:jc w:val="center"/>
              <w:textAlignment w:val="center"/>
              <w:rPr>
                <w:rFonts w:hint="eastAsia" w:ascii="宋体" w:hAnsi="宋体" w:eastAsia="宋体" w:cs="宋体"/>
                <w:color w:val="auto"/>
                <w:sz w:val="24"/>
                <w:szCs w:val="24"/>
                <w:highlight w:val="none"/>
              </w:rPr>
            </w:pPr>
          </w:p>
        </w:tc>
        <w:tc>
          <w:tcPr>
            <w:tcW w:w="801" w:type="dxa"/>
            <w:tcBorders>
              <w:top w:val="nil"/>
              <w:left w:val="single" w:color="000000" w:sz="8" w:space="0"/>
              <w:bottom w:val="single" w:color="000000" w:sz="8" w:space="0"/>
              <w:right w:val="single" w:color="000000" w:sz="8" w:space="0"/>
            </w:tcBorders>
            <w:noWrap w:val="0"/>
            <w:vAlign w:val="center"/>
          </w:tcPr>
          <w:p w14:paraId="43B2D8DA">
            <w:pPr>
              <w:widowControl/>
              <w:jc w:val="center"/>
              <w:textAlignment w:val="center"/>
              <w:rPr>
                <w:rFonts w:hint="eastAsia" w:ascii="宋体" w:hAnsi="宋体" w:eastAsia="宋体" w:cs="宋体"/>
                <w:color w:val="auto"/>
                <w:sz w:val="24"/>
                <w:szCs w:val="24"/>
                <w:highlight w:val="none"/>
              </w:rPr>
            </w:pPr>
          </w:p>
        </w:tc>
        <w:tc>
          <w:tcPr>
            <w:tcW w:w="945" w:type="dxa"/>
            <w:tcBorders>
              <w:top w:val="nil"/>
              <w:left w:val="single" w:color="000000" w:sz="8" w:space="0"/>
              <w:bottom w:val="single" w:color="000000" w:sz="8" w:space="0"/>
              <w:right w:val="single" w:color="000000" w:sz="8" w:space="0"/>
            </w:tcBorders>
            <w:noWrap w:val="0"/>
            <w:vAlign w:val="center"/>
          </w:tcPr>
          <w:p w14:paraId="2F2C9E2E">
            <w:pPr>
              <w:widowControl/>
              <w:jc w:val="left"/>
              <w:textAlignment w:val="center"/>
              <w:rPr>
                <w:rFonts w:hint="eastAsia" w:ascii="宋体" w:hAnsi="宋体" w:eastAsia="宋体" w:cs="宋体"/>
                <w:color w:val="auto"/>
                <w:sz w:val="24"/>
                <w:szCs w:val="24"/>
                <w:highlight w:val="none"/>
              </w:rPr>
            </w:pPr>
          </w:p>
        </w:tc>
        <w:tc>
          <w:tcPr>
            <w:tcW w:w="1515" w:type="dxa"/>
            <w:tcBorders>
              <w:top w:val="nil"/>
              <w:left w:val="single" w:color="000000" w:sz="8" w:space="0"/>
              <w:bottom w:val="single" w:color="000000" w:sz="8" w:space="0"/>
              <w:right w:val="single" w:color="000000" w:sz="8" w:space="0"/>
            </w:tcBorders>
            <w:noWrap w:val="0"/>
            <w:vAlign w:val="center"/>
          </w:tcPr>
          <w:p w14:paraId="20851F0A">
            <w:pPr>
              <w:widowControl/>
              <w:jc w:val="center"/>
              <w:textAlignment w:val="center"/>
              <w:rPr>
                <w:rFonts w:hint="eastAsia" w:ascii="宋体" w:hAnsi="宋体" w:eastAsia="宋体" w:cs="宋体"/>
                <w:color w:val="auto"/>
                <w:sz w:val="24"/>
                <w:szCs w:val="24"/>
                <w:highlight w:val="none"/>
              </w:rPr>
            </w:pPr>
          </w:p>
        </w:tc>
        <w:tc>
          <w:tcPr>
            <w:tcW w:w="1290" w:type="dxa"/>
            <w:tcBorders>
              <w:top w:val="nil"/>
              <w:left w:val="single" w:color="000000" w:sz="8" w:space="0"/>
              <w:bottom w:val="single" w:color="000000" w:sz="8" w:space="0"/>
              <w:right w:val="single" w:color="000000" w:sz="8" w:space="0"/>
            </w:tcBorders>
            <w:noWrap w:val="0"/>
            <w:vAlign w:val="center"/>
          </w:tcPr>
          <w:p w14:paraId="3AE985A2">
            <w:pPr>
              <w:widowControl/>
              <w:jc w:val="center"/>
              <w:textAlignment w:val="center"/>
              <w:rPr>
                <w:rFonts w:hint="eastAsia" w:ascii="宋体" w:hAnsi="宋体" w:eastAsia="宋体" w:cs="宋体"/>
                <w:color w:val="auto"/>
                <w:sz w:val="24"/>
                <w:szCs w:val="24"/>
                <w:highlight w:val="none"/>
              </w:rPr>
            </w:pPr>
          </w:p>
        </w:tc>
      </w:tr>
      <w:tr w14:paraId="72E0713F">
        <w:tblPrEx>
          <w:tblCellMar>
            <w:top w:w="0" w:type="dxa"/>
            <w:left w:w="108" w:type="dxa"/>
            <w:bottom w:w="0" w:type="dxa"/>
            <w:right w:w="108" w:type="dxa"/>
          </w:tblCellMar>
        </w:tblPrEx>
        <w:trPr>
          <w:trHeight w:val="700" w:hRule="atLeast"/>
        </w:trPr>
        <w:tc>
          <w:tcPr>
            <w:tcW w:w="570" w:type="dxa"/>
            <w:tcBorders>
              <w:top w:val="nil"/>
              <w:left w:val="single" w:color="000000" w:sz="8" w:space="0"/>
              <w:bottom w:val="single" w:color="000000" w:sz="8" w:space="0"/>
              <w:right w:val="single" w:color="000000" w:sz="8" w:space="0"/>
            </w:tcBorders>
            <w:shd w:val="clear" w:color="auto" w:fill="FFFFFF"/>
            <w:noWrap w:val="0"/>
            <w:vAlign w:val="center"/>
          </w:tcPr>
          <w:p w14:paraId="4F9EB429">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bidi="ar"/>
              </w:rPr>
              <w:t>…</w:t>
            </w:r>
          </w:p>
        </w:tc>
        <w:tc>
          <w:tcPr>
            <w:tcW w:w="1366" w:type="dxa"/>
            <w:tcBorders>
              <w:top w:val="nil"/>
              <w:left w:val="single" w:color="000000" w:sz="8" w:space="0"/>
              <w:bottom w:val="single" w:color="000000" w:sz="8" w:space="0"/>
              <w:right w:val="single" w:color="000000" w:sz="8" w:space="0"/>
            </w:tcBorders>
            <w:noWrap w:val="0"/>
            <w:vAlign w:val="center"/>
          </w:tcPr>
          <w:p w14:paraId="1CB74D02">
            <w:pPr>
              <w:widowControl/>
              <w:jc w:val="center"/>
              <w:textAlignment w:val="center"/>
              <w:rPr>
                <w:rFonts w:hint="eastAsia" w:ascii="宋体" w:hAnsi="宋体" w:eastAsia="宋体" w:cs="宋体"/>
                <w:color w:val="auto"/>
                <w:sz w:val="24"/>
                <w:szCs w:val="24"/>
                <w:highlight w:val="none"/>
              </w:rPr>
            </w:pPr>
          </w:p>
        </w:tc>
        <w:tc>
          <w:tcPr>
            <w:tcW w:w="1335" w:type="dxa"/>
            <w:tcBorders>
              <w:top w:val="nil"/>
              <w:left w:val="single" w:color="000000" w:sz="8" w:space="0"/>
              <w:bottom w:val="single" w:color="000000" w:sz="8" w:space="0"/>
              <w:right w:val="single" w:color="000000" w:sz="8" w:space="0"/>
            </w:tcBorders>
            <w:noWrap w:val="0"/>
            <w:vAlign w:val="center"/>
          </w:tcPr>
          <w:p w14:paraId="22B8BCAB">
            <w:pPr>
              <w:widowControl/>
              <w:jc w:val="center"/>
              <w:textAlignment w:val="center"/>
              <w:rPr>
                <w:rFonts w:hint="eastAsia" w:ascii="宋体" w:hAnsi="宋体" w:eastAsia="宋体" w:cs="宋体"/>
                <w:color w:val="auto"/>
                <w:sz w:val="24"/>
                <w:szCs w:val="24"/>
                <w:highlight w:val="none"/>
              </w:rPr>
            </w:pPr>
          </w:p>
        </w:tc>
        <w:tc>
          <w:tcPr>
            <w:tcW w:w="1284" w:type="dxa"/>
            <w:tcBorders>
              <w:top w:val="nil"/>
              <w:left w:val="single" w:color="000000" w:sz="8" w:space="0"/>
              <w:bottom w:val="single" w:color="000000" w:sz="8" w:space="0"/>
              <w:right w:val="single" w:color="000000" w:sz="8" w:space="0"/>
            </w:tcBorders>
            <w:noWrap w:val="0"/>
            <w:vAlign w:val="center"/>
          </w:tcPr>
          <w:p w14:paraId="76422C50">
            <w:pPr>
              <w:widowControl/>
              <w:jc w:val="center"/>
              <w:textAlignment w:val="center"/>
              <w:rPr>
                <w:rFonts w:hint="eastAsia" w:ascii="宋体" w:hAnsi="宋体" w:eastAsia="宋体" w:cs="宋体"/>
                <w:color w:val="auto"/>
                <w:sz w:val="24"/>
                <w:szCs w:val="24"/>
                <w:highlight w:val="none"/>
              </w:rPr>
            </w:pPr>
          </w:p>
        </w:tc>
        <w:tc>
          <w:tcPr>
            <w:tcW w:w="801" w:type="dxa"/>
            <w:tcBorders>
              <w:top w:val="nil"/>
              <w:left w:val="single" w:color="000000" w:sz="8" w:space="0"/>
              <w:bottom w:val="single" w:color="000000" w:sz="8" w:space="0"/>
              <w:right w:val="single" w:color="000000" w:sz="8" w:space="0"/>
            </w:tcBorders>
            <w:noWrap w:val="0"/>
            <w:vAlign w:val="center"/>
          </w:tcPr>
          <w:p w14:paraId="5AF49FF4">
            <w:pPr>
              <w:widowControl/>
              <w:jc w:val="center"/>
              <w:textAlignment w:val="center"/>
              <w:rPr>
                <w:rFonts w:hint="eastAsia" w:ascii="宋体" w:hAnsi="宋体" w:eastAsia="宋体" w:cs="宋体"/>
                <w:color w:val="auto"/>
                <w:sz w:val="24"/>
                <w:szCs w:val="24"/>
                <w:highlight w:val="none"/>
              </w:rPr>
            </w:pPr>
          </w:p>
        </w:tc>
        <w:tc>
          <w:tcPr>
            <w:tcW w:w="945" w:type="dxa"/>
            <w:tcBorders>
              <w:top w:val="nil"/>
              <w:left w:val="single" w:color="000000" w:sz="8" w:space="0"/>
              <w:bottom w:val="single" w:color="000000" w:sz="8" w:space="0"/>
              <w:right w:val="single" w:color="000000" w:sz="8" w:space="0"/>
            </w:tcBorders>
            <w:noWrap w:val="0"/>
            <w:vAlign w:val="center"/>
          </w:tcPr>
          <w:p w14:paraId="1F8F45C4">
            <w:pPr>
              <w:widowControl/>
              <w:jc w:val="left"/>
              <w:textAlignment w:val="center"/>
              <w:rPr>
                <w:rFonts w:hint="eastAsia" w:ascii="宋体" w:hAnsi="宋体" w:eastAsia="宋体" w:cs="宋体"/>
                <w:color w:val="auto"/>
                <w:sz w:val="24"/>
                <w:szCs w:val="24"/>
                <w:highlight w:val="none"/>
              </w:rPr>
            </w:pPr>
          </w:p>
        </w:tc>
        <w:tc>
          <w:tcPr>
            <w:tcW w:w="1515" w:type="dxa"/>
            <w:tcBorders>
              <w:top w:val="nil"/>
              <w:left w:val="single" w:color="000000" w:sz="8" w:space="0"/>
              <w:bottom w:val="single" w:color="000000" w:sz="8" w:space="0"/>
              <w:right w:val="single" w:color="000000" w:sz="8" w:space="0"/>
            </w:tcBorders>
            <w:noWrap w:val="0"/>
            <w:vAlign w:val="center"/>
          </w:tcPr>
          <w:p w14:paraId="6E6E1C4E">
            <w:pPr>
              <w:widowControl/>
              <w:jc w:val="center"/>
              <w:textAlignment w:val="center"/>
              <w:rPr>
                <w:rFonts w:hint="eastAsia" w:ascii="宋体" w:hAnsi="宋体" w:eastAsia="宋体" w:cs="宋体"/>
                <w:color w:val="auto"/>
                <w:sz w:val="24"/>
                <w:szCs w:val="24"/>
                <w:highlight w:val="none"/>
              </w:rPr>
            </w:pPr>
          </w:p>
        </w:tc>
        <w:tc>
          <w:tcPr>
            <w:tcW w:w="1290" w:type="dxa"/>
            <w:tcBorders>
              <w:top w:val="nil"/>
              <w:left w:val="single" w:color="000000" w:sz="8" w:space="0"/>
              <w:bottom w:val="single" w:color="000000" w:sz="8" w:space="0"/>
              <w:right w:val="single" w:color="000000" w:sz="8" w:space="0"/>
            </w:tcBorders>
            <w:noWrap w:val="0"/>
            <w:vAlign w:val="center"/>
          </w:tcPr>
          <w:p w14:paraId="16CC64D4">
            <w:pPr>
              <w:widowControl/>
              <w:jc w:val="center"/>
              <w:textAlignment w:val="center"/>
              <w:rPr>
                <w:rFonts w:hint="eastAsia" w:ascii="宋体" w:hAnsi="宋体" w:eastAsia="宋体" w:cs="宋体"/>
                <w:color w:val="auto"/>
                <w:sz w:val="24"/>
                <w:szCs w:val="24"/>
                <w:highlight w:val="none"/>
              </w:rPr>
            </w:pPr>
          </w:p>
        </w:tc>
      </w:tr>
      <w:tr w14:paraId="38A51A08">
        <w:tblPrEx>
          <w:tblCellMar>
            <w:top w:w="0" w:type="dxa"/>
            <w:left w:w="108" w:type="dxa"/>
            <w:bottom w:w="0" w:type="dxa"/>
            <w:right w:w="108" w:type="dxa"/>
          </w:tblCellMar>
        </w:tblPrEx>
        <w:trPr>
          <w:trHeight w:val="480" w:hRule="atLeast"/>
        </w:trPr>
        <w:tc>
          <w:tcPr>
            <w:tcW w:w="9106" w:type="dxa"/>
            <w:gridSpan w:val="8"/>
            <w:tcBorders>
              <w:top w:val="nil"/>
              <w:left w:val="single" w:color="000000" w:sz="8" w:space="0"/>
              <w:bottom w:val="single" w:color="000000" w:sz="8" w:space="0"/>
              <w:right w:val="single" w:color="000000" w:sz="8" w:space="0"/>
            </w:tcBorders>
            <w:shd w:val="clear" w:color="auto" w:fill="FFFFFF"/>
            <w:noWrap w:val="0"/>
            <w:vAlign w:val="center"/>
          </w:tcPr>
          <w:p w14:paraId="7EA8F81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合计总价：</w:t>
            </w:r>
            <w:r>
              <w:rPr>
                <w:rFonts w:hint="eastAsia" w:ascii="宋体" w:hAnsi="宋体" w:eastAsia="宋体" w:cs="宋体"/>
                <w:b/>
                <w:bCs/>
                <w:color w:val="auto"/>
                <w:sz w:val="24"/>
                <w:szCs w:val="24"/>
                <w:highlight w:val="none"/>
                <w:u w:val="none"/>
                <w:lang w:val="en-US" w:eastAsia="zh-CN"/>
              </w:rPr>
              <w:t>¥：</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kern w:val="0"/>
                <w:sz w:val="24"/>
                <w:szCs w:val="24"/>
                <w:highlight w:val="none"/>
                <w:lang w:bidi="ar"/>
              </w:rPr>
              <w:t>；（大写</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 xml:space="preserve">        </w:t>
            </w:r>
            <w:r>
              <w:rPr>
                <w:rFonts w:hint="eastAsia" w:ascii="宋体" w:hAnsi="宋体" w:eastAsia="宋体" w:cs="宋体"/>
                <w:color w:val="auto"/>
                <w:kern w:val="0"/>
                <w:sz w:val="24"/>
                <w:szCs w:val="24"/>
                <w:highlight w:val="none"/>
                <w:lang w:bidi="ar"/>
              </w:rPr>
              <w:t>）</w:t>
            </w:r>
          </w:p>
        </w:tc>
      </w:tr>
    </w:tbl>
    <w:p w14:paraId="3D6E81EE">
      <w:pPr>
        <w:spacing w:line="440" w:lineRule="exact"/>
        <w:ind w:firstLine="436" w:firstLineChars="182"/>
        <w:rPr>
          <w:rFonts w:hint="eastAsia" w:ascii="宋体" w:hAnsi="宋体" w:eastAsia="宋体" w:cs="宋体"/>
          <w:color w:val="auto"/>
          <w:sz w:val="24"/>
          <w:highlight w:val="none"/>
        </w:rPr>
      </w:pPr>
    </w:p>
    <w:p w14:paraId="27C9A390">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二、合同总价（大写）：</w:t>
      </w:r>
      <w:r>
        <w:rPr>
          <w:rFonts w:hint="eastAsia" w:ascii="宋体" w:hAnsi="宋体" w:eastAsia="宋体" w:cs="宋体"/>
          <w:color w:val="auto"/>
          <w:sz w:val="24"/>
          <w:highlight w:val="none"/>
          <w:lang w:val="en-US" w:eastAsia="zh-CN"/>
        </w:rPr>
        <w:t>人民币</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 xml:space="preserve"> </w:t>
      </w:r>
    </w:p>
    <w:p w14:paraId="48D6D551">
      <w:pPr>
        <w:keepNext w:val="0"/>
        <w:keepLines w:val="0"/>
        <w:pageBreakBefore w:val="0"/>
        <w:widowControl w:val="0"/>
        <w:kinsoku/>
        <w:wordWrap/>
        <w:overflowPunct/>
        <w:topLinePunct w:val="0"/>
        <w:bidi w:val="0"/>
        <w:spacing w:line="360" w:lineRule="auto"/>
        <w:ind w:firstLine="1920" w:firstLineChars="8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（小写）：</w:t>
      </w:r>
      <w:r>
        <w:rPr>
          <w:rFonts w:hint="eastAsia" w:ascii="宋体" w:hAnsi="宋体" w:eastAsia="宋体" w:cs="宋体"/>
          <w:b/>
          <w:bCs/>
          <w:color w:val="auto"/>
          <w:sz w:val="24"/>
          <w:highlight w:val="none"/>
          <w:u w:val="none"/>
          <w:lang w:val="en-US" w:eastAsia="zh-CN"/>
        </w:rPr>
        <w:t>¥：</w:t>
      </w:r>
      <w:r>
        <w:rPr>
          <w:rFonts w:hint="eastAsia" w:ascii="宋体" w:hAnsi="宋体" w:eastAsia="宋体" w:cs="宋体"/>
          <w:b/>
          <w:bCs/>
          <w:color w:val="auto"/>
          <w:kern w:val="0"/>
          <w:sz w:val="22"/>
          <w:szCs w:val="22"/>
          <w:highlight w:val="none"/>
          <w:u w:val="single"/>
          <w:lang w:val="en-US" w:eastAsia="zh-CN" w:bidi="ar"/>
        </w:rPr>
        <w:t xml:space="preserve">             </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      </w:t>
      </w:r>
    </w:p>
    <w:p w14:paraId="3FBCAA53">
      <w:pPr>
        <w:pStyle w:val="66"/>
        <w:pageBreakBefore w:val="0"/>
        <w:kinsoku/>
        <w:wordWrap w:val="0"/>
        <w:overflowPunct/>
        <w:bidi w:val="0"/>
        <w:spacing w:line="3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本次报价为固定</w:t>
      </w:r>
      <w:r>
        <w:rPr>
          <w:rFonts w:hint="eastAsia" w:ascii="宋体" w:hAnsi="宋体" w:cs="宋体"/>
          <w:color w:val="auto"/>
          <w:sz w:val="24"/>
          <w:szCs w:val="24"/>
          <w:highlight w:val="none"/>
          <w:lang w:val="en-US" w:eastAsia="zh-CN"/>
        </w:rPr>
        <w:t>单</w:t>
      </w:r>
      <w:r>
        <w:rPr>
          <w:rFonts w:hint="eastAsia" w:ascii="宋体" w:hAnsi="宋体" w:eastAsia="宋体" w:cs="宋体"/>
          <w:color w:val="auto"/>
          <w:sz w:val="24"/>
          <w:szCs w:val="24"/>
          <w:highlight w:val="none"/>
          <w:lang w:val="en-US" w:eastAsia="zh-CN"/>
        </w:rPr>
        <w:t>价报价</w:t>
      </w:r>
      <w:r>
        <w:rPr>
          <w:rFonts w:hint="eastAsia" w:ascii="宋体" w:hAnsi="宋体" w:eastAsia="宋体" w:cs="宋体"/>
          <w:color w:val="auto"/>
          <w:sz w:val="24"/>
          <w:szCs w:val="24"/>
          <w:highlight w:val="none"/>
        </w:rPr>
        <w:t>，报价应为人民币含税价（元），包括</w:t>
      </w:r>
      <w:r>
        <w:rPr>
          <w:rFonts w:hint="eastAsia" w:ascii="宋体" w:hAnsi="宋体" w:eastAsia="宋体" w:cs="宋体"/>
          <w:color w:val="auto"/>
          <w:sz w:val="24"/>
          <w:szCs w:val="24"/>
          <w:highlight w:val="none"/>
          <w:lang w:val="en-US" w:eastAsia="zh-CN"/>
        </w:rPr>
        <w:t>设备原价、包装费、运输费、装卸费、安装调试费、税费、质保期内所有服务费及其他相关费用，</w:t>
      </w:r>
      <w:r>
        <w:rPr>
          <w:rFonts w:hint="eastAsia" w:ascii="宋体" w:hAnsi="宋体" w:eastAsia="宋体" w:cs="宋体"/>
          <w:color w:val="auto"/>
          <w:sz w:val="24"/>
          <w:szCs w:val="24"/>
          <w:highlight w:val="none"/>
        </w:rPr>
        <w:t>也包含</w:t>
      </w:r>
      <w:r>
        <w:rPr>
          <w:rFonts w:hint="eastAsia" w:ascii="宋体" w:hAnsi="宋体" w:eastAsia="宋体" w:cs="宋体"/>
          <w:color w:val="auto"/>
          <w:sz w:val="24"/>
          <w:szCs w:val="24"/>
          <w:highlight w:val="none"/>
          <w:lang w:eastAsia="zh-CN"/>
        </w:rPr>
        <w:t>运维过程中由于不可抗力因素导致系统出现故障的维护费用、</w:t>
      </w:r>
      <w:r>
        <w:rPr>
          <w:rFonts w:hint="eastAsia" w:ascii="宋体" w:hAnsi="宋体" w:eastAsia="宋体" w:cs="宋体"/>
          <w:color w:val="auto"/>
          <w:sz w:val="24"/>
          <w:szCs w:val="24"/>
          <w:highlight w:val="none"/>
        </w:rPr>
        <w:t>乙方应当提供的伴随服务/售后服务费用，以及甲方指定地点</w:t>
      </w:r>
      <w:r>
        <w:rPr>
          <w:rFonts w:hint="eastAsia" w:ascii="宋体" w:hAnsi="宋体" w:eastAsia="宋体" w:cs="宋体"/>
          <w:color w:val="auto"/>
          <w:sz w:val="24"/>
          <w:szCs w:val="24"/>
          <w:highlight w:val="none"/>
          <w:lang w:val="en-US" w:eastAsia="zh-CN"/>
        </w:rPr>
        <w:t>安装</w:t>
      </w:r>
      <w:r>
        <w:rPr>
          <w:rFonts w:hint="eastAsia" w:ascii="宋体" w:hAnsi="宋体" w:eastAsia="宋体" w:cs="宋体"/>
          <w:color w:val="auto"/>
          <w:sz w:val="24"/>
          <w:szCs w:val="24"/>
          <w:highlight w:val="none"/>
        </w:rPr>
        <w:t>等所需全部费用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一口价不变，后续不再追加任何额外费用</w:t>
      </w:r>
      <w:r>
        <w:rPr>
          <w:rFonts w:hint="eastAsia" w:ascii="宋体" w:hAnsi="宋体" w:cs="宋体"/>
          <w:color w:val="auto"/>
          <w:sz w:val="24"/>
          <w:szCs w:val="24"/>
          <w:highlight w:val="none"/>
          <w:lang w:val="en-US" w:eastAsia="zh-CN"/>
        </w:rPr>
        <w:t>。</w:t>
      </w:r>
    </w:p>
    <w:p w14:paraId="3A02A2D5">
      <w:pPr>
        <w:keepNext w:val="0"/>
        <w:keepLines w:val="0"/>
        <w:pageBreakBefore w:val="0"/>
        <w:widowControl w:val="0"/>
        <w:kinsoku/>
        <w:wordWrap/>
        <w:overflowPunct/>
        <w:topLinePunct w:val="0"/>
        <w:bidi w:val="0"/>
        <w:spacing w:line="360" w:lineRule="auto"/>
        <w:ind w:firstLine="480" w:firstLineChars="200"/>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szCs w:val="21"/>
          <w:highlight w:val="none"/>
          <w:lang w:val="en-US" w:eastAsia="zh-CN" w:bidi="ar-SA"/>
        </w:rPr>
        <w:t>注：不可抗力因素包括：1、重大自然灾害，如：重大的地震、海啸、台风、海浪、洪水、蝗灾、风暴、冰雹、沙尘暴、火山爆发、山体滑坡、雪崩、泥石流等；2、重大的社会非正常事件，如：如战争、武装冲突、罢工、骚乱、暴动等。</w:t>
      </w:r>
    </w:p>
    <w:p w14:paraId="1F2DF98C">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本合同的供货范围，除包括上述货物外，还包括随机的辅助设备、气管线路、软件和文档资料等，以及设备运行所必需的随机消耗品（如箱包等），相应的技术服务与质量保证文件等。</w:t>
      </w:r>
    </w:p>
    <w:p w14:paraId="4E9AFC62">
      <w:pPr>
        <w:keepNext w:val="0"/>
        <w:keepLines w:val="0"/>
        <w:pageBreakBefore w:val="0"/>
        <w:widowControl w:val="0"/>
        <w:kinsoku/>
        <w:wordWrap/>
        <w:overflowPunct/>
        <w:topLinePunct w:val="0"/>
        <w:bidi w:val="0"/>
        <w:spacing w:line="360" w:lineRule="auto"/>
        <w:ind w:firstLine="436" w:firstLineChars="1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三、配套设备、备品备件（含易损件或消耗品）供应情况</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8B5C42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四、甲乙双方的权利和义务</w:t>
      </w:r>
    </w:p>
    <w:p w14:paraId="0FF6F878">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（一）甲方的权利和义务</w:t>
      </w:r>
    </w:p>
    <w:p w14:paraId="1B947EE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1.负责合同签订后项目的配合、协调工作</w:t>
      </w:r>
      <w:r>
        <w:rPr>
          <w:rFonts w:hint="eastAsia" w:ascii="宋体" w:hAnsi="宋体" w:eastAsia="宋体" w:cs="宋体"/>
          <w:color w:val="auto"/>
          <w:sz w:val="24"/>
          <w:highlight w:val="none"/>
          <w:lang w:eastAsia="zh-CN"/>
        </w:rPr>
        <w:t>。</w:t>
      </w:r>
    </w:p>
    <w:p w14:paraId="451EE0E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2.负责提供项目所必需的场地和环境</w:t>
      </w:r>
      <w:r>
        <w:rPr>
          <w:rFonts w:hint="eastAsia" w:ascii="宋体" w:hAnsi="宋体" w:eastAsia="宋体" w:cs="宋体"/>
          <w:color w:val="auto"/>
          <w:sz w:val="24"/>
          <w:highlight w:val="none"/>
          <w:lang w:eastAsia="zh-CN"/>
        </w:rPr>
        <w:t>。</w:t>
      </w:r>
    </w:p>
    <w:p w14:paraId="0714EE5A">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3.负责组织成立验收小组对项目进行验收并签署验收报告</w:t>
      </w:r>
      <w:r>
        <w:rPr>
          <w:rFonts w:hint="eastAsia" w:ascii="宋体" w:hAnsi="宋体" w:eastAsia="宋体" w:cs="宋体"/>
          <w:color w:val="auto"/>
          <w:sz w:val="24"/>
          <w:highlight w:val="none"/>
          <w:lang w:eastAsia="zh-CN"/>
        </w:rPr>
        <w:t>。</w:t>
      </w:r>
    </w:p>
    <w:p w14:paraId="32DD404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4.按合同规定享有乙方提供的货物和服务。</w:t>
      </w:r>
    </w:p>
    <w:p w14:paraId="4A67506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（二）乙方的权利和义务</w:t>
      </w:r>
    </w:p>
    <w:p w14:paraId="4D47BAB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1.乙方保证按本合同条款负责完成甲方项目，并保证提供的设备是全新（包括零部件）、符合招标文件规定、具有国家有关部门注册并符合国家质量检测标准和产品出厂标准的货物</w:t>
      </w:r>
      <w:r>
        <w:rPr>
          <w:rFonts w:hint="eastAsia" w:ascii="宋体" w:hAnsi="宋体" w:eastAsia="宋体" w:cs="宋体"/>
          <w:color w:val="auto"/>
          <w:sz w:val="24"/>
          <w:highlight w:val="none"/>
          <w:lang w:eastAsia="zh-CN"/>
        </w:rPr>
        <w:t>。</w:t>
      </w:r>
    </w:p>
    <w:p w14:paraId="2A90AC0D">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2.服务内容：保修期内，乙方对设备提供全免费保修或免费更换；在保修</w:t>
      </w:r>
      <w:r>
        <w:rPr>
          <w:rFonts w:hint="eastAsia" w:ascii="宋体" w:hAnsi="宋体" w:eastAsia="宋体" w:cs="宋体"/>
          <w:color w:val="auto"/>
          <w:sz w:val="24"/>
          <w:highlight w:val="none"/>
          <w:lang w:eastAsia="zh-CN"/>
        </w:rPr>
        <w:t>期内</w:t>
      </w:r>
      <w:r>
        <w:rPr>
          <w:rFonts w:hint="eastAsia" w:ascii="宋体" w:hAnsi="宋体" w:eastAsia="宋体" w:cs="宋体"/>
          <w:color w:val="auto"/>
          <w:sz w:val="24"/>
          <w:highlight w:val="none"/>
        </w:rPr>
        <w:t>，同一货物、同一质量问题连续三次维修仍无法正常使用，乙方必须在</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日内予以更换同品牌、同型号或不低于投标配置的</w:t>
      </w:r>
      <w:r>
        <w:rPr>
          <w:rFonts w:hint="eastAsia" w:ascii="宋体" w:hAnsi="宋体" w:eastAsia="宋体" w:cs="宋体"/>
          <w:color w:val="auto"/>
          <w:sz w:val="24"/>
          <w:highlight w:val="none"/>
          <w:lang w:eastAsia="zh-CN"/>
        </w:rPr>
        <w:t>其他</w:t>
      </w:r>
      <w:r>
        <w:rPr>
          <w:rFonts w:hint="eastAsia" w:ascii="宋体" w:hAnsi="宋体" w:eastAsia="宋体" w:cs="宋体"/>
          <w:color w:val="auto"/>
          <w:sz w:val="24"/>
          <w:highlight w:val="none"/>
        </w:rPr>
        <w:t>新机器；保修期后，收取成本费维修（自然灾害及人为故意损坏除外）；主设备乙方提供现场维修，维修人员在收到故障报告后保证</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小时内到达现场，一般类故障保证由售后服务人员（或工程师）在</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天内修复，复杂类故障保证由售后服务人员（或工程师）在</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天内修复；乙方保证在甲方指定地点供应备品备件（含易损件）和配套消耗品；乙方对所提供的设备实行每</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个月时间定期进行保养（或维护、巡检）制度</w:t>
      </w:r>
      <w:r>
        <w:rPr>
          <w:rFonts w:hint="eastAsia" w:ascii="宋体" w:hAnsi="宋体" w:eastAsia="宋体" w:cs="宋体"/>
          <w:color w:val="auto"/>
          <w:sz w:val="24"/>
          <w:highlight w:val="none"/>
          <w:lang w:eastAsia="zh-CN"/>
        </w:rPr>
        <w:t>。</w:t>
      </w:r>
    </w:p>
    <w:p w14:paraId="08B30F2E">
      <w:pPr>
        <w:keepNext w:val="0"/>
        <w:keepLines w:val="0"/>
        <w:pageBreakBefore w:val="0"/>
        <w:widowControl w:val="0"/>
        <w:kinsoku/>
        <w:wordWrap/>
        <w:overflowPunct/>
        <w:topLinePunct w:val="0"/>
        <w:bidi w:val="0"/>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乙方未在合同约定时间内进行保修或弥补缺陷的，需承担甲方自行委托第三方代为履行的费用及其他损失，所产生的费用，甲方有权直接从履约保证金或未付款项中扣除，不足部分乙方应按甲方要求限期补足。</w:t>
      </w:r>
    </w:p>
    <w:p w14:paraId="2E3FCA6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3.保证甲方在合同设备（有配套软件的还包括软件产品）使用期间不受第三方提出侵犯其专利权、商标权和工业设计权的起诉</w:t>
      </w:r>
      <w:r>
        <w:rPr>
          <w:rFonts w:hint="eastAsia" w:ascii="宋体" w:hAnsi="宋体" w:eastAsia="宋体" w:cs="宋体"/>
          <w:color w:val="auto"/>
          <w:sz w:val="24"/>
          <w:highlight w:val="none"/>
          <w:lang w:eastAsia="zh-CN"/>
        </w:rPr>
        <w:t>。</w:t>
      </w:r>
    </w:p>
    <w:p w14:paraId="5A56CCB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4.严格遵守投标、技术澄清、商务谈判、中标所承诺的一切规定和条款</w:t>
      </w:r>
      <w:r>
        <w:rPr>
          <w:rFonts w:hint="eastAsia" w:ascii="宋体" w:hAnsi="宋体" w:eastAsia="宋体" w:cs="宋体"/>
          <w:color w:val="auto"/>
          <w:sz w:val="24"/>
          <w:highlight w:val="none"/>
          <w:lang w:eastAsia="zh-CN"/>
        </w:rPr>
        <w:t>。</w:t>
      </w:r>
    </w:p>
    <w:p w14:paraId="1CD4F9B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5.参与甲方组织的项目验收</w:t>
      </w:r>
      <w:r>
        <w:rPr>
          <w:rFonts w:hint="eastAsia" w:ascii="宋体" w:hAnsi="宋体" w:eastAsia="宋体" w:cs="宋体"/>
          <w:color w:val="auto"/>
          <w:sz w:val="24"/>
          <w:highlight w:val="none"/>
          <w:lang w:eastAsia="zh-CN"/>
        </w:rPr>
        <w:t>。</w:t>
      </w:r>
    </w:p>
    <w:p w14:paraId="5A907B7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乙方在合同履行过程中必须遵守安全操作规范，因乙方原因所产生安全事故及责任，均由乙方自行承担。</w:t>
      </w:r>
    </w:p>
    <w:p w14:paraId="743C1CF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五、技术支持和培训</w:t>
      </w:r>
    </w:p>
    <w:p w14:paraId="357AF7C1">
      <w:pPr>
        <w:keepNext w:val="0"/>
        <w:keepLines w:val="0"/>
        <w:pageBreakBefore w:val="0"/>
        <w:widowControl w:val="0"/>
        <w:kinsoku/>
        <w:wordWrap/>
        <w:overflowPunct/>
        <w:topLinePunct w:val="0"/>
        <w:bidi w:val="0"/>
        <w:spacing w:line="360" w:lineRule="auto"/>
        <w:ind w:left="436" w:leftChars="208"/>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1.甲方在使用过程中发生技术质量问题，乙方应提供及时有效的技术支持。</w:t>
      </w:r>
    </w:p>
    <w:p w14:paraId="2D1DBE31">
      <w:pPr>
        <w:keepNext w:val="0"/>
        <w:keepLines w:val="0"/>
        <w:pageBreakBefore w:val="0"/>
        <w:widowControl w:val="0"/>
        <w:kinsoku/>
        <w:wordWrap/>
        <w:overflowPunct/>
        <w:topLinePunct w:val="0"/>
        <w:bidi w:val="0"/>
        <w:spacing w:line="360" w:lineRule="auto"/>
        <w:ind w:left="436" w:leftChars="208"/>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2.乙方技术支持联系人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，电话</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1C027D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Style w:val="91"/>
          <w:rFonts w:hint="eastAsia" w:ascii="宋体" w:hAnsi="宋体" w:eastAsia="宋体" w:cs="宋体"/>
          <w:color w:val="auto"/>
          <w:sz w:val="24"/>
          <w:highlight w:val="none"/>
        </w:rPr>
        <w:t>乙方向</w:t>
      </w:r>
      <w:r>
        <w:rPr>
          <w:rFonts w:hint="eastAsia" w:ascii="宋体" w:hAnsi="宋体" w:eastAsia="宋体" w:cs="宋体"/>
          <w:color w:val="auto"/>
          <w:sz w:val="24"/>
          <w:highlight w:val="none"/>
        </w:rPr>
        <w:t>甲方提供</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天的设备使用人员现场免费培训，培训内容包括设备的使用、一般的维修、维护及保养等；食宿自理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具体事宜视实际情况而定，其他由甲乙双方协定</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5D4D6C9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六、合同履行期限</w:t>
      </w:r>
    </w:p>
    <w:p w14:paraId="3DC1305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bookmarkStart w:id="249" w:name="OLE_LINK1"/>
      <w:r>
        <w:rPr>
          <w:rFonts w:hint="eastAsia" w:ascii="宋体" w:hAnsi="宋体" w:eastAsia="宋体" w:cs="宋体"/>
          <w:color w:val="auto"/>
          <w:sz w:val="24"/>
          <w:highlight w:val="none"/>
          <w:u w:val="none"/>
        </w:rPr>
        <w:t>交货及安装调试期：</w:t>
      </w:r>
      <w:r>
        <w:rPr>
          <w:rFonts w:hint="eastAsia" w:ascii="宋体" w:hAnsi="宋体" w:eastAsia="宋体" w:cs="宋体"/>
          <w:color w:val="auto"/>
          <w:sz w:val="24"/>
          <w:highlight w:val="none"/>
          <w:u w:val="single"/>
        </w:rPr>
        <w:t>合同签订之日起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日历天内</w:t>
      </w:r>
      <w:bookmarkEnd w:id="249"/>
      <w:r>
        <w:rPr>
          <w:rFonts w:hint="eastAsia" w:ascii="宋体" w:hAnsi="宋体" w:eastAsia="宋体" w:cs="宋体"/>
          <w:color w:val="auto"/>
          <w:sz w:val="24"/>
          <w:highlight w:val="none"/>
          <w:u w:val="single"/>
        </w:rPr>
        <w:t>到货，安装调试由甲乙双方约定日期</w:t>
      </w:r>
      <w:r>
        <w:rPr>
          <w:rFonts w:hint="eastAsia" w:ascii="宋体" w:hAnsi="宋体" w:eastAsia="宋体" w:cs="宋体"/>
          <w:color w:val="auto"/>
          <w:sz w:val="24"/>
          <w:highlight w:val="none"/>
        </w:rPr>
        <w:t>。</w:t>
      </w:r>
    </w:p>
    <w:p w14:paraId="48BCC25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设备交验地点和方式：合同签订后，乙方负责将完整配套的原封设备（含开机必要消耗品）送到甲方指定的地点，由甲乙双方共同开箱初验，并由乙方按合同约定要求完成安装测试。交货时，乙方随货向甲方交付设备必需的合格证、保修卡，相关资料（如操作手册、使用指南、维修手册、安装调试说明书、服务手册等）及配备的用件、工具等。</w:t>
      </w:r>
    </w:p>
    <w:p w14:paraId="7EAEBBBD">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u w:val="none"/>
        </w:rPr>
        <w:t>免费质保期</w:t>
      </w:r>
      <w:r>
        <w:rPr>
          <w:rFonts w:hint="eastAsia" w:ascii="宋体" w:hAnsi="宋体" w:eastAsia="宋体" w:cs="宋体"/>
          <w:color w:val="auto"/>
          <w:sz w:val="24"/>
          <w:highlight w:val="none"/>
          <w:u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19E2932">
      <w:pPr>
        <w:keepNext w:val="0"/>
        <w:keepLines w:val="0"/>
        <w:pageBreakBefore w:val="0"/>
        <w:widowControl w:val="0"/>
        <w:kinsoku/>
        <w:wordWrap/>
        <w:overflowPunct/>
        <w:topLinePunct w:val="0"/>
        <w:bidi w:val="0"/>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在质保期内，由乙方公司负责提供仪器故障检查、维修及维护等服务，所有服务及更换部件全部免费。仪器制造商对仪器提供终身维修维护支持，软件免费升级，并以优惠价提供配件耗材。</w:t>
      </w:r>
    </w:p>
    <w:p w14:paraId="3FFC70FE">
      <w:pPr>
        <w:keepNext w:val="0"/>
        <w:keepLines w:val="0"/>
        <w:pageBreakBefore w:val="0"/>
        <w:widowControl w:val="0"/>
        <w:tabs>
          <w:tab w:val="left" w:pos="312"/>
          <w:tab w:val="left" w:pos="6930"/>
        </w:tabs>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因乙方原因造成交货期延误的，延误期限在</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个日历天以内（含</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个日历天）的，乙方按每日</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元支付违约金。延误期限在</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个日历天以上至</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个日历天以内（含</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个日历天）的，乙方按每日</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元支付违约金。延误交货期超过</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个日历天的，甲方有权解除合同，乙方应在</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个工作日内退回甲方已支付的合同金额，并向甲方支付签约合同价</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的违约金。违约金若不足以弥补甲方损失的，乙方应承担由此给甲方造成的其它经济损失。合同解除后，甲方可按照《中华人民共和国政府采购法》的相关规定，重新组织招标。</w:t>
      </w:r>
    </w:p>
    <w:p w14:paraId="295C00D5">
      <w:pPr>
        <w:keepNext w:val="0"/>
        <w:keepLines w:val="0"/>
        <w:pageBreakBefore w:val="0"/>
        <w:widowControl w:val="0"/>
        <w:tabs>
          <w:tab w:val="left" w:pos="6930"/>
        </w:tabs>
        <w:kinsoku/>
        <w:wordWrap/>
        <w:overflowPunct/>
        <w:topLinePunct w:val="0"/>
        <w:autoSpaceDE w:val="0"/>
        <w:autoSpaceDN w:val="0"/>
        <w:bidi w:val="0"/>
        <w:adjustRightInd w:val="0"/>
        <w:spacing w:line="360" w:lineRule="auto"/>
        <w:ind w:right="525"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七、验收及验收标准</w:t>
      </w:r>
    </w:p>
    <w:p w14:paraId="0B58811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1.验收程序：</w:t>
      </w:r>
    </w:p>
    <w:p w14:paraId="7FBD36C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货物到达指定交货地点后，由甲方和乙方进行集中验货，若开箱测试时发现所供货物达不到投标文件的响应内容，乙方必须</w:t>
      </w:r>
      <w:r>
        <w:rPr>
          <w:rFonts w:hint="eastAsia" w:ascii="宋体" w:hAnsi="宋体" w:eastAsia="宋体" w:cs="宋体"/>
          <w:color w:val="auto"/>
          <w:sz w:val="24"/>
          <w:highlight w:val="none"/>
          <w:lang w:eastAsia="zh-CN"/>
        </w:rPr>
        <w:t>在</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个工作日内</w:t>
      </w:r>
      <w:r>
        <w:rPr>
          <w:rFonts w:hint="eastAsia" w:ascii="宋体" w:hAnsi="宋体" w:eastAsia="宋体" w:cs="宋体"/>
          <w:color w:val="auto"/>
          <w:sz w:val="24"/>
          <w:highlight w:val="none"/>
        </w:rPr>
        <w:t>予以免费更换至满足要求为准，并承担合同金额</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的违约金；在货物最终验收后的质保期内，乙方应对由于设计、工艺或者材料的缺陷而发生的任何不足或故障负责，费用由乙方承担。</w:t>
      </w:r>
    </w:p>
    <w:p w14:paraId="14CE3FE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rPr>
        <w:t>交货及安装调试完毕，由乙方根据合同要求提出验收申请，甲乙双方技术人员根据投标文件中</w:t>
      </w:r>
      <w:r>
        <w:rPr>
          <w:rFonts w:hint="eastAsia" w:ascii="宋体" w:hAnsi="宋体" w:cs="宋体"/>
          <w:color w:val="auto"/>
          <w:sz w:val="24"/>
          <w:highlight w:val="none"/>
          <w:lang w:val="en-US" w:eastAsia="zh-CN"/>
        </w:rPr>
        <w:t>响应</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val="en-US" w:eastAsia="zh-CN"/>
        </w:rPr>
        <w:t>设备</w:t>
      </w:r>
      <w:r>
        <w:rPr>
          <w:rFonts w:hint="eastAsia" w:ascii="宋体" w:hAnsi="宋体" w:eastAsia="宋体" w:cs="宋体"/>
          <w:color w:val="auto"/>
          <w:sz w:val="24"/>
          <w:highlight w:val="none"/>
        </w:rPr>
        <w:t>配置</w:t>
      </w:r>
      <w:r>
        <w:rPr>
          <w:rFonts w:hint="eastAsia" w:ascii="宋体" w:hAnsi="宋体" w:cs="宋体"/>
          <w:color w:val="auto"/>
          <w:sz w:val="24"/>
          <w:highlight w:val="none"/>
          <w:lang w:val="en-US" w:eastAsia="zh-CN"/>
        </w:rPr>
        <w:t>及性能指标</w:t>
      </w:r>
      <w:r>
        <w:rPr>
          <w:rFonts w:hint="eastAsia" w:ascii="宋体" w:hAnsi="宋体" w:eastAsia="宋体" w:cs="宋体"/>
          <w:color w:val="auto"/>
          <w:sz w:val="24"/>
          <w:highlight w:val="none"/>
        </w:rPr>
        <w:t>等内容进行验收。完成后由乙方编制验收报告初稿提交甲方组织的验收小组进行审查，符合验收标准的，验收通过。不符合验收标准的，在规定时限内进行整改后再组织验收，乙方承担验收费用及甲方其他损失费用。</w:t>
      </w:r>
      <w:r>
        <w:rPr>
          <w:rFonts w:hint="eastAsia" w:ascii="宋体" w:hAnsi="宋体" w:eastAsia="宋体" w:cs="宋体"/>
          <w:color w:val="auto"/>
          <w:sz w:val="24"/>
          <w:highlight w:val="none"/>
          <w:lang w:eastAsia="zh-CN"/>
        </w:rPr>
        <w:t>超过</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次</w:t>
      </w:r>
      <w:r>
        <w:rPr>
          <w:rFonts w:hint="eastAsia" w:ascii="宋体" w:hAnsi="宋体" w:eastAsia="宋体" w:cs="宋体"/>
          <w:bCs/>
          <w:color w:val="auto"/>
          <w:sz w:val="24"/>
          <w:highlight w:val="none"/>
          <w:u w:val="none"/>
        </w:rPr>
        <w:t>验收结果为不合格的，甲方有权解除合同，追究乙方违约责任。</w:t>
      </w:r>
    </w:p>
    <w:p w14:paraId="7B8EB4B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以上内容完成后，设备正常运行一个月后，由乙方送检合格后（检定/校准产生的费用由乙方承担），甲方方可签字验收，否则不予验收。</w:t>
      </w:r>
    </w:p>
    <w:p w14:paraId="13B5F568">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2.验收标准</w:t>
      </w:r>
    </w:p>
    <w:p w14:paraId="3416C1DD">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（1）按国家现行的相关规范与标准完成合同规定要求的一切内容</w:t>
      </w:r>
      <w:r>
        <w:rPr>
          <w:rFonts w:hint="eastAsia" w:ascii="宋体" w:hAnsi="宋体" w:eastAsia="宋体" w:cs="宋体"/>
          <w:color w:val="auto"/>
          <w:sz w:val="24"/>
          <w:highlight w:val="none"/>
          <w:lang w:eastAsia="zh-CN"/>
        </w:rPr>
        <w:t>。</w:t>
      </w:r>
    </w:p>
    <w:p w14:paraId="5E3DD30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（2）满足投标文件仪器配置、技术参数和售后服务培训等要求</w:t>
      </w:r>
      <w:r>
        <w:rPr>
          <w:rFonts w:hint="eastAsia" w:ascii="宋体" w:hAnsi="宋体" w:eastAsia="宋体" w:cs="宋体"/>
          <w:color w:val="auto"/>
          <w:sz w:val="24"/>
          <w:highlight w:val="none"/>
          <w:lang w:eastAsia="zh-CN"/>
        </w:rPr>
        <w:t>。</w:t>
      </w:r>
    </w:p>
    <w:p w14:paraId="4BEA015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（3）产品符合合同规定的全部功能和质量要求</w:t>
      </w:r>
      <w:r>
        <w:rPr>
          <w:rFonts w:hint="eastAsia" w:ascii="宋体" w:hAnsi="宋体" w:eastAsia="宋体" w:cs="宋体"/>
          <w:color w:val="auto"/>
          <w:sz w:val="24"/>
          <w:highlight w:val="none"/>
          <w:lang w:eastAsia="zh-CN"/>
        </w:rPr>
        <w:t>。</w:t>
      </w:r>
    </w:p>
    <w:p w14:paraId="5CD6DBB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（4）文档齐全，符合合同要求及有关标准的规定</w:t>
      </w:r>
      <w:r>
        <w:rPr>
          <w:rFonts w:hint="eastAsia" w:ascii="宋体" w:hAnsi="宋体" w:eastAsia="宋体" w:cs="宋体"/>
          <w:color w:val="auto"/>
          <w:sz w:val="24"/>
          <w:highlight w:val="none"/>
          <w:lang w:eastAsia="zh-CN"/>
        </w:rPr>
        <w:t>。</w:t>
      </w:r>
    </w:p>
    <w:p w14:paraId="0D3BF23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（5）在设备试运行一个月期限内，未发生产品质量故障问题</w:t>
      </w:r>
      <w:r>
        <w:rPr>
          <w:rFonts w:hint="eastAsia" w:ascii="宋体" w:hAnsi="宋体" w:eastAsia="宋体" w:cs="宋体"/>
          <w:color w:val="auto"/>
          <w:sz w:val="24"/>
          <w:highlight w:val="none"/>
          <w:lang w:eastAsia="zh-CN"/>
        </w:rPr>
        <w:t>。</w:t>
      </w:r>
    </w:p>
    <w:p w14:paraId="4920BF6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（6）根据合同、投标文件中技术参数及配置，提交验收报告。</w:t>
      </w:r>
    </w:p>
    <w:p w14:paraId="16C5EA3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八、履约保证金及合同价款结算</w:t>
      </w:r>
    </w:p>
    <w:p w14:paraId="14BEADD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bookmarkStart w:id="250" w:name="OLE_LINK2"/>
      <w:r>
        <w:rPr>
          <w:rFonts w:hint="eastAsia" w:ascii="宋体" w:hAnsi="宋体" w:eastAsia="宋体" w:cs="宋体"/>
          <w:color w:val="auto"/>
          <w:sz w:val="24"/>
          <w:highlight w:val="none"/>
        </w:rPr>
        <w:t>合同签订后</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个工作日内，乙方应向甲方缴纳合同总价款的</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的履约保证金（合计人民币</w:t>
      </w:r>
      <w:r>
        <w:rPr>
          <w:rFonts w:hint="eastAsia" w:ascii="宋体" w:hAnsi="宋体" w:eastAsia="宋体" w:cs="宋体"/>
          <w:color w:val="auto"/>
          <w:sz w:val="24"/>
          <w:highlight w:val="none"/>
          <w:lang w:val="en-US" w:eastAsia="zh-CN"/>
        </w:rPr>
        <w:t>大写</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小写：</w:t>
      </w:r>
      <w:bookmarkEnd w:id="250"/>
      <w:r>
        <w:rPr>
          <w:rFonts w:hint="eastAsia" w:ascii="宋体" w:hAnsi="宋体" w:eastAsia="宋体" w:cs="宋体"/>
          <w:b w:val="0"/>
          <w:bCs w:val="0"/>
          <w:color w:val="auto"/>
          <w:sz w:val="24"/>
          <w:highlight w:val="none"/>
          <w:u w:val="none"/>
          <w:lang w:val="en-US" w:eastAsia="zh-CN"/>
        </w:rPr>
        <w:t>¥：</w:t>
      </w:r>
      <w:r>
        <w:rPr>
          <w:rFonts w:hint="eastAsia" w:ascii="宋体" w:hAnsi="宋体" w:eastAsia="宋体" w:cs="宋体"/>
          <w:b/>
          <w:bCs/>
          <w:color w:val="auto"/>
          <w:kern w:val="0"/>
          <w:sz w:val="22"/>
          <w:szCs w:val="22"/>
          <w:highlight w:val="none"/>
          <w:u w:val="single"/>
          <w:lang w:val="en-US" w:eastAsia="zh-CN" w:bidi="ar"/>
        </w:rPr>
        <w:t xml:space="preserve">             </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缴纳</w:t>
      </w:r>
      <w:r>
        <w:rPr>
          <w:rFonts w:hint="eastAsia" w:ascii="宋体" w:hAnsi="宋体" w:eastAsia="宋体" w:cs="宋体"/>
          <w:color w:val="auto"/>
          <w:sz w:val="24"/>
          <w:highlight w:val="none"/>
        </w:rPr>
        <w:t>方式为支票、汇票、本票、保函、汇款等非现金形式。合同履约期满后无重大质量问题、乙方无违约行为，且双方无异议，甲方在收到乙方向甲方提出的书面申请后</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个工作日内，向乙方无息退回履约保证金。</w:t>
      </w:r>
    </w:p>
    <w:p w14:paraId="2A857E0C">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2.付款：合同签订生效后，乙方开具符合甲方要求的等额增值税/普通发票，甲方在收到发票后</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个工作日内</w:t>
      </w:r>
      <w:r>
        <w:rPr>
          <w:rFonts w:hint="eastAsia" w:ascii="宋体" w:hAnsi="宋体" w:cs="宋体"/>
          <w:color w:val="auto"/>
          <w:sz w:val="24"/>
          <w:highlight w:val="none"/>
          <w:lang w:val="en-US" w:eastAsia="zh-CN"/>
        </w:rPr>
        <w:t>可</w:t>
      </w:r>
      <w:r>
        <w:rPr>
          <w:rFonts w:hint="eastAsia" w:ascii="宋体" w:hAnsi="宋体" w:eastAsia="宋体" w:cs="宋体"/>
          <w:color w:val="auto"/>
          <w:sz w:val="24"/>
          <w:highlight w:val="none"/>
        </w:rPr>
        <w:t>支付合同总价的</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；项目验收合格后，乙方开具剩余金额的等额增值税发票/普通发票，甲方在收到发票后</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个工作日内支付剩余</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的合同价款。甲方付款以乙方已经开具符合甲方要求的合法等额增值税发票/普通发票为前提，若乙方没有提供同等金额的发票，甲方有权拒绝付款，造成的延迟付款不视为违约。</w:t>
      </w:r>
    </w:p>
    <w:p w14:paraId="4F38D75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注：付款前乙方应向甲方提出付款申请及所需的材料和等额合法有效发票，且发票名称</w:t>
      </w:r>
      <w:r>
        <w:rPr>
          <w:rFonts w:hint="eastAsia" w:ascii="宋体" w:hAnsi="宋体" w:eastAsia="宋体" w:cs="宋体"/>
          <w:color w:val="auto"/>
          <w:sz w:val="24"/>
          <w:highlight w:val="none"/>
          <w:lang w:eastAsia="zh-CN"/>
        </w:rPr>
        <w:t>必须</w:t>
      </w:r>
      <w:r>
        <w:rPr>
          <w:rFonts w:hint="eastAsia" w:ascii="宋体" w:hAnsi="宋体" w:eastAsia="宋体" w:cs="宋体"/>
          <w:color w:val="auto"/>
          <w:sz w:val="24"/>
          <w:highlight w:val="none"/>
        </w:rPr>
        <w:t>与甲方完全一致，否则甲方有权拒绝付款。货款支付程序须按照</w:t>
      </w:r>
      <w:r>
        <w:rPr>
          <w:rFonts w:hint="eastAsia" w:ascii="宋体" w:hAnsi="宋体" w:cs="宋体"/>
          <w:color w:val="auto"/>
          <w:sz w:val="24"/>
          <w:highlight w:val="none"/>
          <w:lang w:eastAsia="zh-CN"/>
        </w:rPr>
        <w:t>芒市商务局</w:t>
      </w:r>
      <w:r>
        <w:rPr>
          <w:rFonts w:hint="eastAsia" w:ascii="宋体" w:hAnsi="宋体" w:eastAsia="宋体" w:cs="宋体"/>
          <w:color w:val="auto"/>
          <w:sz w:val="24"/>
          <w:highlight w:val="none"/>
        </w:rPr>
        <w:t>支付程序支付，审批期限不纳入甲方承诺的付款期限内，因审批期限导致的付款延迟，不视为甲方违约，甲方不承担任何逾期付款责任。如果因乙方怠于或者拒绝提供资料或者办理手续等乙方原因导致的付款迟延，责任全部由乙方承担，甲方不以违约论。</w:t>
      </w:r>
    </w:p>
    <w:p w14:paraId="0869AF1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bookmarkStart w:id="251" w:name="bookmark79"/>
      <w:bookmarkEnd w:id="251"/>
      <w:bookmarkStart w:id="252" w:name="bookmark78"/>
      <w:bookmarkEnd w:id="252"/>
      <w:r>
        <w:rPr>
          <w:rFonts w:hint="eastAsia" w:ascii="宋体" w:hAnsi="宋体" w:eastAsia="宋体" w:cs="宋体"/>
          <w:color w:val="auto"/>
          <w:sz w:val="24"/>
          <w:highlight w:val="none"/>
        </w:rPr>
        <w:t>3.付款方式：采用银行汇付（含电汇）等形式。</w:t>
      </w:r>
    </w:p>
    <w:p w14:paraId="1E89F9B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bookmarkStart w:id="253" w:name="bookmark80"/>
      <w:bookmarkEnd w:id="253"/>
      <w:r>
        <w:rPr>
          <w:rFonts w:hint="eastAsia" w:ascii="宋体" w:hAnsi="宋体" w:eastAsia="宋体" w:cs="宋体"/>
          <w:color w:val="auto"/>
          <w:sz w:val="24"/>
          <w:highlight w:val="none"/>
        </w:rPr>
        <w:t>甲方信息：</w:t>
      </w:r>
    </w:p>
    <w:p w14:paraId="1C6644C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u w:val="single"/>
          <w:lang w:eastAsia="zh-CN"/>
        </w:rPr>
        <w:t>芒市商务局</w:t>
      </w:r>
      <w:r>
        <w:rPr>
          <w:rFonts w:hint="eastAsia" w:ascii="宋体" w:hAnsi="宋体" w:eastAsia="宋体" w:cs="宋体"/>
          <w:color w:val="auto"/>
          <w:sz w:val="24"/>
          <w:highlight w:val="none"/>
          <w:u w:val="single"/>
        </w:rPr>
        <w:t xml:space="preserve"> </w:t>
      </w:r>
    </w:p>
    <w:p w14:paraId="559BE1BD">
      <w:pPr>
        <w:keepNext w:val="0"/>
        <w:keepLines w:val="0"/>
        <w:pageBreakBefore w:val="0"/>
        <w:widowControl w:val="0"/>
        <w:kinsoku/>
        <w:wordWrap/>
        <w:overflowPunct/>
        <w:topLinePunct w:val="0"/>
        <w:bidi w:val="0"/>
        <w:spacing w:line="360" w:lineRule="auto"/>
        <w:ind w:firstLine="480" w:firstLineChars="200"/>
        <w:textAlignment w:val="auto"/>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单位地址：</w:t>
      </w:r>
      <w:r>
        <w:rPr>
          <w:rFonts w:hint="eastAsia" w:ascii="宋体" w:hAnsi="宋体" w:cs="宋体"/>
          <w:color w:val="auto"/>
          <w:sz w:val="24"/>
          <w:highlight w:val="none"/>
          <w:u w:val="single"/>
          <w:lang w:val="en-US" w:eastAsia="zh-CN"/>
        </w:rPr>
        <w:t xml:space="preserve">                  </w:t>
      </w:r>
    </w:p>
    <w:p w14:paraId="2C6A38C2">
      <w:pPr>
        <w:keepNext w:val="0"/>
        <w:keepLines w:val="0"/>
        <w:pageBreakBefore w:val="0"/>
        <w:widowControl w:val="0"/>
        <w:kinsoku/>
        <w:wordWrap/>
        <w:overflowPunct/>
        <w:topLinePunct w:val="0"/>
        <w:bidi w:val="0"/>
        <w:spacing w:line="360" w:lineRule="auto"/>
        <w:ind w:firstLine="480" w:firstLineChars="200"/>
        <w:textAlignment w:val="auto"/>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开户行：</w:t>
      </w:r>
      <w:r>
        <w:rPr>
          <w:rFonts w:hint="eastAsia" w:ascii="宋体" w:hAnsi="宋体" w:cs="宋体"/>
          <w:color w:val="auto"/>
          <w:sz w:val="24"/>
          <w:highlight w:val="none"/>
          <w:u w:val="single"/>
          <w:lang w:val="en-US" w:eastAsia="zh-CN"/>
        </w:rPr>
        <w:t xml:space="preserve">                    </w:t>
      </w:r>
    </w:p>
    <w:p w14:paraId="37811CA9">
      <w:pPr>
        <w:keepNext w:val="0"/>
        <w:keepLines w:val="0"/>
        <w:pageBreakBefore w:val="0"/>
        <w:widowControl w:val="0"/>
        <w:kinsoku/>
        <w:wordWrap/>
        <w:overflowPunct/>
        <w:topLinePunct w:val="0"/>
        <w:bidi w:val="0"/>
        <w:spacing w:line="360" w:lineRule="auto"/>
        <w:ind w:firstLine="480" w:firstLineChars="200"/>
        <w:textAlignment w:val="auto"/>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账号：</w:t>
      </w:r>
      <w:r>
        <w:rPr>
          <w:rFonts w:hint="eastAsia" w:ascii="宋体" w:hAnsi="宋体" w:cs="宋体"/>
          <w:color w:val="auto"/>
          <w:sz w:val="24"/>
          <w:highlight w:val="none"/>
          <w:u w:val="single"/>
          <w:lang w:val="en-US" w:eastAsia="zh-CN"/>
        </w:rPr>
        <w:t xml:space="preserve">                      </w:t>
      </w:r>
    </w:p>
    <w:p w14:paraId="5C599C6A">
      <w:pPr>
        <w:keepNext w:val="0"/>
        <w:keepLines w:val="0"/>
        <w:pageBreakBefore w:val="0"/>
        <w:widowControl w:val="0"/>
        <w:kinsoku/>
        <w:wordWrap/>
        <w:overflowPunct/>
        <w:topLinePunct w:val="0"/>
        <w:bidi w:val="0"/>
        <w:spacing w:line="360" w:lineRule="auto"/>
        <w:ind w:firstLine="480" w:firstLineChars="200"/>
        <w:textAlignment w:val="auto"/>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统一社会信用代码：</w:t>
      </w:r>
      <w:r>
        <w:rPr>
          <w:rFonts w:hint="eastAsia" w:ascii="宋体" w:hAnsi="宋体" w:cs="宋体"/>
          <w:color w:val="auto"/>
          <w:sz w:val="24"/>
          <w:highlight w:val="none"/>
          <w:u w:val="single"/>
          <w:lang w:val="en-US" w:eastAsia="zh-CN"/>
        </w:rPr>
        <w:t xml:space="preserve">           </w:t>
      </w:r>
    </w:p>
    <w:p w14:paraId="457D000F">
      <w:pPr>
        <w:keepNext w:val="0"/>
        <w:keepLines w:val="0"/>
        <w:pageBreakBefore w:val="0"/>
        <w:widowControl w:val="0"/>
        <w:kinsoku/>
        <w:wordWrap/>
        <w:overflowPunct/>
        <w:topLinePunct w:val="0"/>
        <w:bidi w:val="0"/>
        <w:spacing w:line="360" w:lineRule="auto"/>
        <w:ind w:firstLine="480" w:firstLineChars="200"/>
        <w:textAlignment w:val="auto"/>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联系电话：</w:t>
      </w:r>
      <w:r>
        <w:rPr>
          <w:rFonts w:hint="eastAsia" w:ascii="宋体" w:hAnsi="宋体" w:cs="宋体"/>
          <w:color w:val="auto"/>
          <w:sz w:val="24"/>
          <w:highlight w:val="none"/>
          <w:u w:val="single"/>
          <w:lang w:val="en-US" w:eastAsia="zh-CN"/>
        </w:rPr>
        <w:t xml:space="preserve">                   </w:t>
      </w:r>
    </w:p>
    <w:p w14:paraId="3F7E592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乙方信息：</w:t>
      </w:r>
    </w:p>
    <w:p w14:paraId="132F454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32B130D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单位地址</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6F9BE180">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开户行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5AD93F1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账号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081F3A6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统一社会信用代码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p>
    <w:p w14:paraId="354771E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3FAEBE7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404CFAC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备注：乙方在所有货物验收完毕后，向甲方提供全套完整报账资料，其中免税货物提供全套海关免税报账手续，含税货物提供全额增值税发票。乙方逾期提供上述报账资料的，甲方有权相应顺延付款时间且不承担违约责任。</w:t>
      </w:r>
    </w:p>
    <w:p w14:paraId="30002F3E">
      <w:pPr>
        <w:keepNext w:val="0"/>
        <w:keepLines w:val="0"/>
        <w:pageBreakBefore w:val="0"/>
        <w:widowControl w:val="0"/>
        <w:kinsoku/>
        <w:wordWrap/>
        <w:overflowPunct/>
        <w:topLinePunct w:val="0"/>
        <w:bidi w:val="0"/>
        <w:spacing w:line="360" w:lineRule="auto"/>
        <w:ind w:left="19"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4.合同签订后，若发生其他第三人质疑中标结果且质疑成立，导致合同无法继续履行，合同被解除、撤销、终止或认定无效的，乙方应在</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个工作日内退回已收取的全部款项，双方互不承担违约赔偿责任。</w:t>
      </w:r>
    </w:p>
    <w:p w14:paraId="58DCF47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九、知识产权</w:t>
      </w:r>
    </w:p>
    <w:p w14:paraId="5870B2A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乙方应保证本项目的投标技术、服务或其任何一部分不会产生因第三方提出侵犯其专利权、商标权或其他知识产权而引起的法律和经济纠纷；如因第三方提出其专利权、商标权或其他知识产权的侵权之诉，则一切法律责任由乙方承担。</w:t>
      </w:r>
    </w:p>
    <w:p w14:paraId="58C3E0A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十、保密</w:t>
      </w:r>
    </w:p>
    <w:p w14:paraId="58003BB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1.</w:t>
      </w:r>
      <w:r>
        <w:rPr>
          <w:rFonts w:hint="eastAsia" w:ascii="宋体" w:hAnsi="宋体" w:eastAsia="宋体" w:cs="宋体"/>
          <w:color w:val="auto"/>
          <w:sz w:val="24"/>
          <w:highlight w:val="none"/>
        </w:rPr>
        <w:t>乙方应对其在本合同签订/履行过程中所知悉的甲方及相关方的所有信息承担严格的保密义务，未经甲方事先书面同意，乙方不得向任何第三方披露，不得将保密信息的部分或全部用于本合同约定事项以外的其他用途。该保密义务在本合同终止后仍然继续有效</w:t>
      </w:r>
      <w:r>
        <w:rPr>
          <w:rFonts w:hint="eastAsia" w:ascii="宋体" w:hAnsi="宋体" w:eastAsia="宋体" w:cs="宋体"/>
          <w:color w:val="auto"/>
          <w:sz w:val="24"/>
          <w:highlight w:val="none"/>
          <w:shd w:val="clear" w:color="auto" w:fill="FFFFFF"/>
        </w:rPr>
        <w:t>。</w:t>
      </w:r>
    </w:p>
    <w:p w14:paraId="1E02B6E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未经乙方事先书面同意，甲方不得将由乙方为本合同提供的条文、规格、计划、图纸、模型、样品或资料提供给与本合同无关的任何第三方，不得将其用于履行本合同之外的其他用途。即使向与履行本合同有关的人员提供，也应注意保密并限于履行合同所必需的范围。</w:t>
      </w:r>
    </w:p>
    <w:p w14:paraId="06C4DF92">
      <w:pPr>
        <w:keepNext w:val="0"/>
        <w:keepLines w:val="0"/>
        <w:pageBreakBefore w:val="0"/>
        <w:widowControl w:val="0"/>
        <w:tabs>
          <w:tab w:val="left" w:pos="6930"/>
        </w:tabs>
        <w:kinsoku/>
        <w:wordWrap/>
        <w:overflowPunct/>
        <w:topLinePunct w:val="0"/>
        <w:autoSpaceDE w:val="0"/>
        <w:autoSpaceDN w:val="0"/>
        <w:bidi w:val="0"/>
        <w:adjustRightInd w:val="0"/>
        <w:spacing w:line="360" w:lineRule="auto"/>
        <w:ind w:right="525"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十一、违约责任</w:t>
      </w:r>
    </w:p>
    <w:p w14:paraId="7D5F48B8">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1.除发生不可抗力事实外，乙方所交设备和安装调试与合同标准、投标</w:t>
      </w:r>
      <w:r>
        <w:rPr>
          <w:rFonts w:hint="eastAsia" w:ascii="宋体" w:hAnsi="宋体" w:eastAsia="宋体" w:cs="宋体"/>
          <w:color w:val="auto"/>
          <w:sz w:val="24"/>
          <w:highlight w:val="none"/>
          <w:shd w:val="clear" w:color="auto" w:fill="FFFFFF"/>
          <w:lang w:eastAsia="zh-CN"/>
        </w:rPr>
        <w:t>文件</w:t>
      </w:r>
      <w:r>
        <w:rPr>
          <w:rFonts w:hint="eastAsia" w:ascii="宋体" w:hAnsi="宋体" w:eastAsia="宋体" w:cs="宋体"/>
          <w:color w:val="auto"/>
          <w:sz w:val="24"/>
          <w:highlight w:val="none"/>
          <w:shd w:val="clear" w:color="auto" w:fill="FFFFFF"/>
        </w:rPr>
        <w:t>不相符合的，甲方有权拒收设备。因乙方不能按期交付设备和完成安装调试的，逾期</w:t>
      </w:r>
      <w:r>
        <w:rPr>
          <w:rFonts w:hint="eastAsia" w:ascii="宋体" w:hAnsi="宋体" w:eastAsia="宋体" w:cs="宋体"/>
          <w:color w:val="auto"/>
          <w:sz w:val="24"/>
          <w:highlight w:val="none"/>
          <w:shd w:val="clear" w:color="auto" w:fill="FFFFFF"/>
          <w:lang w:eastAsia="zh-CN"/>
        </w:rPr>
        <w:t>超过</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shd w:val="clear" w:color="auto" w:fill="FFFFFF"/>
          <w:lang w:eastAsia="zh-CN"/>
        </w:rPr>
        <w:t>日</w:t>
      </w:r>
      <w:r>
        <w:rPr>
          <w:rFonts w:hint="eastAsia" w:ascii="宋体" w:hAnsi="宋体" w:eastAsia="宋体" w:cs="宋体"/>
          <w:color w:val="auto"/>
          <w:sz w:val="24"/>
          <w:highlight w:val="none"/>
          <w:shd w:val="clear" w:color="auto" w:fill="FFFFFF"/>
        </w:rPr>
        <w:t>的，甲方有权解除合同，并要求乙方</w:t>
      </w:r>
      <w:r>
        <w:rPr>
          <w:rFonts w:hint="eastAsia" w:ascii="宋体" w:hAnsi="宋体" w:eastAsia="宋体" w:cs="宋体"/>
          <w:color w:val="auto"/>
          <w:sz w:val="24"/>
          <w:highlight w:val="none"/>
          <w:shd w:val="clear" w:color="auto" w:fill="FFFFFF"/>
          <w:lang w:eastAsia="zh-CN"/>
        </w:rPr>
        <w:t>返还</w:t>
      </w:r>
      <w:r>
        <w:rPr>
          <w:rFonts w:hint="eastAsia" w:ascii="宋体" w:hAnsi="宋体" w:eastAsia="宋体" w:cs="宋体"/>
          <w:color w:val="auto"/>
          <w:sz w:val="24"/>
          <w:highlight w:val="none"/>
          <w:shd w:val="clear" w:color="auto" w:fill="FFFFFF"/>
        </w:rPr>
        <w:t>合同款、承担合同总额</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shd w:val="clear" w:color="auto" w:fill="FFFFFF"/>
        </w:rPr>
        <w:t>的违约金；若甲方选择继续履行合同的，则参照合同第六条约定，乙方按每日</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shd w:val="clear" w:color="auto" w:fill="FFFFFF"/>
        </w:rPr>
        <w:t>元支付违约金，同时保留追究乙方其他损失赔偿责任的权利。因乙方违约造成甲方损失的，甲方可解除合同，乙方应在</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shd w:val="clear" w:color="auto" w:fill="FFFFFF"/>
        </w:rPr>
        <w:t>个日历天内退回甲方已支付的合同金额，并向甲方偿付合同款总价</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shd w:val="clear" w:color="auto" w:fill="FFFFFF"/>
        </w:rPr>
        <w:t>的违约金，同时乙方需赔偿甲方遭受的各项直接损失、间接损失（包括但不限于：律师费、诉讼费、差旅费、保全费、公证费、鉴定费、评估费等）。</w:t>
      </w:r>
    </w:p>
    <w:p w14:paraId="73BF61D3">
      <w:pPr>
        <w:keepNext w:val="0"/>
        <w:keepLines w:val="0"/>
        <w:pageBreakBefore w:val="0"/>
        <w:widowControl w:val="0"/>
        <w:kinsoku/>
        <w:wordWrap/>
        <w:overflowPunct/>
        <w:topLinePunct w:val="0"/>
        <w:bidi w:val="0"/>
        <w:spacing w:line="360" w:lineRule="auto"/>
        <w:ind w:left="19"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bCs/>
          <w:color w:val="auto"/>
          <w:sz w:val="24"/>
          <w:highlight w:val="none"/>
        </w:rPr>
        <w:t>2.如设备和项目验收未满足本合同第七条验收及验收标准规定条款要求的，甲方可解除合同，乙方应在</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bCs/>
          <w:color w:val="auto"/>
          <w:sz w:val="24"/>
          <w:highlight w:val="none"/>
        </w:rPr>
        <w:t>个日历天内退回甲方已支付的合同金额，并向甲方偿付合同款总价</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bCs/>
          <w:color w:val="auto"/>
          <w:sz w:val="24"/>
          <w:highlight w:val="none"/>
        </w:rPr>
        <w:t>的违约金，同时乙方需赔偿甲方遭受的各项直接损失、间接损失（包括但不限于：律师费、诉讼费、差旅费、保全费、公证费、鉴定费、评估费等）。乙方未按照合同约定及时对设备进行维保的，甲方自行处理后有权就其损失向乙方追偿。</w:t>
      </w:r>
      <w:bookmarkStart w:id="254" w:name="OLE_LINK12"/>
    </w:p>
    <w:p w14:paraId="052556A2">
      <w:pPr>
        <w:keepNext w:val="0"/>
        <w:keepLines w:val="0"/>
        <w:pageBreakBefore w:val="0"/>
        <w:widowControl w:val="0"/>
        <w:kinsoku/>
        <w:wordWrap/>
        <w:overflowPunct/>
        <w:topLinePunct w:val="0"/>
        <w:bidi w:val="0"/>
        <w:spacing w:line="360" w:lineRule="auto"/>
        <w:ind w:left="19"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3.甲方无正当理由拒收设备，或逾期支付合同款，按逾期天数向乙方每日偿付欠款总额万分之一的滞纳金。</w:t>
      </w:r>
    </w:p>
    <w:p w14:paraId="726E837E">
      <w:pPr>
        <w:keepNext w:val="0"/>
        <w:keepLines w:val="0"/>
        <w:pageBreakBefore w:val="0"/>
        <w:widowControl w:val="0"/>
        <w:kinsoku/>
        <w:wordWrap/>
        <w:overflowPunct/>
        <w:topLinePunct w:val="0"/>
        <w:bidi w:val="0"/>
        <w:spacing w:line="360" w:lineRule="auto"/>
        <w:ind w:left="19"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4.甲方有权拒付合同价以外的任何费用；乙方有权拒绝合同、投标文件整体范围以外的条件。</w:t>
      </w:r>
    </w:p>
    <w:bookmarkEnd w:id="254"/>
    <w:p w14:paraId="445B36E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十二、不可抗力</w:t>
      </w:r>
    </w:p>
    <w:p w14:paraId="7FC1340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任何一方由于不可抗力原因不能履行合同时，应在不可抗力事件结束后</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个工作日内向对方通报，以减轻可能给对方造成的损失，在取得有关机构的不可抗力证明或双方谅解确认后，允许延期履行或修订合同，并根据情况可部分或全部免于承担违约责任。</w:t>
      </w:r>
    </w:p>
    <w:p w14:paraId="6A29FC1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十三、</w:t>
      </w:r>
      <w:r>
        <w:rPr>
          <w:rFonts w:hint="eastAsia" w:ascii="宋体" w:hAnsi="宋体" w:eastAsia="宋体" w:cs="宋体"/>
          <w:color w:val="auto"/>
          <w:sz w:val="24"/>
          <w:highlight w:val="none"/>
          <w:shd w:val="clear" w:color="auto" w:fill="FFFFFF"/>
        </w:rPr>
        <w:t>争端的解决</w:t>
      </w:r>
    </w:p>
    <w:p w14:paraId="3DAE7B5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甲乙双方在履行合同过程中发生纠纷，应及时向有关监督管理部门反映，以便相关部门进行协调或处理；或按以下方式处理：（请在□内打√，其余打×）</w:t>
      </w:r>
    </w:p>
    <w:p w14:paraId="59D47B7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向合同签订地仲裁委员会申请仲裁</w:t>
      </w:r>
      <w:r>
        <w:rPr>
          <w:rFonts w:hint="eastAsia" w:ascii="宋体" w:hAnsi="宋体" w:eastAsia="宋体" w:cs="宋体"/>
          <w:color w:val="auto"/>
          <w:sz w:val="24"/>
          <w:highlight w:val="none"/>
        </w:rPr>
        <w:sym w:font="Wingdings 2" w:char="00A3"/>
      </w:r>
      <w:r>
        <w:rPr>
          <w:rFonts w:hint="eastAsia" w:ascii="宋体" w:hAnsi="宋体" w:eastAsia="宋体" w:cs="宋体"/>
          <w:color w:val="auto"/>
          <w:sz w:val="24"/>
          <w:highlight w:val="none"/>
        </w:rPr>
        <w:t>；</w:t>
      </w:r>
    </w:p>
    <w:p w14:paraId="0BF0A25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向合同签订地人民法院管辖提起诉讼</w:t>
      </w:r>
      <w:r>
        <w:rPr>
          <w:rFonts w:hint="eastAsia" w:ascii="宋体" w:hAnsi="宋体" w:eastAsia="宋体" w:cs="宋体"/>
          <w:color w:val="auto"/>
          <w:sz w:val="24"/>
          <w:highlight w:val="none"/>
        </w:rPr>
        <w:sym w:font="Wingdings 2" w:char="0052"/>
      </w:r>
      <w:r>
        <w:rPr>
          <w:rFonts w:hint="eastAsia" w:ascii="宋体" w:hAnsi="宋体" w:eastAsia="宋体" w:cs="宋体"/>
          <w:color w:val="auto"/>
          <w:sz w:val="24"/>
          <w:highlight w:val="none"/>
        </w:rPr>
        <w:t>。</w:t>
      </w:r>
    </w:p>
    <w:p w14:paraId="19ED369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本合同签署地点：云南省</w:t>
      </w:r>
      <w:r>
        <w:rPr>
          <w:rFonts w:hint="eastAsia" w:ascii="宋体" w:hAnsi="宋体" w:eastAsia="宋体" w:cs="宋体"/>
          <w:color w:val="auto"/>
          <w:sz w:val="24"/>
          <w:highlight w:val="none"/>
          <w:lang w:val="en-US" w:eastAsia="zh-CN"/>
        </w:rPr>
        <w:t>德宏州芒</w:t>
      </w:r>
      <w:r>
        <w:rPr>
          <w:rFonts w:hint="eastAsia" w:ascii="宋体" w:hAnsi="宋体" w:eastAsia="宋体" w:cs="宋体"/>
          <w:color w:val="auto"/>
          <w:sz w:val="24"/>
          <w:highlight w:val="none"/>
        </w:rPr>
        <w:t>市。</w:t>
      </w:r>
    </w:p>
    <w:p w14:paraId="37BBC79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十四、未尽事宜</w:t>
      </w:r>
    </w:p>
    <w:p w14:paraId="58F3E44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本合同其他未尽事宜，</w:t>
      </w:r>
      <w:r>
        <w:rPr>
          <w:rFonts w:hint="eastAsia" w:ascii="宋体" w:hAnsi="宋体" w:cs="宋体"/>
          <w:color w:val="auto"/>
          <w:sz w:val="24"/>
          <w:highlight w:val="none"/>
          <w:lang w:eastAsia="zh-CN"/>
        </w:rPr>
        <w:t>按照《中华人民共和国</w:t>
      </w:r>
      <w:r>
        <w:rPr>
          <w:rFonts w:hint="eastAsia" w:ascii="宋体" w:hAnsi="宋体" w:eastAsia="宋体" w:cs="宋体"/>
          <w:color w:val="auto"/>
          <w:sz w:val="24"/>
          <w:highlight w:val="none"/>
        </w:rPr>
        <w:t>民法典》有关规定处理。</w:t>
      </w:r>
    </w:p>
    <w:p w14:paraId="739CEF2D">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十五、合同生效与份数</w:t>
      </w:r>
    </w:p>
    <w:p w14:paraId="59B13278">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1.合同自甲乙双方法定代表人或其委托代理人签字、盖章之日起生效。</w:t>
      </w:r>
    </w:p>
    <w:p w14:paraId="318EAA7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2.本合同一式</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份，甲方执</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份、乙方执</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w:t>
      </w:r>
    </w:p>
    <w:p w14:paraId="147D9788">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十六、本合同不可分割之部分</w:t>
      </w:r>
      <w:r>
        <w:rPr>
          <w:rFonts w:hint="eastAsia" w:ascii="宋体" w:hAnsi="宋体" w:eastAsia="宋体" w:cs="宋体"/>
          <w:color w:val="auto"/>
          <w:sz w:val="24"/>
          <w:highlight w:val="none"/>
          <w:shd w:val="clear" w:color="auto" w:fill="FFFFFF"/>
        </w:rPr>
        <w:t>及解释顺序</w:t>
      </w:r>
    </w:p>
    <w:p w14:paraId="7C90C5CC">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sz w:val="24"/>
          <w:highlight w:val="none"/>
          <w:shd w:val="clear" w:color="auto" w:fill="FFFFFF"/>
          <w:lang w:eastAsia="zh-CN"/>
        </w:rPr>
      </w:pPr>
      <w:r>
        <w:rPr>
          <w:rFonts w:hint="eastAsia" w:ascii="宋体" w:hAnsi="宋体" w:eastAsia="宋体" w:cs="宋体"/>
          <w:color w:val="auto"/>
          <w:sz w:val="24"/>
          <w:highlight w:val="none"/>
          <w:shd w:val="clear" w:color="auto" w:fill="FFFFFF"/>
        </w:rPr>
        <w:t>1.合同书及附件</w:t>
      </w:r>
      <w:r>
        <w:rPr>
          <w:rFonts w:hint="eastAsia" w:ascii="宋体" w:hAnsi="宋体" w:eastAsia="宋体" w:cs="宋体"/>
          <w:color w:val="auto"/>
          <w:sz w:val="24"/>
          <w:highlight w:val="none"/>
          <w:shd w:val="clear" w:color="auto" w:fill="FFFFFF"/>
          <w:lang w:eastAsia="zh-CN"/>
        </w:rPr>
        <w:t>。</w:t>
      </w:r>
    </w:p>
    <w:p w14:paraId="512D62D0">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sz w:val="24"/>
          <w:highlight w:val="none"/>
          <w:shd w:val="clear" w:color="auto" w:fill="FFFFFF"/>
          <w:lang w:eastAsia="zh-CN"/>
        </w:rPr>
      </w:pPr>
      <w:r>
        <w:rPr>
          <w:rFonts w:hint="eastAsia" w:ascii="宋体" w:hAnsi="宋体" w:eastAsia="宋体" w:cs="宋体"/>
          <w:color w:val="auto"/>
          <w:sz w:val="24"/>
          <w:highlight w:val="none"/>
          <w:shd w:val="clear" w:color="auto" w:fill="FFFFFF"/>
        </w:rPr>
        <w:t>2.中标通知书</w:t>
      </w:r>
      <w:r>
        <w:rPr>
          <w:rFonts w:hint="eastAsia" w:ascii="宋体" w:hAnsi="宋体" w:eastAsia="宋体" w:cs="宋体"/>
          <w:color w:val="auto"/>
          <w:sz w:val="24"/>
          <w:highlight w:val="none"/>
          <w:shd w:val="clear" w:color="auto" w:fill="FFFFFF"/>
          <w:lang w:eastAsia="zh-CN"/>
        </w:rPr>
        <w:t>。</w:t>
      </w:r>
    </w:p>
    <w:p w14:paraId="32108C9F">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sz w:val="24"/>
          <w:highlight w:val="none"/>
          <w:shd w:val="clear" w:color="auto" w:fill="FFFFFF"/>
          <w:lang w:eastAsia="zh-CN"/>
        </w:rPr>
      </w:pPr>
      <w:r>
        <w:rPr>
          <w:rFonts w:hint="eastAsia" w:ascii="宋体" w:hAnsi="宋体" w:eastAsia="宋体" w:cs="宋体"/>
          <w:color w:val="auto"/>
          <w:sz w:val="24"/>
          <w:highlight w:val="none"/>
          <w:shd w:val="clear" w:color="auto" w:fill="FFFFFF"/>
        </w:rPr>
        <w:t>3.中标人投标文件及澄清或承诺</w:t>
      </w:r>
      <w:r>
        <w:rPr>
          <w:rFonts w:hint="eastAsia" w:ascii="宋体" w:hAnsi="宋体" w:eastAsia="宋体" w:cs="宋体"/>
          <w:color w:val="auto"/>
          <w:sz w:val="24"/>
          <w:highlight w:val="none"/>
          <w:shd w:val="clear" w:color="auto" w:fill="FFFFFF"/>
          <w:lang w:eastAsia="zh-CN"/>
        </w:rPr>
        <w:t>。</w:t>
      </w:r>
    </w:p>
    <w:p w14:paraId="6B9782B1">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4.招标文件。</w:t>
      </w:r>
    </w:p>
    <w:p w14:paraId="163271F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十七、附件名称及内容</w:t>
      </w:r>
    </w:p>
    <w:p w14:paraId="6247E215">
      <w:pPr>
        <w:spacing w:line="520" w:lineRule="exact"/>
        <w:ind w:firstLine="480" w:firstLineChars="200"/>
        <w:rPr>
          <w:rFonts w:hint="eastAsia" w:ascii="宋体" w:hAnsi="宋体" w:eastAsia="宋体" w:cs="宋体"/>
          <w:color w:val="auto"/>
          <w:sz w:val="28"/>
          <w:szCs w:val="28"/>
          <w:highlight w:val="none"/>
        </w:rPr>
      </w:pPr>
      <w:r>
        <w:rPr>
          <w:rFonts w:hint="eastAsia" w:ascii="宋体" w:hAnsi="宋体" w:eastAsia="宋体" w:cs="宋体"/>
          <w:b/>
          <w:color w:val="auto"/>
          <w:sz w:val="24"/>
          <w:szCs w:val="24"/>
          <w:highlight w:val="none"/>
        </w:rPr>
        <w:t>注：</w:t>
      </w:r>
      <w:r>
        <w:rPr>
          <w:rFonts w:hint="eastAsia" w:ascii="宋体" w:hAnsi="宋体" w:cs="宋体"/>
          <w:b/>
          <w:color w:val="auto"/>
          <w:sz w:val="24"/>
          <w:szCs w:val="24"/>
          <w:highlight w:val="none"/>
          <w:lang w:eastAsia="zh-CN"/>
        </w:rPr>
        <w:t>采购人</w:t>
      </w:r>
      <w:r>
        <w:rPr>
          <w:rFonts w:hint="eastAsia" w:ascii="宋体" w:hAnsi="宋体" w:eastAsia="宋体" w:cs="宋体"/>
          <w:b/>
          <w:color w:val="auto"/>
          <w:sz w:val="24"/>
          <w:szCs w:val="24"/>
          <w:highlight w:val="none"/>
        </w:rPr>
        <w:t>可根据项目实际情况对合同条款进行调整、修改、补充，正式合同以</w:t>
      </w:r>
      <w:r>
        <w:rPr>
          <w:rFonts w:hint="eastAsia" w:ascii="宋体" w:hAnsi="宋体" w:cs="宋体"/>
          <w:b/>
          <w:color w:val="auto"/>
          <w:sz w:val="24"/>
          <w:szCs w:val="24"/>
          <w:highlight w:val="none"/>
          <w:lang w:eastAsia="zh-CN"/>
        </w:rPr>
        <w:t>采购人</w:t>
      </w:r>
      <w:r>
        <w:rPr>
          <w:rFonts w:hint="eastAsia" w:ascii="宋体" w:hAnsi="宋体" w:eastAsia="宋体" w:cs="宋体"/>
          <w:b/>
          <w:color w:val="auto"/>
          <w:sz w:val="24"/>
          <w:szCs w:val="24"/>
          <w:highlight w:val="none"/>
        </w:rPr>
        <w:t>根据《中华人民共和国民法典》有关规定签订的合同为准，但不能改变合同标的、数量、质量、价款、履行期限、履行地点和方式、违约责任和解决争议方法等实质性内容。</w:t>
      </w:r>
      <w:r>
        <w:rPr>
          <w:rFonts w:hint="eastAsia" w:ascii="宋体" w:hAnsi="宋体" w:eastAsia="宋体" w:cs="宋体"/>
          <w:color w:val="auto"/>
          <w:sz w:val="28"/>
          <w:szCs w:val="28"/>
          <w:highlight w:val="none"/>
        </w:rPr>
        <w:br w:type="page"/>
      </w:r>
    </w:p>
    <w:p w14:paraId="60DB28C4">
      <w:pPr>
        <w:rPr>
          <w:rFonts w:hint="eastAsia" w:ascii="宋体" w:hAnsi="宋体" w:eastAsia="宋体" w:cs="宋体"/>
          <w:color w:val="auto"/>
          <w:highlight w:val="none"/>
        </w:rPr>
      </w:pPr>
    </w:p>
    <w:p w14:paraId="7AC6D445">
      <w:pPr>
        <w:pStyle w:val="37"/>
        <w:rPr>
          <w:rFonts w:hint="eastAsia" w:ascii="宋体" w:hAnsi="宋体" w:eastAsia="宋体" w:cs="宋体"/>
          <w:color w:val="auto"/>
          <w:highlight w:val="none"/>
        </w:rPr>
      </w:pPr>
    </w:p>
    <w:tbl>
      <w:tblPr>
        <w:tblStyle w:val="38"/>
        <w:tblW w:w="8945" w:type="dxa"/>
        <w:jc w:val="center"/>
        <w:tblCellSpacing w:w="0" w:type="dxa"/>
        <w:tblLayout w:type="fixed"/>
        <w:tblCellMar>
          <w:top w:w="0" w:type="dxa"/>
          <w:left w:w="0" w:type="dxa"/>
          <w:bottom w:w="0" w:type="dxa"/>
          <w:right w:w="0" w:type="dxa"/>
        </w:tblCellMar>
      </w:tblPr>
      <w:tblGrid>
        <w:gridCol w:w="1412"/>
        <w:gridCol w:w="7533"/>
      </w:tblGrid>
      <w:tr w14:paraId="4D91C326">
        <w:tblPrEx>
          <w:tblCellMar>
            <w:top w:w="0" w:type="dxa"/>
            <w:left w:w="0" w:type="dxa"/>
            <w:bottom w:w="0" w:type="dxa"/>
            <w:right w:w="0" w:type="dxa"/>
          </w:tblCellMar>
        </w:tblPrEx>
        <w:trPr>
          <w:tblCellSpacing w:w="0" w:type="dxa"/>
          <w:jc w:val="center"/>
        </w:trPr>
        <w:tc>
          <w:tcPr>
            <w:tcW w:w="8945" w:type="dxa"/>
            <w:gridSpan w:val="2"/>
            <w:noWrap w:val="0"/>
            <w:vAlign w:val="center"/>
          </w:tcPr>
          <w:p w14:paraId="65B81F76">
            <w:pPr>
              <w:widowControl/>
              <w:spacing w:after="240"/>
              <w:jc w:val="left"/>
              <w:rPr>
                <w:rFonts w:hint="eastAsia" w:ascii="宋体" w:hAnsi="宋体" w:eastAsia="宋体" w:cs="宋体"/>
                <w:color w:val="auto"/>
                <w:kern w:val="0"/>
                <w:sz w:val="24"/>
                <w:highlight w:val="none"/>
              </w:rPr>
            </w:pPr>
          </w:p>
          <w:p w14:paraId="7F7BA180">
            <w:pPr>
              <w:widowControl/>
              <w:spacing w:after="24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甲方（</w:t>
            </w:r>
            <w:r>
              <w:rPr>
                <w:rFonts w:hint="eastAsia" w:ascii="宋体" w:hAnsi="宋体" w:cs="宋体"/>
                <w:color w:val="auto"/>
                <w:kern w:val="0"/>
                <w:sz w:val="24"/>
                <w:highlight w:val="none"/>
                <w:lang w:eastAsia="zh-CN"/>
              </w:rPr>
              <w:t>采购人</w:t>
            </w:r>
            <w:r>
              <w:rPr>
                <w:rFonts w:hint="eastAsia" w:ascii="宋体" w:hAnsi="宋体" w:eastAsia="宋体" w:cs="宋体"/>
                <w:color w:val="auto"/>
                <w:kern w:val="0"/>
                <w:sz w:val="24"/>
                <w:highlight w:val="none"/>
              </w:rPr>
              <w:t>公章）名 称：</w:t>
            </w:r>
            <w:r>
              <w:rPr>
                <w:rFonts w:hint="eastAsia" w:ascii="宋体" w:hAnsi="宋体" w:cs="宋体"/>
                <w:color w:val="auto"/>
                <w:kern w:val="0"/>
                <w:sz w:val="24"/>
                <w:highlight w:val="none"/>
                <w:lang w:eastAsia="zh-CN"/>
              </w:rPr>
              <w:t>芒市商务局</w:t>
            </w:r>
          </w:p>
        </w:tc>
      </w:tr>
      <w:tr w14:paraId="3C7732AE">
        <w:tblPrEx>
          <w:tblCellMar>
            <w:top w:w="0" w:type="dxa"/>
            <w:left w:w="0" w:type="dxa"/>
            <w:bottom w:w="0" w:type="dxa"/>
            <w:right w:w="0" w:type="dxa"/>
          </w:tblCellMar>
        </w:tblPrEx>
        <w:trPr>
          <w:tblCellSpacing w:w="0" w:type="dxa"/>
          <w:jc w:val="center"/>
        </w:trPr>
        <w:tc>
          <w:tcPr>
            <w:tcW w:w="1412" w:type="dxa"/>
            <w:noWrap w:val="0"/>
            <w:vAlign w:val="center"/>
          </w:tcPr>
          <w:p w14:paraId="019654F2">
            <w:pPr>
              <w:widowControl/>
              <w:jc w:val="left"/>
              <w:rPr>
                <w:rFonts w:hint="eastAsia" w:ascii="宋体" w:hAnsi="宋体" w:eastAsia="宋体" w:cs="宋体"/>
                <w:color w:val="auto"/>
                <w:kern w:val="0"/>
                <w:sz w:val="24"/>
                <w:highlight w:val="none"/>
              </w:rPr>
            </w:pPr>
          </w:p>
        </w:tc>
        <w:tc>
          <w:tcPr>
            <w:tcW w:w="7533" w:type="dxa"/>
            <w:noWrap w:val="0"/>
            <w:vAlign w:val="center"/>
          </w:tcPr>
          <w:p w14:paraId="39D4D816">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地 址：</w:t>
            </w:r>
          </w:p>
        </w:tc>
      </w:tr>
      <w:tr w14:paraId="201EE4AC">
        <w:tblPrEx>
          <w:tblCellMar>
            <w:top w:w="0" w:type="dxa"/>
            <w:left w:w="0" w:type="dxa"/>
            <w:bottom w:w="0" w:type="dxa"/>
            <w:right w:w="0" w:type="dxa"/>
          </w:tblCellMar>
        </w:tblPrEx>
        <w:trPr>
          <w:tblCellSpacing w:w="0" w:type="dxa"/>
          <w:jc w:val="center"/>
        </w:trPr>
        <w:tc>
          <w:tcPr>
            <w:tcW w:w="1412" w:type="dxa"/>
            <w:noWrap w:val="0"/>
            <w:vAlign w:val="center"/>
          </w:tcPr>
          <w:p w14:paraId="1E9D5AFD">
            <w:pPr>
              <w:widowControl/>
              <w:jc w:val="left"/>
              <w:rPr>
                <w:rFonts w:hint="eastAsia" w:ascii="宋体" w:hAnsi="宋体" w:eastAsia="宋体" w:cs="宋体"/>
                <w:color w:val="auto"/>
                <w:kern w:val="0"/>
                <w:sz w:val="24"/>
                <w:highlight w:val="none"/>
              </w:rPr>
            </w:pPr>
          </w:p>
        </w:tc>
        <w:tc>
          <w:tcPr>
            <w:tcW w:w="7533" w:type="dxa"/>
            <w:noWrap w:val="0"/>
            <w:vAlign w:val="center"/>
          </w:tcPr>
          <w:p w14:paraId="516C13EA">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 编：</w:t>
            </w:r>
          </w:p>
        </w:tc>
      </w:tr>
      <w:tr w14:paraId="389EC9A3">
        <w:tblPrEx>
          <w:tblCellMar>
            <w:top w:w="0" w:type="dxa"/>
            <w:left w:w="0" w:type="dxa"/>
            <w:bottom w:w="0" w:type="dxa"/>
            <w:right w:w="0" w:type="dxa"/>
          </w:tblCellMar>
        </w:tblPrEx>
        <w:trPr>
          <w:tblCellSpacing w:w="0" w:type="dxa"/>
          <w:jc w:val="center"/>
        </w:trPr>
        <w:tc>
          <w:tcPr>
            <w:tcW w:w="1412" w:type="dxa"/>
            <w:noWrap w:val="0"/>
            <w:vAlign w:val="center"/>
          </w:tcPr>
          <w:p w14:paraId="2F9D11A6">
            <w:pPr>
              <w:widowControl/>
              <w:jc w:val="left"/>
              <w:rPr>
                <w:rFonts w:hint="eastAsia" w:ascii="宋体" w:hAnsi="宋体" w:eastAsia="宋体" w:cs="宋体"/>
                <w:color w:val="auto"/>
                <w:kern w:val="0"/>
                <w:sz w:val="24"/>
                <w:highlight w:val="none"/>
              </w:rPr>
            </w:pPr>
          </w:p>
        </w:tc>
        <w:tc>
          <w:tcPr>
            <w:tcW w:w="7533" w:type="dxa"/>
            <w:noWrap w:val="0"/>
            <w:vAlign w:val="center"/>
          </w:tcPr>
          <w:p w14:paraId="0FC644F0">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法定代表人或委托代理人：</w:t>
            </w:r>
          </w:p>
        </w:tc>
      </w:tr>
      <w:tr w14:paraId="284ACEEC">
        <w:tblPrEx>
          <w:tblCellMar>
            <w:top w:w="0" w:type="dxa"/>
            <w:left w:w="0" w:type="dxa"/>
            <w:bottom w:w="0" w:type="dxa"/>
            <w:right w:w="0" w:type="dxa"/>
          </w:tblCellMar>
        </w:tblPrEx>
        <w:trPr>
          <w:tblCellSpacing w:w="0" w:type="dxa"/>
          <w:jc w:val="center"/>
        </w:trPr>
        <w:tc>
          <w:tcPr>
            <w:tcW w:w="1412" w:type="dxa"/>
            <w:noWrap w:val="0"/>
            <w:vAlign w:val="center"/>
          </w:tcPr>
          <w:p w14:paraId="57E4B1AB">
            <w:pPr>
              <w:widowControl/>
              <w:jc w:val="left"/>
              <w:rPr>
                <w:rFonts w:hint="eastAsia" w:ascii="宋体" w:hAnsi="宋体" w:eastAsia="宋体" w:cs="宋体"/>
                <w:color w:val="auto"/>
                <w:kern w:val="0"/>
                <w:sz w:val="24"/>
                <w:highlight w:val="none"/>
              </w:rPr>
            </w:pPr>
          </w:p>
        </w:tc>
        <w:tc>
          <w:tcPr>
            <w:tcW w:w="7533" w:type="dxa"/>
            <w:noWrap w:val="0"/>
            <w:vAlign w:val="center"/>
          </w:tcPr>
          <w:p w14:paraId="7A606B19">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项目（技术）负责人：</w:t>
            </w:r>
          </w:p>
        </w:tc>
      </w:tr>
      <w:tr w14:paraId="33A5DB51">
        <w:tblPrEx>
          <w:tblCellMar>
            <w:top w:w="0" w:type="dxa"/>
            <w:left w:w="0" w:type="dxa"/>
            <w:bottom w:w="0" w:type="dxa"/>
            <w:right w:w="0" w:type="dxa"/>
          </w:tblCellMar>
        </w:tblPrEx>
        <w:trPr>
          <w:tblCellSpacing w:w="0" w:type="dxa"/>
          <w:jc w:val="center"/>
        </w:trPr>
        <w:tc>
          <w:tcPr>
            <w:tcW w:w="1412" w:type="dxa"/>
            <w:noWrap w:val="0"/>
            <w:vAlign w:val="center"/>
          </w:tcPr>
          <w:p w14:paraId="11C51174">
            <w:pPr>
              <w:widowControl/>
              <w:jc w:val="left"/>
              <w:rPr>
                <w:rFonts w:hint="eastAsia" w:ascii="宋体" w:hAnsi="宋体" w:eastAsia="宋体" w:cs="宋体"/>
                <w:color w:val="auto"/>
                <w:kern w:val="0"/>
                <w:sz w:val="24"/>
                <w:highlight w:val="none"/>
              </w:rPr>
            </w:pPr>
          </w:p>
        </w:tc>
        <w:tc>
          <w:tcPr>
            <w:tcW w:w="7533" w:type="dxa"/>
            <w:noWrap w:val="0"/>
            <w:vAlign w:val="center"/>
          </w:tcPr>
          <w:p w14:paraId="625CFF1F">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 话：</w:t>
            </w:r>
          </w:p>
          <w:p w14:paraId="635BA910">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签订日期：</w:t>
            </w:r>
          </w:p>
        </w:tc>
      </w:tr>
      <w:tr w14:paraId="5DE5171C">
        <w:tblPrEx>
          <w:tblCellMar>
            <w:top w:w="0" w:type="dxa"/>
            <w:left w:w="0" w:type="dxa"/>
            <w:bottom w:w="0" w:type="dxa"/>
            <w:right w:w="0" w:type="dxa"/>
          </w:tblCellMar>
        </w:tblPrEx>
        <w:trPr>
          <w:tblCellSpacing w:w="0" w:type="dxa"/>
          <w:jc w:val="center"/>
        </w:trPr>
        <w:tc>
          <w:tcPr>
            <w:tcW w:w="8945" w:type="dxa"/>
            <w:gridSpan w:val="2"/>
            <w:noWrap w:val="0"/>
            <w:vAlign w:val="center"/>
          </w:tcPr>
          <w:p w14:paraId="4F481A20">
            <w:pPr>
              <w:widowControl/>
              <w:spacing w:after="240"/>
              <w:jc w:val="left"/>
              <w:rPr>
                <w:rFonts w:hint="eastAsia" w:ascii="宋体" w:hAnsi="宋体" w:eastAsia="宋体" w:cs="宋体"/>
                <w:color w:val="auto"/>
                <w:kern w:val="0"/>
                <w:sz w:val="24"/>
                <w:highlight w:val="none"/>
              </w:rPr>
            </w:pPr>
          </w:p>
          <w:p w14:paraId="281B6287">
            <w:pPr>
              <w:pStyle w:val="13"/>
              <w:rPr>
                <w:rFonts w:hint="eastAsia" w:ascii="宋体" w:hAnsi="宋体" w:eastAsia="宋体" w:cs="宋体"/>
                <w:color w:val="auto"/>
                <w:kern w:val="0"/>
                <w:sz w:val="24"/>
                <w:highlight w:val="none"/>
              </w:rPr>
            </w:pPr>
          </w:p>
          <w:p w14:paraId="6412DDA3">
            <w:pPr>
              <w:pStyle w:val="92"/>
              <w:rPr>
                <w:rFonts w:hint="eastAsia" w:ascii="宋体" w:hAnsi="宋体" w:eastAsia="宋体" w:cs="宋体"/>
                <w:color w:val="auto"/>
                <w:highlight w:val="none"/>
              </w:rPr>
            </w:pPr>
          </w:p>
          <w:p w14:paraId="7E52E834">
            <w:pPr>
              <w:widowControl/>
              <w:spacing w:after="24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乙方（</w:t>
            </w:r>
            <w:r>
              <w:rPr>
                <w:rFonts w:hint="eastAsia" w:ascii="宋体" w:hAnsi="宋体" w:eastAsia="宋体" w:cs="宋体"/>
                <w:color w:val="auto"/>
                <w:kern w:val="0"/>
                <w:sz w:val="24"/>
                <w:highlight w:val="none"/>
                <w:lang w:val="en-US" w:eastAsia="zh-CN"/>
              </w:rPr>
              <w:t>中标人</w:t>
            </w:r>
            <w:r>
              <w:rPr>
                <w:rFonts w:hint="eastAsia" w:ascii="宋体" w:hAnsi="宋体" w:eastAsia="宋体" w:cs="宋体"/>
                <w:color w:val="auto"/>
                <w:kern w:val="0"/>
                <w:sz w:val="24"/>
                <w:highlight w:val="none"/>
              </w:rPr>
              <w:t>公章）名 称：</w:t>
            </w:r>
          </w:p>
        </w:tc>
      </w:tr>
      <w:tr w14:paraId="53588C75">
        <w:tblPrEx>
          <w:tblCellMar>
            <w:top w:w="0" w:type="dxa"/>
            <w:left w:w="0" w:type="dxa"/>
            <w:bottom w:w="0" w:type="dxa"/>
            <w:right w:w="0" w:type="dxa"/>
          </w:tblCellMar>
        </w:tblPrEx>
        <w:trPr>
          <w:tblCellSpacing w:w="0" w:type="dxa"/>
          <w:jc w:val="center"/>
        </w:trPr>
        <w:tc>
          <w:tcPr>
            <w:tcW w:w="1412" w:type="dxa"/>
            <w:noWrap w:val="0"/>
            <w:vAlign w:val="center"/>
          </w:tcPr>
          <w:p w14:paraId="4C2639E1">
            <w:pPr>
              <w:widowControl/>
              <w:jc w:val="left"/>
              <w:rPr>
                <w:rFonts w:hint="eastAsia" w:ascii="宋体" w:hAnsi="宋体" w:eastAsia="宋体" w:cs="宋体"/>
                <w:color w:val="auto"/>
                <w:kern w:val="0"/>
                <w:sz w:val="24"/>
                <w:highlight w:val="none"/>
              </w:rPr>
            </w:pPr>
          </w:p>
        </w:tc>
        <w:tc>
          <w:tcPr>
            <w:tcW w:w="7533" w:type="dxa"/>
            <w:noWrap w:val="0"/>
            <w:vAlign w:val="center"/>
          </w:tcPr>
          <w:p w14:paraId="3C95F408">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地 址：</w:t>
            </w:r>
          </w:p>
        </w:tc>
      </w:tr>
      <w:tr w14:paraId="614B9BAF">
        <w:tblPrEx>
          <w:tblCellMar>
            <w:top w:w="0" w:type="dxa"/>
            <w:left w:w="0" w:type="dxa"/>
            <w:bottom w:w="0" w:type="dxa"/>
            <w:right w:w="0" w:type="dxa"/>
          </w:tblCellMar>
        </w:tblPrEx>
        <w:trPr>
          <w:tblCellSpacing w:w="0" w:type="dxa"/>
          <w:jc w:val="center"/>
        </w:trPr>
        <w:tc>
          <w:tcPr>
            <w:tcW w:w="1412" w:type="dxa"/>
            <w:noWrap w:val="0"/>
            <w:vAlign w:val="center"/>
          </w:tcPr>
          <w:p w14:paraId="69B11359">
            <w:pPr>
              <w:widowControl/>
              <w:jc w:val="left"/>
              <w:rPr>
                <w:rFonts w:hint="eastAsia" w:ascii="宋体" w:hAnsi="宋体" w:eastAsia="宋体" w:cs="宋体"/>
                <w:color w:val="auto"/>
                <w:kern w:val="0"/>
                <w:sz w:val="24"/>
                <w:highlight w:val="none"/>
              </w:rPr>
            </w:pPr>
          </w:p>
        </w:tc>
        <w:tc>
          <w:tcPr>
            <w:tcW w:w="7533" w:type="dxa"/>
            <w:noWrap w:val="0"/>
            <w:vAlign w:val="center"/>
          </w:tcPr>
          <w:p w14:paraId="44697F44">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 编：</w:t>
            </w:r>
          </w:p>
        </w:tc>
      </w:tr>
      <w:tr w14:paraId="1857F819">
        <w:tblPrEx>
          <w:tblCellMar>
            <w:top w:w="0" w:type="dxa"/>
            <w:left w:w="0" w:type="dxa"/>
            <w:bottom w:w="0" w:type="dxa"/>
            <w:right w:w="0" w:type="dxa"/>
          </w:tblCellMar>
        </w:tblPrEx>
        <w:trPr>
          <w:tblCellSpacing w:w="0" w:type="dxa"/>
          <w:jc w:val="center"/>
        </w:trPr>
        <w:tc>
          <w:tcPr>
            <w:tcW w:w="1412" w:type="dxa"/>
            <w:noWrap w:val="0"/>
            <w:vAlign w:val="center"/>
          </w:tcPr>
          <w:p w14:paraId="4FC49160">
            <w:pPr>
              <w:widowControl/>
              <w:jc w:val="left"/>
              <w:rPr>
                <w:rFonts w:hint="eastAsia" w:ascii="宋体" w:hAnsi="宋体" w:eastAsia="宋体" w:cs="宋体"/>
                <w:color w:val="auto"/>
                <w:kern w:val="0"/>
                <w:sz w:val="24"/>
                <w:highlight w:val="none"/>
              </w:rPr>
            </w:pPr>
          </w:p>
        </w:tc>
        <w:tc>
          <w:tcPr>
            <w:tcW w:w="7533" w:type="dxa"/>
            <w:noWrap w:val="0"/>
            <w:vAlign w:val="center"/>
          </w:tcPr>
          <w:p w14:paraId="72553085">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法定代表人或委托代理人：</w:t>
            </w:r>
          </w:p>
        </w:tc>
      </w:tr>
      <w:tr w14:paraId="12A5E6C2">
        <w:tblPrEx>
          <w:tblCellMar>
            <w:top w:w="0" w:type="dxa"/>
            <w:left w:w="0" w:type="dxa"/>
            <w:bottom w:w="0" w:type="dxa"/>
            <w:right w:w="0" w:type="dxa"/>
          </w:tblCellMar>
        </w:tblPrEx>
        <w:trPr>
          <w:tblCellSpacing w:w="0" w:type="dxa"/>
          <w:jc w:val="center"/>
        </w:trPr>
        <w:tc>
          <w:tcPr>
            <w:tcW w:w="1412" w:type="dxa"/>
            <w:noWrap w:val="0"/>
            <w:vAlign w:val="center"/>
          </w:tcPr>
          <w:p w14:paraId="05AAFA59">
            <w:pPr>
              <w:widowControl/>
              <w:jc w:val="left"/>
              <w:rPr>
                <w:rFonts w:hint="eastAsia" w:ascii="宋体" w:hAnsi="宋体" w:eastAsia="宋体" w:cs="宋体"/>
                <w:color w:val="auto"/>
                <w:kern w:val="0"/>
                <w:sz w:val="24"/>
                <w:highlight w:val="none"/>
              </w:rPr>
            </w:pPr>
          </w:p>
        </w:tc>
        <w:tc>
          <w:tcPr>
            <w:tcW w:w="7533" w:type="dxa"/>
            <w:noWrap w:val="0"/>
            <w:vAlign w:val="center"/>
          </w:tcPr>
          <w:p w14:paraId="74585DCA">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经办人：</w:t>
            </w:r>
          </w:p>
        </w:tc>
      </w:tr>
      <w:tr w14:paraId="105E6B93">
        <w:tblPrEx>
          <w:tblCellMar>
            <w:top w:w="0" w:type="dxa"/>
            <w:left w:w="0" w:type="dxa"/>
            <w:bottom w:w="0" w:type="dxa"/>
            <w:right w:w="0" w:type="dxa"/>
          </w:tblCellMar>
        </w:tblPrEx>
        <w:trPr>
          <w:tblCellSpacing w:w="0" w:type="dxa"/>
          <w:jc w:val="center"/>
        </w:trPr>
        <w:tc>
          <w:tcPr>
            <w:tcW w:w="1412" w:type="dxa"/>
            <w:noWrap w:val="0"/>
            <w:vAlign w:val="center"/>
          </w:tcPr>
          <w:p w14:paraId="1CB81765">
            <w:pPr>
              <w:widowControl/>
              <w:jc w:val="left"/>
              <w:rPr>
                <w:rFonts w:hint="eastAsia" w:ascii="宋体" w:hAnsi="宋体" w:eastAsia="宋体" w:cs="宋体"/>
                <w:color w:val="auto"/>
                <w:kern w:val="0"/>
                <w:sz w:val="24"/>
                <w:highlight w:val="none"/>
              </w:rPr>
            </w:pPr>
          </w:p>
        </w:tc>
        <w:tc>
          <w:tcPr>
            <w:tcW w:w="7533" w:type="dxa"/>
            <w:noWrap w:val="0"/>
            <w:vAlign w:val="center"/>
          </w:tcPr>
          <w:p w14:paraId="424F9584">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 话：</w:t>
            </w:r>
          </w:p>
        </w:tc>
      </w:tr>
      <w:tr w14:paraId="59249773">
        <w:tblPrEx>
          <w:tblCellMar>
            <w:top w:w="0" w:type="dxa"/>
            <w:left w:w="0" w:type="dxa"/>
            <w:bottom w:w="0" w:type="dxa"/>
            <w:right w:w="0" w:type="dxa"/>
          </w:tblCellMar>
        </w:tblPrEx>
        <w:trPr>
          <w:tblCellSpacing w:w="0" w:type="dxa"/>
          <w:jc w:val="center"/>
        </w:trPr>
        <w:tc>
          <w:tcPr>
            <w:tcW w:w="8945" w:type="dxa"/>
            <w:gridSpan w:val="2"/>
            <w:noWrap w:val="0"/>
            <w:vAlign w:val="center"/>
          </w:tcPr>
          <w:p w14:paraId="0B7D2A41">
            <w:pPr>
              <w:spacing w:after="240" w:line="276" w:lineRule="auto"/>
              <w:ind w:firstLine="2160" w:firstLineChars="900"/>
              <w:rPr>
                <w:rFonts w:hint="eastAsia" w:ascii="宋体" w:hAnsi="宋体" w:eastAsia="宋体" w:cs="宋体"/>
                <w:color w:val="auto"/>
                <w:highlight w:val="none"/>
              </w:rPr>
            </w:pPr>
            <w:r>
              <w:rPr>
                <w:rFonts w:hint="eastAsia" w:ascii="宋体" w:hAnsi="宋体" w:eastAsia="宋体" w:cs="宋体"/>
                <w:color w:val="auto"/>
                <w:kern w:val="0"/>
                <w:sz w:val="24"/>
                <w:highlight w:val="none"/>
              </w:rPr>
              <w:t>签订日期：</w:t>
            </w:r>
          </w:p>
          <w:p w14:paraId="20F24BFE">
            <w:pPr>
              <w:spacing w:after="240" w:line="276" w:lineRule="auto"/>
              <w:rPr>
                <w:rFonts w:hint="eastAsia" w:ascii="宋体" w:hAnsi="宋体" w:eastAsia="宋体" w:cs="宋体"/>
                <w:color w:val="auto"/>
                <w:kern w:val="0"/>
                <w:sz w:val="24"/>
                <w:highlight w:val="none"/>
              </w:rPr>
            </w:pPr>
          </w:p>
        </w:tc>
      </w:tr>
    </w:tbl>
    <w:p w14:paraId="20F6EA00">
      <w:pPr>
        <w:pStyle w:val="2"/>
        <w:pageBreakBefore w:val="0"/>
        <w:kinsoku/>
        <w:wordWrap w:val="0"/>
        <w:overflowPunct/>
        <w:bidi w:val="0"/>
        <w:spacing w:before="0" w:after="0" w:line="720" w:lineRule="auto"/>
        <w:jc w:val="center"/>
        <w:rPr>
          <w:rFonts w:hint="eastAsia" w:ascii="宋体" w:hAnsi="宋体" w:eastAsia="宋体" w:cs="宋体"/>
          <w:color w:val="auto"/>
          <w:sz w:val="24"/>
          <w:szCs w:val="24"/>
          <w:highlight w:val="none"/>
        </w:rPr>
      </w:pPr>
    </w:p>
    <w:p w14:paraId="2F419943">
      <w:pPr>
        <w:pStyle w:val="2"/>
        <w:pageBreakBefore w:val="0"/>
        <w:kinsoku/>
        <w:wordWrap w:val="0"/>
        <w:overflowPunct/>
        <w:bidi w:val="0"/>
        <w:spacing w:before="0" w:after="0" w:line="720" w:lineRule="auto"/>
        <w:jc w:val="center"/>
        <w:rPr>
          <w:rFonts w:hint="eastAsia" w:ascii="宋体" w:hAnsi="宋体" w:eastAsia="宋体" w:cs="宋体"/>
          <w:color w:val="auto"/>
          <w:sz w:val="24"/>
          <w:szCs w:val="24"/>
          <w:highlight w:val="none"/>
        </w:rPr>
      </w:pPr>
    </w:p>
    <w:p w14:paraId="050127AC">
      <w:pPr>
        <w:pStyle w:val="2"/>
        <w:pageBreakBefore w:val="0"/>
        <w:kinsoku/>
        <w:wordWrap w:val="0"/>
        <w:overflowPunct/>
        <w:bidi w:val="0"/>
        <w:spacing w:before="0" w:after="0" w:line="720" w:lineRule="auto"/>
        <w:jc w:val="center"/>
        <w:rPr>
          <w:rFonts w:hint="eastAsia" w:ascii="宋体" w:hAnsi="宋体" w:eastAsia="宋体" w:cs="宋体"/>
          <w:color w:val="auto"/>
          <w:sz w:val="24"/>
          <w:szCs w:val="24"/>
          <w:highlight w:val="none"/>
        </w:rPr>
      </w:pPr>
    </w:p>
    <w:p w14:paraId="6FB81E25">
      <w:pPr>
        <w:pStyle w:val="2"/>
        <w:pageBreakBefore w:val="0"/>
        <w:kinsoku/>
        <w:wordWrap w:val="0"/>
        <w:overflowPunct/>
        <w:bidi w:val="0"/>
        <w:spacing w:before="0" w:after="0" w:line="720" w:lineRule="auto"/>
        <w:jc w:val="center"/>
        <w:rPr>
          <w:rFonts w:hint="eastAsia" w:ascii="宋体" w:hAnsi="宋体" w:eastAsia="宋体" w:cs="宋体"/>
          <w:color w:val="auto"/>
          <w:sz w:val="24"/>
          <w:szCs w:val="24"/>
          <w:highlight w:val="none"/>
        </w:rPr>
      </w:pPr>
    </w:p>
    <w:p w14:paraId="443538DC">
      <w:pPr>
        <w:pStyle w:val="3"/>
        <w:pageBreakBefore w:val="0"/>
        <w:kinsoku/>
        <w:wordWrap w:val="0"/>
        <w:overflowPunct/>
        <w:bidi w:val="0"/>
        <w:jc w:val="center"/>
        <w:rPr>
          <w:rFonts w:hint="eastAsia" w:ascii="宋体" w:hAnsi="宋体" w:eastAsia="宋体" w:cs="宋体"/>
          <w:color w:val="auto"/>
          <w:highlight w:val="none"/>
          <w:lang w:val="en-US" w:eastAsia="zh-CN"/>
        </w:rPr>
      </w:pPr>
      <w:bookmarkStart w:id="255" w:name="_Toc15626"/>
      <w:r>
        <w:rPr>
          <w:rFonts w:hint="eastAsia" w:ascii="宋体" w:hAnsi="宋体" w:eastAsia="宋体" w:cs="宋体"/>
          <w:color w:val="auto"/>
          <w:highlight w:val="none"/>
        </w:rPr>
        <w:t xml:space="preserve">第六章 </w:t>
      </w:r>
      <w:bookmarkEnd w:id="248"/>
      <w:bookmarkStart w:id="256" w:name="_Toc9887"/>
      <w:bookmarkStart w:id="257" w:name="_Toc515647831"/>
      <w:bookmarkStart w:id="258" w:name="_Toc22779"/>
      <w:bookmarkStart w:id="259" w:name="_Toc219175638"/>
      <w:bookmarkStart w:id="260" w:name="_Toc218935354"/>
      <w:bookmarkStart w:id="261" w:name="_Toc216582825"/>
      <w:bookmarkStart w:id="262" w:name="_Toc9032"/>
      <w:bookmarkStart w:id="263" w:name="_Toc507399906"/>
      <w:r>
        <w:rPr>
          <w:rFonts w:hint="eastAsia" w:ascii="宋体" w:hAnsi="宋体" w:eastAsia="宋体" w:cs="宋体"/>
          <w:color w:val="auto"/>
          <w:highlight w:val="none"/>
          <w:lang w:eastAsia="zh-CN"/>
        </w:rPr>
        <w:t>采购需求</w:t>
      </w:r>
      <w:r>
        <w:rPr>
          <w:rFonts w:hint="eastAsia" w:ascii="宋体" w:hAnsi="宋体" w:eastAsia="宋体" w:cs="宋体"/>
          <w:color w:val="auto"/>
          <w:highlight w:val="none"/>
        </w:rPr>
        <w:t>及技术规格</w:t>
      </w:r>
      <w:bookmarkEnd w:id="256"/>
      <w:bookmarkEnd w:id="257"/>
      <w:bookmarkEnd w:id="258"/>
      <w:bookmarkEnd w:id="259"/>
      <w:bookmarkEnd w:id="260"/>
      <w:bookmarkEnd w:id="261"/>
      <w:bookmarkEnd w:id="262"/>
      <w:bookmarkEnd w:id="263"/>
      <w:r>
        <w:rPr>
          <w:rFonts w:hint="eastAsia" w:ascii="宋体" w:hAnsi="宋体" w:eastAsia="宋体" w:cs="宋体"/>
          <w:color w:val="auto"/>
          <w:highlight w:val="none"/>
          <w:lang w:val="en-US" w:eastAsia="zh-CN"/>
        </w:rPr>
        <w:t>要求</w:t>
      </w:r>
      <w:bookmarkEnd w:id="255"/>
    </w:p>
    <w:p w14:paraId="58F4F89C">
      <w:pPr>
        <w:pageBreakBefore w:val="0"/>
        <w:kinsoku/>
        <w:wordWrap w:val="0"/>
        <w:overflowPunct/>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7EEC6523">
      <w:pPr>
        <w:pStyle w:val="3"/>
        <w:numPr>
          <w:ilvl w:val="0"/>
          <w:numId w:val="0"/>
        </w:numPr>
        <w:tabs>
          <w:tab w:val="left" w:pos="360"/>
        </w:tabs>
        <w:spacing w:before="0"/>
        <w:ind w:left="893" w:hanging="691" w:hangingChars="247"/>
        <w:jc w:val="center"/>
        <w:rPr>
          <w:rFonts w:hint="eastAsia" w:ascii="宋体" w:hAnsi="宋体" w:eastAsia="宋体" w:cs="宋体"/>
          <w:color w:val="auto"/>
          <w:sz w:val="28"/>
          <w:szCs w:val="28"/>
          <w:highlight w:val="none"/>
        </w:rPr>
      </w:pPr>
      <w:bookmarkStart w:id="264" w:name="_Toc1127"/>
      <w:r>
        <w:rPr>
          <w:rFonts w:hint="eastAsia" w:ascii="宋体" w:hAnsi="宋体" w:eastAsia="宋体" w:cs="宋体"/>
          <w:color w:val="auto"/>
          <w:sz w:val="28"/>
          <w:szCs w:val="28"/>
          <w:highlight w:val="none"/>
        </w:rPr>
        <w:t>第一部分、采购</w:t>
      </w:r>
      <w:r>
        <w:rPr>
          <w:rFonts w:hint="eastAsia" w:ascii="宋体" w:hAnsi="宋体" w:eastAsia="宋体" w:cs="宋体"/>
          <w:color w:val="auto"/>
          <w:sz w:val="28"/>
          <w:szCs w:val="28"/>
          <w:highlight w:val="none"/>
          <w:lang w:val="en-US" w:eastAsia="zh-CN"/>
        </w:rPr>
        <w:t>需求</w:t>
      </w:r>
      <w:r>
        <w:rPr>
          <w:rFonts w:hint="eastAsia" w:ascii="宋体" w:hAnsi="宋体" w:eastAsia="宋体" w:cs="宋体"/>
          <w:color w:val="auto"/>
          <w:sz w:val="28"/>
          <w:szCs w:val="28"/>
          <w:highlight w:val="none"/>
        </w:rPr>
        <w:t>一览表</w:t>
      </w:r>
      <w:bookmarkEnd w:id="264"/>
    </w:p>
    <w:p w14:paraId="05C790D5">
      <w:pPr>
        <w:pStyle w:val="4"/>
        <w:keepNext w:val="0"/>
        <w:keepLines w:val="0"/>
        <w:pageBreakBefore w:val="0"/>
        <w:widowControl w:val="0"/>
        <w:numPr>
          <w:ilvl w:val="0"/>
          <w:numId w:val="0"/>
        </w:numPr>
        <w:tabs>
          <w:tab w:val="left" w:pos="360"/>
          <w:tab w:val="left" w:pos="900"/>
          <w:tab w:val="left" w:pos="1588"/>
        </w:tabs>
        <w:kinsoku/>
        <w:wordWrap/>
        <w:overflowPunct/>
        <w:topLinePunct w:val="0"/>
        <w:autoSpaceDE/>
        <w:autoSpaceDN/>
        <w:bidi w:val="0"/>
        <w:snapToGrid/>
        <w:spacing w:line="360" w:lineRule="auto"/>
        <w:ind w:firstLine="480" w:firstLineChars="200"/>
        <w:jc w:val="left"/>
        <w:rPr>
          <w:rFonts w:hint="eastAsia" w:ascii="宋体" w:hAnsi="宋体" w:eastAsia="宋体" w:cs="宋体"/>
          <w:color w:val="auto"/>
          <w:sz w:val="24"/>
          <w:szCs w:val="24"/>
          <w:highlight w:val="none"/>
          <w:lang w:val="en-US" w:eastAsia="zh-CN"/>
        </w:rPr>
      </w:pPr>
      <w:bookmarkStart w:id="265" w:name="_Toc3845"/>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预算：</w:t>
      </w:r>
      <w:r>
        <w:rPr>
          <w:rFonts w:hint="eastAsia" w:ascii="宋体" w:hAnsi="宋体" w:cs="宋体"/>
          <w:color w:val="auto"/>
          <w:sz w:val="24"/>
          <w:szCs w:val="24"/>
          <w:highlight w:val="none"/>
          <w:lang w:val="en-US" w:eastAsia="zh-CN"/>
        </w:rPr>
        <w:t>747.53</w:t>
      </w:r>
      <w:r>
        <w:rPr>
          <w:rFonts w:hint="eastAsia" w:ascii="宋体" w:hAnsi="宋体" w:eastAsia="宋体" w:cs="宋体"/>
          <w:color w:val="auto"/>
          <w:sz w:val="24"/>
          <w:szCs w:val="24"/>
          <w:highlight w:val="none"/>
          <w:lang w:val="en-US" w:eastAsia="zh-CN"/>
        </w:rPr>
        <w:t>万元。</w:t>
      </w:r>
      <w:bookmarkEnd w:id="265"/>
    </w:p>
    <w:p w14:paraId="704ED7F8">
      <w:pPr>
        <w:pStyle w:val="4"/>
        <w:keepNext w:val="0"/>
        <w:keepLines w:val="0"/>
        <w:pageBreakBefore w:val="0"/>
        <w:widowControl w:val="0"/>
        <w:numPr>
          <w:ilvl w:val="0"/>
          <w:numId w:val="0"/>
        </w:numPr>
        <w:tabs>
          <w:tab w:val="left" w:pos="360"/>
          <w:tab w:val="left" w:pos="900"/>
          <w:tab w:val="left" w:pos="1588"/>
        </w:tabs>
        <w:kinsoku/>
        <w:wordWrap/>
        <w:overflowPunct/>
        <w:topLinePunct w:val="0"/>
        <w:autoSpaceDE/>
        <w:autoSpaceDN/>
        <w:bidi w:val="0"/>
        <w:snapToGrid/>
        <w:spacing w:line="360" w:lineRule="auto"/>
        <w:ind w:firstLine="480" w:firstLineChars="200"/>
        <w:jc w:val="left"/>
        <w:rPr>
          <w:rFonts w:hint="eastAsia" w:ascii="宋体" w:hAnsi="宋体" w:eastAsia="宋体" w:cs="宋体"/>
          <w:color w:val="auto"/>
          <w:sz w:val="24"/>
          <w:szCs w:val="24"/>
          <w:highlight w:val="none"/>
          <w:lang w:val="en-US" w:eastAsia="zh-CN"/>
        </w:rPr>
      </w:pPr>
      <w:bookmarkStart w:id="266" w:name="_Toc1273"/>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核心产品：液相色谱-串联三重四极杆质谱。</w:t>
      </w:r>
      <w:bookmarkEnd w:id="266"/>
    </w:p>
    <w:p w14:paraId="65F1F7C5">
      <w:pPr>
        <w:pStyle w:val="4"/>
        <w:keepNext w:val="0"/>
        <w:keepLines w:val="0"/>
        <w:pageBreakBefore w:val="0"/>
        <w:widowControl w:val="0"/>
        <w:numPr>
          <w:ilvl w:val="0"/>
          <w:numId w:val="0"/>
        </w:numPr>
        <w:tabs>
          <w:tab w:val="left" w:pos="360"/>
          <w:tab w:val="left" w:pos="900"/>
          <w:tab w:val="left" w:pos="1588"/>
        </w:tabs>
        <w:kinsoku/>
        <w:wordWrap/>
        <w:overflowPunct/>
        <w:topLinePunct w:val="0"/>
        <w:autoSpaceDE/>
        <w:autoSpaceDN/>
        <w:bidi w:val="0"/>
        <w:snapToGrid/>
        <w:spacing w:line="360" w:lineRule="auto"/>
        <w:ind w:firstLine="480" w:firstLineChars="200"/>
        <w:jc w:val="left"/>
        <w:rPr>
          <w:rFonts w:hint="eastAsia"/>
          <w:color w:val="auto"/>
          <w:highlight w:val="none"/>
          <w:lang w:val="en-US" w:eastAsia="zh-CN"/>
        </w:rPr>
      </w:pPr>
      <w:bookmarkStart w:id="267" w:name="_Toc27945"/>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标注“</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”的重要参数。</w:t>
      </w:r>
      <w:bookmarkEnd w:id="267"/>
    </w:p>
    <w:tbl>
      <w:tblPr>
        <w:tblStyle w:val="38"/>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7"/>
        <w:gridCol w:w="1426"/>
        <w:gridCol w:w="3447"/>
        <w:gridCol w:w="686"/>
        <w:gridCol w:w="904"/>
        <w:gridCol w:w="1265"/>
        <w:gridCol w:w="1012"/>
      </w:tblGrid>
      <w:tr w14:paraId="76264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3EEE2B6E">
            <w:pPr>
              <w:keepNext w:val="0"/>
              <w:keepLines w:val="0"/>
              <w:pageBreakBefore w:val="0"/>
              <w:widowControl/>
              <w:suppressLineNumbers w:val="0"/>
              <w:kinsoku/>
              <w:wordWrap w:val="0"/>
              <w:overflowPunct/>
              <w:bidi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778" w:type="pct"/>
            <w:tcBorders>
              <w:top w:val="single" w:color="000000" w:sz="4" w:space="0"/>
              <w:left w:val="single" w:color="000000" w:sz="4" w:space="0"/>
              <w:bottom w:val="single" w:color="000000" w:sz="4" w:space="0"/>
              <w:right w:val="single" w:color="000000" w:sz="4" w:space="0"/>
            </w:tcBorders>
            <w:noWrap w:val="0"/>
            <w:vAlign w:val="center"/>
          </w:tcPr>
          <w:p w14:paraId="77E504FF">
            <w:pPr>
              <w:keepNext w:val="0"/>
              <w:keepLines w:val="0"/>
              <w:pageBreakBefore w:val="0"/>
              <w:widowControl/>
              <w:suppressLineNumbers w:val="0"/>
              <w:kinsoku/>
              <w:wordWrap w:val="0"/>
              <w:overflowPunct/>
              <w:bidi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设备名称</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2EA63B4C">
            <w:pPr>
              <w:keepNext w:val="0"/>
              <w:keepLines w:val="0"/>
              <w:pageBreakBefore w:val="0"/>
              <w:widowControl/>
              <w:suppressLineNumbers w:val="0"/>
              <w:kinsoku/>
              <w:wordWrap w:val="0"/>
              <w:overflowPunct/>
              <w:bidi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主要用途（检测商品与主要检测项目类别）</w:t>
            </w:r>
          </w:p>
        </w:tc>
        <w:tc>
          <w:tcPr>
            <w:tcW w:w="374" w:type="pct"/>
            <w:tcBorders>
              <w:top w:val="single" w:color="000000" w:sz="4" w:space="0"/>
              <w:left w:val="single" w:color="000000" w:sz="4" w:space="0"/>
              <w:bottom w:val="single" w:color="000000" w:sz="4" w:space="0"/>
              <w:right w:val="single" w:color="000000" w:sz="4" w:space="0"/>
            </w:tcBorders>
            <w:noWrap w:val="0"/>
            <w:vAlign w:val="center"/>
          </w:tcPr>
          <w:p w14:paraId="7012FFA7">
            <w:pPr>
              <w:keepNext w:val="0"/>
              <w:keepLines w:val="0"/>
              <w:pageBreakBefore w:val="0"/>
              <w:widowControl/>
              <w:suppressLineNumbers w:val="0"/>
              <w:kinsoku/>
              <w:wordWrap w:val="0"/>
              <w:overflowPunct/>
              <w:bidi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是否进口</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0764B841">
            <w:pPr>
              <w:keepNext w:val="0"/>
              <w:keepLines w:val="0"/>
              <w:pageBreakBefore w:val="0"/>
              <w:widowControl/>
              <w:suppressLineNumbers w:val="0"/>
              <w:kinsoku/>
              <w:wordWrap w:val="0"/>
              <w:overflowPunct/>
              <w:bidi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（台/套）</w:t>
            </w:r>
          </w:p>
        </w:tc>
        <w:tc>
          <w:tcPr>
            <w:tcW w:w="688" w:type="pct"/>
            <w:tcBorders>
              <w:top w:val="single" w:color="000000" w:sz="4" w:space="0"/>
              <w:left w:val="single" w:color="000000" w:sz="4" w:space="0"/>
              <w:bottom w:val="single" w:color="000000" w:sz="4" w:space="0"/>
              <w:right w:val="single" w:color="000000" w:sz="4" w:space="0"/>
            </w:tcBorders>
            <w:noWrap w:val="0"/>
            <w:vAlign w:val="center"/>
          </w:tcPr>
          <w:p w14:paraId="651C3975">
            <w:pPr>
              <w:keepNext w:val="0"/>
              <w:keepLines w:val="0"/>
              <w:pageBreakBefore w:val="0"/>
              <w:widowControl/>
              <w:suppressLineNumbers w:val="0"/>
              <w:kinsoku/>
              <w:wordWrap w:val="0"/>
              <w:overflowPunct/>
              <w:bidi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控制单价  （万元）</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3954D46B">
            <w:pPr>
              <w:keepNext w:val="0"/>
              <w:keepLines w:val="0"/>
              <w:pageBreakBefore w:val="0"/>
              <w:widowControl/>
              <w:suppressLineNumbers w:val="0"/>
              <w:kinsoku/>
              <w:wordWrap w:val="0"/>
              <w:overflowPunct/>
              <w:bidi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79317706">
            <w:pPr>
              <w:keepNext w:val="0"/>
              <w:keepLines w:val="0"/>
              <w:pageBreakBefore w:val="0"/>
              <w:widowControl/>
              <w:suppressLineNumbers w:val="0"/>
              <w:kinsoku/>
              <w:wordWrap w:val="0"/>
              <w:overflowPunct/>
              <w:bidi w:val="0"/>
              <w:jc w:val="center"/>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（万元）</w:t>
            </w:r>
          </w:p>
        </w:tc>
      </w:tr>
      <w:tr w14:paraId="2C9A1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500F63D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8" w:type="pct"/>
            <w:tcBorders>
              <w:top w:val="single" w:color="000000" w:sz="4" w:space="0"/>
              <w:left w:val="single" w:color="000000" w:sz="4" w:space="0"/>
              <w:bottom w:val="single" w:color="000000" w:sz="4" w:space="0"/>
              <w:right w:val="single" w:color="000000" w:sz="4" w:space="0"/>
            </w:tcBorders>
            <w:noWrap w:val="0"/>
            <w:vAlign w:val="center"/>
          </w:tcPr>
          <w:p w14:paraId="38F6E27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全自动酶免仪</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549F290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动物/人的疫病 Elisa 检测、兽药残留/瘦肉精等检测、细菌、病毒抗原检测、三聚氰胺含量检测、分子生物学和细胞生物学科研工作</w:t>
            </w:r>
          </w:p>
        </w:tc>
        <w:tc>
          <w:tcPr>
            <w:tcW w:w="374" w:type="pct"/>
            <w:tcBorders>
              <w:top w:val="single" w:color="000000" w:sz="4" w:space="0"/>
              <w:left w:val="single" w:color="000000" w:sz="4" w:space="0"/>
              <w:bottom w:val="single" w:color="000000" w:sz="4" w:space="0"/>
              <w:right w:val="single" w:color="000000" w:sz="4" w:space="0"/>
            </w:tcBorders>
            <w:noWrap w:val="0"/>
            <w:vAlign w:val="center"/>
          </w:tcPr>
          <w:p w14:paraId="7E1A6F5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6C7B05D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88" w:type="pct"/>
            <w:tcBorders>
              <w:top w:val="single" w:color="000000" w:sz="4" w:space="0"/>
              <w:left w:val="single" w:color="000000" w:sz="4" w:space="0"/>
              <w:bottom w:val="single" w:color="000000" w:sz="4" w:space="0"/>
              <w:right w:val="single" w:color="000000" w:sz="4" w:space="0"/>
            </w:tcBorders>
            <w:noWrap w:val="0"/>
            <w:vAlign w:val="center"/>
          </w:tcPr>
          <w:p w14:paraId="2A57C65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26.90</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4684B9E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26.90</w:t>
            </w:r>
          </w:p>
        </w:tc>
      </w:tr>
      <w:tr w14:paraId="35E74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05125B5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8" w:type="pct"/>
            <w:tcBorders>
              <w:top w:val="single" w:color="000000" w:sz="4" w:space="0"/>
              <w:left w:val="single" w:color="000000" w:sz="4" w:space="0"/>
              <w:bottom w:val="single" w:color="000000" w:sz="4" w:space="0"/>
              <w:right w:val="single" w:color="000000" w:sz="4" w:space="0"/>
            </w:tcBorders>
            <w:noWrap w:val="0"/>
            <w:vAlign w:val="center"/>
          </w:tcPr>
          <w:p w14:paraId="0D0F972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高速冷冻离心机</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68302AB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用于分离和富集食物中的微生物、蛋白质等成分，以进行质量控制和检测</w:t>
            </w:r>
          </w:p>
        </w:tc>
        <w:tc>
          <w:tcPr>
            <w:tcW w:w="374" w:type="pct"/>
            <w:tcBorders>
              <w:top w:val="single" w:color="000000" w:sz="4" w:space="0"/>
              <w:left w:val="single" w:color="000000" w:sz="4" w:space="0"/>
              <w:bottom w:val="single" w:color="000000" w:sz="4" w:space="0"/>
              <w:right w:val="single" w:color="000000" w:sz="4" w:space="0"/>
            </w:tcBorders>
            <w:noWrap w:val="0"/>
            <w:vAlign w:val="center"/>
          </w:tcPr>
          <w:p w14:paraId="66567EB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15888DD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88" w:type="pct"/>
            <w:tcBorders>
              <w:top w:val="single" w:color="000000" w:sz="4" w:space="0"/>
              <w:left w:val="single" w:color="000000" w:sz="4" w:space="0"/>
              <w:bottom w:val="single" w:color="000000" w:sz="4" w:space="0"/>
              <w:right w:val="single" w:color="000000" w:sz="4" w:space="0"/>
            </w:tcBorders>
            <w:noWrap w:val="0"/>
            <w:vAlign w:val="center"/>
          </w:tcPr>
          <w:p w14:paraId="45E4B76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8.71</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5070283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8.71</w:t>
            </w:r>
          </w:p>
        </w:tc>
      </w:tr>
      <w:tr w14:paraId="448C1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150FFE9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8" w:type="pct"/>
            <w:tcBorders>
              <w:top w:val="nil"/>
              <w:left w:val="nil"/>
              <w:bottom w:val="nil"/>
              <w:right w:val="nil"/>
            </w:tcBorders>
            <w:noWrap w:val="0"/>
            <w:vAlign w:val="center"/>
          </w:tcPr>
          <w:p w14:paraId="6E531B3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全自动多功能成像系统</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0FF574A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适用于化学发光成像、核酸成像、SDS-PAGE 胶成像、菌落成像，荧光标记实验等。化学发光检测：Westernblot、Southernblot、Northernblot、Dotblot 等 发 光 实 验 多 色 荧 光 检测 ： 可 实 现 多 通 道 荧 光 检 测 ：AMCA/AlexaFluor350/DyLight350 、cy2/AlexaFluor488/DyLight488 、cy3/AlexaFluor555/DyLight550、cy5/AlexaFluor647/DyLight649凝胶检测：满足 TanonTM 核酸染料 Red、TanonTM 核酸染料 Green、溴化乙锭（EB）、SYBR®Green、SYBR®Gold、SYBR®Safe、GelRedTM、GelStar®、SYPRO®Ruby、SYPRO®Orange、Qdots®、考马斯亮蓝、银染等染料成像。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其他应用：各种杂交膜，蛋白转印膜，培养皿菌落计数，酶标板，点杂交，蛋白芯片，电化学。</w:t>
            </w:r>
          </w:p>
        </w:tc>
        <w:tc>
          <w:tcPr>
            <w:tcW w:w="374" w:type="pct"/>
            <w:tcBorders>
              <w:top w:val="single" w:color="000000" w:sz="4" w:space="0"/>
              <w:left w:val="single" w:color="000000" w:sz="4" w:space="0"/>
              <w:bottom w:val="single" w:color="000000" w:sz="4" w:space="0"/>
              <w:right w:val="single" w:color="000000" w:sz="4" w:space="0"/>
            </w:tcBorders>
            <w:noWrap w:val="0"/>
            <w:vAlign w:val="center"/>
          </w:tcPr>
          <w:p w14:paraId="092805A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3032F4F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88" w:type="pct"/>
            <w:tcBorders>
              <w:top w:val="single" w:color="000000" w:sz="4" w:space="0"/>
              <w:left w:val="single" w:color="000000" w:sz="4" w:space="0"/>
              <w:bottom w:val="single" w:color="000000" w:sz="4" w:space="0"/>
              <w:right w:val="single" w:color="000000" w:sz="4" w:space="0"/>
            </w:tcBorders>
            <w:noWrap w:val="0"/>
            <w:vAlign w:val="center"/>
          </w:tcPr>
          <w:p w14:paraId="69E4820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36.84</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6E79DB7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36.84</w:t>
            </w:r>
          </w:p>
        </w:tc>
      </w:tr>
      <w:tr w14:paraId="5DE6A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6ABDEEA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78" w:type="pct"/>
            <w:tcBorders>
              <w:top w:val="single" w:color="000000" w:sz="4" w:space="0"/>
              <w:left w:val="single" w:color="000000" w:sz="4" w:space="0"/>
              <w:bottom w:val="single" w:color="000000" w:sz="4" w:space="0"/>
              <w:right w:val="single" w:color="000000" w:sz="4" w:space="0"/>
            </w:tcBorders>
            <w:noWrap w:val="0"/>
            <w:vAlign w:val="center"/>
          </w:tcPr>
          <w:p w14:paraId="0D59A54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全自动均质器</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448CAB5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用于动物组织、生物样品、食品、药品、化妆品，等的均质处理，特别适用于农兽残检测样品的提取。</w:t>
            </w:r>
          </w:p>
        </w:tc>
        <w:tc>
          <w:tcPr>
            <w:tcW w:w="374" w:type="pct"/>
            <w:tcBorders>
              <w:top w:val="single" w:color="000000" w:sz="4" w:space="0"/>
              <w:left w:val="single" w:color="000000" w:sz="4" w:space="0"/>
              <w:bottom w:val="single" w:color="000000" w:sz="4" w:space="0"/>
              <w:right w:val="single" w:color="000000" w:sz="4" w:space="0"/>
            </w:tcBorders>
            <w:noWrap w:val="0"/>
            <w:vAlign w:val="center"/>
          </w:tcPr>
          <w:p w14:paraId="2362A56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08FEFF7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88" w:type="pct"/>
            <w:tcBorders>
              <w:top w:val="single" w:color="000000" w:sz="4" w:space="0"/>
              <w:left w:val="single" w:color="000000" w:sz="4" w:space="0"/>
              <w:bottom w:val="single" w:color="000000" w:sz="4" w:space="0"/>
              <w:right w:val="single" w:color="000000" w:sz="4" w:space="0"/>
            </w:tcBorders>
            <w:noWrap w:val="0"/>
            <w:vAlign w:val="center"/>
          </w:tcPr>
          <w:p w14:paraId="5A8A746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16.37</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5A37878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32.7</w:t>
            </w:r>
            <w:r>
              <w:rPr>
                <w:rFonts w:hint="eastAsia" w:ascii="宋体" w:hAnsi="宋体" w:cs="宋体"/>
                <w:i w:val="0"/>
                <w:iCs w:val="0"/>
                <w:color w:val="auto"/>
                <w:kern w:val="0"/>
                <w:sz w:val="21"/>
                <w:szCs w:val="21"/>
                <w:highlight w:val="none"/>
                <w:u w:val="none"/>
                <w:lang w:val="en-US" w:eastAsia="zh-CN" w:bidi="ar"/>
              </w:rPr>
              <w:t>4</w:t>
            </w:r>
          </w:p>
        </w:tc>
      </w:tr>
      <w:tr w14:paraId="4B2A3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1077E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7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7C082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低温&amp;灭活研磨仪</w:t>
            </w:r>
          </w:p>
        </w:tc>
        <w:tc>
          <w:tcPr>
            <w:tcW w:w="188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83BB8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用于土壤、植物和动物的组织/器官、细菌、酵母、真菌、孢子、标本等样本进行研磨粉碎</w:t>
            </w:r>
          </w:p>
        </w:tc>
        <w:tc>
          <w:tcPr>
            <w:tcW w:w="3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C101A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127BF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693F7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20.05</w:t>
            </w:r>
          </w:p>
        </w:tc>
        <w:tc>
          <w:tcPr>
            <w:tcW w:w="5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7990B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20.05</w:t>
            </w:r>
          </w:p>
        </w:tc>
      </w:tr>
      <w:tr w14:paraId="0FD6E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387528F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78" w:type="pct"/>
            <w:tcBorders>
              <w:top w:val="single" w:color="000000" w:sz="4" w:space="0"/>
              <w:left w:val="single" w:color="000000" w:sz="4" w:space="0"/>
              <w:bottom w:val="single" w:color="000000" w:sz="4" w:space="0"/>
              <w:right w:val="single" w:color="000000" w:sz="4" w:space="0"/>
            </w:tcBorders>
            <w:noWrap w:val="0"/>
            <w:vAlign w:val="center"/>
          </w:tcPr>
          <w:p w14:paraId="51DDABE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生物安全柜</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40F09E0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用于检测实验中防止生物安全样品产生的气溶胶等对人员和环境造成危害</w:t>
            </w:r>
          </w:p>
        </w:tc>
        <w:tc>
          <w:tcPr>
            <w:tcW w:w="374" w:type="pct"/>
            <w:tcBorders>
              <w:top w:val="single" w:color="000000" w:sz="4" w:space="0"/>
              <w:left w:val="single" w:color="000000" w:sz="4" w:space="0"/>
              <w:bottom w:val="single" w:color="000000" w:sz="4" w:space="0"/>
              <w:right w:val="single" w:color="000000" w:sz="4" w:space="0"/>
            </w:tcBorders>
            <w:noWrap w:val="0"/>
            <w:vAlign w:val="center"/>
          </w:tcPr>
          <w:p w14:paraId="4B69E77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0C0558E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688" w:type="pct"/>
            <w:tcBorders>
              <w:top w:val="single" w:color="000000" w:sz="4" w:space="0"/>
              <w:left w:val="single" w:color="000000" w:sz="4" w:space="0"/>
              <w:bottom w:val="single" w:color="000000" w:sz="4" w:space="0"/>
              <w:right w:val="single" w:color="000000" w:sz="4" w:space="0"/>
            </w:tcBorders>
            <w:noWrap w:val="0"/>
            <w:vAlign w:val="center"/>
          </w:tcPr>
          <w:p w14:paraId="52883CE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13.83</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1B53348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41.</w:t>
            </w:r>
            <w:r>
              <w:rPr>
                <w:rFonts w:hint="eastAsia" w:ascii="宋体" w:hAnsi="宋体" w:cs="宋体"/>
                <w:i w:val="0"/>
                <w:iCs w:val="0"/>
                <w:color w:val="auto"/>
                <w:kern w:val="0"/>
                <w:sz w:val="21"/>
                <w:szCs w:val="21"/>
                <w:highlight w:val="none"/>
                <w:u w:val="none"/>
                <w:lang w:val="en-US" w:eastAsia="zh-CN" w:bidi="ar"/>
              </w:rPr>
              <w:t>49</w:t>
            </w:r>
          </w:p>
        </w:tc>
      </w:tr>
      <w:tr w14:paraId="15289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12278D0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778" w:type="pct"/>
            <w:tcBorders>
              <w:top w:val="single" w:color="000000" w:sz="4" w:space="0"/>
              <w:left w:val="single" w:color="000000" w:sz="4" w:space="0"/>
              <w:bottom w:val="single" w:color="000000" w:sz="4" w:space="0"/>
              <w:right w:val="single" w:color="000000" w:sz="4" w:space="0"/>
            </w:tcBorders>
            <w:noWrap w:val="0"/>
            <w:vAlign w:val="center"/>
          </w:tcPr>
          <w:p w14:paraId="7FB94B6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实时荧光定量PCR仪</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13B1258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可实现多病同检，多病同防，提升口岸检出率，提升口岸通关时效。</w:t>
            </w:r>
          </w:p>
        </w:tc>
        <w:tc>
          <w:tcPr>
            <w:tcW w:w="374" w:type="pct"/>
            <w:tcBorders>
              <w:top w:val="single" w:color="000000" w:sz="4" w:space="0"/>
              <w:left w:val="single" w:color="000000" w:sz="4" w:space="0"/>
              <w:bottom w:val="single" w:color="000000" w:sz="4" w:space="0"/>
              <w:right w:val="single" w:color="000000" w:sz="4" w:space="0"/>
            </w:tcBorders>
            <w:noWrap w:val="0"/>
            <w:vAlign w:val="center"/>
          </w:tcPr>
          <w:p w14:paraId="5FF575F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3D6EA9D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88" w:type="pct"/>
            <w:tcBorders>
              <w:top w:val="single" w:color="000000" w:sz="4" w:space="0"/>
              <w:left w:val="single" w:color="000000" w:sz="4" w:space="0"/>
              <w:bottom w:val="single" w:color="000000" w:sz="4" w:space="0"/>
              <w:right w:val="single" w:color="000000" w:sz="4" w:space="0"/>
            </w:tcBorders>
            <w:noWrap w:val="0"/>
            <w:vAlign w:val="center"/>
          </w:tcPr>
          <w:p w14:paraId="02FD296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19.60</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5984F70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19.60</w:t>
            </w:r>
          </w:p>
        </w:tc>
      </w:tr>
      <w:tr w14:paraId="0B8B9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5FBE220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778" w:type="pct"/>
            <w:tcBorders>
              <w:top w:val="single" w:color="000000" w:sz="4" w:space="0"/>
              <w:left w:val="single" w:color="000000" w:sz="4" w:space="0"/>
              <w:bottom w:val="single" w:color="000000" w:sz="4" w:space="0"/>
              <w:right w:val="single" w:color="000000" w:sz="4" w:space="0"/>
            </w:tcBorders>
            <w:noWrap w:val="0"/>
            <w:vAlign w:val="center"/>
          </w:tcPr>
          <w:p w14:paraId="2363D84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核酸提取</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30FE5CC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满足实验室快速检测测的工作需要，助推通关便利化，提升通关效率，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保障进口能源安全。更进一步提升海关实验室自动化、智慧化水平，对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于海关口岸监管、服务地方经济发展有着重大的意义。</w:t>
            </w:r>
          </w:p>
        </w:tc>
        <w:tc>
          <w:tcPr>
            <w:tcW w:w="374" w:type="pct"/>
            <w:tcBorders>
              <w:top w:val="single" w:color="000000" w:sz="4" w:space="0"/>
              <w:left w:val="single" w:color="000000" w:sz="4" w:space="0"/>
              <w:bottom w:val="single" w:color="000000" w:sz="4" w:space="0"/>
              <w:right w:val="single" w:color="000000" w:sz="4" w:space="0"/>
            </w:tcBorders>
            <w:noWrap w:val="0"/>
            <w:vAlign w:val="center"/>
          </w:tcPr>
          <w:p w14:paraId="44BEC50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4F9C857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88" w:type="pct"/>
            <w:tcBorders>
              <w:top w:val="single" w:color="000000" w:sz="4" w:space="0"/>
              <w:left w:val="single" w:color="000000" w:sz="4" w:space="0"/>
              <w:bottom w:val="single" w:color="000000" w:sz="4" w:space="0"/>
              <w:right w:val="single" w:color="000000" w:sz="4" w:space="0"/>
            </w:tcBorders>
            <w:noWrap w:val="0"/>
            <w:vAlign w:val="center"/>
          </w:tcPr>
          <w:p w14:paraId="039C7DE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17.69</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4E54DA1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17.69</w:t>
            </w:r>
          </w:p>
        </w:tc>
      </w:tr>
      <w:tr w14:paraId="6D8AF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B01B4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77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B0EF9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全自动酶联免疫分析仪</w:t>
            </w:r>
          </w:p>
        </w:tc>
        <w:tc>
          <w:tcPr>
            <w:tcW w:w="188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C54D9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解决 ELISA 实验的自动化、标准化；更好的对 ELISA 实验进行全流程质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量控制。通量 20 块左右酶标板容量的全自动酶免仪即可满足日常工作，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缩短项目报告等待时间。</w:t>
            </w:r>
          </w:p>
        </w:tc>
        <w:tc>
          <w:tcPr>
            <w:tcW w:w="3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CF1EA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790A6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1ABEE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27.87</w:t>
            </w:r>
          </w:p>
        </w:tc>
        <w:tc>
          <w:tcPr>
            <w:tcW w:w="5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18E13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27.87</w:t>
            </w:r>
          </w:p>
        </w:tc>
      </w:tr>
      <w:tr w14:paraId="45E00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242FC7A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78" w:type="pct"/>
            <w:tcBorders>
              <w:top w:val="single" w:color="000000" w:sz="4" w:space="0"/>
              <w:left w:val="single" w:color="000000" w:sz="4" w:space="0"/>
              <w:bottom w:val="single" w:color="000000" w:sz="4" w:space="0"/>
              <w:right w:val="single" w:color="000000" w:sz="4" w:space="0"/>
            </w:tcBorders>
            <w:noWrap w:val="0"/>
            <w:vAlign w:val="center"/>
          </w:tcPr>
          <w:p w14:paraId="56F5C35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液相色谱-串联三重四极杆质谱</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1BAAEF0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用于水产品痕量物质精准检测，主要测兽药残留、生物毒素、环境污染物，满足高通量与低检出限需求。海关监管要求按国标与 SN 标准执行，严格定性定量、核查残留限量，作为进出口通关、执法判定与风险监控的法定技术依据。</w:t>
            </w:r>
          </w:p>
        </w:tc>
        <w:tc>
          <w:tcPr>
            <w:tcW w:w="374" w:type="pct"/>
            <w:tcBorders>
              <w:top w:val="single" w:color="000000" w:sz="4" w:space="0"/>
              <w:left w:val="single" w:color="000000" w:sz="4" w:space="0"/>
              <w:bottom w:val="single" w:color="000000" w:sz="4" w:space="0"/>
              <w:right w:val="single" w:color="000000" w:sz="4" w:space="0"/>
            </w:tcBorders>
            <w:noWrap w:val="0"/>
            <w:vAlign w:val="center"/>
          </w:tcPr>
          <w:p w14:paraId="060A90A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28D21A2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88" w:type="pct"/>
            <w:tcBorders>
              <w:top w:val="single" w:color="000000" w:sz="4" w:space="0"/>
              <w:left w:val="single" w:color="000000" w:sz="4" w:space="0"/>
              <w:bottom w:val="single" w:color="000000" w:sz="4" w:space="0"/>
              <w:right w:val="single" w:color="000000" w:sz="4" w:space="0"/>
            </w:tcBorders>
            <w:noWrap w:val="0"/>
            <w:vAlign w:val="center"/>
          </w:tcPr>
          <w:p w14:paraId="21CDEED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247.44</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180A713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247.44</w:t>
            </w:r>
          </w:p>
        </w:tc>
      </w:tr>
      <w:tr w14:paraId="3E0A3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738AE27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778" w:type="pct"/>
            <w:tcBorders>
              <w:top w:val="single" w:color="000000" w:sz="4" w:space="0"/>
              <w:left w:val="single" w:color="000000" w:sz="4" w:space="0"/>
              <w:bottom w:val="single" w:color="000000" w:sz="4" w:space="0"/>
              <w:right w:val="single" w:color="000000" w:sz="4" w:space="0"/>
            </w:tcBorders>
            <w:noWrap w:val="0"/>
            <w:vAlign w:val="center"/>
          </w:tcPr>
          <w:p w14:paraId="77D3BA4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电感耦合等离子体-质谱仪（ICP-MS）</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6F5A0A8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于水产品中重金属精准检测，可快速定量砷、镉、铅、汞、铬等有毒有害元素，灵敏度高、线性范围宽，适用于鱼、虾、贝等复杂基质。海关监管中，用于进出口安全把关，严格执行国标及限量要求，实现痕量元素快速筛查与确证，防范重金属污染风险，保障贸易通关与食品安全。</w:t>
            </w:r>
          </w:p>
        </w:tc>
        <w:tc>
          <w:tcPr>
            <w:tcW w:w="374" w:type="pct"/>
            <w:tcBorders>
              <w:top w:val="single" w:color="000000" w:sz="4" w:space="0"/>
              <w:left w:val="single" w:color="000000" w:sz="4" w:space="0"/>
              <w:bottom w:val="single" w:color="000000" w:sz="4" w:space="0"/>
              <w:right w:val="single" w:color="000000" w:sz="4" w:space="0"/>
            </w:tcBorders>
            <w:noWrap w:val="0"/>
            <w:vAlign w:val="center"/>
          </w:tcPr>
          <w:p w14:paraId="48922D6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5344A8A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88" w:type="pct"/>
            <w:tcBorders>
              <w:top w:val="single" w:color="000000" w:sz="4" w:space="0"/>
              <w:left w:val="single" w:color="000000" w:sz="4" w:space="0"/>
              <w:bottom w:val="single" w:color="000000" w:sz="4" w:space="0"/>
              <w:right w:val="single" w:color="000000" w:sz="4" w:space="0"/>
            </w:tcBorders>
            <w:noWrap w:val="0"/>
            <w:vAlign w:val="center"/>
          </w:tcPr>
          <w:p w14:paraId="54B3407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131.43</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7ED2664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131.43</w:t>
            </w:r>
          </w:p>
        </w:tc>
      </w:tr>
      <w:tr w14:paraId="23C3C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45D6F39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778" w:type="pct"/>
            <w:tcBorders>
              <w:top w:val="single" w:color="000000" w:sz="4" w:space="0"/>
              <w:left w:val="single" w:color="000000" w:sz="4" w:space="0"/>
              <w:bottom w:val="single" w:color="000000" w:sz="4" w:space="0"/>
              <w:right w:val="single" w:color="000000" w:sz="4" w:space="0"/>
            </w:tcBorders>
            <w:noWrap w:val="0"/>
            <w:vAlign w:val="center"/>
          </w:tcPr>
          <w:p w14:paraId="1B737AD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Quechers 前处理设备</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593860C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用于农、兽药残留等前处理</w:t>
            </w:r>
          </w:p>
        </w:tc>
        <w:tc>
          <w:tcPr>
            <w:tcW w:w="374" w:type="pct"/>
            <w:tcBorders>
              <w:top w:val="single" w:color="000000" w:sz="4" w:space="0"/>
              <w:left w:val="single" w:color="000000" w:sz="4" w:space="0"/>
              <w:bottom w:val="single" w:color="000000" w:sz="4" w:space="0"/>
              <w:right w:val="single" w:color="000000" w:sz="4" w:space="0"/>
            </w:tcBorders>
            <w:noWrap w:val="0"/>
            <w:vAlign w:val="center"/>
          </w:tcPr>
          <w:p w14:paraId="35B5D87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34AAD46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88" w:type="pct"/>
            <w:tcBorders>
              <w:top w:val="single" w:color="000000" w:sz="4" w:space="0"/>
              <w:left w:val="single" w:color="000000" w:sz="4" w:space="0"/>
              <w:bottom w:val="single" w:color="000000" w:sz="4" w:space="0"/>
              <w:right w:val="single" w:color="000000" w:sz="4" w:space="0"/>
            </w:tcBorders>
            <w:noWrap w:val="0"/>
            <w:vAlign w:val="center"/>
          </w:tcPr>
          <w:p w14:paraId="69B9C5F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49.04</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2980FE9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49.04</w:t>
            </w:r>
          </w:p>
        </w:tc>
      </w:tr>
      <w:tr w14:paraId="67340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5139637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778" w:type="pct"/>
            <w:tcBorders>
              <w:top w:val="single" w:color="000000" w:sz="4" w:space="0"/>
              <w:left w:val="single" w:color="000000" w:sz="4" w:space="0"/>
              <w:bottom w:val="single" w:color="000000" w:sz="4" w:space="0"/>
              <w:right w:val="single" w:color="000000" w:sz="4" w:space="0"/>
            </w:tcBorders>
            <w:noWrap w:val="0"/>
            <w:vAlign w:val="center"/>
          </w:tcPr>
          <w:p w14:paraId="1743775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超声波清洗器</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1BF0CDF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实验器皿清洗</w:t>
            </w:r>
          </w:p>
        </w:tc>
        <w:tc>
          <w:tcPr>
            <w:tcW w:w="374" w:type="pct"/>
            <w:tcBorders>
              <w:top w:val="single" w:color="000000" w:sz="4" w:space="0"/>
              <w:left w:val="single" w:color="000000" w:sz="4" w:space="0"/>
              <w:bottom w:val="single" w:color="000000" w:sz="4" w:space="0"/>
              <w:right w:val="single" w:color="000000" w:sz="4" w:space="0"/>
            </w:tcBorders>
            <w:noWrap w:val="0"/>
            <w:vAlign w:val="center"/>
          </w:tcPr>
          <w:p w14:paraId="57EAE0F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056F10C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88" w:type="pct"/>
            <w:tcBorders>
              <w:top w:val="single" w:color="000000" w:sz="4" w:space="0"/>
              <w:left w:val="single" w:color="000000" w:sz="4" w:space="0"/>
              <w:bottom w:val="single" w:color="000000" w:sz="4" w:space="0"/>
              <w:right w:val="single" w:color="000000" w:sz="4" w:space="0"/>
            </w:tcBorders>
            <w:noWrap w:val="0"/>
            <w:vAlign w:val="center"/>
          </w:tcPr>
          <w:p w14:paraId="0C4C3A4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0.52</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525A439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w:t>
            </w:r>
            <w:r>
              <w:rPr>
                <w:rFonts w:hint="eastAsia" w:ascii="宋体" w:hAnsi="宋体" w:cs="宋体"/>
                <w:i w:val="0"/>
                <w:iCs w:val="0"/>
                <w:color w:val="auto"/>
                <w:kern w:val="0"/>
                <w:sz w:val="21"/>
                <w:szCs w:val="21"/>
                <w:highlight w:val="none"/>
                <w:u w:val="none"/>
                <w:lang w:val="en-US" w:eastAsia="zh-CN" w:bidi="ar"/>
              </w:rPr>
              <w:t>4</w:t>
            </w:r>
          </w:p>
        </w:tc>
      </w:tr>
      <w:tr w14:paraId="6DF6B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4D3847E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778" w:type="pct"/>
            <w:tcBorders>
              <w:top w:val="single" w:color="000000" w:sz="4" w:space="0"/>
              <w:left w:val="single" w:color="000000" w:sz="4" w:space="0"/>
              <w:bottom w:val="single" w:color="000000" w:sz="4" w:space="0"/>
              <w:right w:val="single" w:color="000000" w:sz="4" w:space="0"/>
            </w:tcBorders>
            <w:noWrap w:val="0"/>
            <w:vAlign w:val="center"/>
          </w:tcPr>
          <w:p w14:paraId="335292D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直接测汞仪</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1B63620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直接测汞仪用于水产品中总汞快速定量检测，无需复杂前处理，直接固体 / 液体进样，高温热解、金汞齐富集后原子吸收测定，灵敏度高、速度快、无试剂污染。海关监管中，严格执行汞残留限量标准，高效防控汞污染风险，保障水产品通关安全与食用安全。</w:t>
            </w:r>
          </w:p>
        </w:tc>
        <w:tc>
          <w:tcPr>
            <w:tcW w:w="374" w:type="pct"/>
            <w:tcBorders>
              <w:top w:val="single" w:color="000000" w:sz="4" w:space="0"/>
              <w:left w:val="single" w:color="000000" w:sz="4" w:space="0"/>
              <w:bottom w:val="single" w:color="000000" w:sz="4" w:space="0"/>
              <w:right w:val="single" w:color="000000" w:sz="4" w:space="0"/>
            </w:tcBorders>
            <w:noWrap w:val="0"/>
            <w:vAlign w:val="center"/>
          </w:tcPr>
          <w:p w14:paraId="0D41113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577BB64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88" w:type="pct"/>
            <w:tcBorders>
              <w:top w:val="single" w:color="000000" w:sz="4" w:space="0"/>
              <w:left w:val="single" w:color="000000" w:sz="4" w:space="0"/>
              <w:bottom w:val="single" w:color="000000" w:sz="4" w:space="0"/>
              <w:right w:val="single" w:color="000000" w:sz="4" w:space="0"/>
            </w:tcBorders>
            <w:noWrap w:val="0"/>
            <w:vAlign w:val="center"/>
          </w:tcPr>
          <w:p w14:paraId="73270D2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36.71</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3AFED45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36.71</w:t>
            </w:r>
          </w:p>
        </w:tc>
      </w:tr>
      <w:tr w14:paraId="1382D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0D0B53B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778" w:type="pct"/>
            <w:tcBorders>
              <w:top w:val="single" w:color="000000" w:sz="4" w:space="0"/>
              <w:left w:val="single" w:color="000000" w:sz="4" w:space="0"/>
              <w:bottom w:val="single" w:color="000000" w:sz="4" w:space="0"/>
              <w:right w:val="single" w:color="000000" w:sz="4" w:space="0"/>
            </w:tcBorders>
            <w:noWrap w:val="0"/>
            <w:vAlign w:val="center"/>
          </w:tcPr>
          <w:p w14:paraId="18A5F02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全自动固相萃取仪</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42DC9D1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样品前处理自动化，完成萃取、净化、富集等步骤，减少人工误差、提高重现性，适配兽药、毒素、重金属等待测组分净化。</w:t>
            </w:r>
          </w:p>
        </w:tc>
        <w:tc>
          <w:tcPr>
            <w:tcW w:w="374" w:type="pct"/>
            <w:tcBorders>
              <w:top w:val="single" w:color="000000" w:sz="4" w:space="0"/>
              <w:left w:val="single" w:color="000000" w:sz="4" w:space="0"/>
              <w:bottom w:val="single" w:color="000000" w:sz="4" w:space="0"/>
              <w:right w:val="single" w:color="000000" w:sz="4" w:space="0"/>
            </w:tcBorders>
            <w:noWrap w:val="0"/>
            <w:vAlign w:val="center"/>
          </w:tcPr>
          <w:p w14:paraId="1C46C45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7836657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88" w:type="pct"/>
            <w:tcBorders>
              <w:top w:val="single" w:color="000000" w:sz="4" w:space="0"/>
              <w:left w:val="single" w:color="000000" w:sz="4" w:space="0"/>
              <w:bottom w:val="single" w:color="000000" w:sz="4" w:space="0"/>
              <w:right w:val="single" w:color="000000" w:sz="4" w:space="0"/>
            </w:tcBorders>
            <w:noWrap w:val="0"/>
            <w:vAlign w:val="center"/>
          </w:tcPr>
          <w:p w14:paraId="4BC38D6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37.52</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55E807B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37.52</w:t>
            </w:r>
          </w:p>
        </w:tc>
      </w:tr>
      <w:tr w14:paraId="26E2E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6D3475C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778" w:type="pct"/>
            <w:tcBorders>
              <w:top w:val="single" w:color="000000" w:sz="4" w:space="0"/>
              <w:left w:val="single" w:color="000000" w:sz="4" w:space="0"/>
              <w:bottom w:val="single" w:color="000000" w:sz="4" w:space="0"/>
              <w:right w:val="single" w:color="000000" w:sz="4" w:space="0"/>
            </w:tcBorders>
            <w:noWrap w:val="0"/>
            <w:vAlign w:val="center"/>
          </w:tcPr>
          <w:p w14:paraId="352ED81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水浴氮吹仪</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7D8972C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用于水产品检测样品浓缩，通过温和加热与氮气吹扫，快速去除有机试剂，富集兽药残留、环境污染物等痕量待测物，操作简便、浓缩效率高</w:t>
            </w:r>
          </w:p>
        </w:tc>
        <w:tc>
          <w:tcPr>
            <w:tcW w:w="374" w:type="pct"/>
            <w:tcBorders>
              <w:top w:val="single" w:color="000000" w:sz="4" w:space="0"/>
              <w:left w:val="single" w:color="000000" w:sz="4" w:space="0"/>
              <w:bottom w:val="single" w:color="000000" w:sz="4" w:space="0"/>
              <w:right w:val="single" w:color="000000" w:sz="4" w:space="0"/>
            </w:tcBorders>
            <w:noWrap w:val="0"/>
            <w:vAlign w:val="center"/>
          </w:tcPr>
          <w:p w14:paraId="408D644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291ECF5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88" w:type="pct"/>
            <w:tcBorders>
              <w:top w:val="single" w:color="000000" w:sz="4" w:space="0"/>
              <w:left w:val="single" w:color="000000" w:sz="4" w:space="0"/>
              <w:bottom w:val="single" w:color="000000" w:sz="4" w:space="0"/>
              <w:right w:val="single" w:color="000000" w:sz="4" w:space="0"/>
            </w:tcBorders>
            <w:noWrap w:val="0"/>
            <w:vAlign w:val="center"/>
          </w:tcPr>
          <w:p w14:paraId="08BED50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9.35</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0673D28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9.35</w:t>
            </w:r>
          </w:p>
        </w:tc>
      </w:tr>
      <w:tr w14:paraId="5CEBC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5D64E5B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778" w:type="pct"/>
            <w:tcBorders>
              <w:top w:val="single" w:color="000000" w:sz="4" w:space="0"/>
              <w:left w:val="single" w:color="000000" w:sz="4" w:space="0"/>
              <w:bottom w:val="single" w:color="000000" w:sz="4" w:space="0"/>
              <w:right w:val="single" w:color="000000" w:sz="4" w:space="0"/>
            </w:tcBorders>
            <w:noWrap w:val="0"/>
            <w:vAlign w:val="center"/>
          </w:tcPr>
          <w:p w14:paraId="5196858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鼓风干燥箱</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4F6CE33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样品烘干，测水份含量等</w:t>
            </w:r>
          </w:p>
        </w:tc>
        <w:tc>
          <w:tcPr>
            <w:tcW w:w="374" w:type="pct"/>
            <w:tcBorders>
              <w:top w:val="single" w:color="000000" w:sz="4" w:space="0"/>
              <w:left w:val="single" w:color="000000" w:sz="4" w:space="0"/>
              <w:bottom w:val="single" w:color="000000" w:sz="4" w:space="0"/>
              <w:right w:val="single" w:color="000000" w:sz="4" w:space="0"/>
            </w:tcBorders>
            <w:noWrap w:val="0"/>
            <w:vAlign w:val="center"/>
          </w:tcPr>
          <w:p w14:paraId="6594FE5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393CB9B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88" w:type="pct"/>
            <w:tcBorders>
              <w:top w:val="single" w:color="000000" w:sz="4" w:space="0"/>
              <w:left w:val="single" w:color="000000" w:sz="4" w:space="0"/>
              <w:bottom w:val="single" w:color="000000" w:sz="4" w:space="0"/>
              <w:right w:val="single" w:color="000000" w:sz="4" w:space="0"/>
            </w:tcBorders>
            <w:noWrap w:val="0"/>
            <w:vAlign w:val="center"/>
          </w:tcPr>
          <w:p w14:paraId="0FB070F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0.66</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31B7679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0.66</w:t>
            </w:r>
          </w:p>
        </w:tc>
      </w:tr>
      <w:tr w14:paraId="318D1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4D4DCBB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778" w:type="pct"/>
            <w:tcBorders>
              <w:top w:val="single" w:color="000000" w:sz="4" w:space="0"/>
              <w:left w:val="single" w:color="000000" w:sz="4" w:space="0"/>
              <w:bottom w:val="single" w:color="000000" w:sz="4" w:space="0"/>
              <w:right w:val="single" w:color="000000" w:sz="4" w:space="0"/>
            </w:tcBorders>
            <w:noWrap w:val="0"/>
            <w:vAlign w:val="center"/>
          </w:tcPr>
          <w:p w14:paraId="2E41852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水浴摇床</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528940F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样品衍生前处理</w:t>
            </w:r>
          </w:p>
        </w:tc>
        <w:tc>
          <w:tcPr>
            <w:tcW w:w="374" w:type="pct"/>
            <w:tcBorders>
              <w:top w:val="single" w:color="000000" w:sz="4" w:space="0"/>
              <w:left w:val="single" w:color="000000" w:sz="4" w:space="0"/>
              <w:bottom w:val="single" w:color="000000" w:sz="4" w:space="0"/>
              <w:right w:val="single" w:color="000000" w:sz="4" w:space="0"/>
            </w:tcBorders>
            <w:noWrap w:val="0"/>
            <w:vAlign w:val="center"/>
          </w:tcPr>
          <w:p w14:paraId="351D406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6F8C781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88" w:type="pct"/>
            <w:tcBorders>
              <w:top w:val="single" w:color="000000" w:sz="4" w:space="0"/>
              <w:left w:val="single" w:color="000000" w:sz="4" w:space="0"/>
              <w:bottom w:val="single" w:color="000000" w:sz="4" w:space="0"/>
              <w:right w:val="single" w:color="000000" w:sz="4" w:space="0"/>
            </w:tcBorders>
            <w:noWrap w:val="0"/>
            <w:vAlign w:val="center"/>
          </w:tcPr>
          <w:p w14:paraId="709A639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0.51</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0542C05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0.51</w:t>
            </w:r>
          </w:p>
        </w:tc>
      </w:tr>
      <w:tr w14:paraId="09869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79FF4F8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778" w:type="pct"/>
            <w:tcBorders>
              <w:top w:val="single" w:color="000000" w:sz="4" w:space="0"/>
              <w:left w:val="single" w:color="000000" w:sz="4" w:space="0"/>
              <w:bottom w:val="single" w:color="000000" w:sz="4" w:space="0"/>
              <w:right w:val="single" w:color="000000" w:sz="4" w:space="0"/>
            </w:tcBorders>
            <w:noWrap w:val="0"/>
            <w:vAlign w:val="center"/>
          </w:tcPr>
          <w:p w14:paraId="23B4CE2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粉碎机</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12F005B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样品粉碎前处理</w:t>
            </w:r>
          </w:p>
        </w:tc>
        <w:tc>
          <w:tcPr>
            <w:tcW w:w="374" w:type="pct"/>
            <w:tcBorders>
              <w:top w:val="single" w:color="000000" w:sz="4" w:space="0"/>
              <w:left w:val="single" w:color="000000" w:sz="4" w:space="0"/>
              <w:bottom w:val="single" w:color="000000" w:sz="4" w:space="0"/>
              <w:right w:val="single" w:color="000000" w:sz="4" w:space="0"/>
            </w:tcBorders>
            <w:noWrap w:val="0"/>
            <w:vAlign w:val="center"/>
          </w:tcPr>
          <w:p w14:paraId="509F044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1D660FA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688" w:type="pct"/>
            <w:tcBorders>
              <w:top w:val="single" w:color="000000" w:sz="4" w:space="0"/>
              <w:left w:val="single" w:color="000000" w:sz="4" w:space="0"/>
              <w:bottom w:val="single" w:color="000000" w:sz="4" w:space="0"/>
              <w:right w:val="single" w:color="000000" w:sz="4" w:space="0"/>
            </w:tcBorders>
            <w:noWrap w:val="0"/>
            <w:vAlign w:val="center"/>
          </w:tcPr>
          <w:p w14:paraId="68285D5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0.23</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6F31F0A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0.9</w:t>
            </w:r>
            <w:r>
              <w:rPr>
                <w:rFonts w:hint="eastAsia" w:ascii="宋体" w:hAnsi="宋体" w:cs="宋体"/>
                <w:i w:val="0"/>
                <w:iCs w:val="0"/>
                <w:color w:val="auto"/>
                <w:kern w:val="0"/>
                <w:sz w:val="21"/>
                <w:szCs w:val="21"/>
                <w:highlight w:val="none"/>
                <w:u w:val="none"/>
                <w:lang w:val="en-US" w:eastAsia="zh-CN" w:bidi="ar"/>
              </w:rPr>
              <w:t>2</w:t>
            </w:r>
          </w:p>
        </w:tc>
      </w:tr>
      <w:tr w14:paraId="001DC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4CE2173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778" w:type="pct"/>
            <w:tcBorders>
              <w:top w:val="single" w:color="000000" w:sz="4" w:space="0"/>
              <w:left w:val="single" w:color="000000" w:sz="4" w:space="0"/>
              <w:bottom w:val="single" w:color="000000" w:sz="4" w:space="0"/>
              <w:right w:val="single" w:color="000000" w:sz="4" w:space="0"/>
            </w:tcBorders>
            <w:noWrap w:val="0"/>
            <w:vAlign w:val="center"/>
          </w:tcPr>
          <w:p w14:paraId="4C9BA03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台式低速离心机</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1B3DBE4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样品离心</w:t>
            </w:r>
          </w:p>
        </w:tc>
        <w:tc>
          <w:tcPr>
            <w:tcW w:w="374" w:type="pct"/>
            <w:tcBorders>
              <w:top w:val="single" w:color="000000" w:sz="4" w:space="0"/>
              <w:left w:val="single" w:color="000000" w:sz="4" w:space="0"/>
              <w:bottom w:val="single" w:color="000000" w:sz="4" w:space="0"/>
              <w:right w:val="single" w:color="000000" w:sz="4" w:space="0"/>
            </w:tcBorders>
            <w:noWrap w:val="0"/>
            <w:vAlign w:val="center"/>
          </w:tcPr>
          <w:p w14:paraId="1025D55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493" w:type="pct"/>
            <w:tcBorders>
              <w:top w:val="single" w:color="000000" w:sz="4" w:space="0"/>
              <w:left w:val="single" w:color="000000" w:sz="4" w:space="0"/>
              <w:bottom w:val="single" w:color="000000" w:sz="4" w:space="0"/>
              <w:right w:val="single" w:color="000000" w:sz="4" w:space="0"/>
            </w:tcBorders>
            <w:noWrap w:val="0"/>
            <w:vAlign w:val="center"/>
          </w:tcPr>
          <w:p w14:paraId="0695EBE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88" w:type="pct"/>
            <w:tcBorders>
              <w:top w:val="single" w:color="000000" w:sz="4" w:space="0"/>
              <w:left w:val="single" w:color="000000" w:sz="4" w:space="0"/>
              <w:bottom w:val="single" w:color="000000" w:sz="4" w:space="0"/>
              <w:right w:val="single" w:color="000000" w:sz="4" w:space="0"/>
            </w:tcBorders>
            <w:noWrap w:val="0"/>
            <w:vAlign w:val="center"/>
          </w:tcPr>
          <w:p w14:paraId="6F1B828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1.02</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2B1B3FD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1.02</w:t>
            </w:r>
          </w:p>
        </w:tc>
      </w:tr>
      <w:tr w14:paraId="7D81F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4447" w:type="pct"/>
            <w:gridSpan w:val="6"/>
            <w:tcBorders>
              <w:top w:val="single" w:color="000000" w:sz="4" w:space="0"/>
              <w:left w:val="single" w:color="000000" w:sz="4" w:space="0"/>
              <w:bottom w:val="single" w:color="000000" w:sz="4" w:space="0"/>
              <w:right w:val="single" w:color="000000" w:sz="4" w:space="0"/>
            </w:tcBorders>
            <w:noWrap w:val="0"/>
            <w:vAlign w:val="center"/>
          </w:tcPr>
          <w:p w14:paraId="50D1A6E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        计</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14:paraId="305C6B5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747.5</w:t>
            </w:r>
            <w:r>
              <w:rPr>
                <w:rFonts w:hint="eastAsia" w:ascii="宋体" w:hAnsi="宋体" w:cs="宋体"/>
                <w:b/>
                <w:bCs/>
                <w:i w:val="0"/>
                <w:iCs w:val="0"/>
                <w:color w:val="auto"/>
                <w:kern w:val="0"/>
                <w:sz w:val="21"/>
                <w:szCs w:val="21"/>
                <w:highlight w:val="none"/>
                <w:u w:val="none"/>
                <w:lang w:val="en-US" w:eastAsia="zh-CN" w:bidi="ar"/>
              </w:rPr>
              <w:t>3</w:t>
            </w:r>
          </w:p>
        </w:tc>
      </w:tr>
    </w:tbl>
    <w:p w14:paraId="70703FE3">
      <w:pPr>
        <w:pageBreakBefore w:val="0"/>
        <w:kinsoku/>
        <w:wordWrap w:val="0"/>
        <w:overflowPunct/>
        <w:topLinePunct w:val="0"/>
        <w:autoSpaceDE/>
        <w:autoSpaceDN/>
        <w:bidi w:val="0"/>
        <w:adjustRightInd w:val="0"/>
        <w:snapToGrid w:val="0"/>
        <w:spacing w:line="360" w:lineRule="auto"/>
        <w:ind w:left="0" w:firstLine="480" w:firstLineChars="200"/>
        <w:textAlignment w:val="auto"/>
        <w:rPr>
          <w:rFonts w:hint="eastAsia" w:ascii="宋体" w:hAnsi="宋体" w:cs="宋体"/>
          <w:color w:val="auto"/>
          <w:sz w:val="24"/>
          <w:szCs w:val="24"/>
          <w:highlight w:val="none"/>
          <w:lang w:eastAsia="zh-CN"/>
        </w:rPr>
      </w:pPr>
    </w:p>
    <w:p w14:paraId="5A8971DA">
      <w:pPr>
        <w:pageBreakBefore w:val="0"/>
        <w:kinsoku/>
        <w:wordWrap w:val="0"/>
        <w:overflowPunct/>
        <w:topLinePunct w:val="0"/>
        <w:autoSpaceDE/>
        <w:autoSpaceDN/>
        <w:bidi w:val="0"/>
        <w:adjustRightInd w:val="0"/>
        <w:snapToGrid w:val="0"/>
        <w:spacing w:line="360" w:lineRule="auto"/>
        <w:ind w:left="0" w:firstLine="480" w:firstLineChars="200"/>
        <w:textAlignment w:val="auto"/>
        <w:rPr>
          <w:rFonts w:hint="eastAsia" w:ascii="宋体" w:hAnsi="宋体" w:cs="宋体"/>
          <w:color w:val="auto"/>
          <w:sz w:val="24"/>
          <w:szCs w:val="24"/>
          <w:highlight w:val="none"/>
          <w:lang w:eastAsia="zh-CN"/>
        </w:rPr>
      </w:pPr>
    </w:p>
    <w:p w14:paraId="5E64A9CB">
      <w:pPr>
        <w:pageBreakBefore w:val="0"/>
        <w:kinsoku/>
        <w:wordWrap w:val="0"/>
        <w:overflowPunct/>
        <w:topLinePunct w:val="0"/>
        <w:autoSpaceDE/>
        <w:autoSpaceDN/>
        <w:bidi w:val="0"/>
        <w:adjustRightInd w:val="0"/>
        <w:snapToGrid w:val="0"/>
        <w:spacing w:line="360" w:lineRule="auto"/>
        <w:ind w:left="0" w:firstLine="480" w:firstLineChars="200"/>
        <w:textAlignment w:val="auto"/>
        <w:rPr>
          <w:rFonts w:hint="eastAsia" w:ascii="宋体" w:hAnsi="宋体" w:cs="宋体"/>
          <w:color w:val="auto"/>
          <w:sz w:val="24"/>
          <w:szCs w:val="24"/>
          <w:highlight w:val="none"/>
          <w:lang w:eastAsia="zh-CN"/>
        </w:rPr>
      </w:pPr>
    </w:p>
    <w:p w14:paraId="2E5CDD87">
      <w:pPr>
        <w:pageBreakBefore w:val="0"/>
        <w:kinsoku/>
        <w:wordWrap w:val="0"/>
        <w:overflowPunct/>
        <w:topLinePunct w:val="0"/>
        <w:autoSpaceDE/>
        <w:autoSpaceDN/>
        <w:bidi w:val="0"/>
        <w:adjustRightInd w:val="0"/>
        <w:snapToGrid w:val="0"/>
        <w:spacing w:line="360" w:lineRule="auto"/>
        <w:ind w:left="0" w:firstLine="480" w:firstLineChars="200"/>
        <w:textAlignment w:val="auto"/>
        <w:rPr>
          <w:rFonts w:hint="eastAsia" w:ascii="宋体" w:hAnsi="宋体" w:cs="宋体"/>
          <w:color w:val="auto"/>
          <w:sz w:val="24"/>
          <w:szCs w:val="24"/>
          <w:highlight w:val="none"/>
          <w:lang w:eastAsia="zh-CN"/>
        </w:rPr>
      </w:pPr>
    </w:p>
    <w:p w14:paraId="4B85FA75">
      <w:pPr>
        <w:pageBreakBefore w:val="0"/>
        <w:kinsoku/>
        <w:wordWrap w:val="0"/>
        <w:overflowPunct/>
        <w:topLinePunct w:val="0"/>
        <w:autoSpaceDE/>
        <w:autoSpaceDN/>
        <w:bidi w:val="0"/>
        <w:adjustRightInd w:val="0"/>
        <w:snapToGrid w:val="0"/>
        <w:spacing w:line="360" w:lineRule="auto"/>
        <w:ind w:left="0" w:firstLine="480" w:firstLineChars="200"/>
        <w:textAlignment w:val="auto"/>
        <w:rPr>
          <w:rFonts w:hint="eastAsia" w:ascii="宋体" w:hAnsi="宋体" w:cs="宋体"/>
          <w:color w:val="auto"/>
          <w:sz w:val="24"/>
          <w:szCs w:val="24"/>
          <w:highlight w:val="none"/>
          <w:lang w:eastAsia="zh-CN"/>
        </w:rPr>
      </w:pPr>
    </w:p>
    <w:p w14:paraId="05C607A9">
      <w:pPr>
        <w:pageBreakBefore w:val="0"/>
        <w:kinsoku/>
        <w:wordWrap w:val="0"/>
        <w:overflowPunct/>
        <w:topLinePunct w:val="0"/>
        <w:autoSpaceDE/>
        <w:autoSpaceDN/>
        <w:bidi w:val="0"/>
        <w:adjustRightInd w:val="0"/>
        <w:snapToGrid w:val="0"/>
        <w:spacing w:line="360" w:lineRule="auto"/>
        <w:ind w:left="0" w:firstLine="480" w:firstLineChars="200"/>
        <w:textAlignment w:val="auto"/>
        <w:rPr>
          <w:rFonts w:hint="eastAsia" w:ascii="宋体" w:hAnsi="宋体" w:cs="宋体"/>
          <w:color w:val="auto"/>
          <w:sz w:val="24"/>
          <w:szCs w:val="24"/>
          <w:highlight w:val="none"/>
          <w:lang w:eastAsia="zh-CN"/>
        </w:rPr>
      </w:pPr>
    </w:p>
    <w:p w14:paraId="71ED6067">
      <w:pPr>
        <w:pageBreakBefore w:val="0"/>
        <w:kinsoku/>
        <w:wordWrap w:val="0"/>
        <w:overflowPunct/>
        <w:topLinePunct w:val="0"/>
        <w:autoSpaceDE/>
        <w:autoSpaceDN/>
        <w:bidi w:val="0"/>
        <w:adjustRightInd w:val="0"/>
        <w:snapToGrid w:val="0"/>
        <w:spacing w:line="360" w:lineRule="auto"/>
        <w:ind w:left="0" w:firstLine="480" w:firstLineChars="200"/>
        <w:textAlignment w:val="auto"/>
        <w:rPr>
          <w:rFonts w:hint="eastAsia" w:ascii="宋体" w:hAnsi="宋体" w:cs="宋体"/>
          <w:color w:val="auto"/>
          <w:sz w:val="24"/>
          <w:szCs w:val="24"/>
          <w:highlight w:val="none"/>
          <w:lang w:eastAsia="zh-CN"/>
        </w:rPr>
      </w:pPr>
    </w:p>
    <w:p w14:paraId="7C1F9A23">
      <w:pPr>
        <w:pStyle w:val="2"/>
        <w:rPr>
          <w:rFonts w:hint="eastAsia" w:ascii="宋体" w:hAnsi="宋体" w:cs="宋体"/>
          <w:color w:val="auto"/>
          <w:sz w:val="24"/>
          <w:szCs w:val="24"/>
          <w:highlight w:val="none"/>
          <w:lang w:eastAsia="zh-CN"/>
        </w:rPr>
      </w:pPr>
    </w:p>
    <w:p w14:paraId="23936689">
      <w:pPr>
        <w:rPr>
          <w:rFonts w:hint="eastAsia"/>
          <w:color w:val="auto"/>
          <w:highlight w:val="none"/>
          <w:lang w:eastAsia="zh-CN"/>
        </w:rPr>
      </w:pPr>
    </w:p>
    <w:p w14:paraId="4ED0D319">
      <w:pPr>
        <w:pageBreakBefore w:val="0"/>
        <w:kinsoku/>
        <w:wordWrap w:val="0"/>
        <w:overflowPunct/>
        <w:topLinePunct w:val="0"/>
        <w:autoSpaceDE/>
        <w:autoSpaceDN/>
        <w:bidi w:val="0"/>
        <w:adjustRightInd w:val="0"/>
        <w:snapToGrid w:val="0"/>
        <w:spacing w:line="360" w:lineRule="auto"/>
        <w:ind w:left="0" w:firstLine="480" w:firstLineChars="200"/>
        <w:textAlignment w:val="auto"/>
        <w:rPr>
          <w:rFonts w:hint="eastAsia" w:ascii="宋体" w:hAnsi="宋体" w:cs="宋体"/>
          <w:color w:val="auto"/>
          <w:sz w:val="24"/>
          <w:szCs w:val="24"/>
          <w:highlight w:val="none"/>
          <w:lang w:eastAsia="zh-CN"/>
        </w:rPr>
      </w:pPr>
    </w:p>
    <w:p w14:paraId="105E62C7">
      <w:pPr>
        <w:pageBreakBefore w:val="0"/>
        <w:kinsoku/>
        <w:wordWrap w:val="0"/>
        <w:overflowPunct/>
        <w:topLinePunct w:val="0"/>
        <w:autoSpaceDE/>
        <w:autoSpaceDN/>
        <w:bidi w:val="0"/>
        <w:adjustRightInd w:val="0"/>
        <w:snapToGrid w:val="0"/>
        <w:spacing w:line="360" w:lineRule="auto"/>
        <w:ind w:left="0" w:firstLine="480" w:firstLineChars="200"/>
        <w:textAlignment w:val="auto"/>
        <w:rPr>
          <w:rFonts w:hint="eastAsia" w:ascii="宋体" w:hAnsi="宋体" w:cs="宋体"/>
          <w:color w:val="auto"/>
          <w:sz w:val="24"/>
          <w:szCs w:val="24"/>
          <w:highlight w:val="none"/>
          <w:lang w:eastAsia="zh-CN"/>
        </w:rPr>
      </w:pPr>
    </w:p>
    <w:p w14:paraId="2C737FF1">
      <w:pPr>
        <w:pageBreakBefore w:val="0"/>
        <w:kinsoku/>
        <w:wordWrap w:val="0"/>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highlight w:val="none"/>
        </w:rPr>
      </w:pPr>
    </w:p>
    <w:p w14:paraId="2D410FC9">
      <w:pPr>
        <w:pStyle w:val="2"/>
        <w:numPr>
          <w:ilvl w:val="0"/>
          <w:numId w:val="3"/>
        </w:numPr>
        <w:jc w:val="center"/>
        <w:rPr>
          <w:rFonts w:hint="eastAsia" w:ascii="宋体" w:hAnsi="宋体" w:eastAsia="宋体" w:cs="宋体"/>
          <w:color w:val="auto"/>
          <w:sz w:val="28"/>
          <w:szCs w:val="28"/>
          <w:highlight w:val="none"/>
        </w:rPr>
      </w:pPr>
      <w:bookmarkStart w:id="268" w:name="_Toc29733"/>
      <w:r>
        <w:rPr>
          <w:rFonts w:hint="eastAsia" w:ascii="宋体" w:hAnsi="宋体" w:eastAsia="宋体" w:cs="宋体"/>
          <w:color w:val="auto"/>
          <w:sz w:val="28"/>
          <w:szCs w:val="28"/>
          <w:highlight w:val="none"/>
        </w:rPr>
        <w:t>技术参数及</w:t>
      </w:r>
      <w:r>
        <w:rPr>
          <w:rFonts w:hint="eastAsia" w:ascii="宋体" w:hAnsi="宋体" w:cs="宋体"/>
          <w:color w:val="auto"/>
          <w:sz w:val="28"/>
          <w:szCs w:val="28"/>
          <w:highlight w:val="none"/>
          <w:lang w:val="en-US" w:eastAsia="zh-CN"/>
        </w:rPr>
        <w:t>配置</w:t>
      </w:r>
      <w:r>
        <w:rPr>
          <w:rFonts w:hint="eastAsia" w:ascii="宋体" w:hAnsi="宋体" w:eastAsia="宋体" w:cs="宋体"/>
          <w:color w:val="auto"/>
          <w:sz w:val="28"/>
          <w:szCs w:val="28"/>
          <w:highlight w:val="none"/>
        </w:rPr>
        <w:t>要求</w:t>
      </w:r>
      <w:bookmarkEnd w:id="268"/>
    </w:p>
    <w:p w14:paraId="4B5F9325">
      <w:pPr>
        <w:adjustRightInd w:val="0"/>
        <w:snapToGrid w:val="0"/>
        <w:spacing w:after="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（一）采购标的需实现的功能或者目标；</w:t>
      </w:r>
    </w:p>
    <w:p w14:paraId="7237026A">
      <w:pPr>
        <w:adjustRightInd w:val="0"/>
        <w:snapToGrid w:val="0"/>
        <w:spacing w:after="0"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本项目拟</w:t>
      </w:r>
      <w:r>
        <w:rPr>
          <w:rFonts w:hint="eastAsia" w:ascii="宋体" w:hAnsi="宋体" w:cs="宋体"/>
          <w:color w:val="auto"/>
          <w:kern w:val="2"/>
          <w:sz w:val="24"/>
          <w:szCs w:val="24"/>
          <w:highlight w:val="none"/>
          <w:lang w:val="en-US" w:eastAsia="zh-CN" w:bidi="ar"/>
        </w:rPr>
        <w:t>采购芒市海关进境食用水生动物实验室检测能力提升项目实验室仪器设备一批</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val="en-US" w:eastAsia="zh-CN"/>
        </w:rPr>
        <w:t>用于统性地提升实验室的检测能力、优化检验检疫的工作流程、强化生物安全的防护措施，确保进境食用水生动物质量安全、维护国门生物安全、促进区域贸易便利化</w:t>
      </w:r>
      <w:r>
        <w:rPr>
          <w:rFonts w:hint="eastAsia" w:asciiTheme="minorEastAsia" w:hAnsiTheme="minorEastAsia" w:eastAsiaTheme="minorEastAsia" w:cstheme="minorEastAsia"/>
          <w:color w:val="auto"/>
          <w:kern w:val="0"/>
          <w:sz w:val="24"/>
          <w:szCs w:val="24"/>
          <w:highlight w:val="none"/>
          <w:lang w:eastAsia="zh-Hans"/>
        </w:rPr>
        <w:t>。</w:t>
      </w:r>
    </w:p>
    <w:p w14:paraId="72031C22">
      <w:pPr>
        <w:adjustRightInd w:val="0"/>
        <w:snapToGrid w:val="0"/>
        <w:spacing w:after="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（二）采购标的需执行的国家相关标准、行业标准、地方标准或者其他标准、规范；</w:t>
      </w:r>
    </w:p>
    <w:p w14:paraId="6066FE45">
      <w:pPr>
        <w:adjustRightInd w:val="0"/>
        <w:snapToGrid w:val="0"/>
        <w:spacing w:after="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符合国家相关标准、行业标准、地方标准或者其他标准、规范。</w:t>
      </w:r>
    </w:p>
    <w:p w14:paraId="758D191C">
      <w:pPr>
        <w:adjustRightInd w:val="0"/>
        <w:snapToGrid w:val="0"/>
        <w:spacing w:after="0"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（三）采购标的需满足的质量、安全、技术规格、物理特性等要求；</w:t>
      </w:r>
    </w:p>
    <w:p w14:paraId="567481F2">
      <w:pPr>
        <w:adjustRightInd w:val="0"/>
        <w:snapToGrid w:val="0"/>
        <w:spacing w:after="0" w:line="360" w:lineRule="auto"/>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1、“技术指标内容”中标注“▲”的为重要参数</w:t>
      </w:r>
    </w:p>
    <w:p w14:paraId="0EE180D9">
      <w:pPr>
        <w:adjustRightInd w:val="0"/>
        <w:snapToGrid w:val="0"/>
        <w:spacing w:after="0" w:line="360" w:lineRule="auto"/>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2、投标人必须对下表中的“技术指标内容”作出全面、真实的反映，如实填写技术规格偏离表。</w:t>
      </w:r>
    </w:p>
    <w:p w14:paraId="060B493C">
      <w:pPr>
        <w:adjustRightInd w:val="0"/>
        <w:snapToGrid w:val="0"/>
        <w:spacing w:after="0" w:line="360" w:lineRule="auto"/>
        <w:ind w:firstLine="480" w:firstLineChars="200"/>
        <w:rPr>
          <w:rFonts w:hint="default"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3、招标文件</w:t>
      </w:r>
      <w:r>
        <w:rPr>
          <w:rFonts w:hint="eastAsia" w:ascii="宋体" w:hAnsi="宋体" w:eastAsia="宋体" w:cs="宋体"/>
          <w:color w:val="auto"/>
          <w:sz w:val="24"/>
          <w:szCs w:val="24"/>
          <w:highlight w:val="none"/>
        </w:rPr>
        <w:t>要求提供技术参数证明材料的参数</w:t>
      </w:r>
      <w:r>
        <w:rPr>
          <w:rFonts w:hint="eastAsia" w:ascii="宋体" w:hAnsi="宋体" w:eastAsia="宋体" w:cs="宋体"/>
          <w:color w:val="auto"/>
          <w:sz w:val="24"/>
          <w:szCs w:val="24"/>
          <w:highlight w:val="none"/>
          <w:lang w:val="en-US" w:eastAsia="zh-CN"/>
        </w:rPr>
        <w:t>及对应要求的证明材料：</w:t>
      </w:r>
    </w:p>
    <w:p w14:paraId="5890C4EB">
      <w:pPr>
        <w:adjustRightInd w:val="0"/>
        <w:snapToGrid w:val="0"/>
        <w:spacing w:after="0" w:line="360" w:lineRule="auto"/>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①</w:t>
      </w:r>
      <w:r>
        <w:rPr>
          <w:rFonts w:hint="eastAsia" w:asciiTheme="minorEastAsia" w:hAnsiTheme="minorEastAsia" w:eastAsiaTheme="minorEastAsia" w:cstheme="minorEastAsia"/>
          <w:color w:val="auto"/>
          <w:kern w:val="0"/>
          <w:sz w:val="24"/>
          <w:szCs w:val="24"/>
          <w:highlight w:val="none"/>
          <w:lang w:val="en-US" w:eastAsia="zh-CN"/>
        </w:rPr>
        <w:t>针对下表“技术指标内容”中有明确要求证明材料的参数，投标人除如实填写技术规格偏离表外，还须提供符合“技术指标内容”要求的证明材料。</w:t>
      </w:r>
    </w:p>
    <w:p w14:paraId="1AC711CD">
      <w:pPr>
        <w:adjustRightInd w:val="0"/>
        <w:snapToGrid w:val="0"/>
        <w:spacing w:after="0" w:line="360" w:lineRule="auto"/>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②</w:t>
      </w:r>
      <w:r>
        <w:rPr>
          <w:rFonts w:hint="eastAsia" w:asciiTheme="minorEastAsia" w:hAnsiTheme="minorEastAsia" w:eastAsiaTheme="minorEastAsia" w:cstheme="minorEastAsia"/>
          <w:color w:val="auto"/>
          <w:kern w:val="0"/>
          <w:sz w:val="24"/>
          <w:szCs w:val="24"/>
          <w:highlight w:val="none"/>
          <w:lang w:val="en-US" w:eastAsia="zh-CN"/>
        </w:rPr>
        <w:t>针对下表“技术指标内容”中没有明确要求证明材料但为标注“▲”的重要参数，投标人除如实填写技术规格偏离表外，还须提供最新技术支持资料支持技术规格偏离表应答（技术支持资料包括：检验报告或宣传彩页或图纸或技术白皮书或软件功能截图等，不接受投标人自行印刷、打印或者手写的技术支持资料）。</w:t>
      </w:r>
    </w:p>
    <w:p w14:paraId="5A91426F">
      <w:pPr>
        <w:adjustRightInd w:val="0"/>
        <w:snapToGrid w:val="0"/>
        <w:spacing w:after="0" w:line="360" w:lineRule="auto"/>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凡不符合上述要求的，视为未提供有效技术支持资料。若重要参数和一般参数不满足要求，会影响评审评分。</w:t>
      </w:r>
    </w:p>
    <w:p w14:paraId="16CEBE0F">
      <w:pPr>
        <w:numPr>
          <w:ilvl w:val="0"/>
          <w:numId w:val="0"/>
        </w:numPr>
        <w:rPr>
          <w:rFonts w:hint="eastAsia"/>
          <w:color w:val="auto"/>
          <w:highlight w:val="none"/>
        </w:rPr>
      </w:pPr>
      <w:r>
        <w:rPr>
          <w:rFonts w:hint="eastAsia"/>
          <w:color w:val="auto"/>
          <w:highlight w:val="none"/>
        </w:rPr>
        <w:br w:type="page"/>
      </w:r>
    </w:p>
    <w:p w14:paraId="3B6705E6">
      <w:pPr>
        <w:numPr>
          <w:ilvl w:val="0"/>
          <w:numId w:val="0"/>
        </w:numPr>
        <w:rPr>
          <w:rFonts w:hint="eastAsia"/>
          <w:color w:val="auto"/>
          <w:highlight w:val="none"/>
        </w:rPr>
      </w:pPr>
    </w:p>
    <w:tbl>
      <w:tblPr>
        <w:tblStyle w:val="38"/>
        <w:tblW w:w="894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10"/>
        <w:gridCol w:w="1392"/>
        <w:gridCol w:w="912"/>
        <w:gridCol w:w="5232"/>
      </w:tblGrid>
      <w:tr w14:paraId="1AE29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8" w:hRule="atLeast"/>
        </w:trPr>
        <w:tc>
          <w:tcPr>
            <w:tcW w:w="8946" w:type="dxa"/>
            <w:gridSpan w:val="4"/>
            <w:tcBorders>
              <w:top w:val="nil"/>
              <w:left w:val="nil"/>
              <w:bottom w:val="nil"/>
              <w:right w:val="nil"/>
            </w:tcBorders>
            <w:shd w:val="clear" w:color="auto" w:fill="auto"/>
            <w:vAlign w:val="center"/>
          </w:tcPr>
          <w:p w14:paraId="6548C3EA">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仪器设备技术参数（一）</w:t>
            </w:r>
          </w:p>
        </w:tc>
      </w:tr>
      <w:tr w14:paraId="35F8D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trPr>
        <w:tc>
          <w:tcPr>
            <w:tcW w:w="8946" w:type="dxa"/>
            <w:gridSpan w:val="4"/>
            <w:tcBorders>
              <w:top w:val="nil"/>
              <w:left w:val="nil"/>
              <w:bottom w:val="nil"/>
              <w:right w:val="nil"/>
            </w:tcBorders>
            <w:shd w:val="clear" w:color="auto" w:fill="auto"/>
            <w:noWrap/>
            <w:vAlign w:val="center"/>
          </w:tcPr>
          <w:p w14:paraId="2D26718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品目名称：全自动酶免仪</w:t>
            </w:r>
          </w:p>
        </w:tc>
      </w:tr>
      <w:tr w14:paraId="587F0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trPr>
        <w:tc>
          <w:tcPr>
            <w:tcW w:w="8946" w:type="dxa"/>
            <w:gridSpan w:val="4"/>
            <w:tcBorders>
              <w:top w:val="nil"/>
              <w:left w:val="nil"/>
              <w:bottom w:val="nil"/>
              <w:right w:val="nil"/>
            </w:tcBorders>
            <w:shd w:val="clear" w:color="auto" w:fill="auto"/>
            <w:noWrap/>
            <w:vAlign w:val="center"/>
          </w:tcPr>
          <w:p w14:paraId="0F855D6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子品目名称：多功能酶标仪</w:t>
            </w:r>
          </w:p>
        </w:tc>
      </w:tr>
      <w:tr w14:paraId="0E544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4" w:hRule="atLeast"/>
        </w:trPr>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E15B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EBF8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59CC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0BED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技术指标内容</w:t>
            </w:r>
          </w:p>
        </w:tc>
      </w:tr>
      <w:tr w14:paraId="64008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1410" w:type="dxa"/>
            <w:vMerge w:val="restart"/>
            <w:tcBorders>
              <w:top w:val="single" w:color="auto" w:sz="4" w:space="0"/>
              <w:left w:val="single" w:color="auto" w:sz="4" w:space="0"/>
              <w:right w:val="single" w:color="000000" w:sz="4" w:space="0"/>
            </w:tcBorders>
            <w:shd w:val="clear" w:color="auto" w:fill="auto"/>
            <w:vAlign w:val="center"/>
          </w:tcPr>
          <w:p w14:paraId="21693B83">
            <w:pPr>
              <w:keepNext w:val="0"/>
              <w:keepLines w:val="0"/>
              <w:pageBreakBefore w:val="0"/>
              <w:widowControl/>
              <w:suppressLineNumbers w:val="0"/>
              <w:kinsoku/>
              <w:wordWrap w:val="0"/>
              <w:overflowPunct/>
              <w:bidi w:val="0"/>
              <w:jc w:val="center"/>
              <w:textAlignment w:val="center"/>
              <w:rPr>
                <w:rFonts w:hint="default" w:ascii="方正仿宋_GBK" w:hAnsi="方正仿宋_GBK" w:eastAsia="方正仿宋_GBK" w:cs="方正仿宋_GBK"/>
                <w:i w:val="0"/>
                <w:iCs w:val="0"/>
                <w:color w:val="auto"/>
                <w:sz w:val="20"/>
                <w:szCs w:val="20"/>
                <w:highlight w:val="none"/>
                <w:u w:val="none"/>
              </w:rPr>
            </w:pPr>
            <w:r>
              <w:rPr>
                <w:rFonts w:hint="default" w:ascii="宋体" w:hAnsi="宋体" w:eastAsia="宋体" w:cs="宋体"/>
                <w:i w:val="0"/>
                <w:iCs w:val="0"/>
                <w:color w:val="auto"/>
                <w:kern w:val="0"/>
                <w:sz w:val="20"/>
                <w:szCs w:val="20"/>
                <w:highlight w:val="none"/>
                <w:u w:val="none"/>
                <w:lang w:val="en-US" w:eastAsia="zh-CN" w:bidi="ar"/>
              </w:rPr>
              <w:t>3.主要技术参数</w:t>
            </w:r>
          </w:p>
        </w:tc>
        <w:tc>
          <w:tcPr>
            <w:tcW w:w="1392" w:type="dxa"/>
            <w:tcBorders>
              <w:top w:val="single" w:color="auto" w:sz="4" w:space="0"/>
              <w:left w:val="single" w:color="000000" w:sz="4" w:space="0"/>
              <w:bottom w:val="single" w:color="000000" w:sz="4" w:space="0"/>
              <w:right w:val="single" w:color="auto" w:sz="4" w:space="0"/>
            </w:tcBorders>
            <w:shd w:val="clear" w:color="auto" w:fill="auto"/>
            <w:noWrap/>
            <w:vAlign w:val="center"/>
          </w:tcPr>
          <w:p w14:paraId="3DD385A6">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1871BD6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6934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吸收光检测、荧光检测、化学发光检测（辉光、闪光）以及FERT检测</w:t>
            </w:r>
          </w:p>
        </w:tc>
      </w:tr>
      <w:tr w14:paraId="3DA3A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4" w:hRule="atLeast"/>
        </w:trPr>
        <w:tc>
          <w:tcPr>
            <w:tcW w:w="1410" w:type="dxa"/>
            <w:vMerge w:val="continue"/>
            <w:tcBorders>
              <w:left w:val="single" w:color="auto" w:sz="4" w:space="0"/>
              <w:right w:val="single" w:color="000000" w:sz="4" w:space="0"/>
            </w:tcBorders>
            <w:shd w:val="clear" w:color="auto" w:fill="auto"/>
            <w:vAlign w:val="center"/>
          </w:tcPr>
          <w:p w14:paraId="1FCF5895">
            <w:pPr>
              <w:keepNext w:val="0"/>
              <w:keepLines w:val="0"/>
              <w:pageBreakBefore w:val="0"/>
              <w:widowControl/>
              <w:suppressLineNumbers w:val="0"/>
              <w:kinsoku/>
              <w:wordWrap w:val="0"/>
              <w:overflowPunct/>
              <w:bidi w:val="0"/>
              <w:jc w:val="center"/>
              <w:textAlignment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465496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9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A7D26F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13D91">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支持板架：6/12/24/48/96&amp;384孔标配，具有Z轴调节功能，更换不同类型的板类型无须更换板架。</w:t>
            </w:r>
          </w:p>
        </w:tc>
      </w:tr>
      <w:tr w14:paraId="0A162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225AFDAD">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7873454">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60C7AA4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67BA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吸收光光源：氙灯；检测器：PD</w:t>
            </w:r>
          </w:p>
        </w:tc>
      </w:tr>
      <w:tr w14:paraId="10E91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72AAE451">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8FC1AE0">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791BA2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3.4</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0D63F">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波长准确性：≤2nm</w:t>
            </w:r>
          </w:p>
        </w:tc>
      </w:tr>
      <w:tr w14:paraId="4EF55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750D9735">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D2418C0">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480BFBB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3.5</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99AB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波长重复性（SD）：≤0.1nm</w:t>
            </w:r>
          </w:p>
        </w:tc>
      </w:tr>
      <w:tr w14:paraId="1E68D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379EF191">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4F11C4C3">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146A4B6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3.6</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5980A">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半峰宽（FWHM）：＜2.5nm</w:t>
            </w:r>
          </w:p>
        </w:tc>
      </w:tr>
      <w:tr w14:paraId="6EB3E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01FE8667">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D413A95">
            <w:pPr>
              <w:pageBreakBefore w:val="0"/>
              <w:kinsoku/>
              <w:wordWrap w:val="0"/>
              <w:overflowPunct/>
              <w:bidi w:val="0"/>
              <w:jc w:val="center"/>
              <w:rPr>
                <w:rFonts w:hint="eastAsia" w:ascii="Segoe UI Symbol" w:hAnsi="Segoe UI Symbol" w:eastAsia="Segoe UI Symbol" w:cs="Segoe UI Symbol"/>
                <w:i w:val="0"/>
                <w:iCs w:val="0"/>
                <w:color w:val="auto"/>
                <w:sz w:val="20"/>
                <w:szCs w:val="20"/>
                <w:highlight w:val="none"/>
                <w:u w:val="none"/>
              </w:rPr>
            </w:pPr>
          </w:p>
        </w:tc>
        <w:tc>
          <w:tcPr>
            <w:tcW w:w="9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2BE1795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3.7</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C450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波长范围：190-1000nm，1nm步进</w:t>
            </w:r>
          </w:p>
        </w:tc>
      </w:tr>
      <w:tr w14:paraId="3D693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394A84F6">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E33E52D">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68D6227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3.8</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3864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测量范围：0-4 OD</w:t>
            </w:r>
          </w:p>
        </w:tc>
      </w:tr>
      <w:tr w14:paraId="5312C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31C31270">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A7627EF">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405AD0C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3.9</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7E10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准确性：96-精确模式：±(1.0%+0.003Abs) @ (0.0-2.0Abs]；±2.0% @ (2.0-3.0Abs]</w:t>
            </w:r>
          </w:p>
        </w:tc>
      </w:tr>
      <w:tr w14:paraId="55FD5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5A833FD5">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5F88815">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69B2384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3.10</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C4671">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重复性：CV &lt; 1.0%或SD＜0.003 快速(0.0 - 3.0Abs]；CV &lt; 0.5%或SD＜0.003 精确(0.0 - 3.0Abs]</w:t>
            </w:r>
          </w:p>
        </w:tc>
      </w:tr>
      <w:tr w14:paraId="2053D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0D8F6FC4">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418CDA4D">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12346BC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3.11</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F7DA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杂散光：0.1%@220nm</w:t>
            </w:r>
          </w:p>
        </w:tc>
      </w:tr>
      <w:tr w14:paraId="3A256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793E6F6C">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429E931D">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5FF4FD6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3.12</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43A08">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线性：R2 ≥ 0.999 @ [0.0 - 3.0Abs]</w:t>
            </w:r>
          </w:p>
        </w:tc>
      </w:tr>
      <w:tr w14:paraId="3EE6E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2049D122">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4E000ADB">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350291E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3.13</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5D85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读数时间：96孔板：快速&lt;15s</w:t>
            </w:r>
          </w:p>
        </w:tc>
      </w:tr>
      <w:tr w14:paraId="18144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1EB71E6B">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253A8C5">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5067785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3.14</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EF47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检测系统：拥有同源参比光路通道系统。</w:t>
            </w:r>
          </w:p>
        </w:tc>
      </w:tr>
      <w:tr w14:paraId="10630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1410" w:type="dxa"/>
            <w:vMerge w:val="continue"/>
            <w:tcBorders>
              <w:left w:val="single" w:color="auto" w:sz="4" w:space="0"/>
              <w:bottom w:val="single" w:color="auto" w:sz="4" w:space="0"/>
              <w:right w:val="single" w:color="000000" w:sz="4" w:space="0"/>
            </w:tcBorders>
            <w:shd w:val="clear" w:color="auto" w:fill="auto"/>
            <w:vAlign w:val="center"/>
          </w:tcPr>
          <w:p w14:paraId="34E474F7">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nil"/>
              <w:left w:val="nil"/>
              <w:bottom w:val="single" w:color="auto" w:sz="4" w:space="0"/>
              <w:right w:val="single" w:color="auto" w:sz="4" w:space="0"/>
            </w:tcBorders>
            <w:shd w:val="clear" w:color="auto" w:fill="auto"/>
            <w:noWrap/>
            <w:vAlign w:val="center"/>
          </w:tcPr>
          <w:p w14:paraId="59F3B13C">
            <w:pPr>
              <w:keepNext w:val="0"/>
              <w:keepLines w:val="0"/>
              <w:pageBreakBefore w:val="0"/>
              <w:widowControl/>
              <w:suppressLineNumbers w:val="0"/>
              <w:kinsoku/>
              <w:wordWrap w:val="0"/>
              <w:overflowPunct/>
              <w:bidi w:val="0"/>
              <w:jc w:val="center"/>
              <w:textAlignment w:val="center"/>
              <w:rPr>
                <w:rFonts w:hint="default" w:ascii="方正仿宋_GBK" w:hAnsi="方正仿宋_GBK" w:eastAsia="方正仿宋_GBK" w:cs="方正仿宋_GBK"/>
                <w:i w:val="0"/>
                <w:iCs w:val="0"/>
                <w:color w:val="auto"/>
                <w:sz w:val="20"/>
                <w:szCs w:val="20"/>
                <w:highlight w:val="none"/>
                <w:u w:val="none"/>
              </w:rPr>
            </w:pPr>
            <w:r>
              <w:rPr>
                <w:rFonts w:hint="default" w:ascii="宋体" w:hAnsi="宋体" w:eastAsia="宋体" w:cs="宋体"/>
                <w:i w:val="0"/>
                <w:iCs w:val="0"/>
                <w:color w:val="auto"/>
                <w:kern w:val="0"/>
                <w:sz w:val="20"/>
                <w:szCs w:val="20"/>
                <w:highlight w:val="none"/>
                <w:u w:val="none"/>
                <w:lang w:val="en-US" w:eastAsia="zh-CN" w:bidi="ar"/>
              </w:rPr>
              <w:t>▲</w:t>
            </w:r>
          </w:p>
        </w:tc>
        <w:tc>
          <w:tcPr>
            <w:tcW w:w="9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1116CEC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3.15</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C054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荧光读数模式：顶读+底读</w:t>
            </w:r>
          </w:p>
        </w:tc>
      </w:tr>
      <w:tr w14:paraId="56D1D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1410" w:type="dxa"/>
            <w:vMerge w:val="continue"/>
            <w:tcBorders>
              <w:top w:val="single" w:color="auto" w:sz="4" w:space="0"/>
              <w:left w:val="single" w:color="auto" w:sz="4" w:space="0"/>
              <w:right w:val="single" w:color="000000" w:sz="4" w:space="0"/>
            </w:tcBorders>
            <w:shd w:val="clear" w:color="auto" w:fill="auto"/>
            <w:vAlign w:val="center"/>
          </w:tcPr>
          <w:p w14:paraId="12DA80A0">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3C32CB4F">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68F6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3.16</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8327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激发光源：卤钨灯或氙灯</w:t>
            </w:r>
          </w:p>
        </w:tc>
      </w:tr>
      <w:tr w14:paraId="7B436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773E6F11">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F0CF7">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74DE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3.17</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06B3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检测器：PMT；分辨率：0.0001 OD</w:t>
            </w:r>
          </w:p>
        </w:tc>
      </w:tr>
      <w:tr w14:paraId="21BAB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00C654CA">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0E995">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580B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3.18</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12A6A">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波长范围：EX：190-1000nm；EM：270-850nm</w:t>
            </w:r>
          </w:p>
        </w:tc>
      </w:tr>
      <w:tr w14:paraId="2B002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1" w:hRule="atLeast"/>
        </w:trPr>
        <w:tc>
          <w:tcPr>
            <w:tcW w:w="1410" w:type="dxa"/>
            <w:vMerge w:val="continue"/>
            <w:tcBorders>
              <w:left w:val="single" w:color="auto" w:sz="4" w:space="0"/>
              <w:right w:val="single" w:color="000000" w:sz="4" w:space="0"/>
            </w:tcBorders>
            <w:shd w:val="clear" w:color="auto" w:fill="auto"/>
            <w:vAlign w:val="center"/>
          </w:tcPr>
          <w:p w14:paraId="44EDB2E5">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100B4">
            <w:pPr>
              <w:keepNext w:val="0"/>
              <w:keepLines w:val="0"/>
              <w:pageBreakBefore w:val="0"/>
              <w:widowControl/>
              <w:suppressLineNumbers w:val="0"/>
              <w:kinsoku/>
              <w:wordWrap w:val="0"/>
              <w:overflowPunct/>
              <w:bidi w:val="0"/>
              <w:jc w:val="center"/>
              <w:textAlignment w:val="center"/>
              <w:rPr>
                <w:rFonts w:hint="default" w:ascii="方正仿宋_GBK" w:hAnsi="方正仿宋_GBK" w:eastAsia="方正仿宋_GBK" w:cs="方正仿宋_GBK"/>
                <w:i w:val="0"/>
                <w:iCs w:val="0"/>
                <w:color w:val="auto"/>
                <w:sz w:val="20"/>
                <w:szCs w:val="20"/>
                <w:highlight w:val="none"/>
                <w:u w:val="none"/>
              </w:rPr>
            </w:pPr>
            <w:r>
              <w:rPr>
                <w:rFonts w:hint="default" w:ascii="宋体" w:hAnsi="宋体" w:eastAsia="宋体" w:cs="宋体"/>
                <w:i w:val="0"/>
                <w:iCs w:val="0"/>
                <w:color w:val="auto"/>
                <w:kern w:val="0"/>
                <w:sz w:val="20"/>
                <w:szCs w:val="20"/>
                <w:highlight w:val="none"/>
                <w:u w:val="none"/>
                <w:lang w:val="en-US" w:eastAsia="zh-CN" w:bidi="ar"/>
              </w:rPr>
              <w:t>▲</w:t>
            </w: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1990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3.19</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4A7F1">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检测高度高调；滤光片EX/EM：标配6组：EX365/EM420，EX470/EM525， EX525/EM620，EX625/EM690，EX571/EM612（其他 波长可自由替换）可配置6组，可定制所需波长,可以同时检测6组荧光</w:t>
            </w:r>
          </w:p>
        </w:tc>
      </w:tr>
      <w:tr w14:paraId="61C54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7A069AC9">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976B9">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56F1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3.20</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CAFA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检出限：≤1pM</w:t>
            </w:r>
          </w:p>
        </w:tc>
      </w:tr>
      <w:tr w14:paraId="1C48F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2B784A03">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09FA9">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665B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3.21</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2CA6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线性动态范围：≥6 logs</w:t>
            </w:r>
          </w:p>
        </w:tc>
      </w:tr>
      <w:tr w14:paraId="6602F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67A8D541">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4547D">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A3F5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3.22</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0C961">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发光：可以检测未知样品的发光值</w:t>
            </w:r>
          </w:p>
        </w:tc>
      </w:tr>
      <w:tr w14:paraId="2D38B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0EDC06C0">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150A0">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EA17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3.23</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9256F">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化学发光检测器：光子计数型光电倍增管（PMT）</w:t>
            </w:r>
          </w:p>
        </w:tc>
      </w:tr>
      <w:tr w14:paraId="3166A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3357168F">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21D74">
            <w:pPr>
              <w:keepNext w:val="0"/>
              <w:keepLines w:val="0"/>
              <w:pageBreakBefore w:val="0"/>
              <w:widowControl/>
              <w:suppressLineNumbers w:val="0"/>
              <w:kinsoku/>
              <w:wordWrap w:val="0"/>
              <w:overflowPunct/>
              <w:bidi w:val="0"/>
              <w:jc w:val="center"/>
              <w:textAlignment w:val="center"/>
              <w:rPr>
                <w:rFonts w:hint="default" w:ascii="方正仿宋_GBK" w:hAnsi="方正仿宋_GBK" w:eastAsia="方正仿宋_GBK" w:cs="方正仿宋_GBK"/>
                <w:i w:val="0"/>
                <w:iCs w:val="0"/>
                <w:color w:val="auto"/>
                <w:sz w:val="20"/>
                <w:szCs w:val="20"/>
                <w:highlight w:val="none"/>
                <w:u w:val="none"/>
              </w:rPr>
            </w:pPr>
            <w:r>
              <w:rPr>
                <w:rFonts w:hint="default" w:ascii="宋体" w:hAnsi="宋体" w:eastAsia="宋体" w:cs="宋体"/>
                <w:i w:val="0"/>
                <w:iCs w:val="0"/>
                <w:color w:val="auto"/>
                <w:kern w:val="0"/>
                <w:sz w:val="20"/>
                <w:szCs w:val="20"/>
                <w:highlight w:val="none"/>
                <w:u w:val="none"/>
                <w:lang w:val="en-US" w:eastAsia="zh-CN" w:bidi="ar"/>
              </w:rPr>
              <w:t>▲</w:t>
            </w: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AF6E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3.24</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C73A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荧光/发光均具有自动增益功能，可调增益100级。发光可调积分时间。</w:t>
            </w:r>
          </w:p>
        </w:tc>
      </w:tr>
      <w:tr w14:paraId="63D72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53B8601E">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7C4C2">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B622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3.25</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CD62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振动模式：:线性、环形、双环形（3种速度可调，动力学过程中可执行背景振荡模式）</w:t>
            </w:r>
          </w:p>
        </w:tc>
      </w:tr>
      <w:tr w14:paraId="5F18E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1410" w:type="dxa"/>
            <w:vMerge w:val="continue"/>
            <w:tcBorders>
              <w:left w:val="single" w:color="auto" w:sz="4" w:space="0"/>
              <w:right w:val="single" w:color="000000" w:sz="4" w:space="0"/>
            </w:tcBorders>
            <w:shd w:val="clear" w:color="auto" w:fill="auto"/>
            <w:vAlign w:val="center"/>
          </w:tcPr>
          <w:p w14:paraId="250F136F">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F2FF7">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8FCE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3.26</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18A2F">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孵育温度：RT+4℃ 至 65℃；温度均匀性：±0.5℃ @ 37℃</w:t>
            </w:r>
          </w:p>
        </w:tc>
      </w:tr>
      <w:tr w14:paraId="77FD4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6" w:hRule="atLeast"/>
        </w:trPr>
        <w:tc>
          <w:tcPr>
            <w:tcW w:w="1410" w:type="dxa"/>
            <w:vMerge w:val="continue"/>
            <w:tcBorders>
              <w:left w:val="single" w:color="auto" w:sz="4" w:space="0"/>
              <w:right w:val="single" w:color="000000" w:sz="4" w:space="0"/>
            </w:tcBorders>
            <w:shd w:val="clear" w:color="auto" w:fill="auto"/>
            <w:vAlign w:val="center"/>
          </w:tcPr>
          <w:p w14:paraId="5C4D5ACC">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D6BCF">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266F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3.27</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6F9D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可视化布：酶标板状态布局便捷，可直接设置未知、标品等</w:t>
            </w:r>
          </w:p>
        </w:tc>
      </w:tr>
      <w:tr w14:paraId="0D7A1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2" w:hRule="atLeast"/>
        </w:trPr>
        <w:tc>
          <w:tcPr>
            <w:tcW w:w="1410" w:type="dxa"/>
            <w:vMerge w:val="continue"/>
            <w:tcBorders>
              <w:left w:val="single" w:color="auto" w:sz="4" w:space="0"/>
              <w:right w:val="single" w:color="000000" w:sz="4" w:space="0"/>
            </w:tcBorders>
            <w:shd w:val="clear" w:color="auto" w:fill="auto"/>
            <w:vAlign w:val="center"/>
          </w:tcPr>
          <w:p w14:paraId="6188035D">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83336">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1319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 xml:space="preserve">3.28 </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5A21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标准曲线库：标曲储存，无需每次现做标曲，调用即可进行浓度判断；共享库：程序、结果、标曲共享</w:t>
            </w:r>
          </w:p>
        </w:tc>
      </w:tr>
      <w:tr w14:paraId="7181D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atLeast"/>
        </w:trPr>
        <w:tc>
          <w:tcPr>
            <w:tcW w:w="1410" w:type="dxa"/>
            <w:vMerge w:val="continue"/>
            <w:tcBorders>
              <w:left w:val="single" w:color="auto" w:sz="4" w:space="0"/>
              <w:right w:val="single" w:color="000000" w:sz="4" w:space="0"/>
            </w:tcBorders>
            <w:shd w:val="clear" w:color="auto" w:fill="auto"/>
            <w:vAlign w:val="center"/>
          </w:tcPr>
          <w:p w14:paraId="1FBC9D29">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1B232">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4EFC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 xml:space="preserve">3.29 </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0B1C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内置多种算法：减去空白、标曲、定性、定量、质控、动力学、光谱分析；算法自定义：根据需求增加所需算法</w:t>
            </w:r>
          </w:p>
        </w:tc>
      </w:tr>
      <w:tr w14:paraId="667BC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1" w:hRule="atLeast"/>
        </w:trPr>
        <w:tc>
          <w:tcPr>
            <w:tcW w:w="1410" w:type="dxa"/>
            <w:vMerge w:val="continue"/>
            <w:tcBorders>
              <w:left w:val="single" w:color="auto" w:sz="4" w:space="0"/>
              <w:bottom w:val="nil"/>
              <w:right w:val="single" w:color="000000" w:sz="4" w:space="0"/>
            </w:tcBorders>
            <w:shd w:val="clear" w:color="auto" w:fill="auto"/>
            <w:vAlign w:val="center"/>
          </w:tcPr>
          <w:p w14:paraId="5D06FB04">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60F40">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8292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 xml:space="preserve">3.30 </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0ABB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数据容量≥64GB，可存储大于150000条数据文件；数据导出格式：Excel、PDF、CSV格式；兼容性：支持PC软件，Win7至Win10 64位；仪器接口：4个USB 型口、1个以太网口、RS232接口（加样器连接）</w:t>
            </w:r>
          </w:p>
        </w:tc>
      </w:tr>
      <w:tr w14:paraId="312E1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14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1402A8">
            <w:pPr>
              <w:keepNext w:val="0"/>
              <w:keepLines w:val="0"/>
              <w:pageBreakBefore w:val="0"/>
              <w:widowControl/>
              <w:suppressLineNumbers w:val="0"/>
              <w:kinsoku/>
              <w:wordWrap w:val="0"/>
              <w:overflowPunct/>
              <w:bidi w:val="0"/>
              <w:jc w:val="center"/>
              <w:textAlignment w:val="center"/>
              <w:rPr>
                <w:rFonts w:hint="default" w:ascii="方正仿宋_GBK" w:hAnsi="方正仿宋_GBK" w:eastAsia="方正仿宋_GBK" w:cs="方正仿宋_GBK"/>
                <w:i w:val="0"/>
                <w:iCs w:val="0"/>
                <w:color w:val="auto"/>
                <w:sz w:val="20"/>
                <w:szCs w:val="20"/>
                <w:highlight w:val="none"/>
                <w:u w:val="none"/>
              </w:rPr>
            </w:pPr>
            <w:r>
              <w:rPr>
                <w:rFonts w:hint="default" w:ascii="宋体" w:hAnsi="宋体" w:eastAsia="宋体" w:cs="宋体"/>
                <w:i w:val="0"/>
                <w:iCs w:val="0"/>
                <w:color w:val="auto"/>
                <w:kern w:val="0"/>
                <w:sz w:val="20"/>
                <w:szCs w:val="20"/>
                <w:highlight w:val="none"/>
                <w:u w:val="none"/>
                <w:lang w:val="en-US" w:eastAsia="zh-CN" w:bidi="ar"/>
              </w:rPr>
              <w:t>4.主要配置</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2DBB1">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61BC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6024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多功能酶标仪主机1台</w:t>
            </w:r>
          </w:p>
        </w:tc>
      </w:tr>
      <w:tr w14:paraId="6BA80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14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4A9F3">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FEA43">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80DD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4.2</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263E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电脑端分析软件1套</w:t>
            </w:r>
          </w:p>
        </w:tc>
      </w:tr>
      <w:tr w14:paraId="7AF3A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14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76829">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CDFD3">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8943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4.3</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D23D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电源线1根</w:t>
            </w:r>
          </w:p>
        </w:tc>
      </w:tr>
      <w:tr w14:paraId="31CBE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14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04419">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30C26">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2796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4.4</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3C6A8">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数据线1根</w:t>
            </w:r>
          </w:p>
        </w:tc>
      </w:tr>
      <w:tr w14:paraId="4A700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14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72454">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CCE92">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06BB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4.5</w:t>
            </w:r>
          </w:p>
        </w:tc>
        <w:tc>
          <w:tcPr>
            <w:tcW w:w="5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28C0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U盘1个</w:t>
            </w:r>
          </w:p>
        </w:tc>
      </w:tr>
      <w:tr w14:paraId="2ED9C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1" w:hRule="atLeast"/>
        </w:trPr>
        <w:tc>
          <w:tcPr>
            <w:tcW w:w="14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9FBCD">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EB5B6">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D1D3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4.6</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838A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电脑工作站1套（相当于或优于6核心12线程，单核主频4.4GHz的CPU，内存≥16GB,1T硬盘, 独立显卡，DVD/CD-RW, 双网卡，含正版操作系统与仪器软件能兼容，≥24寸2K液晶显示器。）</w:t>
            </w:r>
          </w:p>
        </w:tc>
      </w:tr>
    </w:tbl>
    <w:p w14:paraId="7C374268">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77581BD0">
      <w:pPr>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br w:type="page"/>
      </w:r>
    </w:p>
    <w:tbl>
      <w:tblPr>
        <w:tblStyle w:val="38"/>
        <w:tblW w:w="91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11"/>
        <w:gridCol w:w="1326"/>
        <w:gridCol w:w="998"/>
        <w:gridCol w:w="5625"/>
      </w:tblGrid>
      <w:tr w14:paraId="32399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9160" w:type="dxa"/>
            <w:gridSpan w:val="4"/>
            <w:tcBorders>
              <w:top w:val="nil"/>
              <w:left w:val="nil"/>
              <w:bottom w:val="nil"/>
              <w:right w:val="nil"/>
            </w:tcBorders>
            <w:shd w:val="clear" w:color="auto" w:fill="auto"/>
            <w:vAlign w:val="center"/>
          </w:tcPr>
          <w:p w14:paraId="5AB3590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仪器设备技术参数（二）</w:t>
            </w:r>
          </w:p>
        </w:tc>
      </w:tr>
      <w:tr w14:paraId="26150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trPr>
        <w:tc>
          <w:tcPr>
            <w:tcW w:w="9160" w:type="dxa"/>
            <w:gridSpan w:val="4"/>
            <w:tcBorders>
              <w:top w:val="nil"/>
              <w:left w:val="nil"/>
              <w:bottom w:val="nil"/>
              <w:right w:val="nil"/>
            </w:tcBorders>
            <w:shd w:val="clear" w:color="auto" w:fill="auto"/>
            <w:noWrap/>
            <w:vAlign w:val="center"/>
          </w:tcPr>
          <w:p w14:paraId="48A59C7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品目名称：高速冷冻离心机</w:t>
            </w:r>
          </w:p>
        </w:tc>
      </w:tr>
      <w:tr w14:paraId="04ACE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trPr>
        <w:tc>
          <w:tcPr>
            <w:tcW w:w="9160" w:type="dxa"/>
            <w:gridSpan w:val="4"/>
            <w:tcBorders>
              <w:top w:val="nil"/>
              <w:left w:val="nil"/>
              <w:bottom w:val="nil"/>
              <w:right w:val="nil"/>
            </w:tcBorders>
            <w:shd w:val="clear" w:color="auto" w:fill="auto"/>
            <w:noWrap/>
            <w:vAlign w:val="center"/>
          </w:tcPr>
          <w:p w14:paraId="7086C2A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子品目名称：高速冷冻离心机</w:t>
            </w:r>
          </w:p>
        </w:tc>
      </w:tr>
      <w:tr w14:paraId="055F3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8287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序号</w:t>
            </w:r>
          </w:p>
        </w:tc>
        <w:tc>
          <w:tcPr>
            <w:tcW w:w="13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2D43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指标类型</w:t>
            </w:r>
          </w:p>
          <w:p w14:paraId="65DD98F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"★"或"▲"</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B460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条款号</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26BF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技术指标内容</w:t>
            </w:r>
          </w:p>
        </w:tc>
      </w:tr>
      <w:tr w14:paraId="5427A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1211" w:type="dxa"/>
            <w:vMerge w:val="restart"/>
            <w:tcBorders>
              <w:top w:val="nil"/>
              <w:left w:val="single" w:color="000000" w:sz="4" w:space="0"/>
              <w:bottom w:val="nil"/>
              <w:right w:val="single" w:color="000000" w:sz="4" w:space="0"/>
            </w:tcBorders>
            <w:shd w:val="clear" w:color="auto" w:fill="auto"/>
            <w:vAlign w:val="center"/>
          </w:tcPr>
          <w:p w14:paraId="101DABD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3.主要技术参数</w:t>
            </w:r>
          </w:p>
        </w:tc>
        <w:tc>
          <w:tcPr>
            <w:tcW w:w="1326" w:type="dxa"/>
            <w:tcBorders>
              <w:top w:val="nil"/>
              <w:left w:val="nil"/>
              <w:bottom w:val="nil"/>
              <w:right w:val="nil"/>
            </w:tcBorders>
            <w:shd w:val="clear" w:color="auto" w:fill="auto"/>
            <w:noWrap/>
            <w:vAlign w:val="center"/>
          </w:tcPr>
          <w:p w14:paraId="1C8BDC6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1765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8ED7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具有转子静态识别技术，能静态识别转子各种信息，也能对转子的使用寿命进行精准管理。</w:t>
            </w:r>
          </w:p>
        </w:tc>
      </w:tr>
      <w:tr w14:paraId="4303B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51C0C98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9FB6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1ACD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3D51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具有实时监测设备在运行中的振动状态，若设备异常振动，机器立即停机并发出警报</w:t>
            </w:r>
          </w:p>
        </w:tc>
      </w:tr>
      <w:tr w14:paraId="30AEB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7DE062B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3DDA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13FE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3.3</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8596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采用免维护变频电机驱动，LCD触摸屏。</w:t>
            </w:r>
          </w:p>
        </w:tc>
      </w:tr>
      <w:tr w14:paraId="67162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4"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0897F65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CBAE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9CEA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3.4</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952A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316不锈钢内腔，采用特氟龙涂层，耐腐蚀。</w:t>
            </w:r>
          </w:p>
        </w:tc>
      </w:tr>
      <w:tr w14:paraId="6E2AF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7B24FA8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77E0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3822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3.5</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71AA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可存储不少于900个程序组、十万条使用记录，可导出为PDF电子文档。</w:t>
            </w:r>
          </w:p>
        </w:tc>
      </w:tr>
      <w:tr w14:paraId="33E3E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4"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79245F7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8022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5939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3.6</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789E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具有多级权限分配功能，可根据需求自由设置管理权限，可通过密码使用设备。</w:t>
            </w:r>
          </w:p>
        </w:tc>
      </w:tr>
      <w:tr w14:paraId="1BEBA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22450C2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47DF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0087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3.7</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E05A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具有门盖，超速，超温、过流、过压、过热等多重保护功能，声音文字同时提示并显示解决方案。</w:t>
            </w:r>
          </w:p>
        </w:tc>
      </w:tr>
      <w:tr w14:paraId="1BDCC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2539957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3167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DD4F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3.8</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4227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可设置≥7段阶梯离心，满足多元化实验要求。</w:t>
            </w:r>
          </w:p>
        </w:tc>
      </w:tr>
      <w:tr w14:paraId="2DC87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0A42C14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1F99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62A7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3.9</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47B0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具有曲线显示功能，运行参数以曲线形式直观的显示在屏幕上，用以监测各参数的变化过程和稳定性。</w:t>
            </w:r>
          </w:p>
        </w:tc>
      </w:tr>
      <w:tr w14:paraId="371FD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1F6223F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A459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952B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3.10 </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A258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具有点动/连续离心功能。</w:t>
            </w:r>
          </w:p>
        </w:tc>
      </w:tr>
      <w:tr w14:paraId="32B0E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224928A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nil"/>
              <w:left w:val="nil"/>
              <w:bottom w:val="nil"/>
              <w:right w:val="nil"/>
            </w:tcBorders>
            <w:shd w:val="clear" w:color="auto" w:fill="auto"/>
            <w:noWrap/>
            <w:vAlign w:val="center"/>
          </w:tcPr>
          <w:p w14:paraId="3AC9DEF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56C5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3.11 </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76B5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≥20级升降速可调，转速在600rpm~0时采用曲线缓降，防止样品回荡。</w:t>
            </w:r>
          </w:p>
        </w:tc>
      </w:tr>
      <w:tr w14:paraId="0F3E6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69D6983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03AA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665D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3.12 </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5D7A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所有转子、转子盖均可高温高压灭菌。</w:t>
            </w:r>
          </w:p>
        </w:tc>
      </w:tr>
      <w:tr w14:paraId="547C3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2"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139B31F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0726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0305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3.13 </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7082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内腔底部设有专用排水系统、防止冷凝水聚积</w:t>
            </w:r>
          </w:p>
        </w:tc>
      </w:tr>
      <w:tr w14:paraId="7B6F8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2"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3DE610E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EE96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22F0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3.14 </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2A1D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最高转速≥23000 r/min</w:t>
            </w:r>
          </w:p>
        </w:tc>
      </w:tr>
      <w:tr w14:paraId="22A89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0"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44CE186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38C3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5800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3.15 </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B1EF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最大离心力≥ 37000 ×g</w:t>
            </w:r>
          </w:p>
        </w:tc>
      </w:tr>
      <w:tr w14:paraId="06248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2"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07ABDF3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98D8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5C12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3.16 </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6419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最大容量 ≥ 4×750ml(4000rpm)</w:t>
            </w:r>
          </w:p>
        </w:tc>
      </w:tr>
      <w:tr w14:paraId="49765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3DC1746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614F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F69A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3.17 </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798A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转速精度 ±10 r/min</w:t>
            </w:r>
          </w:p>
        </w:tc>
      </w:tr>
      <w:tr w14:paraId="5CA15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4"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4C31451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B904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AA18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3.18 </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8757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温控精度  ±1℃</w:t>
            </w:r>
          </w:p>
        </w:tc>
      </w:tr>
      <w:tr w14:paraId="41CB6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1AE36A9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B93F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0856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3.19 </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1A4C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温度设置范围  -20℃ ～40℃</w:t>
            </w:r>
          </w:p>
        </w:tc>
      </w:tr>
      <w:tr w14:paraId="45057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0"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595F6C7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4601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6D6A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3.20 </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6663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定时范围  1s~99H59 min59s</w:t>
            </w:r>
          </w:p>
        </w:tc>
      </w:tr>
      <w:tr w14:paraId="2E83A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211" w:type="dxa"/>
            <w:vMerge w:val="continue"/>
            <w:tcBorders>
              <w:top w:val="nil"/>
              <w:left w:val="single" w:color="000000" w:sz="4" w:space="0"/>
              <w:bottom w:val="nil"/>
              <w:right w:val="single" w:color="000000" w:sz="4" w:space="0"/>
            </w:tcBorders>
            <w:shd w:val="clear" w:color="auto" w:fill="auto"/>
            <w:vAlign w:val="center"/>
          </w:tcPr>
          <w:p w14:paraId="31AE77F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B9F8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988F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3.21 </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6990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噪  声 ≤56dB（A）</w:t>
            </w:r>
          </w:p>
        </w:tc>
      </w:tr>
      <w:tr w14:paraId="0DF46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trPr>
        <w:tc>
          <w:tcPr>
            <w:tcW w:w="12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666D8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4.主要配置</w:t>
            </w: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D57B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C1A5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4.1</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E26C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24×1.5/2.0ml角转子</w:t>
            </w:r>
          </w:p>
        </w:tc>
      </w:tr>
      <w:tr w14:paraId="27AD8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1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5FC9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545F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11A7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4.2</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CFD3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12×50ml角转子</w:t>
            </w:r>
          </w:p>
        </w:tc>
      </w:tr>
      <w:tr w14:paraId="4BE6F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 w:hRule="atLeast"/>
        </w:trPr>
        <w:tc>
          <w:tcPr>
            <w:tcW w:w="1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5EBA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354A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BE91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4.3</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F7C4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4×750ml挂杯</w:t>
            </w:r>
          </w:p>
        </w:tc>
      </w:tr>
      <w:tr w14:paraId="7CDD2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3" w:hRule="atLeast"/>
        </w:trPr>
        <w:tc>
          <w:tcPr>
            <w:tcW w:w="1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DA86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3A01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B1B0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4.4</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6C6A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15/50ml适配器</w:t>
            </w:r>
          </w:p>
        </w:tc>
      </w:tr>
    </w:tbl>
    <w:p w14:paraId="0C84742F">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tbl>
      <w:tblPr>
        <w:tblStyle w:val="38"/>
        <w:tblW w:w="96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98"/>
        <w:gridCol w:w="1236"/>
        <w:gridCol w:w="1032"/>
        <w:gridCol w:w="6294"/>
      </w:tblGrid>
      <w:tr w14:paraId="58E52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7" w:hRule="atLeast"/>
        </w:trPr>
        <w:tc>
          <w:tcPr>
            <w:tcW w:w="9660" w:type="dxa"/>
            <w:gridSpan w:val="4"/>
            <w:tcBorders>
              <w:top w:val="nil"/>
              <w:left w:val="nil"/>
              <w:bottom w:val="nil"/>
              <w:right w:val="nil"/>
            </w:tcBorders>
            <w:shd w:val="clear" w:color="auto" w:fill="auto"/>
            <w:vAlign w:val="center"/>
          </w:tcPr>
          <w:p w14:paraId="3AE069D7">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仪器设备技术参数（三）</w:t>
            </w:r>
          </w:p>
        </w:tc>
      </w:tr>
      <w:tr w14:paraId="14144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9660" w:type="dxa"/>
            <w:gridSpan w:val="4"/>
            <w:tcBorders>
              <w:top w:val="nil"/>
              <w:left w:val="nil"/>
              <w:bottom w:val="nil"/>
              <w:right w:val="nil"/>
            </w:tcBorders>
            <w:shd w:val="clear" w:color="auto" w:fill="auto"/>
            <w:noWrap/>
            <w:vAlign w:val="center"/>
          </w:tcPr>
          <w:p w14:paraId="471C591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品目名称：全自动多功能成像系统</w:t>
            </w:r>
          </w:p>
        </w:tc>
      </w:tr>
      <w:tr w14:paraId="37A3C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9660" w:type="dxa"/>
            <w:gridSpan w:val="4"/>
            <w:tcBorders>
              <w:top w:val="nil"/>
              <w:left w:val="nil"/>
              <w:bottom w:val="nil"/>
              <w:right w:val="nil"/>
            </w:tcBorders>
            <w:shd w:val="clear" w:color="auto" w:fill="auto"/>
            <w:noWrap/>
            <w:vAlign w:val="center"/>
          </w:tcPr>
          <w:p w14:paraId="57E3D6D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子品目名称：全自动多功能成像系统</w:t>
            </w:r>
          </w:p>
        </w:tc>
      </w:tr>
      <w:tr w14:paraId="138AE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3" w:hRule="atLeast"/>
        </w:trPr>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ED68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F0E0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A678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0698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技术指标内容</w:t>
            </w:r>
          </w:p>
        </w:tc>
      </w:tr>
      <w:tr w14:paraId="768BE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1098" w:type="dxa"/>
            <w:vMerge w:val="restart"/>
            <w:tcBorders>
              <w:top w:val="single" w:color="000000" w:sz="4" w:space="0"/>
              <w:left w:val="single" w:color="000000" w:sz="4" w:space="0"/>
              <w:bottom w:val="nil"/>
              <w:right w:val="single" w:color="000000" w:sz="4" w:space="0"/>
            </w:tcBorders>
            <w:shd w:val="clear" w:color="auto" w:fill="auto"/>
            <w:vAlign w:val="center"/>
          </w:tcPr>
          <w:p w14:paraId="0F7ABC1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3.主要技术参数</w:t>
            </w:r>
          </w:p>
        </w:tc>
        <w:tc>
          <w:tcPr>
            <w:tcW w:w="1236" w:type="dxa"/>
            <w:tcBorders>
              <w:top w:val="nil"/>
              <w:left w:val="nil"/>
              <w:bottom w:val="nil"/>
              <w:right w:val="nil"/>
            </w:tcBorders>
            <w:shd w:val="clear" w:color="auto" w:fill="auto"/>
            <w:noWrap/>
            <w:vAlign w:val="center"/>
          </w:tcPr>
          <w:p w14:paraId="1C92356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DDB7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F9C8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摄像头：高分辨科研级制冷型感光相机≥900万像素</w:t>
            </w:r>
          </w:p>
        </w:tc>
      </w:tr>
      <w:tr w14:paraId="7CFFF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1247E5E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033A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826A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61B5D">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冷却温度：≤-68℃（提供相机厂家证明文件）</w:t>
            </w:r>
          </w:p>
        </w:tc>
      </w:tr>
      <w:tr w14:paraId="271A0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410CB1A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A228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463A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79A4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读出噪声：&lt;3 e-（1MHz）</w:t>
            </w:r>
          </w:p>
        </w:tc>
      </w:tr>
      <w:tr w14:paraId="5BAF2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59A2811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812B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AE20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3.4</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6F2A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量子效率：CCD芯片光电转换效率≥75%</w:t>
            </w:r>
          </w:p>
        </w:tc>
      </w:tr>
      <w:tr w14:paraId="153B6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41CBF0F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ED05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BFE8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3.5</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BF0D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像素位深：≥16bit</w:t>
            </w:r>
          </w:p>
        </w:tc>
      </w:tr>
      <w:tr w14:paraId="7833B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147B1B3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E96E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A078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3.6</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18A4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镜头：≥F0.95/25mm大光圈电动定焦镜头, 具有自动聚焦功能。</w:t>
            </w:r>
          </w:p>
        </w:tc>
      </w:tr>
      <w:tr w14:paraId="5B26E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7"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6E75250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DDFC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E76F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3.7</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F223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样品台：三层自动感应式样品平台，可满足不同尺寸样品的拍摄，并带有自动识别样品和样品对焦功能；</w:t>
            </w:r>
          </w:p>
        </w:tc>
      </w:tr>
      <w:tr w14:paraId="5622A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593C303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9F07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DFF4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3.8</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8065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1.8白光反射灯：LED白光反射，无影灯设计。</w:t>
            </w:r>
          </w:p>
        </w:tc>
      </w:tr>
      <w:tr w14:paraId="61361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7"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2C89D08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D9FD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F100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3.9</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691E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四波长紫外台：透射面积≥21*21cm、302+365nm双波长；双侧反射光源254nm+365nm。带有开关门紫外自动闭合功能。</w:t>
            </w:r>
          </w:p>
        </w:tc>
      </w:tr>
      <w:tr w14:paraId="236FC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4B6133D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C84A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F046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3.10</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8809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白光透射板：白光转换板≥22.5*22.5cm,可满足SDS-Page胶和X胶片等白光样品的拍摄。</w:t>
            </w:r>
          </w:p>
        </w:tc>
      </w:tr>
      <w:tr w14:paraId="0397C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276F446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EA65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BD59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3.11</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5711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滤光镜轮：≥6位全自动电动滤光轮，样品与滤镜自动联动，无需人为切换，可自动根据不同样品自动识别切换，标配590nm滤光镜。</w:t>
            </w:r>
          </w:p>
        </w:tc>
      </w:tr>
      <w:tr w14:paraId="36581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7"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5AA7E1E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1DF1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847E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3.12</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5E72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光源控制：全自动智能控制系统程序可根据样品类型自动进行光源切换，带有1-60分钟灯光自动延时关闭和开关门紫外自动闭合功能；</w:t>
            </w:r>
          </w:p>
        </w:tc>
      </w:tr>
      <w:tr w14:paraId="0A3F0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5145D44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428B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EA80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3.13</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50A98">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内置计算机：≥15英寸电容触摸屏，≥I5 CPU，≥4G内存，≥128G固态硬盘+1T储存硬盘（支持外扩储存容量），USB3.0接口。</w:t>
            </w:r>
          </w:p>
        </w:tc>
      </w:tr>
      <w:tr w14:paraId="5162E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6A9B175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F991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BEAD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3.14</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2F95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智能拍摄软件：模块化的拍摄流程，具有自动、手动、积分、自定义等多种拍摄功能。具有过曝提示预警及软件自动断电功能。</w:t>
            </w:r>
          </w:p>
        </w:tc>
      </w:tr>
      <w:tr w14:paraId="432AE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59"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0BD0DCA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78B1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8B47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3.15</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E7F0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智能分析软件：可进行各种染料染色的DNA/RNA、蛋白凝胶电泳的分析，ECL、ECLPlus等化学发光/化学荧光样品的分析，ELISA 板及放射自显影胶片分析，Spot/Dot/Blot点阵分析，Western、Norther、Southern、Dot/Slot blot、杂交膜、菌落的分析；PCR定量分析，AFLP/RFLP分析、遗传树及微卫星DNA分析，斑点分类筛选功能，荧光分析，菌落分析，抑菌抗生素效价分析（符合《国家药典》规定），物体和切片测量分析等；</w:t>
            </w:r>
          </w:p>
        </w:tc>
      </w:tr>
      <w:tr w14:paraId="3E84F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0E962B6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C26B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823E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3.16</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8687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分析软件内置VNTRs（可变数量串联重复序列）分析功能模块</w:t>
            </w:r>
            <w:r>
              <w:rPr>
                <w:rFonts w:hint="default" w:ascii="宋体" w:hAnsi="宋体" w:eastAsia="宋体" w:cs="宋体"/>
                <w:i w:val="0"/>
                <w:iCs w:val="0"/>
                <w:color w:val="auto"/>
                <w:kern w:val="0"/>
                <w:sz w:val="20"/>
                <w:szCs w:val="20"/>
                <w:highlight w:val="none"/>
                <w:u w:val="none"/>
                <w:lang w:val="en-US" w:eastAsia="zh-CN" w:bidi="ar"/>
              </w:rPr>
              <w:t>。</w:t>
            </w:r>
          </w:p>
        </w:tc>
      </w:tr>
      <w:tr w14:paraId="62B05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66B7F02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369C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18F9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3.17</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95D0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包含荧光合成功能、染料数据库、分子量数据库、图像数据库、背景数据库。</w:t>
            </w:r>
          </w:p>
        </w:tc>
      </w:tr>
      <w:tr w14:paraId="50C48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1"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5F5722D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1983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C644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3.18</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D56C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各种数据表可保存为Excel格式并打印，所有图像能复制、粘贴和打印，所有图像、图表可导入Excel、Word、PhotoShop、画图、粘贴板等多种格式的文件中进行编辑；可对实验进行保存，便于今后查找和调用；可出具符合GLP标准的实验报告；可保存各种紫外、荧光和化学发光拍摄模式，随时调用；操作系统为： Win10。</w:t>
            </w:r>
          </w:p>
        </w:tc>
      </w:tr>
      <w:tr w14:paraId="36C35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4F13304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F4ED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98F7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3.19</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A583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分析软件不受限制免费从官网下载并免费升级。</w:t>
            </w:r>
          </w:p>
        </w:tc>
      </w:tr>
      <w:tr w14:paraId="04D66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2BEE9B0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BFEF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3ADA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3.20</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3860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符合并通过GB 4793.1-2007《测量、控制和实验室用电气设备的安全要求》检测GB/T 19001、ISO9001认证、CE LVD认证、CE EMC认证</w:t>
            </w:r>
          </w:p>
        </w:tc>
      </w:tr>
      <w:tr w14:paraId="113CB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2CA9533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47D5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4DE5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3.21</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46F6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工作电源：110-220V/50Hz</w:t>
            </w:r>
          </w:p>
        </w:tc>
      </w:tr>
      <w:tr w14:paraId="65E5C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1DB8D1B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8BC5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2F23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3.22</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9157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工作环境：室内</w:t>
            </w:r>
          </w:p>
        </w:tc>
      </w:tr>
      <w:tr w14:paraId="0158E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nil"/>
              <w:right w:val="single" w:color="000000" w:sz="4" w:space="0"/>
            </w:tcBorders>
            <w:shd w:val="clear" w:color="auto" w:fill="auto"/>
            <w:vAlign w:val="center"/>
          </w:tcPr>
          <w:p w14:paraId="204ED2B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794A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C6B2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3.23</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BA89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主机尺寸≥409*445*779mm（W*D*H）</w:t>
            </w:r>
          </w:p>
        </w:tc>
      </w:tr>
      <w:tr w14:paraId="53DFD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10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A760D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4.主要配置</w:t>
            </w: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614F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7AD3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5C18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制冷CCD相机1套</w:t>
            </w:r>
          </w:p>
        </w:tc>
      </w:tr>
      <w:tr w14:paraId="60613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E46B3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1FB3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8469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4.2</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16CA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自动对焦镜头1套</w:t>
            </w:r>
          </w:p>
        </w:tc>
      </w:tr>
      <w:tr w14:paraId="6D7DF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17F4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ED73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9E4A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4.3</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0CA6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≥6位滤光片轮1组</w:t>
            </w:r>
          </w:p>
        </w:tc>
      </w:tr>
      <w:tr w14:paraId="0FE03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69237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5F69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ABFD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4.4</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56D11">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滤色镜片(535nm/605nm/699nm)1套</w:t>
            </w:r>
          </w:p>
        </w:tc>
      </w:tr>
      <w:tr w14:paraId="6ED9D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F1E1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E951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6998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4.5</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05DAD">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透射光源平台（不少于紫外/蓝光/白光）1套</w:t>
            </w:r>
          </w:p>
        </w:tc>
      </w:tr>
      <w:tr w14:paraId="0D147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5FEF6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96E1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8CC8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4.6</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9DC8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白光透射板1个</w:t>
            </w:r>
          </w:p>
        </w:tc>
      </w:tr>
      <w:tr w14:paraId="6EFA9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70CE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115B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35E0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4.7</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66FB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图像拍摄及分析软件1套</w:t>
            </w:r>
          </w:p>
        </w:tc>
      </w:tr>
      <w:tr w14:paraId="0117E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7A1F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6A12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F98F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4.8</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FDB4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配套核酸电泳1套（包含水平电泳槽和电泳仪）</w:t>
            </w:r>
          </w:p>
        </w:tc>
      </w:tr>
      <w:tr w14:paraId="50D0B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BC9D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14F5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81E2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4.9</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221B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彩色喷墨打印机 1台（彩色打印速度≥16页/min ，自动双面）</w:t>
            </w:r>
          </w:p>
        </w:tc>
      </w:tr>
    </w:tbl>
    <w:p w14:paraId="6867AD34">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3AAF4011">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3C28A64A">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3967A6BE">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4BC9612F">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5776A75A">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540ECA98">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47CD21E8">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0E354120">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2AB409AC">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1CD139EA">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15277C6C">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72A1B763">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056D6A06">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3D35241F">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6F580817">
      <w:pPr>
        <w:bidi w:val="0"/>
        <w:rPr>
          <w:rFonts w:hint="eastAsia"/>
          <w:color w:val="auto"/>
          <w:highlight w:val="none"/>
          <w:lang w:val="zh-CN" w:eastAsia="zh-CN"/>
        </w:rPr>
      </w:pPr>
    </w:p>
    <w:tbl>
      <w:tblPr>
        <w:tblStyle w:val="38"/>
        <w:tblW w:w="910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78"/>
        <w:gridCol w:w="1260"/>
        <w:gridCol w:w="936"/>
        <w:gridCol w:w="5626"/>
      </w:tblGrid>
      <w:tr w14:paraId="61063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9100" w:type="dxa"/>
            <w:gridSpan w:val="4"/>
            <w:tcBorders>
              <w:top w:val="nil"/>
              <w:left w:val="nil"/>
              <w:bottom w:val="nil"/>
              <w:right w:val="nil"/>
            </w:tcBorders>
            <w:shd w:val="clear" w:color="auto" w:fill="auto"/>
            <w:vAlign w:val="center"/>
          </w:tcPr>
          <w:p w14:paraId="7CA36AEF">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仪器设备技术参数（四）</w:t>
            </w:r>
          </w:p>
        </w:tc>
      </w:tr>
      <w:tr w14:paraId="34687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9100" w:type="dxa"/>
            <w:gridSpan w:val="4"/>
            <w:tcBorders>
              <w:top w:val="nil"/>
              <w:left w:val="nil"/>
              <w:bottom w:val="nil"/>
              <w:right w:val="nil"/>
            </w:tcBorders>
            <w:shd w:val="clear" w:color="auto" w:fill="auto"/>
            <w:noWrap/>
            <w:vAlign w:val="center"/>
          </w:tcPr>
          <w:p w14:paraId="362BF09F">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子品目名称：全自动均质器</w:t>
            </w:r>
          </w:p>
        </w:tc>
      </w:tr>
      <w:tr w14:paraId="19AF4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9100" w:type="dxa"/>
            <w:gridSpan w:val="4"/>
            <w:tcBorders>
              <w:top w:val="nil"/>
              <w:left w:val="nil"/>
              <w:bottom w:val="nil"/>
              <w:right w:val="nil"/>
            </w:tcBorders>
            <w:shd w:val="clear" w:color="auto" w:fill="auto"/>
            <w:noWrap/>
            <w:vAlign w:val="center"/>
          </w:tcPr>
          <w:p w14:paraId="7B0B955D">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子品目名称：全自动均质器</w:t>
            </w:r>
          </w:p>
        </w:tc>
      </w:tr>
      <w:tr w14:paraId="1EA6C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2" w:hRule="atLeast"/>
        </w:trPr>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C1FF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3824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FC8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2DDE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技术指标内容</w:t>
            </w:r>
          </w:p>
        </w:tc>
      </w:tr>
      <w:tr w14:paraId="2E6A9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1278" w:type="dxa"/>
            <w:vMerge w:val="restart"/>
            <w:tcBorders>
              <w:top w:val="single" w:color="000000" w:sz="4" w:space="0"/>
              <w:left w:val="single" w:color="000000" w:sz="4" w:space="0"/>
              <w:bottom w:val="nil"/>
              <w:right w:val="single" w:color="000000" w:sz="4" w:space="0"/>
            </w:tcBorders>
            <w:shd w:val="clear" w:color="auto" w:fill="auto"/>
            <w:vAlign w:val="center"/>
          </w:tcPr>
          <w:p w14:paraId="2937461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3.主要技术参数</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8E1D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168B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393D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最大样品批次处理量：≥36个。</w:t>
            </w:r>
          </w:p>
        </w:tc>
      </w:tr>
      <w:tr w14:paraId="62598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1278" w:type="dxa"/>
            <w:vMerge w:val="continue"/>
            <w:tcBorders>
              <w:top w:val="single" w:color="000000" w:sz="4" w:space="0"/>
              <w:left w:val="single" w:color="000000" w:sz="4" w:space="0"/>
              <w:bottom w:val="nil"/>
              <w:right w:val="single" w:color="000000" w:sz="4" w:space="0"/>
            </w:tcBorders>
            <w:shd w:val="clear" w:color="auto" w:fill="auto"/>
            <w:vAlign w:val="center"/>
          </w:tcPr>
          <w:p w14:paraId="7C1C260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9770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F5F2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E5BE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样品管体积：10ml～200mL。</w:t>
            </w:r>
          </w:p>
        </w:tc>
      </w:tr>
      <w:tr w14:paraId="4D092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1278" w:type="dxa"/>
            <w:vMerge w:val="continue"/>
            <w:tcBorders>
              <w:top w:val="single" w:color="000000" w:sz="4" w:space="0"/>
              <w:left w:val="single" w:color="000000" w:sz="4" w:space="0"/>
              <w:bottom w:val="nil"/>
              <w:right w:val="single" w:color="000000" w:sz="4" w:space="0"/>
            </w:tcBorders>
            <w:shd w:val="clear" w:color="auto" w:fill="auto"/>
            <w:vAlign w:val="center"/>
          </w:tcPr>
          <w:p w14:paraId="18D9DF3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74A1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5400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3.3</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CFF7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电子控制转速，均质速度：3000-25000rpm/min，可在方法设置界面选择。</w:t>
            </w:r>
          </w:p>
        </w:tc>
      </w:tr>
      <w:tr w14:paraId="192D4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nil"/>
              <w:right w:val="single" w:color="000000" w:sz="4" w:space="0"/>
            </w:tcBorders>
            <w:shd w:val="clear" w:color="auto" w:fill="auto"/>
            <w:vAlign w:val="center"/>
          </w:tcPr>
          <w:p w14:paraId="7C9DD55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CCE1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0A09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3.4</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6EE9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10寸彩色触摸屏操作，图形化界面，操作简单，可编辑并储存几十条均质程序，包括加液通道、加液体积、均质速度、时间、清洗模式等。</w:t>
            </w:r>
          </w:p>
        </w:tc>
      </w:tr>
      <w:tr w14:paraId="50589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nil"/>
              <w:right w:val="single" w:color="000000" w:sz="4" w:space="0"/>
            </w:tcBorders>
            <w:shd w:val="clear" w:color="auto" w:fill="auto"/>
            <w:vAlign w:val="center"/>
          </w:tcPr>
          <w:p w14:paraId="32C9708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D4C6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CABA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3.5</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4A14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自动加液功能，可于方法设置中选择添加所需体积的溶剂，具备三种溶剂通道可选。</w:t>
            </w:r>
          </w:p>
        </w:tc>
      </w:tr>
      <w:tr w14:paraId="0A48F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1278" w:type="dxa"/>
            <w:vMerge w:val="continue"/>
            <w:tcBorders>
              <w:top w:val="single" w:color="000000" w:sz="4" w:space="0"/>
              <w:left w:val="single" w:color="000000" w:sz="4" w:space="0"/>
              <w:bottom w:val="nil"/>
              <w:right w:val="single" w:color="000000" w:sz="4" w:space="0"/>
            </w:tcBorders>
            <w:shd w:val="clear" w:color="auto" w:fill="auto"/>
            <w:vAlign w:val="center"/>
          </w:tcPr>
          <w:p w14:paraId="5FA3116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29AF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F499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3.6</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ED8E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均质速度可以通过控制软件电子控制。</w:t>
            </w:r>
          </w:p>
        </w:tc>
      </w:tr>
      <w:tr w14:paraId="19180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nil"/>
              <w:right w:val="single" w:color="000000" w:sz="4" w:space="0"/>
            </w:tcBorders>
            <w:shd w:val="clear" w:color="auto" w:fill="auto"/>
            <w:vAlign w:val="center"/>
          </w:tcPr>
          <w:p w14:paraId="096A460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3E7C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7E6D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3.7</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4DE9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具备样品盘架自动识别功能，能够自动识别所安装的样品架类型，无需手工选择样品盘类型。</w:t>
            </w:r>
          </w:p>
        </w:tc>
      </w:tr>
      <w:tr w14:paraId="2662A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3" w:hRule="atLeast"/>
        </w:trPr>
        <w:tc>
          <w:tcPr>
            <w:tcW w:w="1278" w:type="dxa"/>
            <w:vMerge w:val="continue"/>
            <w:tcBorders>
              <w:top w:val="single" w:color="000000" w:sz="4" w:space="0"/>
              <w:left w:val="single" w:color="000000" w:sz="4" w:space="0"/>
              <w:bottom w:val="nil"/>
              <w:right w:val="single" w:color="000000" w:sz="4" w:space="0"/>
            </w:tcBorders>
            <w:shd w:val="clear" w:color="auto" w:fill="auto"/>
            <w:vAlign w:val="center"/>
          </w:tcPr>
          <w:p w14:paraId="70F83B6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872F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BD93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3.8</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3C31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刀头残留液接收盘，接收盘在运行过程切换样品时电动推出。（需要提供残留液接收盘移动前后的真机照片，并解释说明）</w:t>
            </w:r>
          </w:p>
        </w:tc>
      </w:tr>
      <w:tr w14:paraId="42223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nil"/>
              <w:right w:val="single" w:color="000000" w:sz="4" w:space="0"/>
            </w:tcBorders>
            <w:shd w:val="clear" w:color="auto" w:fill="auto"/>
            <w:vAlign w:val="center"/>
          </w:tcPr>
          <w:p w14:paraId="05BF7F0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6F55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49AE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3.9</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D1B5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配置样品液位自动监控系统，减少样品在均质过程中由于刀头高速旋转产生的样品溢出。</w:t>
            </w:r>
          </w:p>
        </w:tc>
      </w:tr>
      <w:tr w14:paraId="2CC5C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nil"/>
              <w:right w:val="single" w:color="000000" w:sz="4" w:space="0"/>
            </w:tcBorders>
            <w:shd w:val="clear" w:color="auto" w:fill="auto"/>
            <w:vAlign w:val="center"/>
          </w:tcPr>
          <w:p w14:paraId="7ECB215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8E46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C09E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3.10</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5432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可选管架规格：200mL*12孔、175mL*12孔、120mL*16孔、100mL*16孔、50mL*24孔、15mL*36孔、10mL*36孔</w:t>
            </w:r>
          </w:p>
        </w:tc>
      </w:tr>
      <w:tr w14:paraId="6C925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1278" w:type="dxa"/>
            <w:vMerge w:val="continue"/>
            <w:tcBorders>
              <w:top w:val="single" w:color="000000" w:sz="4" w:space="0"/>
              <w:left w:val="single" w:color="000000" w:sz="4" w:space="0"/>
              <w:bottom w:val="nil"/>
              <w:right w:val="single" w:color="000000" w:sz="4" w:space="0"/>
            </w:tcBorders>
            <w:shd w:val="clear" w:color="auto" w:fill="auto"/>
            <w:vAlign w:val="center"/>
          </w:tcPr>
          <w:p w14:paraId="6F36ACE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FEF0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0C5F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3.11</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2167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可选带冰浴样品架，可以在低温条件进行操作</w:t>
            </w:r>
          </w:p>
        </w:tc>
      </w:tr>
      <w:tr w14:paraId="7C01C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1278" w:type="dxa"/>
            <w:vMerge w:val="continue"/>
            <w:tcBorders>
              <w:top w:val="single" w:color="000000" w:sz="4" w:space="0"/>
              <w:left w:val="single" w:color="000000" w:sz="4" w:space="0"/>
              <w:bottom w:val="nil"/>
              <w:right w:val="single" w:color="000000" w:sz="4" w:space="0"/>
            </w:tcBorders>
            <w:shd w:val="clear" w:color="auto" w:fill="auto"/>
            <w:vAlign w:val="center"/>
          </w:tcPr>
          <w:p w14:paraId="6E03C06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521F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7BD1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3.12</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4A71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机械刀头可选：10×108mm、19×204mm</w:t>
            </w:r>
          </w:p>
        </w:tc>
      </w:tr>
      <w:tr w14:paraId="3FB3E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1278" w:type="dxa"/>
            <w:vMerge w:val="continue"/>
            <w:tcBorders>
              <w:top w:val="single" w:color="000000" w:sz="4" w:space="0"/>
              <w:left w:val="single" w:color="000000" w:sz="4" w:space="0"/>
              <w:bottom w:val="nil"/>
              <w:right w:val="single" w:color="000000" w:sz="4" w:space="0"/>
            </w:tcBorders>
            <w:shd w:val="clear" w:color="auto" w:fill="auto"/>
            <w:vAlign w:val="center"/>
          </w:tcPr>
          <w:p w14:paraId="041FF35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76F4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45CB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3.13</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7405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均质器刀头清洗装置，动态喷淋清洗以保证清洗效果</w:t>
            </w:r>
          </w:p>
        </w:tc>
      </w:tr>
      <w:tr w14:paraId="62F7E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7" w:hRule="atLeast"/>
        </w:trPr>
        <w:tc>
          <w:tcPr>
            <w:tcW w:w="1278" w:type="dxa"/>
            <w:vMerge w:val="continue"/>
            <w:tcBorders>
              <w:top w:val="single" w:color="000000" w:sz="4" w:space="0"/>
              <w:left w:val="single" w:color="000000" w:sz="4" w:space="0"/>
              <w:bottom w:val="nil"/>
              <w:right w:val="single" w:color="000000" w:sz="4" w:space="0"/>
            </w:tcBorders>
            <w:shd w:val="clear" w:color="auto" w:fill="auto"/>
            <w:vAlign w:val="center"/>
          </w:tcPr>
          <w:p w14:paraId="5C45A51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1C7B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D09D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3.14</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FBB7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独立的刀头清洗槽，包括三种清洗方式，有机溶剂、水和超声波清洗；可选择不同清洗方式进行清洗及设定清洗时间，有机和水分开排放及上液，水清洗及超声波清洗进水种类可选纯水或者超纯水。（需要提供侧面排液及进液管路排布实拍图并解释说明）</w:t>
            </w:r>
          </w:p>
        </w:tc>
      </w:tr>
      <w:tr w14:paraId="685A5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1278" w:type="dxa"/>
            <w:vMerge w:val="continue"/>
            <w:tcBorders>
              <w:top w:val="single" w:color="000000" w:sz="4" w:space="0"/>
              <w:left w:val="single" w:color="000000" w:sz="4" w:space="0"/>
              <w:bottom w:val="nil"/>
              <w:right w:val="single" w:color="000000" w:sz="4" w:space="0"/>
            </w:tcBorders>
            <w:shd w:val="clear" w:color="auto" w:fill="auto"/>
            <w:vAlign w:val="center"/>
          </w:tcPr>
          <w:p w14:paraId="67DB71D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4CD1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707B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3.15</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0326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有机溶剂清洗，可实现清洗液重复使用，使用次数可以根据需要进行设定。</w:t>
            </w:r>
          </w:p>
        </w:tc>
      </w:tr>
      <w:tr w14:paraId="68946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1278" w:type="dxa"/>
            <w:vMerge w:val="continue"/>
            <w:tcBorders>
              <w:top w:val="single" w:color="000000" w:sz="4" w:space="0"/>
              <w:left w:val="single" w:color="000000" w:sz="4" w:space="0"/>
              <w:bottom w:val="nil"/>
              <w:right w:val="single" w:color="000000" w:sz="4" w:space="0"/>
            </w:tcBorders>
            <w:shd w:val="clear" w:color="auto" w:fill="auto"/>
            <w:vAlign w:val="center"/>
          </w:tcPr>
          <w:p w14:paraId="39D8189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4262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8A56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3.16</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9D9E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具备无盘保护功能，未安装样品架时，主界面明确提示并防止仪器空转运行。</w:t>
            </w:r>
          </w:p>
        </w:tc>
      </w:tr>
      <w:tr w14:paraId="76876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nil"/>
              <w:right w:val="single" w:color="000000" w:sz="4" w:space="0"/>
            </w:tcBorders>
            <w:shd w:val="clear" w:color="auto" w:fill="auto"/>
            <w:vAlign w:val="center"/>
          </w:tcPr>
          <w:p w14:paraId="0C83509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46D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EE60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3.17</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0B5A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均质过程中刀头上下移动以增强均质效果，刀头上下移动距离仪器会根据样品量和样品管规格自动进行调整。</w:t>
            </w:r>
          </w:p>
        </w:tc>
      </w:tr>
      <w:tr w14:paraId="7C955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278" w:type="dxa"/>
            <w:vMerge w:val="continue"/>
            <w:tcBorders>
              <w:top w:val="single" w:color="000000" w:sz="4" w:space="0"/>
              <w:left w:val="single" w:color="000000" w:sz="4" w:space="0"/>
              <w:bottom w:val="nil"/>
              <w:right w:val="single" w:color="000000" w:sz="4" w:space="0"/>
            </w:tcBorders>
            <w:shd w:val="clear" w:color="auto" w:fill="auto"/>
            <w:vAlign w:val="center"/>
          </w:tcPr>
          <w:p w14:paraId="555AE69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325FF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C301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3.18</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2222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仪器安全性：仪器有自动保护功能，如实际转速与设定转速相差太大时（过慢或者过快时）仪器会自动停机，并报警; 样品过载或马达过热致温度上升时，仪器会自动调整并报警，以提高实验的安全性。</w:t>
            </w:r>
          </w:p>
        </w:tc>
      </w:tr>
      <w:tr w14:paraId="68411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nil"/>
              <w:right w:val="single" w:color="000000" w:sz="4" w:space="0"/>
            </w:tcBorders>
            <w:shd w:val="clear" w:color="auto" w:fill="auto"/>
            <w:vAlign w:val="center"/>
          </w:tcPr>
          <w:p w14:paraId="0B01A3F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000B8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90F6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3.19</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1A87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运行过程中，显示面板可以显示均质速度、运行时间、工作位置等实时信息，并且可以随时暂停或者停止现有工作。</w:t>
            </w:r>
          </w:p>
        </w:tc>
      </w:tr>
      <w:tr w14:paraId="02536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nil"/>
              <w:right w:val="single" w:color="000000" w:sz="4" w:space="0"/>
            </w:tcBorders>
            <w:shd w:val="clear" w:color="auto" w:fill="auto"/>
            <w:vAlign w:val="center"/>
          </w:tcPr>
          <w:p w14:paraId="6C00CD0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60FFE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1B22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3.20</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7D67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所有的动作都是在一个密闭的系统里面，通过管连接仪器后部的排气扇可以把挥发的有机溶剂排到室外。</w:t>
            </w:r>
          </w:p>
        </w:tc>
      </w:tr>
      <w:tr w14:paraId="3C49E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1278" w:type="dxa"/>
            <w:tcBorders>
              <w:top w:val="nil"/>
              <w:left w:val="single" w:color="000000" w:sz="4" w:space="0"/>
              <w:bottom w:val="nil"/>
              <w:right w:val="single" w:color="000000" w:sz="4" w:space="0"/>
            </w:tcBorders>
            <w:shd w:val="clear" w:color="auto" w:fill="auto"/>
            <w:vAlign w:val="center"/>
          </w:tcPr>
          <w:p w14:paraId="497519D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76CD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180A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3.21</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B7FF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全透明塑料前门，内置LED灯。</w:t>
            </w:r>
          </w:p>
        </w:tc>
      </w:tr>
      <w:tr w14:paraId="1F8AB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D7209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4.主要配置</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242F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3C31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4143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均质器主机</w:t>
            </w:r>
          </w:p>
        </w:tc>
      </w:tr>
      <w:tr w14:paraId="2D002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4F21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7988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10EE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4.2</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3136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220V/50HZ 均质器 1个</w:t>
            </w:r>
          </w:p>
        </w:tc>
      </w:tr>
      <w:tr w14:paraId="0F1B3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A11A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006E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3E19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4.3</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C720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加液系统1套</w:t>
            </w:r>
          </w:p>
        </w:tc>
      </w:tr>
      <w:tr w14:paraId="07F7C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AE48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4585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985C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4.4</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C2BC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样品液位监控装置一套</w:t>
            </w:r>
          </w:p>
        </w:tc>
      </w:tr>
      <w:tr w14:paraId="2A6DD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7E8D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6A7F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906A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4.5</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BEF8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刀头拆卸工具一套1套</w:t>
            </w:r>
          </w:p>
        </w:tc>
      </w:tr>
      <w:tr w14:paraId="4C168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E1DA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4A98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4122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4.6</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FB9D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漏电保护器电源线1条</w:t>
            </w:r>
          </w:p>
        </w:tc>
      </w:tr>
      <w:tr w14:paraId="6D866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5698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ECA9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AEF3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4.7</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31CB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排气波纹管 1根</w:t>
            </w:r>
          </w:p>
        </w:tc>
      </w:tr>
      <w:tr w14:paraId="35EDE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4113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B62D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8225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4.8</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E994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保险丝1个</w:t>
            </w:r>
          </w:p>
        </w:tc>
      </w:tr>
      <w:tr w14:paraId="7618B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58D4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787E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2F57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4.9</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C21D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平底机械刀头 1个</w:t>
            </w:r>
          </w:p>
        </w:tc>
      </w:tr>
      <w:tr w14:paraId="6743D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7BFC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B2CE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2048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4.10</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6B90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16位样品架，适用于85mL/100mL样品管1个</w:t>
            </w:r>
          </w:p>
        </w:tc>
      </w:tr>
      <w:tr w14:paraId="46A8D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8167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3049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14CA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4.11</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4AAB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100ml  离心管200个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100mL圆底螺口200个</w:t>
            </w:r>
          </w:p>
        </w:tc>
      </w:tr>
      <w:tr w14:paraId="3D896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89F1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2B9A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6225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4.12</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19EC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进水调节阀模块 1套</w:t>
            </w:r>
          </w:p>
        </w:tc>
      </w:tr>
      <w:tr w14:paraId="337C8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D5BE2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69AA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9E21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4.13</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E013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平底机械刀头 环形轴承 4套</w:t>
            </w:r>
          </w:p>
        </w:tc>
      </w:tr>
      <w:tr w14:paraId="0F3F1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2361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6F18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6C09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4.14</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FD69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离心管 120mL圆底插口 100个</w:t>
            </w:r>
          </w:p>
        </w:tc>
      </w:tr>
      <w:tr w14:paraId="429A7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BE089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5E21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B755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4.15</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9BB1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120ml样品架（适用于120mL圆底插口离心管） 1个</w:t>
            </w:r>
          </w:p>
        </w:tc>
      </w:tr>
    </w:tbl>
    <w:p w14:paraId="301792E8">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08D17C08">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1C880A03">
      <w:pPr>
        <w:pStyle w:val="13"/>
        <w:rPr>
          <w:rFonts w:hint="eastAsia"/>
          <w:color w:val="auto"/>
          <w:highlight w:val="none"/>
          <w:lang w:val="zh-CN" w:eastAsia="zh-CN"/>
        </w:rPr>
      </w:pPr>
    </w:p>
    <w:p w14:paraId="65810AA7">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tbl>
      <w:tblPr>
        <w:tblStyle w:val="3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17"/>
        <w:gridCol w:w="1226"/>
        <w:gridCol w:w="872"/>
        <w:gridCol w:w="5859"/>
      </w:tblGrid>
      <w:tr w14:paraId="13E21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5000" w:type="pct"/>
            <w:gridSpan w:val="4"/>
            <w:tcBorders>
              <w:top w:val="nil"/>
              <w:left w:val="nil"/>
              <w:bottom w:val="nil"/>
              <w:right w:val="nil"/>
            </w:tcBorders>
            <w:shd w:val="clear" w:color="auto" w:fill="auto"/>
            <w:vAlign w:val="center"/>
          </w:tcPr>
          <w:p w14:paraId="4B94927E">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仪器设备技术参数（五）</w:t>
            </w:r>
          </w:p>
        </w:tc>
      </w:tr>
      <w:tr w14:paraId="35AD2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9" w:hRule="atLeast"/>
        </w:trPr>
        <w:tc>
          <w:tcPr>
            <w:tcW w:w="5000" w:type="pct"/>
            <w:gridSpan w:val="4"/>
            <w:tcBorders>
              <w:top w:val="nil"/>
              <w:left w:val="nil"/>
              <w:bottom w:val="nil"/>
              <w:right w:val="nil"/>
            </w:tcBorders>
            <w:shd w:val="clear" w:color="auto" w:fill="auto"/>
            <w:noWrap/>
            <w:vAlign w:val="center"/>
          </w:tcPr>
          <w:p w14:paraId="4AE55E9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子品目名称：低温&amp;灭活研磨仪</w:t>
            </w:r>
          </w:p>
        </w:tc>
      </w:tr>
      <w:tr w14:paraId="262EE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5000" w:type="pct"/>
            <w:gridSpan w:val="4"/>
            <w:tcBorders>
              <w:top w:val="nil"/>
              <w:left w:val="nil"/>
              <w:bottom w:val="nil"/>
              <w:right w:val="nil"/>
            </w:tcBorders>
            <w:shd w:val="clear" w:color="auto" w:fill="auto"/>
            <w:noWrap/>
            <w:vAlign w:val="center"/>
          </w:tcPr>
          <w:p w14:paraId="367D65C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子品目名称：低温&amp;灭活研磨仪</w:t>
            </w:r>
          </w:p>
        </w:tc>
      </w:tr>
      <w:tr w14:paraId="437D6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8" w:hRule="atLeast"/>
        </w:trPr>
        <w:tc>
          <w:tcPr>
            <w:tcW w:w="6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921B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BB4B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4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9B97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D105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技术指标内容</w:t>
            </w:r>
          </w:p>
        </w:tc>
      </w:tr>
      <w:tr w14:paraId="31C9D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664" w:type="pct"/>
            <w:vMerge w:val="restart"/>
            <w:tcBorders>
              <w:top w:val="single" w:color="000000" w:sz="4" w:space="0"/>
              <w:left w:val="single" w:color="000000" w:sz="4" w:space="0"/>
              <w:bottom w:val="nil"/>
              <w:right w:val="single" w:color="000000" w:sz="4" w:space="0"/>
            </w:tcBorders>
            <w:shd w:val="clear" w:color="auto" w:fill="auto"/>
            <w:vAlign w:val="center"/>
          </w:tcPr>
          <w:p w14:paraId="6843F83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3.主要技术参数</w:t>
            </w: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1938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6C39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728B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样品通量：24*2ml；16*5ml；8*15ml；6*30ml；6*50ml</w:t>
            </w:r>
          </w:p>
        </w:tc>
      </w:tr>
      <w:tr w14:paraId="5D7C9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3926A55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1887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9D1C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644C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显示：液晶触摸屏</w:t>
            </w:r>
          </w:p>
        </w:tc>
      </w:tr>
      <w:tr w14:paraId="47772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2BEE8EC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54F6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4122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2E39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制冷：采用原位压缩机制冷方式</w:t>
            </w:r>
          </w:p>
        </w:tc>
      </w:tr>
      <w:tr w14:paraId="02E14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0"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3FDE66E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B425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194F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3.4</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4695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程序：可存储大于200组程序，预设或者自定义各种样品研磨/离心模式（动物心脏脾肺肾、骨骼、皮肤、毛发模式），可以设置循环模式（1-99个循环）；可以设置程序智能启动条件：温度/ 时间，达到要求后，自动启动</w:t>
            </w:r>
          </w:p>
        </w:tc>
      </w:tr>
      <w:tr w14:paraId="56A33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63D3919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EB56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8E7E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3.5</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96DD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接口：带有USB接口，方便升级控制系统、导出实验数据</w:t>
            </w:r>
          </w:p>
        </w:tc>
      </w:tr>
      <w:tr w14:paraId="5737F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1DBE75A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0E13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C1C1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3.6</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9541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开盖方式：自动升降，一键开关盖</w:t>
            </w:r>
          </w:p>
        </w:tc>
      </w:tr>
      <w:tr w14:paraId="1D8BB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54FF0EA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CCD0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F575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3.7</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2F3D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研磨方式：湿磨，干磨，低温研磨都可</w:t>
            </w:r>
          </w:p>
        </w:tc>
      </w:tr>
      <w:tr w14:paraId="574A7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3"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1A50AA8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A18D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AB95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3.8</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CACA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减震方式：三级减震系统（需要提供产品资料）</w:t>
            </w:r>
          </w:p>
        </w:tc>
      </w:tr>
      <w:tr w14:paraId="473C2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6"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0217363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1607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047C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3.9</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8479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最大进料尺寸：根据适配器调节</w:t>
            </w:r>
          </w:p>
        </w:tc>
      </w:tr>
      <w:tr w14:paraId="6682B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6"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3178711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9D35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1AA1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3.10</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6581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最终出料粒度：≤5</w:t>
            </w:r>
            <w:r>
              <w:rPr>
                <w:rFonts w:hint="eastAsia" w:ascii="宋体" w:hAnsi="宋体" w:eastAsia="宋体" w:cs="宋体"/>
                <w:i w:val="0"/>
                <w:iCs w:val="0"/>
                <w:color w:val="auto"/>
                <w:kern w:val="0"/>
                <w:sz w:val="20"/>
                <w:szCs w:val="20"/>
                <w:highlight w:val="none"/>
                <w:u w:val="none"/>
                <w:lang w:val="en-US" w:eastAsia="zh-CN" w:bidi="ar"/>
              </w:rPr>
              <w:t>µ</w:t>
            </w:r>
            <w:r>
              <w:rPr>
                <w:rFonts w:hint="default" w:ascii="宋体" w:hAnsi="宋体" w:eastAsia="宋体" w:cs="宋体"/>
                <w:i w:val="0"/>
                <w:iCs w:val="0"/>
                <w:color w:val="auto"/>
                <w:kern w:val="0"/>
                <w:sz w:val="20"/>
                <w:szCs w:val="20"/>
                <w:highlight w:val="none"/>
                <w:u w:val="none"/>
                <w:lang w:val="en-US" w:eastAsia="zh-CN" w:bidi="ar"/>
              </w:rPr>
              <w:t>m</w:t>
            </w:r>
          </w:p>
        </w:tc>
      </w:tr>
      <w:tr w14:paraId="4C2EA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3A5FB77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0D30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28B6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3.11</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83A1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安全锁：带自动中心定位的紧固装置,工作时全程保护</w:t>
            </w:r>
          </w:p>
        </w:tc>
      </w:tr>
      <w:tr w14:paraId="77A4E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213F3D6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5463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A24E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3.12</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AF43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均质速度：0—5300rpm；工作时间：0秒-9999分钟，可自行设定，可以设置间隔时间，进行循环操作</w:t>
            </w:r>
          </w:p>
        </w:tc>
      </w:tr>
      <w:tr w14:paraId="002B7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0"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3C2A019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94AF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93F7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3.13</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F0FE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制冷速度：采用原位压缩机制冷方式，具有双测温点（外壁与内腔）；制冷速度5分钟内达到 4℃以下，10分钟达到0℃以下（研磨腔温度），最低温度≤-50/-15℃(外壁/内腔）；温度精度：±0.1℃</w:t>
            </w:r>
          </w:p>
        </w:tc>
      </w:tr>
      <w:tr w14:paraId="35386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1"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2B3FCF8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59C0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1017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3.14</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FB95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离心力：≥3000g</w:t>
            </w:r>
          </w:p>
        </w:tc>
      </w:tr>
      <w:tr w14:paraId="0525C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193B02D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31CE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2E01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3.15</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381B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温度精度：±0.1℃</w:t>
            </w:r>
          </w:p>
        </w:tc>
      </w:tr>
      <w:tr w14:paraId="0F0D0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3"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62FF90A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2FEC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BEB3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3.16</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8E55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研磨球直径：0.1-30mm</w:t>
            </w:r>
          </w:p>
        </w:tc>
      </w:tr>
      <w:tr w14:paraId="18649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0BBC57E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BE6D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E534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3.17</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76C6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加减速：可以自行设定1-10秒加减速时间</w:t>
            </w:r>
          </w:p>
        </w:tc>
      </w:tr>
      <w:tr w14:paraId="31027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3F152CC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952C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E014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3.18</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A322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噪音等级：&lt;55db</w:t>
            </w:r>
          </w:p>
        </w:tc>
      </w:tr>
      <w:tr w14:paraId="70CFF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6"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40E51BA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15EC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7184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3.19</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3054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重量：≤52KG</w:t>
            </w:r>
          </w:p>
        </w:tc>
      </w:tr>
      <w:tr w14:paraId="00CF7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200CD1D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8AB7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B77F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3.20</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C036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电压：220v</w:t>
            </w:r>
          </w:p>
        </w:tc>
      </w:tr>
      <w:tr w14:paraId="77449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8"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0733C60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69BE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549F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3.21</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D007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电机功率：≤340w</w:t>
            </w:r>
          </w:p>
        </w:tc>
      </w:tr>
      <w:tr w14:paraId="71DD1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8"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7AC035B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CBE1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30E0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3.22</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10F9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压缩机功率：压缩机1HP≤734w，制冷量不小于280w</w:t>
            </w:r>
          </w:p>
        </w:tc>
      </w:tr>
      <w:tr w14:paraId="6C440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664" w:type="pct"/>
            <w:vMerge w:val="continue"/>
            <w:tcBorders>
              <w:top w:val="single" w:color="000000" w:sz="4" w:space="0"/>
              <w:left w:val="single" w:color="000000" w:sz="4" w:space="0"/>
              <w:bottom w:val="nil"/>
              <w:right w:val="single" w:color="000000" w:sz="4" w:space="0"/>
            </w:tcBorders>
            <w:shd w:val="clear" w:color="auto" w:fill="auto"/>
            <w:vAlign w:val="center"/>
          </w:tcPr>
          <w:p w14:paraId="36D3825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CB52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FF4A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3.23</w:t>
            </w:r>
          </w:p>
        </w:tc>
        <w:tc>
          <w:tcPr>
            <w:tcW w:w="31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BC9D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选配、定制功能：多种适配器，开盖工具等可选配、定制</w:t>
            </w:r>
          </w:p>
        </w:tc>
      </w:tr>
      <w:tr w14:paraId="07AB5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66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B3727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4.主要配置</w:t>
            </w: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A47B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29DC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w:t>
            </w:r>
          </w:p>
        </w:tc>
        <w:tc>
          <w:tcPr>
            <w:tcW w:w="31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1F43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主机一台</w:t>
            </w:r>
          </w:p>
        </w:tc>
      </w:tr>
      <w:tr w14:paraId="4D5B5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trPr>
        <w:tc>
          <w:tcPr>
            <w:tcW w:w="66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8F8B9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BB2A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FD73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4.2</w:t>
            </w:r>
          </w:p>
        </w:tc>
        <w:tc>
          <w:tcPr>
            <w:tcW w:w="31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445A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适配器1套</w:t>
            </w:r>
          </w:p>
        </w:tc>
      </w:tr>
      <w:tr w14:paraId="61036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66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E0F3F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FAD9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4AEF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4.3</w:t>
            </w:r>
          </w:p>
        </w:tc>
        <w:tc>
          <w:tcPr>
            <w:tcW w:w="31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53B7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研磨管1包</w:t>
            </w:r>
          </w:p>
        </w:tc>
      </w:tr>
      <w:tr w14:paraId="305C5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66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CE56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E908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FF2D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4.4</w:t>
            </w:r>
          </w:p>
        </w:tc>
        <w:tc>
          <w:tcPr>
            <w:tcW w:w="31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5C71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研磨珠1瓶</w:t>
            </w:r>
          </w:p>
        </w:tc>
      </w:tr>
      <w:tr w14:paraId="6ED05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9" w:hRule="atLeast"/>
        </w:trPr>
        <w:tc>
          <w:tcPr>
            <w:tcW w:w="66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90C9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5215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BC00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4.5</w:t>
            </w:r>
          </w:p>
        </w:tc>
        <w:tc>
          <w:tcPr>
            <w:tcW w:w="31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18DC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开盖工具一个</w:t>
            </w:r>
          </w:p>
        </w:tc>
      </w:tr>
      <w:tr w14:paraId="26155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1" w:hRule="atLeast"/>
        </w:trPr>
        <w:tc>
          <w:tcPr>
            <w:tcW w:w="66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5570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B3BE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D6BA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4.6</w:t>
            </w:r>
          </w:p>
        </w:tc>
        <w:tc>
          <w:tcPr>
            <w:tcW w:w="31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56B9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专用加珠枪一把</w:t>
            </w:r>
          </w:p>
        </w:tc>
      </w:tr>
    </w:tbl>
    <w:p w14:paraId="1B969FE7">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0A07B620">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3E06E271">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2A11B9FC">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6B04434C">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40D45C81">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373D9E82">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7CBA9BDF">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72753307">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04677842">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734F846E">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00CAE533">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38BD3FC3">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568BB570">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7F3A13D8">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0F86E673">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tbl>
      <w:tblPr>
        <w:tblStyle w:val="3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00"/>
        <w:gridCol w:w="1321"/>
        <w:gridCol w:w="850"/>
        <w:gridCol w:w="5903"/>
      </w:tblGrid>
      <w:tr w14:paraId="2D454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6" w:hRule="atLeast"/>
        </w:trPr>
        <w:tc>
          <w:tcPr>
            <w:tcW w:w="5000" w:type="pct"/>
            <w:gridSpan w:val="4"/>
            <w:tcBorders>
              <w:top w:val="nil"/>
              <w:left w:val="nil"/>
              <w:bottom w:val="nil"/>
              <w:right w:val="nil"/>
            </w:tcBorders>
            <w:shd w:val="clear" w:color="auto" w:fill="auto"/>
            <w:vAlign w:val="center"/>
          </w:tcPr>
          <w:p w14:paraId="6F1D55EF">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仪器设备技术参数（六）</w:t>
            </w:r>
          </w:p>
        </w:tc>
      </w:tr>
      <w:tr w14:paraId="518DE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6" w:hRule="atLeast"/>
        </w:trPr>
        <w:tc>
          <w:tcPr>
            <w:tcW w:w="5000" w:type="pct"/>
            <w:gridSpan w:val="4"/>
            <w:tcBorders>
              <w:top w:val="nil"/>
              <w:left w:val="nil"/>
              <w:bottom w:val="nil"/>
              <w:right w:val="nil"/>
            </w:tcBorders>
            <w:shd w:val="clear" w:color="auto" w:fill="auto"/>
            <w:noWrap/>
            <w:vAlign w:val="center"/>
          </w:tcPr>
          <w:p w14:paraId="7CBD170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w:t>
            </w:r>
            <w:r>
              <w:rPr>
                <w:rFonts w:hint="eastAsia" w:ascii="宋体" w:hAnsi="宋体" w:eastAsia="宋体" w:cs="宋体"/>
                <w:i w:val="0"/>
                <w:iCs w:val="0"/>
                <w:color w:val="auto"/>
                <w:kern w:val="0"/>
                <w:sz w:val="20"/>
                <w:szCs w:val="20"/>
                <w:highlight w:val="none"/>
                <w:u w:val="none"/>
                <w:lang w:val="en-US" w:eastAsia="zh-CN" w:bidi="ar"/>
              </w:rPr>
              <w:t>生物安全柜</w:t>
            </w:r>
          </w:p>
        </w:tc>
      </w:tr>
      <w:tr w14:paraId="6ABF0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6" w:hRule="atLeast"/>
        </w:trPr>
        <w:tc>
          <w:tcPr>
            <w:tcW w:w="5000" w:type="pct"/>
            <w:gridSpan w:val="4"/>
            <w:tcBorders>
              <w:top w:val="nil"/>
              <w:left w:val="nil"/>
              <w:bottom w:val="nil"/>
              <w:right w:val="nil"/>
            </w:tcBorders>
            <w:shd w:val="clear" w:color="auto" w:fill="auto"/>
            <w:noWrap/>
            <w:vAlign w:val="center"/>
          </w:tcPr>
          <w:p w14:paraId="7B4F7B1A">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w:t>
            </w:r>
            <w:r>
              <w:rPr>
                <w:rFonts w:hint="eastAsia" w:ascii="宋体" w:hAnsi="宋体" w:eastAsia="宋体" w:cs="宋体"/>
                <w:i w:val="0"/>
                <w:iCs w:val="0"/>
                <w:color w:val="auto"/>
                <w:kern w:val="0"/>
                <w:sz w:val="20"/>
                <w:szCs w:val="20"/>
                <w:highlight w:val="none"/>
                <w:u w:val="none"/>
                <w:lang w:val="en-US" w:eastAsia="zh-CN" w:bidi="ar"/>
              </w:rPr>
              <w:t>生物安全柜</w:t>
            </w:r>
          </w:p>
        </w:tc>
      </w:tr>
      <w:tr w14:paraId="0A25B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2" w:hRule="atLeast"/>
        </w:trPr>
        <w:tc>
          <w:tcPr>
            <w:tcW w:w="6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F532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7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8498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0434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D9D0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技术指标内容</w:t>
            </w:r>
          </w:p>
        </w:tc>
      </w:tr>
      <w:tr w14:paraId="4C308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60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B2E10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3.主要技术参数</w:t>
            </w:r>
          </w:p>
        </w:tc>
        <w:tc>
          <w:tcPr>
            <w:tcW w:w="720" w:type="pct"/>
            <w:tcBorders>
              <w:top w:val="nil"/>
              <w:left w:val="nil"/>
              <w:bottom w:val="nil"/>
              <w:right w:val="nil"/>
            </w:tcBorders>
            <w:shd w:val="clear" w:color="auto" w:fill="auto"/>
            <w:noWrap/>
            <w:vAlign w:val="center"/>
          </w:tcPr>
          <w:p w14:paraId="3CF7050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D27B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E47A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适合单人使用。柜体内部工作区尺寸范围：宽度≥1200mm，深度≥630mm，高度≥780mm；</w:t>
            </w:r>
          </w:p>
        </w:tc>
      </w:tr>
      <w:tr w14:paraId="3871C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A7C6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0EDF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904E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19C4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外部尺寸：宽度≤1300mm，深度≤800mm，高度≤1568mm（高度为不含支架的柜体外部高度）。</w:t>
            </w:r>
          </w:p>
        </w:tc>
      </w:tr>
      <w:tr w14:paraId="734E6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23D6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1F1A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C386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6315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设备配置手动可调高度支架，可提供760毫米至965毫米高度的支撑高度，调节步进为55毫米。</w:t>
            </w:r>
          </w:p>
        </w:tc>
      </w:tr>
      <w:tr w14:paraId="3B73A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8915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C11E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A55E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3.4</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9D25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配有彩色触摸屏。图形用户界面（ GUI ）实时显示下降风速和流入风速，显示性能标准，且为其性能提供颜色编码指示器。（提供实物照片予以佐证）</w:t>
            </w:r>
          </w:p>
        </w:tc>
      </w:tr>
      <w:tr w14:paraId="57FF9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3F033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6A50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3F83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3.5</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464B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触摸屏界面可显示HEPA已使用时间、HEPA剩余使用时间、UV灯工作时间及总工作时间等。</w:t>
            </w:r>
          </w:p>
        </w:tc>
      </w:tr>
      <w:tr w14:paraId="2CCEF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BE94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3C59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246E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3.6</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BC73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触摸屏显示的报警信息可直接显示文字信息，非仅显示代码标号。（提供实物照片予以佐证）</w:t>
            </w:r>
          </w:p>
        </w:tc>
      </w:tr>
      <w:tr w14:paraId="3A4ED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9"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C604F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02F7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7DD4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3.7</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AE9B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HEPA 过滤模块：包含两个HEPA过滤模块，分别实现外排风和下降风的过滤。过滤器符合EN1822标准H14级别。 HEPA过滤效率：过滤器最易穿透颗粒（MPPS）过滤效率高于 99.995%。 0.3微米颗粒的截留效率高于99.999%。</w:t>
            </w:r>
          </w:p>
        </w:tc>
      </w:tr>
      <w:tr w14:paraId="4FC3E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3304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98D0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24E5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3.8</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3BC8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红黄绿图标显示安全柜运行状态，通过颜色及图像信息，反馈正常运行，状态提醒及状态警报。</w:t>
            </w:r>
          </w:p>
        </w:tc>
      </w:tr>
      <w:tr w14:paraId="6F63D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F6C48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6930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F426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3.9</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AD98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前窗工作高度：250毫米。前窗最大开启高度：535 毫米。</w:t>
            </w:r>
          </w:p>
        </w:tc>
      </w:tr>
      <w:tr w14:paraId="0047B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A56B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FC16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D65C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3.10</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8330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噪音：&lt; 63dB</w:t>
            </w:r>
          </w:p>
        </w:tc>
      </w:tr>
      <w:tr w14:paraId="19909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3D6A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7B8F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CFE2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3.11</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301D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双风机控制系统，独立的进气与排气风机自动控制，平衡下降气流与外排气流，以保证持续安全的工作条件。智能直流无碳刷电机可实时监测和控制风机转速。</w:t>
            </w:r>
          </w:p>
        </w:tc>
      </w:tr>
      <w:tr w14:paraId="4D572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220A7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B398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0345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3.12</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8DE1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风速报警：至少两个独立式压力传感器用于检测排气和下降气流强制通风时的压力变化（而非风速式传感器）。当进气/排气或下降气流速度变化量达到20%时，将发出声音和视觉报警（图像+状态灯）。(提供风压传感器实物照片予以佐证)</w:t>
            </w:r>
          </w:p>
        </w:tc>
      </w:tr>
      <w:tr w14:paraId="28EAA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4196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6483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CDE8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3.13</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5DB4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安全节能模式：安全柜开机正常运行状态下，将前窗玻璃下拉至完全关闭状态，安全柜自动启动低速安全节能模式（待机模式），下降风速自动变为30%，且保持柜体洁净环境。</w:t>
            </w:r>
          </w:p>
        </w:tc>
      </w:tr>
      <w:tr w14:paraId="543D6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3237C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ADEA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8494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3.14</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E451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设备配置254nm紫外灯。消毒程序可编程，时间从0至23小时可调，步进为15分钟。可实现紫外灯消毒预约功能。</w:t>
            </w:r>
          </w:p>
        </w:tc>
      </w:tr>
      <w:tr w14:paraId="095D6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471D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58BF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DE4E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3.15</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9FA4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设备采用LED灯照明。照明和杀菌系统应有互锁功能。</w:t>
            </w:r>
          </w:p>
        </w:tc>
      </w:tr>
      <w:tr w14:paraId="61482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8512F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1830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1350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3.16</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7E0A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前窗倾角：10°倾角，减少镜面效应。</w:t>
            </w:r>
          </w:p>
        </w:tc>
      </w:tr>
      <w:tr w14:paraId="06560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BBC3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1A5A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3F99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3.17</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5656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触感反馈：设备应具有特别的设置，当前窗玻璃到达工作高度时，有触感反馈功能。</w:t>
            </w:r>
          </w:p>
        </w:tc>
      </w:tr>
      <w:tr w14:paraId="4C447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9"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7577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8F2C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2966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3.18</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A52A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前窗清洗位置：无需拆卸任何部件即可将前窗玻璃可下拉到台面下方指定位置，操作者可站在安全柜外的无污染区，便于清洁安全柜玻璃窗内侧和更换灯管。（提供实物照片予以佐证）</w:t>
            </w:r>
          </w:p>
        </w:tc>
      </w:tr>
      <w:tr w14:paraId="44A94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FDE1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7AFD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1422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3.19</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174E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左右侧壁各标配三个服务阀孔，用于安装气阀，水阀和真空阀。（提供设备照片予以佐证）</w:t>
            </w:r>
          </w:p>
        </w:tc>
      </w:tr>
      <w:tr w14:paraId="7527B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3944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C735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A476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3.20</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24C6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工作台下方的集液槽应采用不锈钢制成，并带有排污阀。不应有支撑工作托盘重量的水平金属条，以便于清洁。（提供设备照片予以佐证）</w:t>
            </w:r>
          </w:p>
        </w:tc>
      </w:tr>
      <w:tr w14:paraId="0C3EE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E5E0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5D90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E36E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3.21</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775E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设备配置两个可拆卸式搁手架，卡入式设计。</w:t>
            </w:r>
          </w:p>
        </w:tc>
      </w:tr>
      <w:tr w14:paraId="60CFD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4010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A0B8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508E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3.22</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3562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排气 / 进气量：≤585 (立方米/小时) ；排气量，套管连接：≤761(立方米/小时) 。</w:t>
            </w:r>
          </w:p>
        </w:tc>
      </w:tr>
      <w:tr w14:paraId="746C2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463FF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6923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8C74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3.23</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C515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生物安全柜的能耗，运行时≤200W，节能模式时≤70 W。</w:t>
            </w:r>
          </w:p>
        </w:tc>
      </w:tr>
      <w:tr w14:paraId="20598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30DE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78AC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622A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3.24</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C513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选配污染净化模块，采用臭氧和365nm紫外协同作用，5分钟去除仪器腔体RNase，细菌，病毒，真菌等的污染，无残留，免冲洗。辐照范围：≥3立方米。配置双光源，每个光源的长度13-15cm（需提供实物图片证明双光源的长度）。</w:t>
            </w:r>
          </w:p>
        </w:tc>
      </w:tr>
      <w:tr w14:paraId="140B5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3A6D2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5A55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7F10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3.25</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86B5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相关认证：NSF认证，UL/CE 认证YY0569-2011认证</w:t>
            </w:r>
          </w:p>
        </w:tc>
      </w:tr>
      <w:tr w14:paraId="21877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60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5A650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4.主要配置</w:t>
            </w: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D6A4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5E6F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95CC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主机1台</w:t>
            </w:r>
          </w:p>
        </w:tc>
      </w:tr>
      <w:tr w14:paraId="5D702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11E9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85FE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8FDF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4.2</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67E5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可调高度支架1套</w:t>
            </w:r>
          </w:p>
        </w:tc>
      </w:tr>
      <w:tr w14:paraId="1B13B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0E37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1181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6CC7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4.3</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6516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紫外灯1套</w:t>
            </w:r>
          </w:p>
        </w:tc>
      </w:tr>
      <w:tr w14:paraId="6E02C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9B74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7C96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6D93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4.4</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4523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荧光灯1套</w:t>
            </w:r>
          </w:p>
        </w:tc>
      </w:tr>
      <w:tr w14:paraId="04D96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A086B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B868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3BFF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4.5</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0C66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搁手架1套</w:t>
            </w:r>
          </w:p>
        </w:tc>
      </w:tr>
    </w:tbl>
    <w:p w14:paraId="48053431">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58C0E6E2">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4C7016E9">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709D6213">
      <w:pPr>
        <w:pStyle w:val="13"/>
        <w:rPr>
          <w:rFonts w:hint="eastAsia"/>
          <w:color w:val="auto"/>
          <w:highlight w:val="none"/>
          <w:lang w:val="zh-CN" w:eastAsia="zh-CN"/>
        </w:rPr>
      </w:pPr>
    </w:p>
    <w:p w14:paraId="094487E2">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tbl>
      <w:tblPr>
        <w:tblStyle w:val="38"/>
        <w:tblW w:w="934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97"/>
        <w:gridCol w:w="1284"/>
        <w:gridCol w:w="888"/>
        <w:gridCol w:w="5871"/>
      </w:tblGrid>
      <w:tr w14:paraId="23E29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3" w:hRule="atLeast"/>
        </w:trPr>
        <w:tc>
          <w:tcPr>
            <w:tcW w:w="9340" w:type="dxa"/>
            <w:gridSpan w:val="4"/>
            <w:tcBorders>
              <w:top w:val="nil"/>
              <w:left w:val="nil"/>
              <w:bottom w:val="nil"/>
              <w:right w:val="nil"/>
            </w:tcBorders>
            <w:shd w:val="clear" w:color="auto" w:fill="auto"/>
            <w:vAlign w:val="center"/>
          </w:tcPr>
          <w:p w14:paraId="52D843F8">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仪器设备技术参数（七）</w:t>
            </w:r>
          </w:p>
        </w:tc>
      </w:tr>
      <w:tr w14:paraId="5AEF3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3" w:hRule="atLeast"/>
        </w:trPr>
        <w:tc>
          <w:tcPr>
            <w:tcW w:w="9340" w:type="dxa"/>
            <w:gridSpan w:val="4"/>
            <w:tcBorders>
              <w:top w:val="nil"/>
              <w:left w:val="nil"/>
              <w:bottom w:val="nil"/>
              <w:right w:val="nil"/>
            </w:tcBorders>
            <w:shd w:val="clear" w:color="auto" w:fill="auto"/>
            <w:noWrap/>
            <w:vAlign w:val="center"/>
          </w:tcPr>
          <w:p w14:paraId="46EDE44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w:t>
            </w:r>
            <w:r>
              <w:rPr>
                <w:rFonts w:hint="eastAsia" w:ascii="宋体" w:hAnsi="宋体" w:eastAsia="宋体" w:cs="宋体"/>
                <w:i w:val="0"/>
                <w:iCs w:val="0"/>
                <w:color w:val="auto"/>
                <w:kern w:val="0"/>
                <w:sz w:val="20"/>
                <w:szCs w:val="20"/>
                <w:highlight w:val="none"/>
                <w:u w:val="none"/>
                <w:lang w:val="en-US" w:eastAsia="zh-CN" w:bidi="ar"/>
              </w:rPr>
              <w:t>实时荧光定量PCR仪</w:t>
            </w:r>
          </w:p>
        </w:tc>
      </w:tr>
      <w:tr w14:paraId="1A28D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3" w:hRule="atLeast"/>
        </w:trPr>
        <w:tc>
          <w:tcPr>
            <w:tcW w:w="9340" w:type="dxa"/>
            <w:gridSpan w:val="4"/>
            <w:tcBorders>
              <w:top w:val="nil"/>
              <w:left w:val="nil"/>
              <w:bottom w:val="nil"/>
              <w:right w:val="nil"/>
            </w:tcBorders>
            <w:shd w:val="clear" w:color="auto" w:fill="auto"/>
            <w:noWrap/>
            <w:vAlign w:val="center"/>
          </w:tcPr>
          <w:p w14:paraId="718082D8">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w:t>
            </w:r>
            <w:r>
              <w:rPr>
                <w:rFonts w:hint="eastAsia" w:ascii="宋体" w:hAnsi="宋体" w:eastAsia="宋体" w:cs="宋体"/>
                <w:i w:val="0"/>
                <w:iCs w:val="0"/>
                <w:color w:val="auto"/>
                <w:kern w:val="0"/>
                <w:sz w:val="20"/>
                <w:szCs w:val="20"/>
                <w:highlight w:val="none"/>
                <w:u w:val="none"/>
                <w:lang w:val="en-US" w:eastAsia="zh-CN" w:bidi="ar"/>
              </w:rPr>
              <w:t>实时荧光定量PCR仪</w:t>
            </w:r>
          </w:p>
        </w:tc>
      </w:tr>
      <w:tr w14:paraId="493D8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4" w:hRule="atLeast"/>
        </w:trPr>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AD2E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A346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28B5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1A84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技术指标内容</w:t>
            </w:r>
          </w:p>
        </w:tc>
      </w:tr>
      <w:tr w14:paraId="09B28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9" w:hRule="atLeast"/>
        </w:trPr>
        <w:tc>
          <w:tcPr>
            <w:tcW w:w="1297" w:type="dxa"/>
            <w:vMerge w:val="restart"/>
            <w:tcBorders>
              <w:top w:val="single" w:color="000000" w:sz="4" w:space="0"/>
              <w:left w:val="single" w:color="000000" w:sz="4" w:space="0"/>
              <w:bottom w:val="nil"/>
              <w:right w:val="single" w:color="000000" w:sz="4" w:space="0"/>
            </w:tcBorders>
            <w:shd w:val="clear" w:color="auto" w:fill="auto"/>
            <w:vAlign w:val="center"/>
          </w:tcPr>
          <w:p w14:paraId="7DB45D2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3.主要技术参数</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D72EC">
            <w:pPr>
              <w:keepNext w:val="0"/>
              <w:keepLines w:val="0"/>
              <w:pageBreakBefore w:val="0"/>
              <w:widowControl/>
              <w:suppressLineNumbers w:val="0"/>
              <w:kinsoku/>
              <w:wordWrap w:val="0"/>
              <w:overflowPunct/>
              <w:bidi w:val="0"/>
              <w:spacing w:line="240" w:lineRule="auto"/>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112EB">
            <w:pPr>
              <w:keepNext w:val="0"/>
              <w:keepLines w:val="0"/>
              <w:pageBreakBefore w:val="0"/>
              <w:widowControl/>
              <w:suppressLineNumbers w:val="0"/>
              <w:kinsoku/>
              <w:wordWrap w:val="0"/>
              <w:overflowPunct/>
              <w:bidi w:val="0"/>
              <w:spacing w:line="240" w:lineRule="auto"/>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45267">
            <w:pPr>
              <w:keepNext w:val="0"/>
              <w:keepLines w:val="0"/>
              <w:pageBreakBefore w:val="0"/>
              <w:widowControl/>
              <w:suppressLineNumbers w:val="0"/>
              <w:kinsoku/>
              <w:wordWrap w:val="0"/>
              <w:overflowPunct/>
              <w:bidi w:val="0"/>
              <w:spacing w:line="240" w:lineRule="auto"/>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样本通量：1-96；</w:t>
            </w:r>
          </w:p>
        </w:tc>
      </w:tr>
      <w:tr w14:paraId="3B18D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3" w:hRule="atLeast"/>
        </w:trPr>
        <w:tc>
          <w:tcPr>
            <w:tcW w:w="1297" w:type="dxa"/>
            <w:vMerge w:val="continue"/>
            <w:tcBorders>
              <w:top w:val="single" w:color="000000" w:sz="4" w:space="0"/>
              <w:left w:val="single" w:color="000000" w:sz="4" w:space="0"/>
              <w:bottom w:val="nil"/>
              <w:right w:val="single" w:color="000000" w:sz="4" w:space="0"/>
            </w:tcBorders>
            <w:shd w:val="clear" w:color="auto" w:fill="auto"/>
            <w:vAlign w:val="center"/>
          </w:tcPr>
          <w:p w14:paraId="332EA1A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ED137">
            <w:pPr>
              <w:keepNext w:val="0"/>
              <w:keepLines w:val="0"/>
              <w:pageBreakBefore w:val="0"/>
              <w:widowControl/>
              <w:suppressLineNumbers w:val="0"/>
              <w:kinsoku/>
              <w:wordWrap w:val="0"/>
              <w:overflowPunct/>
              <w:bidi w:val="0"/>
              <w:spacing w:line="240" w:lineRule="auto"/>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BA946">
            <w:pPr>
              <w:keepNext w:val="0"/>
              <w:keepLines w:val="0"/>
              <w:pageBreakBefore w:val="0"/>
              <w:widowControl/>
              <w:suppressLineNumbers w:val="0"/>
              <w:kinsoku/>
              <w:wordWrap w:val="0"/>
              <w:overflowPunct/>
              <w:bidi w:val="0"/>
              <w:spacing w:line="240" w:lineRule="auto"/>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11426">
            <w:pPr>
              <w:keepNext w:val="0"/>
              <w:keepLines w:val="0"/>
              <w:pageBreakBefore w:val="0"/>
              <w:widowControl/>
              <w:suppressLineNumbers w:val="0"/>
              <w:kinsoku/>
              <w:wordWrap w:val="0"/>
              <w:overflowPunct/>
              <w:bidi w:val="0"/>
              <w:spacing w:line="240" w:lineRule="auto"/>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反应体系：10-100 μL；</w:t>
            </w:r>
          </w:p>
        </w:tc>
      </w:tr>
      <w:tr w14:paraId="658C2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9" w:hRule="atLeast"/>
        </w:trPr>
        <w:tc>
          <w:tcPr>
            <w:tcW w:w="1297" w:type="dxa"/>
            <w:vMerge w:val="continue"/>
            <w:tcBorders>
              <w:top w:val="single" w:color="000000" w:sz="4" w:space="0"/>
              <w:left w:val="single" w:color="000000" w:sz="4" w:space="0"/>
              <w:bottom w:val="nil"/>
              <w:right w:val="single" w:color="000000" w:sz="4" w:space="0"/>
            </w:tcBorders>
            <w:shd w:val="clear" w:color="auto" w:fill="auto"/>
            <w:vAlign w:val="center"/>
          </w:tcPr>
          <w:p w14:paraId="639F43F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459A2">
            <w:pPr>
              <w:keepNext w:val="0"/>
              <w:keepLines w:val="0"/>
              <w:pageBreakBefore w:val="0"/>
              <w:widowControl/>
              <w:suppressLineNumbers w:val="0"/>
              <w:kinsoku/>
              <w:wordWrap w:val="0"/>
              <w:overflowPunct/>
              <w:bidi w:val="0"/>
              <w:spacing w:line="240" w:lineRule="auto"/>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2D36F">
            <w:pPr>
              <w:keepNext w:val="0"/>
              <w:keepLines w:val="0"/>
              <w:pageBreakBefore w:val="0"/>
              <w:widowControl/>
              <w:suppressLineNumbers w:val="0"/>
              <w:kinsoku/>
              <w:wordWrap w:val="0"/>
              <w:overflowPunct/>
              <w:bidi w:val="0"/>
              <w:spacing w:line="240" w:lineRule="auto"/>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97540">
            <w:pPr>
              <w:keepNext w:val="0"/>
              <w:keepLines w:val="0"/>
              <w:pageBreakBefore w:val="0"/>
              <w:widowControl/>
              <w:suppressLineNumbers w:val="0"/>
              <w:kinsoku/>
              <w:wordWrap w:val="0"/>
              <w:overflowPunct/>
              <w:bidi w:val="0"/>
              <w:spacing w:line="240" w:lineRule="auto"/>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线性范围：1-1010copies；</w:t>
            </w:r>
          </w:p>
        </w:tc>
      </w:tr>
      <w:tr w14:paraId="330DE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1" w:hRule="atLeast"/>
        </w:trPr>
        <w:tc>
          <w:tcPr>
            <w:tcW w:w="1297" w:type="dxa"/>
            <w:vMerge w:val="continue"/>
            <w:tcBorders>
              <w:top w:val="single" w:color="000000" w:sz="4" w:space="0"/>
              <w:left w:val="single" w:color="000000" w:sz="4" w:space="0"/>
              <w:bottom w:val="nil"/>
              <w:right w:val="single" w:color="000000" w:sz="4" w:space="0"/>
            </w:tcBorders>
            <w:shd w:val="clear" w:color="auto" w:fill="auto"/>
            <w:vAlign w:val="center"/>
          </w:tcPr>
          <w:p w14:paraId="3A3A345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nil"/>
              <w:left w:val="nil"/>
              <w:bottom w:val="nil"/>
              <w:right w:val="nil"/>
            </w:tcBorders>
            <w:shd w:val="clear" w:color="auto" w:fill="auto"/>
            <w:noWrap/>
            <w:vAlign w:val="center"/>
          </w:tcPr>
          <w:p w14:paraId="788D94D0">
            <w:pPr>
              <w:keepNext w:val="0"/>
              <w:keepLines w:val="0"/>
              <w:pageBreakBefore w:val="0"/>
              <w:widowControl/>
              <w:suppressLineNumbers w:val="0"/>
              <w:kinsoku/>
              <w:wordWrap w:val="0"/>
              <w:overflowPunct/>
              <w:bidi w:val="0"/>
              <w:spacing w:line="240" w:lineRule="auto"/>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F2010">
            <w:pPr>
              <w:keepNext w:val="0"/>
              <w:keepLines w:val="0"/>
              <w:pageBreakBefore w:val="0"/>
              <w:widowControl/>
              <w:suppressLineNumbers w:val="0"/>
              <w:kinsoku/>
              <w:wordWrap w:val="0"/>
              <w:overflowPunct/>
              <w:bidi w:val="0"/>
              <w:spacing w:line="240" w:lineRule="auto"/>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3.4</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0401A">
            <w:pPr>
              <w:keepNext w:val="0"/>
              <w:keepLines w:val="0"/>
              <w:pageBreakBefore w:val="0"/>
              <w:widowControl/>
              <w:suppressLineNumbers w:val="0"/>
              <w:kinsoku/>
              <w:wordWrap w:val="0"/>
              <w:overflowPunct/>
              <w:bidi w:val="0"/>
              <w:spacing w:line="240" w:lineRule="auto"/>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控温技术：半导体制冷片加热制冷技术，采用半导体制冷器；</w:t>
            </w:r>
          </w:p>
        </w:tc>
      </w:tr>
      <w:tr w14:paraId="6CB34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3" w:hRule="atLeast"/>
        </w:trPr>
        <w:tc>
          <w:tcPr>
            <w:tcW w:w="1297" w:type="dxa"/>
            <w:vMerge w:val="continue"/>
            <w:tcBorders>
              <w:top w:val="single" w:color="000000" w:sz="4" w:space="0"/>
              <w:left w:val="single" w:color="000000" w:sz="4" w:space="0"/>
              <w:bottom w:val="nil"/>
              <w:right w:val="single" w:color="000000" w:sz="4" w:space="0"/>
            </w:tcBorders>
            <w:shd w:val="clear" w:color="auto" w:fill="auto"/>
            <w:vAlign w:val="center"/>
          </w:tcPr>
          <w:p w14:paraId="52828D6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923B9">
            <w:pPr>
              <w:keepNext w:val="0"/>
              <w:keepLines w:val="0"/>
              <w:pageBreakBefore w:val="0"/>
              <w:widowControl/>
              <w:suppressLineNumbers w:val="0"/>
              <w:kinsoku/>
              <w:wordWrap w:val="0"/>
              <w:overflowPunct/>
              <w:bidi w:val="0"/>
              <w:spacing w:line="240" w:lineRule="auto"/>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EDA9E">
            <w:pPr>
              <w:keepNext w:val="0"/>
              <w:keepLines w:val="0"/>
              <w:pageBreakBefore w:val="0"/>
              <w:widowControl/>
              <w:suppressLineNumbers w:val="0"/>
              <w:kinsoku/>
              <w:wordWrap w:val="0"/>
              <w:overflowPunct/>
              <w:bidi w:val="0"/>
              <w:spacing w:line="240" w:lineRule="auto"/>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3.5</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4BA47">
            <w:pPr>
              <w:keepNext w:val="0"/>
              <w:keepLines w:val="0"/>
              <w:pageBreakBefore w:val="0"/>
              <w:widowControl/>
              <w:suppressLineNumbers w:val="0"/>
              <w:kinsoku/>
              <w:wordWrap w:val="0"/>
              <w:overflowPunct/>
              <w:bidi w:val="0"/>
              <w:spacing w:line="240" w:lineRule="auto"/>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控温模式：具备BLOCK和模拟TUBE两种控温模式；</w:t>
            </w:r>
          </w:p>
        </w:tc>
      </w:tr>
      <w:tr w14:paraId="1A04D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3" w:hRule="atLeast"/>
        </w:trPr>
        <w:tc>
          <w:tcPr>
            <w:tcW w:w="1297" w:type="dxa"/>
            <w:vMerge w:val="continue"/>
            <w:tcBorders>
              <w:top w:val="single" w:color="000000" w:sz="4" w:space="0"/>
              <w:left w:val="single" w:color="000000" w:sz="4" w:space="0"/>
              <w:bottom w:val="nil"/>
              <w:right w:val="single" w:color="000000" w:sz="4" w:space="0"/>
            </w:tcBorders>
            <w:shd w:val="clear" w:color="auto" w:fill="auto"/>
            <w:vAlign w:val="center"/>
          </w:tcPr>
          <w:p w14:paraId="5CC6B31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AA627">
            <w:pPr>
              <w:keepNext w:val="0"/>
              <w:keepLines w:val="0"/>
              <w:pageBreakBefore w:val="0"/>
              <w:widowControl/>
              <w:suppressLineNumbers w:val="0"/>
              <w:kinsoku/>
              <w:wordWrap w:val="0"/>
              <w:overflowPunct/>
              <w:bidi w:val="0"/>
              <w:spacing w:line="240" w:lineRule="auto"/>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F8E6B">
            <w:pPr>
              <w:keepNext w:val="0"/>
              <w:keepLines w:val="0"/>
              <w:pageBreakBefore w:val="0"/>
              <w:widowControl/>
              <w:suppressLineNumbers w:val="0"/>
              <w:kinsoku/>
              <w:wordWrap w:val="0"/>
              <w:overflowPunct/>
              <w:bidi w:val="0"/>
              <w:spacing w:line="240" w:lineRule="auto"/>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3.6</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FA441">
            <w:pPr>
              <w:keepNext w:val="0"/>
              <w:keepLines w:val="0"/>
              <w:pageBreakBefore w:val="0"/>
              <w:widowControl/>
              <w:suppressLineNumbers w:val="0"/>
              <w:kinsoku/>
              <w:wordWrap w:val="0"/>
              <w:overflowPunct/>
              <w:bidi w:val="0"/>
              <w:spacing w:line="240" w:lineRule="auto"/>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最大升降温速度：≥6℃/s；</w:t>
            </w:r>
          </w:p>
        </w:tc>
      </w:tr>
      <w:tr w14:paraId="759C5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7" w:hRule="atLeast"/>
        </w:trPr>
        <w:tc>
          <w:tcPr>
            <w:tcW w:w="1297" w:type="dxa"/>
            <w:vMerge w:val="continue"/>
            <w:tcBorders>
              <w:top w:val="single" w:color="000000" w:sz="4" w:space="0"/>
              <w:left w:val="single" w:color="000000" w:sz="4" w:space="0"/>
              <w:bottom w:val="nil"/>
              <w:right w:val="single" w:color="000000" w:sz="4" w:space="0"/>
            </w:tcBorders>
            <w:shd w:val="clear" w:color="auto" w:fill="auto"/>
            <w:vAlign w:val="center"/>
          </w:tcPr>
          <w:p w14:paraId="67720CD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1C057">
            <w:pPr>
              <w:keepNext w:val="0"/>
              <w:keepLines w:val="0"/>
              <w:pageBreakBefore w:val="0"/>
              <w:widowControl/>
              <w:suppressLineNumbers w:val="0"/>
              <w:kinsoku/>
              <w:wordWrap w:val="0"/>
              <w:overflowPunct/>
              <w:bidi w:val="0"/>
              <w:spacing w:line="240" w:lineRule="auto"/>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995D3">
            <w:pPr>
              <w:keepNext w:val="0"/>
              <w:keepLines w:val="0"/>
              <w:pageBreakBefore w:val="0"/>
              <w:widowControl/>
              <w:suppressLineNumbers w:val="0"/>
              <w:kinsoku/>
              <w:wordWrap w:val="0"/>
              <w:overflowPunct/>
              <w:bidi w:val="0"/>
              <w:spacing w:line="240" w:lineRule="auto"/>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3.7</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EF818">
            <w:pPr>
              <w:keepNext w:val="0"/>
              <w:keepLines w:val="0"/>
              <w:pageBreakBefore w:val="0"/>
              <w:widowControl/>
              <w:suppressLineNumbers w:val="0"/>
              <w:kinsoku/>
              <w:wordWrap w:val="0"/>
              <w:overflowPunct/>
              <w:bidi w:val="0"/>
              <w:spacing w:line="240" w:lineRule="auto"/>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温控精度：≤±0.1℃；</w:t>
            </w:r>
          </w:p>
        </w:tc>
      </w:tr>
      <w:tr w14:paraId="7E9EA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3" w:hRule="atLeast"/>
        </w:trPr>
        <w:tc>
          <w:tcPr>
            <w:tcW w:w="1297" w:type="dxa"/>
            <w:vMerge w:val="continue"/>
            <w:tcBorders>
              <w:top w:val="single" w:color="000000" w:sz="4" w:space="0"/>
              <w:left w:val="single" w:color="000000" w:sz="4" w:space="0"/>
              <w:bottom w:val="nil"/>
              <w:right w:val="single" w:color="000000" w:sz="4" w:space="0"/>
            </w:tcBorders>
            <w:shd w:val="clear" w:color="auto" w:fill="auto"/>
            <w:vAlign w:val="center"/>
          </w:tcPr>
          <w:p w14:paraId="378688F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0109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C50F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3.8</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F716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模块温度均匀性：≤±0.2℃；</w:t>
            </w:r>
          </w:p>
        </w:tc>
      </w:tr>
      <w:tr w14:paraId="21D8E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1297" w:type="dxa"/>
            <w:vMerge w:val="continue"/>
            <w:tcBorders>
              <w:top w:val="single" w:color="000000" w:sz="4" w:space="0"/>
              <w:left w:val="single" w:color="000000" w:sz="4" w:space="0"/>
              <w:bottom w:val="nil"/>
              <w:right w:val="single" w:color="000000" w:sz="4" w:space="0"/>
            </w:tcBorders>
            <w:shd w:val="clear" w:color="auto" w:fill="auto"/>
            <w:vAlign w:val="center"/>
          </w:tcPr>
          <w:p w14:paraId="25C5F2B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1401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48C0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3.9</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6036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模块升降温速率可自定义设置；</w:t>
            </w:r>
          </w:p>
        </w:tc>
      </w:tr>
      <w:tr w14:paraId="693C7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1297" w:type="dxa"/>
            <w:vMerge w:val="continue"/>
            <w:tcBorders>
              <w:top w:val="single" w:color="000000" w:sz="4" w:space="0"/>
              <w:left w:val="single" w:color="000000" w:sz="4" w:space="0"/>
              <w:bottom w:val="nil"/>
              <w:right w:val="single" w:color="000000" w:sz="4" w:space="0"/>
            </w:tcBorders>
            <w:shd w:val="clear" w:color="auto" w:fill="auto"/>
            <w:vAlign w:val="center"/>
          </w:tcPr>
          <w:p w14:paraId="0EBB394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B9FC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A59E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3.10</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72D5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自动化热盖：内置式高密封性热盖，可自动实现试管压力恒定，自动升降，有效防止试剂蒸发；</w:t>
            </w:r>
          </w:p>
        </w:tc>
      </w:tr>
      <w:tr w14:paraId="1E82B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1" w:hRule="atLeast"/>
        </w:trPr>
        <w:tc>
          <w:tcPr>
            <w:tcW w:w="1297" w:type="dxa"/>
            <w:vMerge w:val="continue"/>
            <w:tcBorders>
              <w:top w:val="single" w:color="000000" w:sz="4" w:space="0"/>
              <w:left w:val="single" w:color="000000" w:sz="4" w:space="0"/>
              <w:bottom w:val="nil"/>
              <w:right w:val="single" w:color="000000" w:sz="4" w:space="0"/>
            </w:tcBorders>
            <w:shd w:val="clear" w:color="auto" w:fill="auto"/>
            <w:vAlign w:val="center"/>
          </w:tcPr>
          <w:p w14:paraId="7FCD1C9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nil"/>
              <w:left w:val="nil"/>
              <w:bottom w:val="nil"/>
              <w:right w:val="nil"/>
            </w:tcBorders>
            <w:shd w:val="clear" w:color="auto" w:fill="auto"/>
            <w:noWrap/>
            <w:vAlign w:val="center"/>
          </w:tcPr>
          <w:p w14:paraId="164D191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6D39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3.11</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A8DD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低温保存功能：具有SOAK低温保存功能；</w:t>
            </w:r>
          </w:p>
        </w:tc>
      </w:tr>
      <w:tr w14:paraId="7641B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7" w:hRule="atLeast"/>
        </w:trPr>
        <w:tc>
          <w:tcPr>
            <w:tcW w:w="1297" w:type="dxa"/>
            <w:vMerge w:val="continue"/>
            <w:tcBorders>
              <w:top w:val="single" w:color="000000" w:sz="4" w:space="0"/>
              <w:left w:val="single" w:color="000000" w:sz="4" w:space="0"/>
              <w:bottom w:val="nil"/>
              <w:right w:val="single" w:color="000000" w:sz="4" w:space="0"/>
            </w:tcBorders>
            <w:shd w:val="clear" w:color="auto" w:fill="auto"/>
            <w:vAlign w:val="center"/>
          </w:tcPr>
          <w:p w14:paraId="3E05518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CE13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7297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3.12</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E3BF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激发光源：LED光源，底部激发；</w:t>
            </w:r>
          </w:p>
        </w:tc>
      </w:tr>
      <w:tr w14:paraId="682CD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 w:hRule="atLeast"/>
        </w:trPr>
        <w:tc>
          <w:tcPr>
            <w:tcW w:w="1297" w:type="dxa"/>
            <w:vMerge w:val="continue"/>
            <w:tcBorders>
              <w:top w:val="single" w:color="000000" w:sz="4" w:space="0"/>
              <w:left w:val="single" w:color="000000" w:sz="4" w:space="0"/>
              <w:bottom w:val="nil"/>
              <w:right w:val="single" w:color="000000" w:sz="4" w:space="0"/>
            </w:tcBorders>
            <w:shd w:val="clear" w:color="auto" w:fill="auto"/>
            <w:vAlign w:val="center"/>
          </w:tcPr>
          <w:p w14:paraId="6DF0303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9E16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8D38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3.13</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C390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检测器：高灵敏度光电二级管，底部扫描，无需校准；</w:t>
            </w:r>
          </w:p>
        </w:tc>
      </w:tr>
      <w:tr w14:paraId="6420C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9" w:hRule="atLeast"/>
        </w:trPr>
        <w:tc>
          <w:tcPr>
            <w:tcW w:w="1297" w:type="dxa"/>
            <w:vMerge w:val="continue"/>
            <w:tcBorders>
              <w:top w:val="single" w:color="000000" w:sz="4" w:space="0"/>
              <w:left w:val="single" w:color="000000" w:sz="4" w:space="0"/>
              <w:bottom w:val="nil"/>
              <w:right w:val="single" w:color="000000" w:sz="4" w:space="0"/>
            </w:tcBorders>
            <w:shd w:val="clear" w:color="auto" w:fill="auto"/>
            <w:vAlign w:val="center"/>
          </w:tcPr>
          <w:p w14:paraId="576D027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7227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EEC3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3.14</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5D7F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检测时长：所有通道同时扫描仅需≤7s；</w:t>
            </w:r>
          </w:p>
        </w:tc>
      </w:tr>
      <w:tr w14:paraId="6A707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3" w:hRule="atLeast"/>
        </w:trPr>
        <w:tc>
          <w:tcPr>
            <w:tcW w:w="1297" w:type="dxa"/>
            <w:tcBorders>
              <w:top w:val="nil"/>
              <w:left w:val="single" w:color="000000" w:sz="4" w:space="0"/>
              <w:bottom w:val="nil"/>
              <w:right w:val="single" w:color="000000" w:sz="4" w:space="0"/>
            </w:tcBorders>
            <w:shd w:val="clear" w:color="auto" w:fill="auto"/>
            <w:vAlign w:val="center"/>
          </w:tcPr>
          <w:p w14:paraId="2942623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7DD5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363D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3.15</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FD7D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检测通道: 标配4通道；</w:t>
            </w:r>
          </w:p>
        </w:tc>
      </w:tr>
      <w:tr w14:paraId="75EFD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trPr>
        <w:tc>
          <w:tcPr>
            <w:tcW w:w="1297" w:type="dxa"/>
            <w:tcBorders>
              <w:top w:val="nil"/>
              <w:left w:val="single" w:color="000000" w:sz="4" w:space="0"/>
              <w:bottom w:val="nil"/>
              <w:right w:val="single" w:color="000000" w:sz="4" w:space="0"/>
            </w:tcBorders>
            <w:shd w:val="clear" w:color="auto" w:fill="auto"/>
            <w:vAlign w:val="center"/>
          </w:tcPr>
          <w:p w14:paraId="40ADF89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D915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4B39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3.16</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B326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滤光片：高精度光学滤光片；</w:t>
            </w:r>
          </w:p>
        </w:tc>
      </w:tr>
      <w:tr w14:paraId="26594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1297" w:type="dxa"/>
            <w:tcBorders>
              <w:top w:val="nil"/>
              <w:left w:val="single" w:color="000000" w:sz="4" w:space="0"/>
              <w:bottom w:val="nil"/>
              <w:right w:val="single" w:color="000000" w:sz="4" w:space="0"/>
            </w:tcBorders>
            <w:shd w:val="clear" w:color="auto" w:fill="auto"/>
            <w:vAlign w:val="center"/>
          </w:tcPr>
          <w:p w14:paraId="50360D2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6256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7DB6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3.17</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99DE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兼容染料： FAM，SYBR Green I，Yellow，SYTO9，EvaGreen，LC Green，VIC，HEX，TET，JOE，CY3，TAMRA，ABY，NED，ROX，TEXAS-RED，JUN，Cal Fluor Red 610，CY5，Quasar670，Mustang Purple，ALEXA 647等；</w:t>
            </w:r>
          </w:p>
        </w:tc>
      </w:tr>
      <w:tr w14:paraId="3061A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trPr>
        <w:tc>
          <w:tcPr>
            <w:tcW w:w="1297" w:type="dxa"/>
            <w:tcBorders>
              <w:top w:val="nil"/>
              <w:left w:val="single" w:color="000000" w:sz="4" w:space="0"/>
              <w:bottom w:val="nil"/>
              <w:right w:val="single" w:color="000000" w:sz="4" w:space="0"/>
            </w:tcBorders>
            <w:shd w:val="clear" w:color="auto" w:fill="auto"/>
            <w:vAlign w:val="center"/>
          </w:tcPr>
          <w:p w14:paraId="7E77CFB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BCE1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768E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3.18</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D78F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分辨率：单重分析反应中≥1.5倍拷贝数区分；</w:t>
            </w:r>
          </w:p>
        </w:tc>
      </w:tr>
      <w:tr w14:paraId="1FE58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1297" w:type="dxa"/>
            <w:tcBorders>
              <w:top w:val="nil"/>
              <w:left w:val="single" w:color="000000" w:sz="4" w:space="0"/>
              <w:bottom w:val="nil"/>
              <w:right w:val="single" w:color="000000" w:sz="4" w:space="0"/>
            </w:tcBorders>
            <w:shd w:val="clear" w:color="auto" w:fill="auto"/>
            <w:vAlign w:val="center"/>
          </w:tcPr>
          <w:p w14:paraId="2646C4D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A657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8B13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3.19</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DA9C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集成式触摸控制操作屏，单机即可实现快速实验运行；</w:t>
            </w:r>
          </w:p>
        </w:tc>
      </w:tr>
      <w:tr w14:paraId="4E6B0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1297" w:type="dxa"/>
            <w:tcBorders>
              <w:top w:val="nil"/>
              <w:left w:val="single" w:color="000000" w:sz="4" w:space="0"/>
              <w:bottom w:val="nil"/>
              <w:right w:val="single" w:color="000000" w:sz="4" w:space="0"/>
            </w:tcBorders>
            <w:shd w:val="clear" w:color="auto" w:fill="auto"/>
            <w:vAlign w:val="center"/>
          </w:tcPr>
          <w:p w14:paraId="1CF0699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C39B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7937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3.20</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56DA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全自动热盖设计，支持各类核酸自动化流水线的整合；</w:t>
            </w:r>
          </w:p>
        </w:tc>
      </w:tr>
      <w:tr w14:paraId="546A0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trPr>
        <w:tc>
          <w:tcPr>
            <w:tcW w:w="1297" w:type="dxa"/>
            <w:tcBorders>
              <w:top w:val="nil"/>
              <w:left w:val="single" w:color="000000" w:sz="4" w:space="0"/>
              <w:bottom w:val="nil"/>
              <w:right w:val="single" w:color="000000" w:sz="4" w:space="0"/>
            </w:tcBorders>
            <w:shd w:val="clear" w:color="auto" w:fill="auto"/>
            <w:vAlign w:val="center"/>
          </w:tcPr>
          <w:p w14:paraId="63282B6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3514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8EAB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3.21</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FD28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智能呼吸提示灯，随时知晓仪器运行状态；</w:t>
            </w:r>
          </w:p>
        </w:tc>
      </w:tr>
      <w:tr w14:paraId="6063E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9" w:hRule="atLeast"/>
        </w:trPr>
        <w:tc>
          <w:tcPr>
            <w:tcW w:w="1297" w:type="dxa"/>
            <w:tcBorders>
              <w:top w:val="nil"/>
              <w:left w:val="single" w:color="000000" w:sz="4" w:space="0"/>
              <w:bottom w:val="nil"/>
              <w:right w:val="single" w:color="000000" w:sz="4" w:space="0"/>
            </w:tcBorders>
            <w:shd w:val="clear" w:color="auto" w:fill="auto"/>
            <w:vAlign w:val="center"/>
          </w:tcPr>
          <w:p w14:paraId="538E3FB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F601D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566B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3.22</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B472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操作界面：≥10.1英寸全彩触摸屏嵌入式一体化操作，全中文操作界面，程序设定灵活，软件分析和报告功能全面，参数可储存；</w:t>
            </w:r>
          </w:p>
        </w:tc>
      </w:tr>
      <w:tr w14:paraId="020CA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9" w:hRule="atLeast"/>
        </w:trPr>
        <w:tc>
          <w:tcPr>
            <w:tcW w:w="1297" w:type="dxa"/>
            <w:tcBorders>
              <w:top w:val="nil"/>
              <w:left w:val="single" w:color="000000" w:sz="4" w:space="0"/>
              <w:bottom w:val="nil"/>
              <w:right w:val="single" w:color="000000" w:sz="4" w:space="0"/>
            </w:tcBorders>
            <w:shd w:val="clear" w:color="auto" w:fill="auto"/>
            <w:vAlign w:val="center"/>
          </w:tcPr>
          <w:p w14:paraId="62F6F3E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E773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6D98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3.23</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33FA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软件应用功能：具有定性判断、绝对定量、相对定量、SNP分析系统功能、熔解度曲线分析功能、HRM分析功能；</w:t>
            </w:r>
          </w:p>
        </w:tc>
      </w:tr>
      <w:tr w14:paraId="08F51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8" w:hRule="atLeast"/>
        </w:trPr>
        <w:tc>
          <w:tcPr>
            <w:tcW w:w="1297" w:type="dxa"/>
            <w:tcBorders>
              <w:top w:val="nil"/>
              <w:left w:val="single" w:color="000000" w:sz="4" w:space="0"/>
              <w:bottom w:val="nil"/>
              <w:right w:val="single" w:color="000000" w:sz="4" w:space="0"/>
            </w:tcBorders>
            <w:shd w:val="clear" w:color="auto" w:fill="auto"/>
            <w:vAlign w:val="center"/>
          </w:tcPr>
          <w:p w14:paraId="74F847B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C81E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6190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3.24</w:t>
            </w:r>
          </w:p>
        </w:tc>
        <w:tc>
          <w:tcPr>
            <w:tcW w:w="5871" w:type="dxa"/>
            <w:tcBorders>
              <w:top w:val="single" w:color="000000" w:sz="4" w:space="0"/>
              <w:left w:val="single" w:color="000000" w:sz="4" w:space="0"/>
              <w:bottom w:val="nil"/>
              <w:right w:val="single" w:color="000000" w:sz="4" w:space="0"/>
            </w:tcBorders>
            <w:shd w:val="clear" w:color="auto" w:fill="auto"/>
            <w:vAlign w:val="center"/>
          </w:tcPr>
          <w:p w14:paraId="54EBA5A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软件特色功能：多个实验结果协同分析功能、梯度功能、连续采样功能、自动增益调节功能、预存多种实验程序模板和实验报告模板、自定义实验报告格式、故障保护和报警功能、实验数据运行显示、阴阳性分色显示等功能。</w:t>
            </w:r>
          </w:p>
        </w:tc>
      </w:tr>
      <w:tr w14:paraId="27915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1" w:hRule="atLeast"/>
        </w:trPr>
        <w:tc>
          <w:tcPr>
            <w:tcW w:w="12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A278C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4.主要配置</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B1A6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3F89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w:t>
            </w:r>
          </w:p>
        </w:tc>
        <w:tc>
          <w:tcPr>
            <w:tcW w:w="5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E8C8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主机一台；</w:t>
            </w:r>
          </w:p>
        </w:tc>
      </w:tr>
      <w:tr w14:paraId="7B0BB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12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5151F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6831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DB31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4.2</w:t>
            </w:r>
          </w:p>
        </w:tc>
        <w:tc>
          <w:tcPr>
            <w:tcW w:w="5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5E35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台式电脑一套（配置不低于1T固态硬盘，2k显示器）；</w:t>
            </w:r>
          </w:p>
        </w:tc>
      </w:tr>
      <w:tr w14:paraId="57FB1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12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FB60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675F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FA2D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4.3</w:t>
            </w:r>
          </w:p>
        </w:tc>
        <w:tc>
          <w:tcPr>
            <w:tcW w:w="5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6789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装机U盘一个；</w:t>
            </w:r>
          </w:p>
        </w:tc>
      </w:tr>
    </w:tbl>
    <w:p w14:paraId="7819299C">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32EA294D">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546CEF56">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25B34A87">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1502F6A2">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3411BEBB">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681D0C2F">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4904FBF1">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082CAB7E">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331C73A1">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694AFDFC">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447FBD13">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4BD9E48E">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1D80214D">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19BACD03">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434B6939">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5D0CA311">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520D1701">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tbl>
      <w:tblPr>
        <w:tblStyle w:val="38"/>
        <w:tblW w:w="946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06"/>
        <w:gridCol w:w="1236"/>
        <w:gridCol w:w="744"/>
        <w:gridCol w:w="6276"/>
      </w:tblGrid>
      <w:tr w14:paraId="699BA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9462" w:type="dxa"/>
            <w:gridSpan w:val="4"/>
            <w:tcBorders>
              <w:top w:val="nil"/>
              <w:left w:val="nil"/>
              <w:bottom w:val="nil"/>
              <w:right w:val="nil"/>
            </w:tcBorders>
            <w:shd w:val="clear" w:color="auto" w:fill="auto"/>
            <w:vAlign w:val="center"/>
          </w:tcPr>
          <w:p w14:paraId="4A10C134">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仪器设备技术参数（八）</w:t>
            </w:r>
          </w:p>
        </w:tc>
      </w:tr>
      <w:tr w14:paraId="75873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9462" w:type="dxa"/>
            <w:gridSpan w:val="4"/>
            <w:tcBorders>
              <w:top w:val="nil"/>
              <w:left w:val="nil"/>
              <w:bottom w:val="nil"/>
              <w:right w:val="nil"/>
            </w:tcBorders>
            <w:shd w:val="clear" w:color="auto" w:fill="auto"/>
            <w:noWrap/>
            <w:vAlign w:val="center"/>
          </w:tcPr>
          <w:p w14:paraId="0E32712A">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品目名称：核酸提取</w:t>
            </w:r>
          </w:p>
        </w:tc>
      </w:tr>
      <w:tr w14:paraId="31525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9462" w:type="dxa"/>
            <w:gridSpan w:val="4"/>
            <w:tcBorders>
              <w:top w:val="nil"/>
              <w:left w:val="nil"/>
              <w:bottom w:val="nil"/>
              <w:right w:val="nil"/>
            </w:tcBorders>
            <w:shd w:val="clear" w:color="auto" w:fill="auto"/>
            <w:noWrap/>
            <w:vAlign w:val="center"/>
          </w:tcPr>
          <w:p w14:paraId="03F73E51">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子品目名称：核酸提取</w:t>
            </w:r>
          </w:p>
        </w:tc>
      </w:tr>
      <w:tr w14:paraId="51C94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5AD7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8728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9BA9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8986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技术指标内容</w:t>
            </w:r>
          </w:p>
        </w:tc>
      </w:tr>
      <w:tr w14:paraId="4F927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trPr>
        <w:tc>
          <w:tcPr>
            <w:tcW w:w="1206" w:type="dxa"/>
            <w:vMerge w:val="restart"/>
            <w:tcBorders>
              <w:top w:val="single" w:color="000000" w:sz="4" w:space="0"/>
              <w:left w:val="single" w:color="000000" w:sz="4" w:space="0"/>
              <w:bottom w:val="nil"/>
              <w:right w:val="single" w:color="000000" w:sz="4" w:space="0"/>
            </w:tcBorders>
            <w:shd w:val="clear" w:color="auto" w:fill="auto"/>
            <w:vAlign w:val="center"/>
          </w:tcPr>
          <w:p w14:paraId="7F215CF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3.主要技术参数</w:t>
            </w: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D26C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2DF5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A18B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处理体积：处理样本容量范围50～10000μl；</w:t>
            </w:r>
          </w:p>
        </w:tc>
      </w:tr>
      <w:tr w14:paraId="18823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06" w:type="dxa"/>
            <w:vMerge w:val="continue"/>
            <w:tcBorders>
              <w:top w:val="single" w:color="000000" w:sz="4" w:space="0"/>
              <w:left w:val="single" w:color="000000" w:sz="4" w:space="0"/>
              <w:bottom w:val="nil"/>
              <w:right w:val="single" w:color="000000" w:sz="4" w:space="0"/>
            </w:tcBorders>
            <w:shd w:val="clear" w:color="auto" w:fill="auto"/>
            <w:vAlign w:val="center"/>
          </w:tcPr>
          <w:p w14:paraId="532FEC0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FFCD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99AE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210B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安全性：仪器全程自动、封闭操作；</w:t>
            </w:r>
          </w:p>
        </w:tc>
      </w:tr>
      <w:tr w14:paraId="451FC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trPr>
        <w:tc>
          <w:tcPr>
            <w:tcW w:w="1206" w:type="dxa"/>
            <w:vMerge w:val="continue"/>
            <w:tcBorders>
              <w:top w:val="single" w:color="000000" w:sz="4" w:space="0"/>
              <w:left w:val="single" w:color="000000" w:sz="4" w:space="0"/>
              <w:bottom w:val="nil"/>
              <w:right w:val="single" w:color="000000" w:sz="4" w:space="0"/>
            </w:tcBorders>
            <w:shd w:val="clear" w:color="auto" w:fill="auto"/>
            <w:vAlign w:val="center"/>
          </w:tcPr>
          <w:p w14:paraId="0205321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3021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D315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AA51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具有开机自检、声音提示、故障保护和报警等功能；</w:t>
            </w:r>
          </w:p>
        </w:tc>
      </w:tr>
      <w:tr w14:paraId="092AF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 w:hRule="atLeast"/>
        </w:trPr>
        <w:tc>
          <w:tcPr>
            <w:tcW w:w="1206" w:type="dxa"/>
            <w:vMerge w:val="continue"/>
            <w:tcBorders>
              <w:top w:val="single" w:color="000000" w:sz="4" w:space="0"/>
              <w:left w:val="single" w:color="000000" w:sz="4" w:space="0"/>
              <w:bottom w:val="nil"/>
              <w:right w:val="single" w:color="000000" w:sz="4" w:space="0"/>
            </w:tcBorders>
            <w:shd w:val="clear" w:color="auto" w:fill="auto"/>
            <w:vAlign w:val="center"/>
          </w:tcPr>
          <w:p w14:paraId="2A22E97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551C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99FB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3.4</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4B64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配备开门保护功能：防止实验中误开舱门而导致的污染以及安全</w:t>
            </w:r>
            <w:r>
              <w:rPr>
                <w:rFonts w:hint="eastAsia" w:ascii="宋体" w:hAnsi="宋体" w:cs="宋体"/>
                <w:i w:val="0"/>
                <w:iCs w:val="0"/>
                <w:color w:val="auto"/>
                <w:kern w:val="0"/>
                <w:sz w:val="20"/>
                <w:szCs w:val="20"/>
                <w:highlight w:val="none"/>
                <w:u w:val="none"/>
                <w:lang w:val="en-US" w:eastAsia="zh-CN" w:bidi="ar"/>
              </w:rPr>
              <w:t>问</w:t>
            </w:r>
            <w:r>
              <w:rPr>
                <w:rFonts w:hint="default" w:ascii="宋体" w:hAnsi="宋体" w:eastAsia="宋体" w:cs="宋体"/>
                <w:i w:val="0"/>
                <w:iCs w:val="0"/>
                <w:color w:val="auto"/>
                <w:kern w:val="0"/>
                <w:sz w:val="20"/>
                <w:szCs w:val="20"/>
                <w:highlight w:val="none"/>
                <w:u w:val="none"/>
                <w:lang w:val="en-US" w:eastAsia="zh-CN" w:bidi="ar"/>
              </w:rPr>
              <w:t>题；</w:t>
            </w:r>
          </w:p>
        </w:tc>
      </w:tr>
      <w:tr w14:paraId="20A23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2" w:hRule="atLeast"/>
        </w:trPr>
        <w:tc>
          <w:tcPr>
            <w:tcW w:w="1206" w:type="dxa"/>
            <w:vMerge w:val="continue"/>
            <w:tcBorders>
              <w:top w:val="single" w:color="000000" w:sz="4" w:space="0"/>
              <w:left w:val="single" w:color="000000" w:sz="4" w:space="0"/>
              <w:bottom w:val="nil"/>
              <w:right w:val="single" w:color="000000" w:sz="4" w:space="0"/>
            </w:tcBorders>
            <w:shd w:val="clear" w:color="auto" w:fill="auto"/>
            <w:vAlign w:val="center"/>
          </w:tcPr>
          <w:p w14:paraId="2BD4BD0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209C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36BE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3.5</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5105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核酸提取纯化回收率≥98%，提纯孔间差：Cv&lt;3%；</w:t>
            </w:r>
          </w:p>
        </w:tc>
      </w:tr>
      <w:tr w14:paraId="749DD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206" w:type="dxa"/>
            <w:vMerge w:val="continue"/>
            <w:tcBorders>
              <w:top w:val="single" w:color="000000" w:sz="4" w:space="0"/>
              <w:left w:val="single" w:color="000000" w:sz="4" w:space="0"/>
              <w:bottom w:val="nil"/>
              <w:right w:val="single" w:color="000000" w:sz="4" w:space="0"/>
            </w:tcBorders>
            <w:shd w:val="clear" w:color="auto" w:fill="auto"/>
            <w:vAlign w:val="center"/>
          </w:tcPr>
          <w:p w14:paraId="078A21C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C3A8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5934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3.6</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C02D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温控模式：深孔板底部全包裹加热，采用自主开模的耗材后，其热传导速度提升到≥1.8℃/s。设定温度和管内温差≤3℃，深孔加热模块，可提微量核酸；</w:t>
            </w:r>
          </w:p>
        </w:tc>
      </w:tr>
      <w:tr w14:paraId="04890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2" w:hRule="atLeast"/>
        </w:trPr>
        <w:tc>
          <w:tcPr>
            <w:tcW w:w="1206" w:type="dxa"/>
            <w:vMerge w:val="continue"/>
            <w:tcBorders>
              <w:top w:val="single" w:color="000000" w:sz="4" w:space="0"/>
              <w:left w:val="single" w:color="000000" w:sz="4" w:space="0"/>
              <w:bottom w:val="nil"/>
              <w:right w:val="single" w:color="000000" w:sz="4" w:space="0"/>
            </w:tcBorders>
            <w:shd w:val="clear" w:color="auto" w:fill="auto"/>
            <w:vAlign w:val="center"/>
          </w:tcPr>
          <w:p w14:paraId="2F5F52D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6DF9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3129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3.7</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E5B9A">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工作通量：一次运行可处理不低于16个样本；</w:t>
            </w:r>
          </w:p>
        </w:tc>
      </w:tr>
      <w:tr w14:paraId="13021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1206" w:type="dxa"/>
            <w:vMerge w:val="continue"/>
            <w:tcBorders>
              <w:top w:val="single" w:color="000000" w:sz="4" w:space="0"/>
              <w:left w:val="single" w:color="000000" w:sz="4" w:space="0"/>
              <w:bottom w:val="nil"/>
              <w:right w:val="single" w:color="000000" w:sz="4" w:space="0"/>
            </w:tcBorders>
            <w:shd w:val="clear" w:color="auto" w:fill="auto"/>
            <w:vAlign w:val="center"/>
          </w:tcPr>
          <w:p w14:paraId="65DD1F5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7266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5F6C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3.8</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75C3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加热温度范围：室温+5～100℃；</w:t>
            </w:r>
          </w:p>
        </w:tc>
      </w:tr>
      <w:tr w14:paraId="77A06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2" w:hRule="atLeast"/>
        </w:trPr>
        <w:tc>
          <w:tcPr>
            <w:tcW w:w="1206" w:type="dxa"/>
            <w:vMerge w:val="continue"/>
            <w:tcBorders>
              <w:top w:val="single" w:color="000000" w:sz="4" w:space="0"/>
              <w:left w:val="single" w:color="000000" w:sz="4" w:space="0"/>
              <w:bottom w:val="nil"/>
              <w:right w:val="single" w:color="000000" w:sz="4" w:space="0"/>
            </w:tcBorders>
            <w:shd w:val="clear" w:color="auto" w:fill="auto"/>
            <w:vAlign w:val="center"/>
          </w:tcPr>
          <w:p w14:paraId="0BA39E1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9CFD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E7F5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3.9</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A0C7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工作方式：磁珠法提取，转移样品（磁珠）而非液体，转移率高；</w:t>
            </w:r>
          </w:p>
        </w:tc>
      </w:tr>
      <w:tr w14:paraId="0A186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206" w:type="dxa"/>
            <w:vMerge w:val="continue"/>
            <w:tcBorders>
              <w:top w:val="single" w:color="000000" w:sz="4" w:space="0"/>
              <w:left w:val="single" w:color="000000" w:sz="4" w:space="0"/>
              <w:bottom w:val="nil"/>
              <w:right w:val="single" w:color="000000" w:sz="4" w:space="0"/>
            </w:tcBorders>
            <w:shd w:val="clear" w:color="auto" w:fill="auto"/>
            <w:vAlign w:val="center"/>
          </w:tcPr>
          <w:p w14:paraId="107A399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7EA1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1DE1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3.10</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1791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操作界面：≥8寸触摸屏嵌入式一体化操作，Windows系统；实时显示温度、实验进程等信息；</w:t>
            </w:r>
          </w:p>
        </w:tc>
      </w:tr>
      <w:tr w14:paraId="18BE6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206" w:type="dxa"/>
            <w:vMerge w:val="continue"/>
            <w:tcBorders>
              <w:top w:val="single" w:color="000000" w:sz="4" w:space="0"/>
              <w:left w:val="single" w:color="000000" w:sz="4" w:space="0"/>
              <w:bottom w:val="nil"/>
              <w:right w:val="single" w:color="000000" w:sz="4" w:space="0"/>
            </w:tcBorders>
            <w:shd w:val="clear" w:color="auto" w:fill="auto"/>
            <w:vAlign w:val="center"/>
          </w:tcPr>
          <w:p w14:paraId="08AA858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6C70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1E86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3.11</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1B03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程序管理：新建、编辑、删除，模式程序，单机在线自由灵活编辑提取程序，无需外接电脑；</w:t>
            </w:r>
          </w:p>
        </w:tc>
      </w:tr>
      <w:tr w14:paraId="56367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1206" w:type="dxa"/>
            <w:vMerge w:val="continue"/>
            <w:tcBorders>
              <w:top w:val="single" w:color="000000" w:sz="4" w:space="0"/>
              <w:left w:val="single" w:color="000000" w:sz="4" w:space="0"/>
              <w:bottom w:val="nil"/>
              <w:right w:val="single" w:color="000000" w:sz="4" w:space="0"/>
            </w:tcBorders>
            <w:shd w:val="clear" w:color="auto" w:fill="auto"/>
            <w:vAlign w:val="center"/>
          </w:tcPr>
          <w:p w14:paraId="04E8C64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76D0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92B6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3.12</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638BF">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污染控制、安全防护：内置紫外灭菌模块，封闭反应仓，具备紫外灯开启和定时关闭功能。配套使用预装密封试剂和一次性耗材，最大程度减少实验人员与化学试剂的接触保证操作安全；</w:t>
            </w:r>
          </w:p>
        </w:tc>
      </w:tr>
      <w:tr w14:paraId="6B3D0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1206" w:type="dxa"/>
            <w:vMerge w:val="continue"/>
            <w:tcBorders>
              <w:top w:val="single" w:color="000000" w:sz="4" w:space="0"/>
              <w:left w:val="single" w:color="000000" w:sz="4" w:space="0"/>
              <w:bottom w:val="nil"/>
              <w:right w:val="single" w:color="000000" w:sz="4" w:space="0"/>
            </w:tcBorders>
            <w:shd w:val="clear" w:color="auto" w:fill="auto"/>
            <w:vAlign w:val="center"/>
          </w:tcPr>
          <w:p w14:paraId="07F317E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A512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2DD9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3.13</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791A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运动控制：驱动装置：步进电机，频率振幅可调，样本混合更充分；传动装置：滚珠丝杠，各运动部件均配置极限位置保护功能；</w:t>
            </w:r>
          </w:p>
        </w:tc>
      </w:tr>
      <w:tr w14:paraId="34AC9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206" w:type="dxa"/>
            <w:vMerge w:val="continue"/>
            <w:tcBorders>
              <w:top w:val="single" w:color="000000" w:sz="4" w:space="0"/>
              <w:left w:val="single" w:color="000000" w:sz="4" w:space="0"/>
              <w:bottom w:val="nil"/>
              <w:right w:val="single" w:color="000000" w:sz="4" w:space="0"/>
            </w:tcBorders>
            <w:shd w:val="clear" w:color="auto" w:fill="auto"/>
            <w:vAlign w:val="center"/>
          </w:tcPr>
          <w:p w14:paraId="0F05E65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B501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7ACC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3.14</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7EE9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振动混合模式：多档可调振动速度，溶液体积自适应振动幅度，振动幅度根据溶液体积自动调整；</w:t>
            </w:r>
          </w:p>
        </w:tc>
      </w:tr>
      <w:tr w14:paraId="3E8DA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206" w:type="dxa"/>
            <w:vMerge w:val="continue"/>
            <w:tcBorders>
              <w:top w:val="single" w:color="000000" w:sz="4" w:space="0"/>
              <w:left w:val="single" w:color="000000" w:sz="4" w:space="0"/>
              <w:bottom w:val="nil"/>
              <w:right w:val="single" w:color="000000" w:sz="4" w:space="0"/>
            </w:tcBorders>
            <w:shd w:val="clear" w:color="auto" w:fill="auto"/>
            <w:vAlign w:val="center"/>
          </w:tcPr>
          <w:p w14:paraId="72A48BF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318C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6BC3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3.15</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1E78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磁珠吸附模式：分普通/强力吸附模式，强力吸附模式可保证洗脱步骤在洗脱体积很小的情况下，洗脱液依旧能够覆盖全部磁珠，可解决微量或低浓度样本；</w:t>
            </w:r>
          </w:p>
        </w:tc>
      </w:tr>
      <w:tr w14:paraId="47961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06" w:type="dxa"/>
            <w:vMerge w:val="continue"/>
            <w:tcBorders>
              <w:top w:val="single" w:color="000000" w:sz="4" w:space="0"/>
              <w:left w:val="single" w:color="000000" w:sz="4" w:space="0"/>
              <w:bottom w:val="nil"/>
              <w:right w:val="single" w:color="000000" w:sz="4" w:space="0"/>
            </w:tcBorders>
            <w:shd w:val="clear" w:color="auto" w:fill="auto"/>
            <w:vAlign w:val="center"/>
          </w:tcPr>
          <w:p w14:paraId="50AAC4A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6D3B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5269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3.16</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423B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一键启动：储存后的程序，可以在仪器上直接查找并一键启动；</w:t>
            </w:r>
          </w:p>
        </w:tc>
      </w:tr>
      <w:tr w14:paraId="571B9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1206" w:type="dxa"/>
            <w:vMerge w:val="continue"/>
            <w:tcBorders>
              <w:top w:val="single" w:color="000000" w:sz="4" w:space="0"/>
              <w:left w:val="single" w:color="000000" w:sz="4" w:space="0"/>
              <w:bottom w:val="nil"/>
              <w:right w:val="single" w:color="000000" w:sz="4" w:space="0"/>
            </w:tcBorders>
            <w:shd w:val="clear" w:color="auto" w:fill="auto"/>
            <w:vAlign w:val="center"/>
          </w:tcPr>
          <w:p w14:paraId="71EC18C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5762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E2D6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3.17</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30078">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完善的核酸提取试剂与其配套，包括：磁珠法血液、动物组织基因组DNA提取试剂盒，磁珠法病毒DNA/RNA提取试剂盒。病毒DNA/RNA和拭子、动物组织、血液等基因组DNA提取试剂具有医疗器械备案，其中液体蛋白酶K室温保存；</w:t>
            </w:r>
          </w:p>
        </w:tc>
      </w:tr>
      <w:tr w14:paraId="26D8A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6" w:hRule="atLeast"/>
        </w:trPr>
        <w:tc>
          <w:tcPr>
            <w:tcW w:w="12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8CC98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4.主要配置</w:t>
            </w: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199B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B426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4635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主机*1台；</w:t>
            </w:r>
          </w:p>
        </w:tc>
      </w:tr>
      <w:tr w14:paraId="6C707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12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8C66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A7F5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0BFD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4.2</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4ECF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扫码枪一把；</w:t>
            </w:r>
          </w:p>
        </w:tc>
      </w:tr>
      <w:tr w14:paraId="1EE9E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4" w:hRule="atLeast"/>
        </w:trPr>
        <w:tc>
          <w:tcPr>
            <w:tcW w:w="12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C08FE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FF47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3EE3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4.3</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AF67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磁吸底座一块；</w:t>
            </w:r>
          </w:p>
        </w:tc>
      </w:tr>
      <w:tr w14:paraId="34960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2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906E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2825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6D87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4.4</w:t>
            </w:r>
          </w:p>
        </w:tc>
        <w:tc>
          <w:tcPr>
            <w:tcW w:w="6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F68B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单条支架一个。</w:t>
            </w:r>
          </w:p>
        </w:tc>
      </w:tr>
    </w:tbl>
    <w:p w14:paraId="6CF5EB7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tbl>
      <w:tblPr>
        <w:tblStyle w:val="38"/>
        <w:tblW w:w="907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65"/>
        <w:gridCol w:w="1344"/>
        <w:gridCol w:w="924"/>
        <w:gridCol w:w="5344"/>
      </w:tblGrid>
      <w:tr w14:paraId="270D4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077" w:type="dxa"/>
            <w:gridSpan w:val="4"/>
            <w:tcBorders>
              <w:top w:val="nil"/>
              <w:left w:val="nil"/>
              <w:bottom w:val="nil"/>
              <w:right w:val="nil"/>
            </w:tcBorders>
            <w:shd w:val="clear" w:color="auto" w:fill="auto"/>
            <w:vAlign w:val="center"/>
          </w:tcPr>
          <w:p w14:paraId="2C1E061C">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仪器设备技术参数（九）</w:t>
            </w:r>
          </w:p>
        </w:tc>
      </w:tr>
      <w:tr w14:paraId="4E406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9077" w:type="dxa"/>
            <w:gridSpan w:val="4"/>
            <w:tcBorders>
              <w:top w:val="nil"/>
              <w:left w:val="nil"/>
              <w:bottom w:val="nil"/>
              <w:right w:val="nil"/>
            </w:tcBorders>
            <w:shd w:val="clear" w:color="auto" w:fill="auto"/>
            <w:noWrap/>
            <w:vAlign w:val="center"/>
          </w:tcPr>
          <w:p w14:paraId="73EEFDC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品目名称：全自动酶联免疫分析仪</w:t>
            </w:r>
          </w:p>
        </w:tc>
      </w:tr>
      <w:tr w14:paraId="09556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9077" w:type="dxa"/>
            <w:gridSpan w:val="4"/>
            <w:tcBorders>
              <w:top w:val="nil"/>
              <w:left w:val="nil"/>
              <w:bottom w:val="nil"/>
              <w:right w:val="nil"/>
            </w:tcBorders>
            <w:shd w:val="clear" w:color="auto" w:fill="auto"/>
            <w:noWrap/>
            <w:vAlign w:val="center"/>
          </w:tcPr>
          <w:p w14:paraId="5D4FA8CA">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子品目名称：全自动酶联免疫分析仪</w:t>
            </w:r>
          </w:p>
        </w:tc>
      </w:tr>
      <w:tr w14:paraId="2FE1B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1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7995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667E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189F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7A2A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技术指标内容</w:t>
            </w:r>
          </w:p>
        </w:tc>
      </w:tr>
      <w:tr w14:paraId="5924E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465" w:type="dxa"/>
            <w:vMerge w:val="restart"/>
            <w:tcBorders>
              <w:top w:val="single" w:color="000000" w:sz="4" w:space="0"/>
              <w:left w:val="single" w:color="000000" w:sz="4" w:space="0"/>
              <w:bottom w:val="nil"/>
              <w:right w:val="single" w:color="000000" w:sz="4" w:space="0"/>
            </w:tcBorders>
            <w:shd w:val="clear" w:color="auto" w:fill="auto"/>
            <w:vAlign w:val="center"/>
          </w:tcPr>
          <w:p w14:paraId="1CC0B1B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3.主要技术参数</w:t>
            </w: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3EB1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2A52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B675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全自动完成 ELISA 实验，包括标本分配、试剂加注、振荡、孵育、洗板、判读等。设备为上下立体式结构设计且整机占用面积≤1.2平方，以保障实验室设备合理空间摆放。</w:t>
            </w:r>
          </w:p>
        </w:tc>
      </w:tr>
      <w:tr w14:paraId="61A21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5146529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0B05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1175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3A0B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样本条码扫描：具备标本条码扫描仪。</w:t>
            </w:r>
          </w:p>
        </w:tc>
      </w:tr>
      <w:tr w14:paraId="2DEE6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4B01C03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0ECD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7FEB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9126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机械臂：2套独立机械臂，2个独立的转板抓手，上下立体式设计，不额外占用实验室横向面积，上舱和下舱各有1个独立抓板抓手，且可同步抓板工作，以满足大批量样本高速检测需求。</w:t>
            </w:r>
          </w:p>
        </w:tc>
      </w:tr>
      <w:tr w14:paraId="66047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7580D30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47BF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E426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3.4</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1473F">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加样通道：独立加样通道≥4个，采用气动置换加样原理，具备电容感应和压力感应探测功能，具有液面和凝块探测、吸空探测、Tip头探测等报警功能。</w:t>
            </w:r>
          </w:p>
        </w:tc>
      </w:tr>
      <w:tr w14:paraId="2035F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6582BE3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nil"/>
              <w:left w:val="nil"/>
              <w:bottom w:val="nil"/>
              <w:right w:val="nil"/>
            </w:tcBorders>
            <w:shd w:val="clear" w:color="auto" w:fill="auto"/>
            <w:noWrap/>
            <w:vAlign w:val="center"/>
          </w:tcPr>
          <w:p w14:paraId="343A6C4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46BD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3.5</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F13F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任意两通道可实现非等间距吸液与注液；内置自动脱针机构，具备取针检测与脱针检测双重监测功能。</w:t>
            </w:r>
          </w:p>
        </w:tc>
      </w:tr>
      <w:tr w14:paraId="7F6AA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0C3B229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EED3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62C3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3.6</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939A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加样通道X、Y、Z方向的定位准确度≤±0.2mm，均可独立运行，使用一次性加样透明枪头方便观察液体和避免交叉污染。</w:t>
            </w:r>
          </w:p>
        </w:tc>
      </w:tr>
      <w:tr w14:paraId="6B028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5606106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nil"/>
              <w:left w:val="nil"/>
              <w:bottom w:val="nil"/>
              <w:right w:val="nil"/>
            </w:tcBorders>
            <w:shd w:val="clear" w:color="auto" w:fill="auto"/>
            <w:noWrap/>
            <w:vAlign w:val="center"/>
          </w:tcPr>
          <w:p w14:paraId="78893DF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552A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3.7</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E572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加样精度：加样量为5μL时，精度（ CV )≤5%；加样量为10 μL 时，精度（ CV )≤3%；加样量为200μL时，精度（ CV )≤0.7%；加样量为1000 μL 时，精度（ CV )≤0.5%。</w:t>
            </w:r>
          </w:p>
        </w:tc>
      </w:tr>
      <w:tr w14:paraId="08E08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34DCFC9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AF82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E409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3.8</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7459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加样范围：1-1000μL。（提供彩页或技术白皮书等有效证明文件）</w:t>
            </w:r>
          </w:p>
        </w:tc>
      </w:tr>
      <w:tr w14:paraId="1BDBC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41D411A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4090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2360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3.9</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85A68">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振荡微板位：加样振荡微板位≥10个。</w:t>
            </w:r>
          </w:p>
        </w:tc>
      </w:tr>
      <w:tr w14:paraId="1E00E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14D2045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A5BA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BC4B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3.10</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B07C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试剂分配速度≤60秒/96孔板。</w:t>
            </w:r>
          </w:p>
        </w:tc>
      </w:tr>
      <w:tr w14:paraId="55DBA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1B3CD4B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4745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FC26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3.11</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A584F">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振荡位：振荡频率范围0r/min-1800r/min可调；振荡时间：0s～500min可调；调节步径为1s；精度应≤±3%。</w:t>
            </w:r>
          </w:p>
        </w:tc>
      </w:tr>
      <w:tr w14:paraId="70A2C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0104E41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9C3A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A582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3.12</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544A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样本位及试剂位：样本位≥96，具备试管架到位检测功能，自动识别试管架是否推放到位。通用试剂位≥14个，专用试剂位≥40个；所有试剂位底座通用，便捷调整不同检测项目试剂数量。（提供彩页或技术白皮书等有效证明文件）</w:t>
            </w:r>
          </w:p>
        </w:tc>
      </w:tr>
      <w:tr w14:paraId="787B9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5404C8F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B698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62C6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3.13</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C3B7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孵育位：独立密闭控温孵育模块≥10个，每个模块均可独立加热、控温、避光和防止蒸发，控温范围及精度：室温至80℃，步进0.1℃，精确度≤±0.3℃。</w:t>
            </w:r>
          </w:p>
        </w:tc>
      </w:tr>
      <w:tr w14:paraId="05313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64904E9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nil"/>
              <w:left w:val="nil"/>
              <w:bottom w:val="nil"/>
              <w:right w:val="nil"/>
            </w:tcBorders>
            <w:shd w:val="clear" w:color="auto" w:fill="auto"/>
            <w:noWrap/>
            <w:vAlign w:val="center"/>
          </w:tcPr>
          <w:p w14:paraId="0613450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9607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3.14</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9557D">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孵育模块采用塔式孵育，具备独立空气浴温控和预热功能，可在孵育前将孵育盒加热至目标温度，避免常规孵育“加盖后再升温”导致的反应滞后。</w:t>
            </w:r>
          </w:p>
        </w:tc>
      </w:tr>
      <w:tr w14:paraId="7A186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1A1C445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140D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B029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3.15</w:t>
            </w:r>
          </w:p>
        </w:tc>
        <w:tc>
          <w:tcPr>
            <w:tcW w:w="5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EF16D">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孵育温度范围：室温～80℃，温度波动度≤±0.3℃。</w:t>
            </w:r>
          </w:p>
        </w:tc>
      </w:tr>
      <w:tr w14:paraId="75DEE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77C8079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572F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824E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3.16</w:t>
            </w:r>
          </w:p>
        </w:tc>
        <w:tc>
          <w:tcPr>
            <w:tcW w:w="5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FD628">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洗板机：独立洗板机≥2台，每台洗板机可独立洗板，支持在脱离主机的情况下独立工作独立，洗板头16通道且双排洗板头。</w:t>
            </w:r>
          </w:p>
        </w:tc>
      </w:tr>
      <w:tr w14:paraId="7A506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252CBBF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3C45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962C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3.17</w:t>
            </w:r>
          </w:p>
        </w:tc>
        <w:tc>
          <w:tcPr>
            <w:tcW w:w="5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1678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洗液瓶的放置方式，采取≥4层平铺式摆放，占地空间小(需提供洗液壶采用平铺式摆放图片为证)；配置≥8个洗液瓶，每个洗液瓶4L，洗液瓶通过称重传感器，独立监测每个洗液瓶液量，液量不足时自动切换使用备用洗液，并在软件界面实时显示）；</w:t>
            </w:r>
          </w:p>
        </w:tc>
      </w:tr>
      <w:tr w14:paraId="3C775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414BAEE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CFD3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176F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3.18</w:t>
            </w:r>
          </w:p>
        </w:tc>
        <w:tc>
          <w:tcPr>
            <w:tcW w:w="5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F846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洗板清洗次数：0～255次范围内可任意选择。</w:t>
            </w:r>
          </w:p>
        </w:tc>
      </w:tr>
      <w:tr w14:paraId="79FFB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3F82AE7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B655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5770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3.19</w:t>
            </w:r>
          </w:p>
        </w:tc>
        <w:tc>
          <w:tcPr>
            <w:tcW w:w="5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9642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洗板残余量：清洗残留液量≤1μL/孔，洗板浸泡时间可调，步距为1s。</w:t>
            </w:r>
          </w:p>
        </w:tc>
      </w:tr>
      <w:tr w14:paraId="68490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4554C12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1D8E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1800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3.20</w:t>
            </w:r>
          </w:p>
        </w:tc>
        <w:tc>
          <w:tcPr>
            <w:tcW w:w="5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2C31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酶标仪：1台酶标仪，双波长判读。（提供彩页或技术白皮书等有效证明文件）。</w:t>
            </w:r>
          </w:p>
        </w:tc>
      </w:tr>
      <w:tr w14:paraId="24927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1D9AAE6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F1CC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4AF0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3.21</w:t>
            </w:r>
          </w:p>
        </w:tc>
        <w:tc>
          <w:tcPr>
            <w:tcW w:w="5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657C1">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酶标仪读板速度：单波长≤3秒/板，双波长≤6秒/板。</w:t>
            </w:r>
          </w:p>
        </w:tc>
      </w:tr>
      <w:tr w14:paraId="1FAF4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783DDF1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36C2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7387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3.22</w:t>
            </w:r>
          </w:p>
        </w:tc>
        <w:tc>
          <w:tcPr>
            <w:tcW w:w="5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FA21D">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测量方式：8个光学通道，1个参考通道，由光纤传导，减少各通道差异。</w:t>
            </w:r>
          </w:p>
        </w:tc>
      </w:tr>
      <w:tr w14:paraId="26CED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67292CE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2E49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8FB8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3.23</w:t>
            </w:r>
          </w:p>
        </w:tc>
        <w:tc>
          <w:tcPr>
            <w:tcW w:w="5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3313F">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滤光片：配置包含405nm/450nm/492nm/630nm滤光片。</w:t>
            </w:r>
          </w:p>
        </w:tc>
      </w:tr>
      <w:tr w14:paraId="61704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280AEF6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8C5C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B338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3.24</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1479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酶标仪与加样仓不在同一加样仓，从物理空间结构上彻底杜绝加样环节的样本、试剂交叉污染，保障检测结果精准可靠；酶标仪可以脱离主机单独使用，独立操作进行判读。</w:t>
            </w:r>
          </w:p>
        </w:tc>
      </w:tr>
      <w:tr w14:paraId="5BD60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6250FD9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57B0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3460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3.25</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4BC4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软件可视化操作，多语言软件界面，灵活切换。</w:t>
            </w:r>
          </w:p>
        </w:tc>
      </w:tr>
      <w:tr w14:paraId="5F512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1BCE10E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32A0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C3E8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3.26</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1118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拼板功能：同一块微板上进行≥12项目的检测。</w:t>
            </w:r>
          </w:p>
        </w:tc>
      </w:tr>
      <w:tr w14:paraId="1A0BA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66B4DE1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8987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3FAB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3.27</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1214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自定义项目功能：同一批上机检测的标本，自定义每个标本所检测的项目。</w:t>
            </w:r>
          </w:p>
        </w:tc>
      </w:tr>
      <w:tr w14:paraId="441BA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346BE0C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8267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CB55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3.28</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717B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控制软件具有用户权限管理功能，确保信息安全。</w:t>
            </w:r>
          </w:p>
        </w:tc>
      </w:tr>
      <w:tr w14:paraId="4E4F4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465" w:type="dxa"/>
            <w:vMerge w:val="continue"/>
            <w:tcBorders>
              <w:top w:val="single" w:color="000000" w:sz="4" w:space="0"/>
              <w:left w:val="single" w:color="000000" w:sz="4" w:space="0"/>
              <w:bottom w:val="nil"/>
              <w:right w:val="single" w:color="000000" w:sz="4" w:space="0"/>
            </w:tcBorders>
            <w:shd w:val="clear" w:color="auto" w:fill="auto"/>
            <w:vAlign w:val="center"/>
          </w:tcPr>
          <w:p w14:paraId="18C9551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36F2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27C2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3.29</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FF5B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软件对接：可与管理系统（LIS、HIS）对接，支持双向通讯，端口费用由供货方承担。</w:t>
            </w:r>
          </w:p>
        </w:tc>
      </w:tr>
      <w:tr w14:paraId="12383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4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F27F4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4.主要配置</w:t>
            </w: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8238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58BA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4ECD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加样通道：≥4；</w:t>
            </w:r>
          </w:p>
        </w:tc>
      </w:tr>
      <w:tr w14:paraId="53C0C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FB2D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EF67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340E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4.2</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428C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机械臂：≥2；</w:t>
            </w:r>
          </w:p>
        </w:tc>
      </w:tr>
      <w:tr w14:paraId="08228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F3A5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CDD1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EE3E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4.3</w:t>
            </w:r>
          </w:p>
        </w:tc>
        <w:tc>
          <w:tcPr>
            <w:tcW w:w="5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56F1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孵育板位：≥10；</w:t>
            </w:r>
          </w:p>
        </w:tc>
      </w:tr>
      <w:tr w14:paraId="35728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75E4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7CA3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2DFF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4.4</w:t>
            </w:r>
          </w:p>
        </w:tc>
        <w:tc>
          <w:tcPr>
            <w:tcW w:w="5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66B4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洗板机：≥1台；</w:t>
            </w:r>
          </w:p>
        </w:tc>
      </w:tr>
      <w:tr w14:paraId="6E371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6349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EA00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8570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4.5</w:t>
            </w:r>
          </w:p>
        </w:tc>
        <w:tc>
          <w:tcPr>
            <w:tcW w:w="5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02468">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读数仪：≥1台；</w:t>
            </w:r>
          </w:p>
        </w:tc>
      </w:tr>
    </w:tbl>
    <w:p w14:paraId="59FE26E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5A88FFD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44AC671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69ADC12B">
      <w:pPr>
        <w:pStyle w:val="13"/>
        <w:rPr>
          <w:rFonts w:hint="eastAsia"/>
          <w:color w:val="auto"/>
          <w:highlight w:val="none"/>
          <w:lang w:val="zh-CN" w:eastAsia="zh-CN"/>
        </w:rPr>
      </w:pPr>
    </w:p>
    <w:p w14:paraId="0A2ADF3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567B46F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tbl>
      <w:tblPr>
        <w:tblStyle w:val="38"/>
        <w:tblW w:w="904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25"/>
        <w:gridCol w:w="1464"/>
        <w:gridCol w:w="959"/>
        <w:gridCol w:w="5392"/>
      </w:tblGrid>
      <w:tr w14:paraId="6E1E7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9040" w:type="dxa"/>
            <w:gridSpan w:val="4"/>
            <w:tcBorders>
              <w:top w:val="nil"/>
              <w:left w:val="nil"/>
              <w:bottom w:val="nil"/>
              <w:right w:val="nil"/>
            </w:tcBorders>
            <w:shd w:val="clear" w:color="auto" w:fill="auto"/>
            <w:vAlign w:val="center"/>
          </w:tcPr>
          <w:p w14:paraId="630FB71A">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仪器设备技术参数（十）</w:t>
            </w:r>
          </w:p>
        </w:tc>
      </w:tr>
      <w:tr w14:paraId="4C589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40" w:type="dxa"/>
            <w:gridSpan w:val="4"/>
            <w:tcBorders>
              <w:top w:val="nil"/>
              <w:left w:val="nil"/>
              <w:bottom w:val="nil"/>
              <w:right w:val="nil"/>
            </w:tcBorders>
            <w:shd w:val="clear" w:color="auto" w:fill="auto"/>
            <w:noWrap/>
            <w:vAlign w:val="center"/>
          </w:tcPr>
          <w:p w14:paraId="0CD419FA">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w:t>
            </w:r>
            <w:r>
              <w:rPr>
                <w:rFonts w:hint="eastAsia" w:ascii="宋体" w:hAnsi="宋体" w:eastAsia="宋体" w:cs="宋体"/>
                <w:i w:val="0"/>
                <w:iCs w:val="0"/>
                <w:color w:val="auto"/>
                <w:kern w:val="0"/>
                <w:sz w:val="20"/>
                <w:szCs w:val="20"/>
                <w:highlight w:val="none"/>
                <w:u w:val="none"/>
                <w:lang w:val="en-US" w:eastAsia="zh-CN" w:bidi="ar"/>
              </w:rPr>
              <w:t>液相色谱</w:t>
            </w:r>
            <w:r>
              <w:rPr>
                <w:rFonts w:hint="default"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串联三重四极杆质谱</w:t>
            </w:r>
          </w:p>
        </w:tc>
      </w:tr>
      <w:tr w14:paraId="3877F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 w:hRule="atLeast"/>
        </w:trPr>
        <w:tc>
          <w:tcPr>
            <w:tcW w:w="9040" w:type="dxa"/>
            <w:gridSpan w:val="4"/>
            <w:tcBorders>
              <w:top w:val="nil"/>
              <w:left w:val="nil"/>
              <w:bottom w:val="nil"/>
              <w:right w:val="nil"/>
            </w:tcBorders>
            <w:shd w:val="clear" w:color="auto" w:fill="auto"/>
            <w:noWrap/>
            <w:vAlign w:val="center"/>
          </w:tcPr>
          <w:p w14:paraId="27305D6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w:t>
            </w:r>
            <w:r>
              <w:rPr>
                <w:rFonts w:hint="eastAsia" w:ascii="宋体" w:hAnsi="宋体" w:eastAsia="宋体" w:cs="宋体"/>
                <w:i w:val="0"/>
                <w:iCs w:val="0"/>
                <w:color w:val="auto"/>
                <w:kern w:val="0"/>
                <w:sz w:val="20"/>
                <w:szCs w:val="20"/>
                <w:highlight w:val="none"/>
                <w:u w:val="none"/>
                <w:lang w:val="en-US" w:eastAsia="zh-CN" w:bidi="ar"/>
              </w:rPr>
              <w:t>液相色谱</w:t>
            </w:r>
            <w:r>
              <w:rPr>
                <w:rFonts w:hint="default"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串联三重四极杆质谱</w:t>
            </w:r>
          </w:p>
        </w:tc>
      </w:tr>
      <w:tr w14:paraId="6FCDA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7" w:hRule="atLeast"/>
        </w:trPr>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D1F3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0067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9360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B1D3A">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技术指标内容</w:t>
            </w:r>
          </w:p>
        </w:tc>
      </w:tr>
      <w:tr w14:paraId="5F0BD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1" w:hRule="atLeast"/>
        </w:trPr>
        <w:tc>
          <w:tcPr>
            <w:tcW w:w="12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55CD4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3.主要技术参数</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0CEF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01B5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43B2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工作条件</w:t>
            </w:r>
          </w:p>
        </w:tc>
      </w:tr>
      <w:tr w14:paraId="5AFB2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1"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A6D8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736A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28E5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3.1.1</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5410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电源电压：230V±10%， 50/60Hz， 16A</w:t>
            </w:r>
          </w:p>
        </w:tc>
      </w:tr>
      <w:tr w14:paraId="7FBCC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D934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5ADF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3D70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3.1.2</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D6571">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环境温度：15-27℃</w:t>
            </w:r>
          </w:p>
        </w:tc>
      </w:tr>
      <w:tr w14:paraId="38105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AF86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0D95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075C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3.1.3</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8DA9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相对湿度：20-80%</w:t>
            </w:r>
          </w:p>
        </w:tc>
      </w:tr>
      <w:tr w14:paraId="76B6D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BA93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20D4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CE35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9CD2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质谱部分技术参数</w:t>
            </w:r>
          </w:p>
        </w:tc>
      </w:tr>
      <w:tr w14:paraId="63F01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7301B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3A21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82CF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3.2.1</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5147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离子源</w:t>
            </w:r>
          </w:p>
        </w:tc>
      </w:tr>
      <w:tr w14:paraId="59DEC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9"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18B95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EFD5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74C9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3.2.1.1</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AAADF">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API离子源：可加热电喷雾离子源（ESI源）和大气压化学电离源（APCI源），安装离子源时可实现气路电路自动连接。</w:t>
            </w:r>
          </w:p>
        </w:tc>
      </w:tr>
      <w:tr w14:paraId="0BC68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3"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9232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931E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6C6F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3.2.1.2</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B032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软件能够监控反馈喷雾稳定性，实时显示信号变化的RSD值。</w:t>
            </w:r>
          </w:p>
        </w:tc>
      </w:tr>
      <w:tr w14:paraId="5B6F3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FF03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1DB9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377A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3.2.1.3</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47BB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离子源流速范围：50ul-2500l/min或更宽。</w:t>
            </w:r>
          </w:p>
        </w:tc>
      </w:tr>
      <w:tr w14:paraId="6B917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B972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0A90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A807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3.2.1.4</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AFFC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可升级离子淌度(离子迁移谱) 组件，基于分子形态构象提高选择性，消除共流出干扰物，分离同分异构体，兼容100 nL/min至1 mL/min的流动相流速；（提供官方网站截图）</w:t>
            </w:r>
          </w:p>
        </w:tc>
      </w:tr>
      <w:tr w14:paraId="62D4D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9D9F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4D7B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8B56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3.2.2</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5115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离子传输系统</w:t>
            </w:r>
          </w:p>
        </w:tc>
      </w:tr>
      <w:tr w14:paraId="39258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9"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891F6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140C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A943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3.2.2.1</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230D1">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离子传输系统为毛细管（离子传输管或DL管）设计，毛细管（离子传输管或DL管）在10年使用周期内的免费更换；（提供官方网站仪器结构示意图</w:t>
            </w:r>
            <w:r>
              <w:rPr>
                <w:rFonts w:hint="eastAsia" w:ascii="宋体" w:hAnsi="宋体" w:cs="宋体"/>
                <w:i w:val="0"/>
                <w:iCs w:val="0"/>
                <w:color w:val="auto"/>
                <w:kern w:val="0"/>
                <w:sz w:val="20"/>
                <w:szCs w:val="20"/>
                <w:highlight w:val="none"/>
                <w:u w:val="none"/>
                <w:lang w:val="en-US" w:eastAsia="zh-CN" w:bidi="ar"/>
              </w:rPr>
              <w:t>或实拍图片</w:t>
            </w:r>
            <w:r>
              <w:rPr>
                <w:rFonts w:hint="default" w:ascii="宋体" w:hAnsi="宋体" w:eastAsia="宋体" w:cs="宋体"/>
                <w:i w:val="0"/>
                <w:iCs w:val="0"/>
                <w:color w:val="auto"/>
                <w:kern w:val="0"/>
                <w:sz w:val="20"/>
                <w:szCs w:val="20"/>
                <w:highlight w:val="none"/>
                <w:u w:val="none"/>
                <w:lang w:val="en-US" w:eastAsia="zh-CN" w:bidi="ar"/>
              </w:rPr>
              <w:t>）</w:t>
            </w:r>
          </w:p>
        </w:tc>
      </w:tr>
      <w:tr w14:paraId="7DF01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3"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6F0B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79EF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5B14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3.2.2.2</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C1DF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具有真空隔断设计，毛细管（离子传输管或DL管）在更换维护时质谱系统不用卸真空，更换毛细管（离子传输管）后无需调谐即可正常使用，整个过程小于10min。</w:t>
            </w:r>
          </w:p>
        </w:tc>
      </w:tr>
      <w:tr w14:paraId="0CDCE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787B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D87E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2430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3.2.3</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7488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四极杆质量分析器</w:t>
            </w:r>
          </w:p>
        </w:tc>
      </w:tr>
      <w:tr w14:paraId="2DFC5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D10AD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5B81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C606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3.2.3.1</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8DDFD">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质量数范围（m/z）：2-2000或更宽。</w:t>
            </w:r>
          </w:p>
        </w:tc>
      </w:tr>
      <w:tr w14:paraId="7E527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9DE1A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EA81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EB9D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3.2.3.2</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9ECF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分辨率(FWHM)：0.4 Da。</w:t>
            </w:r>
          </w:p>
        </w:tc>
      </w:tr>
      <w:tr w14:paraId="140BA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9"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29D4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EA28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14F7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3.2.3.3</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78FE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碰撞池采用≥90°弯曲（非直线）。（提供仪器结构示意图）</w:t>
            </w:r>
          </w:p>
        </w:tc>
      </w:tr>
      <w:tr w14:paraId="6B0BE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A250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360F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195C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3.2.3.4</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C1A4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质量轴稳定性：≤ ± 0. 1 Da/24小时。</w:t>
            </w:r>
          </w:p>
        </w:tc>
      </w:tr>
      <w:tr w14:paraId="292E1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508F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0C98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2DB1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3.2.3.5</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CA50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最小驻留时间：≤ 0.8 ms。</w:t>
            </w:r>
          </w:p>
        </w:tc>
      </w:tr>
      <w:tr w14:paraId="2561D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CB603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EBA4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73CD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3.2.3.6</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EE94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MRM(SRM)采集速率：≥550 SRM/秒。</w:t>
            </w:r>
          </w:p>
        </w:tc>
      </w:tr>
      <w:tr w14:paraId="1FA70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63E7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018D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D7ED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3.2.3.7</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F72F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正负极性切换速度：≤5 ms。</w:t>
            </w:r>
          </w:p>
        </w:tc>
      </w:tr>
      <w:tr w14:paraId="27C37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6643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093A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DA57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3.2.4</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1C14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检测器</w:t>
            </w:r>
          </w:p>
        </w:tc>
      </w:tr>
      <w:tr w14:paraId="3B3EF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CD59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12A6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0DDF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3.3.3.1</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F06B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电子倍增检测器。</w:t>
            </w:r>
          </w:p>
        </w:tc>
      </w:tr>
      <w:tr w14:paraId="3A4A9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1"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F360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A9AD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3468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3.3.3.2</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9924D">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线性动态范围：不低于六个数量级。</w:t>
            </w:r>
          </w:p>
        </w:tc>
      </w:tr>
      <w:tr w14:paraId="543E0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AAB4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7983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0B53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3.2.5</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DDC6A">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真空系统：</w:t>
            </w:r>
          </w:p>
        </w:tc>
      </w:tr>
      <w:tr w14:paraId="70D61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3"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8A6F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0EB2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174A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3.2.5.1</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B829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由分子涡轮泵和机械泵组成的多级差分真空系统，真空度可达到5·10-6 Torr</w:t>
            </w:r>
          </w:p>
        </w:tc>
      </w:tr>
      <w:tr w14:paraId="5BB9C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F10D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86DC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9D34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3.2.6</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8968F">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应用指标</w:t>
            </w:r>
          </w:p>
        </w:tc>
      </w:tr>
      <w:tr w14:paraId="08877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CC24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D4B9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95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763C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3.2.6.1</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4F6F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灵敏度：</w:t>
            </w:r>
          </w:p>
        </w:tc>
      </w:tr>
      <w:tr w14:paraId="45F64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0"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0965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95CA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3374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1A51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ESI+：1pg利血平柱上进样， m/z 609&gt;195，信噪比≥3000000:1，连续六针峰面积重复性RSD＜3%，仪器检出限IDL＜0.3fg；1pg地塞米松柱上进样，信噪比≥2000:1（提供省级以上计量院盖章的检测报告</w:t>
            </w:r>
            <w:r>
              <w:rPr>
                <w:rFonts w:ascii="宋体" w:hAnsi="宋体" w:cs="宋体"/>
                <w:sz w:val="20"/>
                <w:szCs w:val="20"/>
                <w:highlight w:val="none"/>
                <w:lang w:bidi="ar"/>
              </w:rPr>
              <w:t>或实验数据报告</w:t>
            </w:r>
            <w:r>
              <w:rPr>
                <w:rFonts w:hint="default" w:ascii="宋体" w:hAnsi="宋体" w:eastAsia="宋体" w:cs="宋体"/>
                <w:i w:val="0"/>
                <w:iCs w:val="0"/>
                <w:color w:val="auto"/>
                <w:kern w:val="0"/>
                <w:sz w:val="20"/>
                <w:szCs w:val="20"/>
                <w:highlight w:val="none"/>
                <w:u w:val="none"/>
                <w:lang w:val="en-US" w:eastAsia="zh-CN" w:bidi="ar"/>
              </w:rPr>
              <w:t>）</w:t>
            </w:r>
          </w:p>
        </w:tc>
      </w:tr>
      <w:tr w14:paraId="4E4FD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1"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099F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80AC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92B6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0CD6A">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ESI-：1pg氯霉素柱上进样，m/z 321&gt;152，信噪比≥3000000：1，连续六针峰面积重复性RSD＜3%，仪器检出限IDL＜0.3fg；1pg地塞米松柱上进样，信噪比≥1000:1（提供省级以上计量院盖章的检测报告</w:t>
            </w:r>
            <w:r>
              <w:rPr>
                <w:rFonts w:ascii="宋体" w:hAnsi="宋体" w:cs="宋体"/>
                <w:sz w:val="20"/>
                <w:szCs w:val="20"/>
                <w:highlight w:val="none"/>
                <w:lang w:bidi="ar"/>
              </w:rPr>
              <w:t>或实验数据报告</w:t>
            </w:r>
            <w:r>
              <w:rPr>
                <w:rFonts w:hint="default" w:ascii="宋体" w:hAnsi="宋体" w:eastAsia="宋体" w:cs="宋体"/>
                <w:i w:val="0"/>
                <w:iCs w:val="0"/>
                <w:color w:val="auto"/>
                <w:kern w:val="0"/>
                <w:sz w:val="20"/>
                <w:szCs w:val="20"/>
                <w:highlight w:val="none"/>
                <w:u w:val="none"/>
                <w:lang w:val="en-US" w:eastAsia="zh-CN" w:bidi="ar"/>
              </w:rPr>
              <w:t>）</w:t>
            </w:r>
          </w:p>
        </w:tc>
      </w:tr>
      <w:tr w14:paraId="4D20E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9"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E1E4A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17A2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05DA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1973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APCI+: 1pg利血平柱上进样， m/z 609&gt;195，信噪比≥300000:1，连续六针峰面积重复性RSD＜3%；1pg地塞米松柱上进样，信噪比≥2000:1（提供省级以上计量院盖章的检测报告</w:t>
            </w:r>
            <w:r>
              <w:rPr>
                <w:rFonts w:ascii="宋体" w:hAnsi="宋体" w:cs="宋体"/>
                <w:sz w:val="20"/>
                <w:szCs w:val="20"/>
                <w:highlight w:val="none"/>
                <w:lang w:bidi="ar"/>
              </w:rPr>
              <w:t>或实验数据报告</w:t>
            </w:r>
            <w:r>
              <w:rPr>
                <w:rFonts w:hint="default" w:ascii="宋体" w:hAnsi="宋体" w:eastAsia="宋体" w:cs="宋体"/>
                <w:i w:val="0"/>
                <w:iCs w:val="0"/>
                <w:color w:val="auto"/>
                <w:kern w:val="0"/>
                <w:sz w:val="20"/>
                <w:szCs w:val="20"/>
                <w:highlight w:val="none"/>
                <w:u w:val="none"/>
                <w:lang w:val="en-US" w:eastAsia="zh-CN" w:bidi="ar"/>
              </w:rPr>
              <w:t>）</w:t>
            </w:r>
          </w:p>
        </w:tc>
      </w:tr>
      <w:tr w14:paraId="10D51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8"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0971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BDCF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B11C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8B31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APCI-:1pg氯霉素柱上进样，m/z 321&gt;152，信噪比≥300000：1，连续六针峰面积重复性RSD＜3%；1pg地塞米松柱上进样，信噪比≥300000:1（提供省级以上计量院盖章的检测报告</w:t>
            </w:r>
            <w:r>
              <w:rPr>
                <w:rFonts w:ascii="宋体" w:hAnsi="宋体" w:cs="宋体"/>
                <w:sz w:val="20"/>
                <w:szCs w:val="20"/>
                <w:highlight w:val="none"/>
                <w:lang w:bidi="ar"/>
              </w:rPr>
              <w:t>或实验数据报告</w:t>
            </w:r>
            <w:r>
              <w:rPr>
                <w:rFonts w:hint="default" w:ascii="宋体" w:hAnsi="宋体" w:eastAsia="宋体" w:cs="宋体"/>
                <w:i w:val="0"/>
                <w:iCs w:val="0"/>
                <w:color w:val="auto"/>
                <w:kern w:val="0"/>
                <w:sz w:val="20"/>
                <w:szCs w:val="20"/>
                <w:highlight w:val="none"/>
                <w:u w:val="none"/>
                <w:lang w:val="en-US" w:eastAsia="zh-CN" w:bidi="ar"/>
              </w:rPr>
              <w:t>）</w:t>
            </w:r>
          </w:p>
        </w:tc>
      </w:tr>
      <w:tr w14:paraId="581CC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C65C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8174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B994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3.2.6.2</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5EC3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一针进样30min内完成2'- 岩藻糖基乳糖、3'- 岩藻糖基乳糖、3'- 唾液酸基乳糖、6'- 唾液酸基乳糖、2',3 - 二岩藻糖基乳糖、乳糖 - N - 新四糖、乳糖 - N - 四糖等7种母乳低聚糖定量分析，进样体积不大于10ul时，2'- 岩藻糖基乳糖、3'- 岩藻糖基乳糖、3'- 唾液酸基乳糖、6'- 唾液酸基乳糖、2',3 - 二岩藻糖基乳糖的定量限LOQ≤0.2ng/ml，乳糖 - N - 新四糖、乳糖 - N - 四糖的定量限LOQ≤0.8ng/ml，7种低聚糖线性相关系数R2&gt;0.999，10ng/ml连续进样6针峰面积重复性RSD≤2%（提供详细实验技术文档）</w:t>
            </w:r>
          </w:p>
        </w:tc>
      </w:tr>
      <w:tr w14:paraId="237AA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4"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1351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433A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396D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3.2.6.3</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8726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一针进样20min内完成草甘膦、草铵膦、3-MPPA、N-乙酰草铵膦的定量分析， 样品无需衍生化处理，进样体积小于20ul，4个化合物保留时间大于2min且实现完全分离；校准曲线浓度范围至少5-250 ppb内包含六个浓度水平，R2＞0.995；苹果、番茄、洋葱、黄瓜和羊角生菜五种基质中分别添加10 ppb的待测物，均能正常检出和定量，5种基质中的定量浓度相对标准偏差RSD均＜15%（提供详细实验技术文档）</w:t>
            </w:r>
          </w:p>
        </w:tc>
      </w:tr>
      <w:tr w14:paraId="2E38A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89"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F5B7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3A41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9555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3.2.6.4</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8C53D">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一针进样10min内完成氯霉素、甲砜霉素、氟苯尼考、氟苯尼考胺的定量分析，进样体积≤5ul，氯霉素在0.01~100ng/mL浓度范围、氟苯尼考在0.02~200 ng/mL浓度范围、氟苯尼考胺在0.1~1000 ng/mL浓度范围和甲砜霉素在0.05~500 ng/mL浓度范围内线性关系均R2&gt;0.99；猪肉空白基质加标1ppb连续进样6针，4种物质的峰面积相对标准偏差RSD均&lt;5%（提供详细实验技术文档）</w:t>
            </w:r>
          </w:p>
        </w:tc>
      </w:tr>
      <w:tr w14:paraId="4EA9E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06F2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3D61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1532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B08D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超高效液相色谱部分技术参数：</w:t>
            </w:r>
          </w:p>
        </w:tc>
      </w:tr>
      <w:tr w14:paraId="6C831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BC86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45AD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C560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3.3.1</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8D95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二元高压梯度混合泵</w:t>
            </w:r>
          </w:p>
        </w:tc>
      </w:tr>
      <w:tr w14:paraId="2C179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53F6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3A16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A207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3.3.1.1</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D290A">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流量范围：0.001～8.000mL/min，步进0.001mL/min</w:t>
            </w:r>
          </w:p>
        </w:tc>
      </w:tr>
      <w:tr w14:paraId="5D99A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7"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B67B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03B2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B283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3.3.1.2</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4E8B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最大压力：≥15,000 psi</w:t>
            </w:r>
          </w:p>
        </w:tc>
      </w:tr>
      <w:tr w14:paraId="01ED3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5DDE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DA6B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120B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3.3.1.3</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3996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流量准确度：≤±0.1%</w:t>
            </w:r>
          </w:p>
        </w:tc>
      </w:tr>
      <w:tr w14:paraId="6D33C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9"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491F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B48B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90C6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3.3.1.4</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B2538">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溶剂脱气：内置</w:t>
            </w:r>
            <w:r>
              <w:rPr>
                <w:rFonts w:hint="eastAsia" w:ascii="宋体" w:hAnsi="宋体" w:cs="宋体"/>
                <w:i w:val="0"/>
                <w:iCs w:val="0"/>
                <w:color w:val="auto"/>
                <w:kern w:val="0"/>
                <w:sz w:val="20"/>
                <w:szCs w:val="20"/>
                <w:highlight w:val="none"/>
                <w:u w:val="none"/>
                <w:lang w:val="en-US" w:eastAsia="zh-CN" w:bidi="ar"/>
              </w:rPr>
              <w:t>4</w:t>
            </w:r>
            <w:r>
              <w:rPr>
                <w:rFonts w:hint="default" w:ascii="宋体" w:hAnsi="宋体" w:eastAsia="宋体" w:cs="宋体"/>
                <w:i w:val="0"/>
                <w:iCs w:val="0"/>
                <w:color w:val="auto"/>
                <w:kern w:val="0"/>
                <w:sz w:val="20"/>
                <w:szCs w:val="20"/>
                <w:highlight w:val="none"/>
                <w:u w:val="none"/>
                <w:lang w:val="en-US" w:eastAsia="zh-CN" w:bidi="ar"/>
              </w:rPr>
              <w:t>通道脱气机</w:t>
            </w:r>
          </w:p>
        </w:tc>
      </w:tr>
      <w:tr w14:paraId="78EB3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4483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B5ED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315D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3.3.2</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C2B1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柱温箱</w:t>
            </w:r>
          </w:p>
        </w:tc>
      </w:tr>
      <w:tr w14:paraId="605E0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E363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0134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8436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3.3.2.1</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893B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控温范围：5-85℃</w:t>
            </w:r>
          </w:p>
        </w:tc>
      </w:tr>
      <w:tr w14:paraId="3994D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1346D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A507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E26C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3.3.2.2</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9826A">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温度准确度：±0.5℃</w:t>
            </w:r>
          </w:p>
        </w:tc>
      </w:tr>
      <w:tr w14:paraId="45383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2950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B4A4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1AC7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3.3.2.3</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07AD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温控稳定性：±0.05℃</w:t>
            </w:r>
          </w:p>
        </w:tc>
      </w:tr>
      <w:tr w14:paraId="74010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B542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F427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6C56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3.3.3</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2A60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自动进样器</w:t>
            </w:r>
          </w:p>
        </w:tc>
      </w:tr>
      <w:tr w14:paraId="5645E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6"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A86C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2A91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806E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3.3.3.1</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52C3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进样精度：&lt;0.25%RSD</w:t>
            </w:r>
          </w:p>
        </w:tc>
      </w:tr>
      <w:tr w14:paraId="54981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7"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0D51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413B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3E8D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3.3.3.2</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A67A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样品位：不低于160位2ml样品瓶（提供实拍图）</w:t>
            </w:r>
          </w:p>
        </w:tc>
      </w:tr>
      <w:tr w14:paraId="0C37A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9" w:hRule="atLeast"/>
        </w:trPr>
        <w:tc>
          <w:tcPr>
            <w:tcW w:w="12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692C4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CA93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EA13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3.3.3.3</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BA63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温控范围：4-40℃</w:t>
            </w:r>
          </w:p>
        </w:tc>
      </w:tr>
      <w:tr w14:paraId="109C4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A37F4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B723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12FA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3.3.3.4</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2753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交叉污染：&lt;0.0004%</w:t>
            </w:r>
          </w:p>
        </w:tc>
      </w:tr>
      <w:tr w14:paraId="6E525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C9C4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305C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4E92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3.4</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C7978">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数据处理系统</w:t>
            </w:r>
          </w:p>
        </w:tc>
      </w:tr>
      <w:tr w14:paraId="54A20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7"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1517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7F01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9947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3.4.1</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305B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电脑工作站（质谱分析软件、Windows软件等）一台，提供LC和MS/MS的全自动控制；简洁人性化的操作界面可以实现高效的仪器调谐和方法优化，并可利用优化后的参数快速便捷地建立分析方法；方法编辑器具有全面的基于特定应用的方法模板库和直观的用户界面，；工作站及软件具备数据采集、数据处理、定性定量分析、建立数据库、谱库检索等功能；Window 10英文操作系统（64bit），软件能够满足当今分析检测实验室需求。</w:t>
            </w:r>
          </w:p>
        </w:tc>
      </w:tr>
      <w:tr w14:paraId="17DC3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8"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1570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A527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9EA1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3.4.2</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FF5F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数据库：提供＞10,000个化合物标准品的多能量二级质谱图数据库，其中非法药物＞1000个，天然产物＞1000个，杀虫除草剂＞500个，色素＞200个，天然毒素＞100个，工业化学品＞400个， PPCP＞100个；谱图数据库中应包含化合物名称、分子式、母离子、子离子、碰撞能量信息，软件可自动提取谱图库中的化合物信息生成SRM离子对方法，实现广泛靶向筛查；能够对二级谱图进行快速检索，实现未知物的鉴定与确证。</w:t>
            </w:r>
          </w:p>
        </w:tc>
      </w:tr>
      <w:tr w14:paraId="40E9C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3" w:hRule="atLeast"/>
        </w:trPr>
        <w:tc>
          <w:tcPr>
            <w:tcW w:w="12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4E34F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4.主要配置</w:t>
            </w:r>
          </w:p>
        </w:tc>
        <w:tc>
          <w:tcPr>
            <w:tcW w:w="146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0D8B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C5F3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4FFB8">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液相二元高压梯度泵1套（带</w:t>
            </w:r>
            <w:r>
              <w:rPr>
                <w:rFonts w:hint="eastAsia" w:ascii="宋体" w:hAnsi="宋体" w:cs="宋体"/>
                <w:i w:val="0"/>
                <w:iCs w:val="0"/>
                <w:color w:val="auto"/>
                <w:kern w:val="0"/>
                <w:sz w:val="20"/>
                <w:szCs w:val="20"/>
                <w:highlight w:val="none"/>
                <w:u w:val="none"/>
                <w:lang w:val="en-US" w:eastAsia="zh-CN" w:bidi="ar"/>
              </w:rPr>
              <w:t>四</w:t>
            </w:r>
            <w:r>
              <w:rPr>
                <w:rFonts w:hint="default" w:ascii="宋体" w:hAnsi="宋体" w:eastAsia="宋体" w:cs="宋体"/>
                <w:i w:val="0"/>
                <w:iCs w:val="0"/>
                <w:color w:val="auto"/>
                <w:kern w:val="0"/>
                <w:sz w:val="20"/>
                <w:szCs w:val="20"/>
                <w:highlight w:val="none"/>
                <w:u w:val="none"/>
                <w:lang w:val="en-US" w:eastAsia="zh-CN" w:bidi="ar"/>
              </w:rPr>
              <w:t>通道脱气机）</w:t>
            </w:r>
          </w:p>
        </w:tc>
      </w:tr>
      <w:tr w14:paraId="46E18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540E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0EF2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640B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4.2</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8CFFA">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液相柱温箱1套</w:t>
            </w:r>
          </w:p>
        </w:tc>
      </w:tr>
      <w:tr w14:paraId="6292D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327F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593E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3682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4.3</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8C43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液相自动进样器1套</w:t>
            </w:r>
          </w:p>
        </w:tc>
      </w:tr>
      <w:tr w14:paraId="27F82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1"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8A5B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A51C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B7C6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4.4</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C650F">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质谱主机1套</w:t>
            </w:r>
          </w:p>
        </w:tc>
      </w:tr>
      <w:tr w14:paraId="5EF7A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3"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0A6C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BF4A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E876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4.5</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B4E2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操作软件2套</w:t>
            </w:r>
          </w:p>
        </w:tc>
      </w:tr>
      <w:tr w14:paraId="7545E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1"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8280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465E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713F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4.6</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F17C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色谱柱2根</w:t>
            </w:r>
          </w:p>
        </w:tc>
      </w:tr>
      <w:tr w14:paraId="63B36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3"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6C43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1516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FA0C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4.7</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FD3E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样品瓶100个</w:t>
            </w:r>
          </w:p>
        </w:tc>
      </w:tr>
      <w:tr w14:paraId="7F7EE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551C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AF8C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BA22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4.8</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823F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品牌电脑 1台</w:t>
            </w:r>
          </w:p>
        </w:tc>
      </w:tr>
      <w:tr w14:paraId="60C3F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DFC8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0A04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3B25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4.9</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6B74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激光打印机 1台</w:t>
            </w:r>
          </w:p>
        </w:tc>
      </w:tr>
      <w:tr w14:paraId="0D113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7"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04946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4634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0105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4.10</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C5FC8">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氮气发生器1台</w:t>
            </w:r>
          </w:p>
        </w:tc>
      </w:tr>
      <w:tr w14:paraId="3DB3A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3"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C97B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6095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DED4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w:t>
            </w:r>
            <w:r>
              <w:rPr>
                <w:rFonts w:hint="eastAsia" w:ascii="宋体" w:hAnsi="宋体" w:eastAsia="宋体" w:cs="宋体"/>
                <w:i w:val="0"/>
                <w:iCs w:val="0"/>
                <w:color w:val="auto"/>
                <w:kern w:val="0"/>
                <w:sz w:val="20"/>
                <w:szCs w:val="20"/>
                <w:highlight w:val="none"/>
                <w:u w:val="none"/>
                <w:lang w:val="en-US" w:eastAsia="zh-CN" w:bidi="ar"/>
              </w:rPr>
              <w:t>1</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2162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机械泵 1个</w:t>
            </w:r>
          </w:p>
        </w:tc>
      </w:tr>
    </w:tbl>
    <w:p w14:paraId="0BE9F9B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29719D1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74BEF8D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689DA77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292BDC1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3B8D399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6E8F3A0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58EA83E1">
      <w:pPr>
        <w:pStyle w:val="2"/>
        <w:rPr>
          <w:rFonts w:hint="eastAsia" w:ascii="宋体" w:hAnsi="宋体" w:eastAsia="宋体" w:cs="宋体"/>
          <w:i w:val="0"/>
          <w:iCs w:val="0"/>
          <w:color w:val="auto"/>
          <w:kern w:val="0"/>
          <w:sz w:val="20"/>
          <w:szCs w:val="20"/>
          <w:highlight w:val="none"/>
          <w:u w:val="none"/>
          <w:lang w:val="zh-CN" w:eastAsia="zh-CN" w:bidi="ar"/>
        </w:rPr>
      </w:pPr>
    </w:p>
    <w:p w14:paraId="2293BDD0">
      <w:pPr>
        <w:rPr>
          <w:rFonts w:hint="eastAsia" w:ascii="宋体" w:hAnsi="宋体" w:eastAsia="宋体" w:cs="宋体"/>
          <w:i w:val="0"/>
          <w:iCs w:val="0"/>
          <w:color w:val="auto"/>
          <w:kern w:val="0"/>
          <w:sz w:val="20"/>
          <w:szCs w:val="20"/>
          <w:highlight w:val="none"/>
          <w:u w:val="none"/>
          <w:lang w:val="zh-CN" w:eastAsia="zh-CN" w:bidi="ar"/>
        </w:rPr>
      </w:pPr>
    </w:p>
    <w:p w14:paraId="4D994FD5">
      <w:pPr>
        <w:pStyle w:val="2"/>
        <w:rPr>
          <w:rFonts w:hint="eastAsia"/>
          <w:color w:val="auto"/>
          <w:highlight w:val="none"/>
          <w:lang w:val="zh-CN" w:eastAsia="zh-CN"/>
        </w:rPr>
      </w:pPr>
    </w:p>
    <w:p w14:paraId="7E000D2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0BAAD57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31DD91D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tbl>
      <w:tblPr>
        <w:tblStyle w:val="38"/>
        <w:tblW w:w="907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53"/>
        <w:gridCol w:w="1452"/>
        <w:gridCol w:w="1020"/>
        <w:gridCol w:w="4852"/>
      </w:tblGrid>
      <w:tr w14:paraId="19842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077" w:type="dxa"/>
            <w:gridSpan w:val="4"/>
            <w:tcBorders>
              <w:top w:val="nil"/>
              <w:left w:val="nil"/>
              <w:bottom w:val="nil"/>
              <w:right w:val="nil"/>
            </w:tcBorders>
            <w:shd w:val="clear" w:color="auto" w:fill="auto"/>
            <w:vAlign w:val="center"/>
          </w:tcPr>
          <w:p w14:paraId="1643577D">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仪器设备技术参数（十一）</w:t>
            </w:r>
          </w:p>
        </w:tc>
      </w:tr>
      <w:tr w14:paraId="0121E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9077" w:type="dxa"/>
            <w:gridSpan w:val="4"/>
            <w:tcBorders>
              <w:top w:val="nil"/>
              <w:left w:val="nil"/>
              <w:bottom w:val="nil"/>
              <w:right w:val="nil"/>
            </w:tcBorders>
            <w:shd w:val="clear" w:color="auto" w:fill="auto"/>
            <w:noWrap/>
            <w:vAlign w:val="center"/>
          </w:tcPr>
          <w:p w14:paraId="6EF7FD3A">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w:t>
            </w:r>
            <w:r>
              <w:rPr>
                <w:rFonts w:hint="eastAsia" w:ascii="宋体" w:hAnsi="宋体" w:eastAsia="宋体" w:cs="宋体"/>
                <w:i w:val="0"/>
                <w:iCs w:val="0"/>
                <w:color w:val="auto"/>
                <w:kern w:val="0"/>
                <w:sz w:val="20"/>
                <w:szCs w:val="20"/>
                <w:highlight w:val="none"/>
                <w:u w:val="none"/>
                <w:lang w:val="en-US" w:eastAsia="zh-CN" w:bidi="ar"/>
              </w:rPr>
              <w:t>电感耦合等离子体</w:t>
            </w:r>
            <w:r>
              <w:rPr>
                <w:rFonts w:hint="default"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质谱仪（</w:t>
            </w:r>
            <w:r>
              <w:rPr>
                <w:rFonts w:hint="default" w:ascii="宋体" w:hAnsi="宋体" w:eastAsia="宋体" w:cs="宋体"/>
                <w:i w:val="0"/>
                <w:iCs w:val="0"/>
                <w:color w:val="auto"/>
                <w:kern w:val="0"/>
                <w:sz w:val="20"/>
                <w:szCs w:val="20"/>
                <w:highlight w:val="none"/>
                <w:u w:val="none"/>
                <w:lang w:val="en-US" w:eastAsia="zh-CN" w:bidi="ar"/>
              </w:rPr>
              <w:t>ICP-MS</w:t>
            </w:r>
            <w:r>
              <w:rPr>
                <w:rFonts w:hint="eastAsia" w:ascii="宋体" w:hAnsi="宋体" w:eastAsia="宋体" w:cs="宋体"/>
                <w:i w:val="0"/>
                <w:iCs w:val="0"/>
                <w:color w:val="auto"/>
                <w:kern w:val="0"/>
                <w:sz w:val="20"/>
                <w:szCs w:val="20"/>
                <w:highlight w:val="none"/>
                <w:u w:val="none"/>
                <w:lang w:val="en-US" w:eastAsia="zh-CN" w:bidi="ar"/>
              </w:rPr>
              <w:t>）</w:t>
            </w:r>
          </w:p>
        </w:tc>
      </w:tr>
      <w:tr w14:paraId="5BE90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9077" w:type="dxa"/>
            <w:gridSpan w:val="4"/>
            <w:tcBorders>
              <w:top w:val="nil"/>
              <w:left w:val="nil"/>
              <w:bottom w:val="nil"/>
              <w:right w:val="nil"/>
            </w:tcBorders>
            <w:shd w:val="clear" w:color="auto" w:fill="auto"/>
            <w:noWrap/>
            <w:vAlign w:val="center"/>
          </w:tcPr>
          <w:p w14:paraId="451E43F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w:t>
            </w:r>
            <w:r>
              <w:rPr>
                <w:rFonts w:hint="eastAsia" w:ascii="宋体" w:hAnsi="宋体" w:eastAsia="宋体" w:cs="宋体"/>
                <w:i w:val="0"/>
                <w:iCs w:val="0"/>
                <w:color w:val="auto"/>
                <w:kern w:val="0"/>
                <w:sz w:val="20"/>
                <w:szCs w:val="20"/>
                <w:highlight w:val="none"/>
                <w:u w:val="none"/>
                <w:lang w:val="en-US" w:eastAsia="zh-CN" w:bidi="ar"/>
              </w:rPr>
              <w:t>电感耦合等离子体</w:t>
            </w:r>
            <w:r>
              <w:rPr>
                <w:rFonts w:hint="default"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质谱仪（</w:t>
            </w:r>
            <w:r>
              <w:rPr>
                <w:rFonts w:hint="default" w:ascii="宋体" w:hAnsi="宋体" w:eastAsia="宋体" w:cs="宋体"/>
                <w:i w:val="0"/>
                <w:iCs w:val="0"/>
                <w:color w:val="auto"/>
                <w:kern w:val="0"/>
                <w:sz w:val="20"/>
                <w:szCs w:val="20"/>
                <w:highlight w:val="none"/>
                <w:u w:val="none"/>
                <w:lang w:val="en-US" w:eastAsia="zh-CN" w:bidi="ar"/>
              </w:rPr>
              <w:t>ICP-MS</w:t>
            </w:r>
            <w:r>
              <w:rPr>
                <w:rFonts w:hint="eastAsia" w:ascii="宋体" w:hAnsi="宋体" w:eastAsia="宋体" w:cs="宋体"/>
                <w:i w:val="0"/>
                <w:iCs w:val="0"/>
                <w:color w:val="auto"/>
                <w:kern w:val="0"/>
                <w:sz w:val="20"/>
                <w:szCs w:val="20"/>
                <w:highlight w:val="none"/>
                <w:u w:val="none"/>
                <w:lang w:val="en-US" w:eastAsia="zh-CN" w:bidi="ar"/>
              </w:rPr>
              <w:t>）</w:t>
            </w:r>
          </w:p>
        </w:tc>
      </w:tr>
      <w:tr w14:paraId="2A4A8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0" w:hRule="atLeast"/>
        </w:trPr>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AA01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D897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1033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4441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技术指标内容</w:t>
            </w:r>
          </w:p>
        </w:tc>
      </w:tr>
      <w:tr w14:paraId="350F8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BDEC1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3.主要技术参数</w:t>
            </w: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30AE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22F6A6F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FBFD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仪器硬件</w:t>
            </w:r>
          </w:p>
        </w:tc>
      </w:tr>
      <w:tr w14:paraId="308CB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C616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E632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6E66B2F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3.1.1</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509B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本仪器适用于各种样品的元素分析，碰撞反应池可以使用He气，O2，H2He混合气， NH3He混合气。</w:t>
            </w:r>
          </w:p>
        </w:tc>
      </w:tr>
      <w:tr w14:paraId="52885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833A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F63E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692E9F7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3.1.2</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6561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本仪器具有两套可实现质量筛选功能的四极杆，能够在碰撞或反应模式中引入质量筛选功能以实现更有效的多原子离子干扰去除效果。具有自动氩气稀释和氩气加湿功能。（交货进行功能验收）</w:t>
            </w:r>
          </w:p>
        </w:tc>
      </w:tr>
      <w:tr w14:paraId="3C291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D07B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9AD5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60844D2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3.1.3</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40C6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蠕动泵：转速≥80rpm，泵体采用惰性材质制造，防腐蚀，具有双向转动功能。</w:t>
            </w:r>
          </w:p>
        </w:tc>
      </w:tr>
      <w:tr w14:paraId="5A391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1D51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5909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4603F6E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3.1.4</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A6C8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雾化器和雾化室：具备高雾化效率和耐高盐性能的同心雾化器。具有半导体制冷功能的小体积旋流型雾化室，制冷能力应＜-8℃。</w:t>
            </w:r>
          </w:p>
        </w:tc>
      </w:tr>
      <w:tr w14:paraId="1E8A0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9A4A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DE48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41B28E9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3.1.5</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3856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炬管：采用无需手动连接等离子气，辅助气气路的卡式推入炬管设计，可拆卸式中心管设计。</w:t>
            </w:r>
          </w:p>
        </w:tc>
      </w:tr>
      <w:tr w14:paraId="19035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4"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33577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E600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6A60247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3.1.6</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F15A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等离子体可视系统：具有等离子体 TV功能，可以实时通过电脑显示器监控等离子体及锥口和中心管的状态。能够将ICPMS主机与控制电脑分开放置时，直接通过控制电脑观察仪器运行情况并进行参数优化。</w:t>
            </w:r>
          </w:p>
        </w:tc>
      </w:tr>
      <w:tr w14:paraId="79815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351C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A2E2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52CFB10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3.1.7</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8CEC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1.7仪器主机气路配置4路高精度的质量流量计（冷却气、辅助气、雾化气和稀释气）。</w:t>
            </w:r>
          </w:p>
        </w:tc>
      </w:tr>
      <w:tr w14:paraId="70F73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75AC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3245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5B1A1B0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3.1.8</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58CC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稀释气路：采用流量≥900mL/min的质量流量计控制，具有氩气稀释模式及多种设定稀释系数，可直接分析≥30%饱和盐水，多档自动稀释模式。（交货进行功能验收）</w:t>
            </w:r>
          </w:p>
        </w:tc>
      </w:tr>
      <w:tr w14:paraId="009C2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05801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FD1D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0EB0A3D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3.1.9</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A8CD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氩气加湿器：集成化氩气加湿器，具有控温功能，主机软件自由切换控制。（提供实物图及软件截图）</w:t>
            </w:r>
          </w:p>
        </w:tc>
      </w:tr>
      <w:tr w14:paraId="4CA6F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71AD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2663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2783B7E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3.1.10</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AB22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离子源：功率≤28MHz，自激式全固态RF发生器。</w:t>
            </w:r>
          </w:p>
        </w:tc>
      </w:tr>
      <w:tr w14:paraId="2D74D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4"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570C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777D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6BB2F1D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3.1.11</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B47A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RF发生器功率连续可调范围：400-1600W，调节精度≤0.5W，且具有工作线圈和接口二次放电消除功能（如果采用带有屏蔽矩技术的产品，提供5套屏蔽矩做为耗材），工作线圈采用高效耦合能力贵金属涂层设计，采用精密控温水冷技术（如采用风冷技术提供5套工作线圈做为耗材）。</w:t>
            </w:r>
          </w:p>
        </w:tc>
      </w:tr>
      <w:tr w14:paraId="0FD32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4"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CB61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BB58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4411B9A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3.1.12</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AC2F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接口：采样锥口径0.9-1.1mm，截取锥口径0.5-0.7mm，锥间不通入气体，同时配有不损失样品灵敏度的接口耐盐设计，可在高灵敏度情况下实现对35%盐度样品的连续稳定分析。（采用三锥技术的产品提供5套第三锥做为耗材）</w:t>
            </w:r>
          </w:p>
        </w:tc>
      </w:tr>
      <w:tr w14:paraId="25863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668C8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AFFF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79369F1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3.1.1</w:t>
            </w:r>
            <w:r>
              <w:rPr>
                <w:rFonts w:hint="eastAsia" w:ascii="宋体" w:hAnsi="宋体" w:cs="宋体"/>
                <w:i w:val="0"/>
                <w:iCs w:val="0"/>
                <w:color w:val="auto"/>
                <w:kern w:val="0"/>
                <w:sz w:val="20"/>
                <w:szCs w:val="20"/>
                <w:highlight w:val="none"/>
                <w:u w:val="none"/>
                <w:lang w:val="en-US" w:eastAsia="zh-CN" w:bidi="ar"/>
              </w:rPr>
              <w:t>3</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46A0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配备离子偏转聚焦系统实现以下功能</w:t>
            </w:r>
          </w:p>
        </w:tc>
      </w:tr>
      <w:tr w14:paraId="6996F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EE4E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nil"/>
              <w:left w:val="nil"/>
              <w:bottom w:val="nil"/>
              <w:right w:val="nil"/>
            </w:tcBorders>
            <w:shd w:val="clear" w:color="auto" w:fill="auto"/>
            <w:noWrap/>
            <w:vAlign w:val="center"/>
          </w:tcPr>
          <w:p w14:paraId="401EA36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269BB8E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3.1.1</w:t>
            </w:r>
            <w:r>
              <w:rPr>
                <w:rFonts w:hint="eastAsia" w:ascii="宋体" w:hAnsi="宋体" w:cs="宋体"/>
                <w:i w:val="0"/>
                <w:iCs w:val="0"/>
                <w:color w:val="auto"/>
                <w:kern w:val="0"/>
                <w:sz w:val="20"/>
                <w:szCs w:val="20"/>
                <w:highlight w:val="none"/>
                <w:u w:val="none"/>
                <w:lang w:val="en-US" w:eastAsia="zh-CN" w:bidi="ar"/>
              </w:rPr>
              <w:t>4</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5388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A.在接口后部配置一套离子偏转聚焦系统，通过电场作用使样品离子产生90°偏转与中性粒子分离，中性粒子通过分子泵直接排出而不采用任何挡板技术。（提供仪器设计和分离原理图）</w:t>
            </w:r>
          </w:p>
        </w:tc>
      </w:tr>
      <w:tr w14:paraId="56889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8F7C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53D0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7906E29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3.1.1</w:t>
            </w:r>
            <w:r>
              <w:rPr>
                <w:rFonts w:hint="eastAsia" w:ascii="宋体" w:hAnsi="宋体" w:cs="宋体"/>
                <w:i w:val="0"/>
                <w:iCs w:val="0"/>
                <w:color w:val="auto"/>
                <w:kern w:val="0"/>
                <w:sz w:val="20"/>
                <w:szCs w:val="20"/>
                <w:highlight w:val="none"/>
                <w:u w:val="none"/>
                <w:lang w:val="en-US" w:eastAsia="zh-CN" w:bidi="ar"/>
              </w:rPr>
              <w:t>5</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5AC9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B.偏转聚焦系统具备抑制离子束展宽的功能，可在系统内形成空间三维电场分布，保证样品离子在进行90°偏转的同时实现三维方向的离子束聚焦，抑制空间电荷效应带来的展宽。（提供仪器设计和三维压缩原理图）</w:t>
            </w:r>
          </w:p>
        </w:tc>
      </w:tr>
      <w:tr w14:paraId="0D305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F47D4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8989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17799C7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3.1.1</w:t>
            </w:r>
            <w:r>
              <w:rPr>
                <w:rFonts w:hint="eastAsia" w:ascii="宋体" w:hAnsi="宋体" w:cs="宋体"/>
                <w:i w:val="0"/>
                <w:iCs w:val="0"/>
                <w:color w:val="auto"/>
                <w:kern w:val="0"/>
                <w:sz w:val="20"/>
                <w:szCs w:val="20"/>
                <w:highlight w:val="none"/>
                <w:u w:val="none"/>
                <w:lang w:val="en-US" w:eastAsia="zh-CN" w:bidi="ar"/>
              </w:rPr>
              <w:t>6</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0A6D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四极杆碰撞反应池：</w:t>
            </w:r>
          </w:p>
        </w:tc>
      </w:tr>
      <w:tr w14:paraId="6A87A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892E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7671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7C27EA6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3.1.1</w:t>
            </w:r>
            <w:r>
              <w:rPr>
                <w:rFonts w:hint="eastAsia" w:ascii="宋体" w:hAnsi="宋体" w:cs="宋体"/>
                <w:i w:val="0"/>
                <w:iCs w:val="0"/>
                <w:color w:val="auto"/>
                <w:kern w:val="0"/>
                <w:sz w:val="20"/>
                <w:szCs w:val="20"/>
                <w:highlight w:val="none"/>
                <w:u w:val="none"/>
                <w:lang w:val="en-US" w:eastAsia="zh-CN" w:bidi="ar"/>
              </w:rPr>
              <w:t>7</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AC39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池体内部或池体的前端具有一套可实现质量筛选功能的四极杆结构。可通过控制软件分别自动给出不同元素所需的质量筛选区段以去除二次多原子离子干扰或反应副产物；</w:t>
            </w:r>
          </w:p>
        </w:tc>
      </w:tr>
      <w:tr w14:paraId="77393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4C79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9FE9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352B905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3.1.1</w:t>
            </w:r>
            <w:r>
              <w:rPr>
                <w:rFonts w:hint="eastAsia" w:ascii="宋体" w:hAnsi="宋体" w:cs="宋体"/>
                <w:i w:val="0"/>
                <w:iCs w:val="0"/>
                <w:color w:val="auto"/>
                <w:kern w:val="0"/>
                <w:sz w:val="20"/>
                <w:szCs w:val="20"/>
                <w:highlight w:val="none"/>
                <w:u w:val="none"/>
                <w:lang w:val="en-US" w:eastAsia="zh-CN" w:bidi="ar"/>
              </w:rPr>
              <w:t>8</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66A8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离子透镜：样品离子在通过碰撞反应池后可被离子透镜进行离轴偏转，将池内可能产生的二次中性干扰消除。（提供仪器设计和三维压缩原理图证明）</w:t>
            </w:r>
          </w:p>
        </w:tc>
      </w:tr>
      <w:tr w14:paraId="03794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5FF2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3F89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23E63A4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w:t>
            </w:r>
            <w:r>
              <w:rPr>
                <w:rFonts w:hint="eastAsia" w:ascii="宋体" w:hAnsi="宋体" w:cs="宋体"/>
                <w:i w:val="0"/>
                <w:iCs w:val="0"/>
                <w:color w:val="auto"/>
                <w:kern w:val="0"/>
                <w:sz w:val="20"/>
                <w:szCs w:val="20"/>
                <w:highlight w:val="none"/>
                <w:u w:val="none"/>
                <w:lang w:val="en-US" w:eastAsia="zh-CN" w:bidi="ar"/>
              </w:rPr>
              <w:t>19</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A583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四极杆质量分辨器：纯Mo材料，驱动频率≤2.0MHz。</w:t>
            </w:r>
          </w:p>
        </w:tc>
      </w:tr>
      <w:tr w14:paraId="4109A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17D0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D30A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30D7D51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3.1.2</w:t>
            </w:r>
            <w:r>
              <w:rPr>
                <w:rFonts w:hint="eastAsia" w:ascii="宋体" w:hAnsi="宋体" w:cs="宋体"/>
                <w:i w:val="0"/>
                <w:iCs w:val="0"/>
                <w:color w:val="auto"/>
                <w:kern w:val="0"/>
                <w:sz w:val="20"/>
                <w:szCs w:val="20"/>
                <w:highlight w:val="none"/>
                <w:u w:val="none"/>
                <w:lang w:val="en-US" w:eastAsia="zh-CN" w:bidi="ar"/>
              </w:rPr>
              <w:t>0</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E53B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质谱范围：2-285amu</w:t>
            </w:r>
          </w:p>
        </w:tc>
      </w:tr>
      <w:tr w14:paraId="7D321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8794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3A68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090E0FE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3.1.2</w:t>
            </w:r>
            <w:r>
              <w:rPr>
                <w:rFonts w:hint="eastAsia" w:ascii="宋体" w:hAnsi="宋体" w:cs="宋体"/>
                <w:i w:val="0"/>
                <w:iCs w:val="0"/>
                <w:color w:val="auto"/>
                <w:kern w:val="0"/>
                <w:sz w:val="20"/>
                <w:szCs w:val="20"/>
                <w:highlight w:val="none"/>
                <w:u w:val="none"/>
                <w:lang w:val="en-US" w:eastAsia="zh-CN" w:bidi="ar"/>
              </w:rPr>
              <w:t>1</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6C14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脉冲和模拟双模式电子倍增器，两种模式可以自动切换。</w:t>
            </w:r>
          </w:p>
        </w:tc>
      </w:tr>
      <w:tr w14:paraId="44F61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501B0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6D55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6E27751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2</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16EB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仪器性能要求</w:t>
            </w:r>
          </w:p>
        </w:tc>
      </w:tr>
      <w:tr w14:paraId="5E242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C6D6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41C5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vMerge w:val="restart"/>
            <w:tcBorders>
              <w:top w:val="single" w:color="000000" w:sz="4" w:space="0"/>
              <w:left w:val="single" w:color="000000" w:sz="4" w:space="0"/>
              <w:bottom w:val="single" w:color="000000" w:sz="4" w:space="0"/>
              <w:right w:val="nil"/>
            </w:tcBorders>
            <w:shd w:val="clear" w:color="auto" w:fill="auto"/>
            <w:noWrap/>
            <w:vAlign w:val="center"/>
          </w:tcPr>
          <w:p w14:paraId="0FC4EF2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.1</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C058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标准模式下灵敏度</w:t>
            </w:r>
          </w:p>
        </w:tc>
      </w:tr>
      <w:tr w14:paraId="62C65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58F9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0191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vMerge w:val="continue"/>
            <w:tcBorders>
              <w:top w:val="single" w:color="000000" w:sz="4" w:space="0"/>
              <w:left w:val="single" w:color="000000" w:sz="4" w:space="0"/>
              <w:bottom w:val="single" w:color="000000" w:sz="4" w:space="0"/>
              <w:right w:val="nil"/>
            </w:tcBorders>
            <w:shd w:val="clear" w:color="auto" w:fill="auto"/>
            <w:noWrap/>
            <w:vAlign w:val="center"/>
          </w:tcPr>
          <w:p w14:paraId="4DC4444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7FBB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A.中质量数(Y或In): &gt; 300Mcps/ppm</w:t>
            </w:r>
          </w:p>
        </w:tc>
      </w:tr>
      <w:tr w14:paraId="0BBB2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4C61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9AAC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vMerge w:val="continue"/>
            <w:tcBorders>
              <w:top w:val="single" w:color="000000" w:sz="4" w:space="0"/>
              <w:left w:val="single" w:color="000000" w:sz="4" w:space="0"/>
              <w:bottom w:val="single" w:color="000000" w:sz="4" w:space="0"/>
              <w:right w:val="nil"/>
            </w:tcBorders>
            <w:shd w:val="clear" w:color="auto" w:fill="auto"/>
            <w:noWrap/>
            <w:vAlign w:val="center"/>
          </w:tcPr>
          <w:p w14:paraId="757ACE1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9A25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B.高质量数(Tl或U): &gt; 400Mcps/ppm</w:t>
            </w:r>
          </w:p>
        </w:tc>
      </w:tr>
      <w:tr w14:paraId="72661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E0CB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567FD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vMerge w:val="restart"/>
            <w:tcBorders>
              <w:top w:val="single" w:color="000000" w:sz="4" w:space="0"/>
              <w:left w:val="single" w:color="000000" w:sz="4" w:space="0"/>
              <w:bottom w:val="single" w:color="000000" w:sz="4" w:space="0"/>
              <w:right w:val="nil"/>
            </w:tcBorders>
            <w:shd w:val="clear" w:color="auto" w:fill="auto"/>
            <w:noWrap/>
            <w:vAlign w:val="center"/>
          </w:tcPr>
          <w:p w14:paraId="5A7178A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.2</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A7D2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3.2随机背景</w:t>
            </w:r>
          </w:p>
        </w:tc>
      </w:tr>
      <w:tr w14:paraId="435A0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987C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5B88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vMerge w:val="continue"/>
            <w:tcBorders>
              <w:top w:val="single" w:color="000000" w:sz="4" w:space="0"/>
              <w:left w:val="single" w:color="000000" w:sz="4" w:space="0"/>
              <w:bottom w:val="single" w:color="000000" w:sz="4" w:space="0"/>
              <w:right w:val="nil"/>
            </w:tcBorders>
            <w:shd w:val="clear" w:color="auto" w:fill="auto"/>
            <w:noWrap/>
            <w:vAlign w:val="center"/>
          </w:tcPr>
          <w:p w14:paraId="70AADC0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B269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A.标准模式随机背景：＜1cps (4.5amu),</w:t>
            </w:r>
          </w:p>
        </w:tc>
      </w:tr>
      <w:tr w14:paraId="65A9B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A5DCB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4A1F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vMerge w:val="continue"/>
            <w:tcBorders>
              <w:top w:val="single" w:color="000000" w:sz="4" w:space="0"/>
              <w:left w:val="single" w:color="000000" w:sz="4" w:space="0"/>
              <w:bottom w:val="single" w:color="000000" w:sz="4" w:space="0"/>
              <w:right w:val="nil"/>
            </w:tcBorders>
            <w:shd w:val="clear" w:color="auto" w:fill="auto"/>
            <w:noWrap/>
            <w:vAlign w:val="center"/>
          </w:tcPr>
          <w:p w14:paraId="136EE49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F4AD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B.He模式随机背景：＜0.5cps (4.5amu)</w:t>
            </w:r>
          </w:p>
        </w:tc>
      </w:tr>
      <w:tr w14:paraId="19B13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E4CF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71EF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02AE021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.3</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EA52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标准模式下，仪器信噪比&gt;220M（1ppm中质量元素溶液，灵敏度/随机背景)</w:t>
            </w:r>
          </w:p>
        </w:tc>
      </w:tr>
      <w:tr w14:paraId="5175A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872C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6081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vMerge w:val="restart"/>
            <w:tcBorders>
              <w:top w:val="single" w:color="000000" w:sz="4" w:space="0"/>
              <w:left w:val="single" w:color="000000" w:sz="4" w:space="0"/>
              <w:bottom w:val="single" w:color="000000" w:sz="4" w:space="0"/>
              <w:right w:val="nil"/>
            </w:tcBorders>
            <w:shd w:val="clear" w:color="auto" w:fill="auto"/>
            <w:noWrap/>
            <w:vAlign w:val="center"/>
          </w:tcPr>
          <w:p w14:paraId="107CCC3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.4</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1106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氧化物及双电荷</w:t>
            </w:r>
          </w:p>
        </w:tc>
      </w:tr>
      <w:tr w14:paraId="6225F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89A9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4874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vMerge w:val="continue"/>
            <w:tcBorders>
              <w:top w:val="single" w:color="000000" w:sz="4" w:space="0"/>
              <w:left w:val="single" w:color="000000" w:sz="4" w:space="0"/>
              <w:bottom w:val="single" w:color="000000" w:sz="4" w:space="0"/>
              <w:right w:val="nil"/>
            </w:tcBorders>
            <w:shd w:val="clear" w:color="auto" w:fill="auto"/>
            <w:noWrap/>
            <w:vAlign w:val="center"/>
          </w:tcPr>
          <w:p w14:paraId="208314D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0B7D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A.氧化物离子(CeO+/Ce+)＜2%</w:t>
            </w:r>
          </w:p>
        </w:tc>
      </w:tr>
      <w:tr w14:paraId="5E317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AFF8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BDCE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vMerge w:val="continue"/>
            <w:tcBorders>
              <w:top w:val="single" w:color="000000" w:sz="4" w:space="0"/>
              <w:left w:val="single" w:color="000000" w:sz="4" w:space="0"/>
              <w:bottom w:val="single" w:color="000000" w:sz="4" w:space="0"/>
              <w:right w:val="nil"/>
            </w:tcBorders>
            <w:shd w:val="clear" w:color="auto" w:fill="auto"/>
            <w:noWrap/>
            <w:vAlign w:val="center"/>
          </w:tcPr>
          <w:p w14:paraId="6975ABD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313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B.双电荷粒子（Ba++/Ba+）＜3%</w:t>
            </w:r>
          </w:p>
        </w:tc>
      </w:tr>
      <w:tr w14:paraId="58F8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B015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FAEE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vMerge w:val="restart"/>
            <w:tcBorders>
              <w:top w:val="single" w:color="000000" w:sz="4" w:space="0"/>
              <w:left w:val="single" w:color="000000" w:sz="4" w:space="0"/>
              <w:bottom w:val="single" w:color="000000" w:sz="4" w:space="0"/>
              <w:right w:val="nil"/>
            </w:tcBorders>
            <w:shd w:val="clear" w:color="auto" w:fill="auto"/>
            <w:noWrap/>
            <w:vAlign w:val="center"/>
          </w:tcPr>
          <w:p w14:paraId="1D1E83C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.5</w:t>
            </w:r>
          </w:p>
        </w:tc>
        <w:tc>
          <w:tcPr>
            <w:tcW w:w="4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12AB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仪器检出限</w:t>
            </w:r>
          </w:p>
        </w:tc>
      </w:tr>
      <w:tr w14:paraId="68F44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1027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D74A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vMerge w:val="continue"/>
            <w:tcBorders>
              <w:top w:val="single" w:color="000000" w:sz="4" w:space="0"/>
              <w:left w:val="single" w:color="000000" w:sz="4" w:space="0"/>
              <w:bottom w:val="single" w:color="000000" w:sz="4" w:space="0"/>
              <w:right w:val="nil"/>
            </w:tcBorders>
            <w:shd w:val="clear" w:color="auto" w:fill="auto"/>
            <w:noWrap/>
            <w:vAlign w:val="center"/>
          </w:tcPr>
          <w:p w14:paraId="5A46294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4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441E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A.轻质量元素:＜0.3ppt</w:t>
            </w:r>
          </w:p>
        </w:tc>
      </w:tr>
      <w:tr w14:paraId="03EC5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C8B8D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F226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vMerge w:val="continue"/>
            <w:tcBorders>
              <w:top w:val="single" w:color="000000" w:sz="4" w:space="0"/>
              <w:left w:val="single" w:color="000000" w:sz="4" w:space="0"/>
              <w:bottom w:val="single" w:color="000000" w:sz="4" w:space="0"/>
              <w:right w:val="nil"/>
            </w:tcBorders>
            <w:shd w:val="clear" w:color="auto" w:fill="auto"/>
            <w:noWrap/>
            <w:vAlign w:val="center"/>
          </w:tcPr>
          <w:p w14:paraId="7BE4953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4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9540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B.中质量数元素:＜0.1ppt</w:t>
            </w:r>
          </w:p>
        </w:tc>
      </w:tr>
      <w:tr w14:paraId="70024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3BAC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BA1B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vMerge w:val="continue"/>
            <w:tcBorders>
              <w:top w:val="single" w:color="000000" w:sz="4" w:space="0"/>
              <w:left w:val="single" w:color="000000" w:sz="4" w:space="0"/>
              <w:bottom w:val="single" w:color="000000" w:sz="4" w:space="0"/>
              <w:right w:val="nil"/>
            </w:tcBorders>
            <w:shd w:val="clear" w:color="auto" w:fill="auto"/>
            <w:noWrap/>
            <w:vAlign w:val="center"/>
          </w:tcPr>
          <w:p w14:paraId="2644D5C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4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0D78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C.高质量数元素:＜0.1ppt</w:t>
            </w:r>
          </w:p>
        </w:tc>
      </w:tr>
      <w:tr w14:paraId="5F4CD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AFCAB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CBCF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64D3630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.6</w:t>
            </w:r>
          </w:p>
        </w:tc>
        <w:tc>
          <w:tcPr>
            <w:tcW w:w="4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3B95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短期稳定性10min (RSD):&lt;2%</w:t>
            </w:r>
          </w:p>
        </w:tc>
      </w:tr>
      <w:tr w14:paraId="1F825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2109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3D5D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2E6B8C6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.7</w:t>
            </w:r>
          </w:p>
        </w:tc>
        <w:tc>
          <w:tcPr>
            <w:tcW w:w="4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6D7D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长期稳定性 2hr(RSD): &lt; 3%</w:t>
            </w:r>
          </w:p>
        </w:tc>
      </w:tr>
      <w:tr w14:paraId="30096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4C99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AB9D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41E1D52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.8</w:t>
            </w:r>
          </w:p>
        </w:tc>
        <w:tc>
          <w:tcPr>
            <w:tcW w:w="4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DF5F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质谱校正稳定性: &lt; 0.025 amu/24hr</w:t>
            </w:r>
          </w:p>
        </w:tc>
      </w:tr>
      <w:tr w14:paraId="7A9C2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E957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46A6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5FA1AC8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3</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0783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分析性能</w:t>
            </w:r>
          </w:p>
        </w:tc>
      </w:tr>
      <w:tr w14:paraId="2A0DD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8C06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35E3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1770C3C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.1</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9801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对于高Cl和高Ca样品（5% HCl，200ppm Ca）中As元素的分析，可直接利用碰撞模式消除ArCl+和CaCl+离子对As元素的干扰并获得0.5ppt的检出限水平，无需使用O2或其他反应气体以及复杂的反应模式。（提供投标产品应用文献证明</w:t>
            </w:r>
            <w:r>
              <w:rPr>
                <w:rFonts w:ascii="宋体" w:hAnsi="宋体" w:cs="宋体"/>
                <w:sz w:val="20"/>
                <w:szCs w:val="20"/>
                <w:highlight w:val="none"/>
                <w:lang w:bidi="ar"/>
              </w:rPr>
              <w:t>或实验数据报告</w:t>
            </w:r>
            <w:r>
              <w:rPr>
                <w:rFonts w:hint="eastAsia" w:ascii="宋体" w:hAnsi="宋体" w:eastAsia="宋体" w:cs="宋体"/>
                <w:i w:val="0"/>
                <w:iCs w:val="0"/>
                <w:color w:val="auto"/>
                <w:kern w:val="0"/>
                <w:sz w:val="20"/>
                <w:szCs w:val="20"/>
                <w:highlight w:val="none"/>
                <w:u w:val="none"/>
                <w:lang w:val="en-US" w:eastAsia="zh-CN" w:bidi="ar"/>
              </w:rPr>
              <w:t>）</w:t>
            </w:r>
          </w:p>
        </w:tc>
      </w:tr>
      <w:tr w14:paraId="5A9D1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trPr>
        <w:tc>
          <w:tcPr>
            <w:tcW w:w="17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23ACB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F2E1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1C8B861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.2</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EFE4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可以通过碰撞模式直接消除ArAr+多原子离子对Se元素的干扰，无需使用CH4或H2气的反应模式即可获得3ppt的Se元素检出限水平。（提供投标产品应用文献证明</w:t>
            </w:r>
            <w:r>
              <w:rPr>
                <w:rFonts w:ascii="宋体" w:hAnsi="宋体" w:cs="宋体"/>
                <w:sz w:val="20"/>
                <w:szCs w:val="20"/>
                <w:highlight w:val="none"/>
                <w:lang w:bidi="ar"/>
              </w:rPr>
              <w:t>或实验数据报告</w:t>
            </w:r>
            <w:r>
              <w:rPr>
                <w:rFonts w:hint="eastAsia" w:ascii="宋体" w:hAnsi="宋体" w:eastAsia="宋体" w:cs="宋体"/>
                <w:i w:val="0"/>
                <w:iCs w:val="0"/>
                <w:color w:val="auto"/>
                <w:kern w:val="0"/>
                <w:sz w:val="20"/>
                <w:szCs w:val="20"/>
                <w:highlight w:val="none"/>
                <w:u w:val="none"/>
                <w:lang w:val="en-US" w:eastAsia="zh-CN" w:bidi="ar"/>
              </w:rPr>
              <w:t>）</w:t>
            </w:r>
          </w:p>
        </w:tc>
      </w:tr>
      <w:tr w14:paraId="0C127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CDE0F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7504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6502AC3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.3</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AA9B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具有使用反应模式分析P和S元素的能力，在同一个方法中可通过氧气的反应性，把P和S元素反应到PO47，SO48位置，并获得优于0.05ppb和1ppb的检出限水平。（提供投标产品应用文献证明</w:t>
            </w:r>
            <w:r>
              <w:rPr>
                <w:rFonts w:ascii="宋体" w:hAnsi="宋体" w:cs="宋体"/>
                <w:sz w:val="20"/>
                <w:szCs w:val="20"/>
                <w:highlight w:val="none"/>
                <w:lang w:bidi="ar"/>
              </w:rPr>
              <w:t>或实验数据报告</w:t>
            </w:r>
            <w:r>
              <w:rPr>
                <w:rFonts w:hint="eastAsia" w:ascii="宋体" w:hAnsi="宋体" w:eastAsia="宋体" w:cs="宋体"/>
                <w:i w:val="0"/>
                <w:iCs w:val="0"/>
                <w:color w:val="auto"/>
                <w:kern w:val="0"/>
                <w:sz w:val="20"/>
                <w:szCs w:val="20"/>
                <w:highlight w:val="none"/>
                <w:u w:val="none"/>
                <w:lang w:val="en-US" w:eastAsia="zh-CN" w:bidi="ar"/>
              </w:rPr>
              <w:t>）</w:t>
            </w:r>
          </w:p>
        </w:tc>
      </w:tr>
      <w:tr w14:paraId="69802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9A74F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C59B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4470260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.4</w:t>
            </w:r>
          </w:p>
        </w:tc>
        <w:tc>
          <w:tcPr>
            <w:tcW w:w="4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AF4E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控制软件</w:t>
            </w:r>
          </w:p>
        </w:tc>
      </w:tr>
      <w:tr w14:paraId="23956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8612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E07A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5A470E2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.1</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CD0F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全自动分析功能(包括：启动关闭仪器 ,炬位调整, 等离子体参数, 离子透镜, 标准等离子体条件与冷等离子体条件切换,标准技术与碰撞池技术切换等)</w:t>
            </w:r>
          </w:p>
        </w:tc>
      </w:tr>
      <w:tr w14:paraId="04DBD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36A9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5F34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286FC68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.2</w:t>
            </w:r>
          </w:p>
        </w:tc>
        <w:tc>
          <w:tcPr>
            <w:tcW w:w="4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A014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实时数据显示,和实时报告显示。</w:t>
            </w:r>
          </w:p>
        </w:tc>
      </w:tr>
      <w:tr w14:paraId="0ED46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E797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BAC0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3AA3422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.3</w:t>
            </w:r>
          </w:p>
        </w:tc>
        <w:tc>
          <w:tcPr>
            <w:tcW w:w="4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CB99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操作软件可以安装于个人计算机上，样品分析数据可以使用此软件进行离线数据处理并生成报告。</w:t>
            </w:r>
          </w:p>
        </w:tc>
      </w:tr>
      <w:tr w14:paraId="2B76B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C697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8CB4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58FC1D7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.4</w:t>
            </w:r>
          </w:p>
        </w:tc>
        <w:tc>
          <w:tcPr>
            <w:tcW w:w="4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2ED7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软件具有耗材维护和仪器性能监控功能，智能基体处理功能。</w:t>
            </w:r>
          </w:p>
        </w:tc>
      </w:tr>
      <w:tr w14:paraId="35C04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E9804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4.主要配置</w:t>
            </w: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FE51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067E5F8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4.1</w:t>
            </w:r>
          </w:p>
        </w:tc>
        <w:tc>
          <w:tcPr>
            <w:tcW w:w="4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88CB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ICP-MS主机一台</w:t>
            </w:r>
          </w:p>
        </w:tc>
      </w:tr>
      <w:tr w14:paraId="599C6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F313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1FF8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2DB6099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4.2</w:t>
            </w:r>
          </w:p>
        </w:tc>
        <w:tc>
          <w:tcPr>
            <w:tcW w:w="4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5399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同品牌200位以上自动进样器一套</w:t>
            </w:r>
          </w:p>
        </w:tc>
      </w:tr>
      <w:tr w14:paraId="23848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429E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BD69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1EE7912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4.3</w:t>
            </w:r>
          </w:p>
        </w:tc>
        <w:tc>
          <w:tcPr>
            <w:tcW w:w="4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0EE9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冷却水系统一套</w:t>
            </w:r>
          </w:p>
        </w:tc>
      </w:tr>
      <w:tr w14:paraId="705C7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1017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A475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0A27B34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4.4</w:t>
            </w:r>
          </w:p>
        </w:tc>
        <w:tc>
          <w:tcPr>
            <w:tcW w:w="4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6162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15KVA稳压电源一套</w:t>
            </w:r>
          </w:p>
        </w:tc>
      </w:tr>
      <w:tr w14:paraId="77C0B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B5C7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470B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nil"/>
            </w:tcBorders>
            <w:shd w:val="clear" w:color="auto" w:fill="auto"/>
            <w:noWrap/>
            <w:vAlign w:val="center"/>
          </w:tcPr>
          <w:p w14:paraId="4229F14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4.5</w:t>
            </w:r>
          </w:p>
        </w:tc>
        <w:tc>
          <w:tcPr>
            <w:tcW w:w="4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F8A7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台式电脑一套（配置要求：≥Intel i7，≥32GB RAM，≥512GB SATA SSD，Windows 64Bit Professional）</w:t>
            </w:r>
          </w:p>
        </w:tc>
      </w:tr>
      <w:tr w14:paraId="3EFC7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8F21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D582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6AAD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4.6</w:t>
            </w:r>
          </w:p>
        </w:tc>
        <w:tc>
          <w:tcPr>
            <w:tcW w:w="4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7456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黑白激光A4打印机一套</w:t>
            </w:r>
          </w:p>
        </w:tc>
      </w:tr>
      <w:tr w14:paraId="7F776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C9DB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A777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C0FE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4.7</w:t>
            </w:r>
          </w:p>
        </w:tc>
        <w:tc>
          <w:tcPr>
            <w:tcW w:w="4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BFCC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耗材：在线内标加入三通一个、Ni材质采样锥一个、Ni材质截取锥一个、高稳健截取锥嵌片一个、PFA同心雾化器一套、石英矩管和中心管一套</w:t>
            </w:r>
          </w:p>
        </w:tc>
      </w:tr>
      <w:tr w14:paraId="66BA0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5EF06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7CC3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7EE7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4.8</w:t>
            </w:r>
          </w:p>
        </w:tc>
        <w:tc>
          <w:tcPr>
            <w:tcW w:w="4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BC7C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高纯氦气1瓶，高纯氩气4瓶</w:t>
            </w:r>
          </w:p>
        </w:tc>
      </w:tr>
      <w:tr w14:paraId="00151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2A78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A2C2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7416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4.9</w:t>
            </w:r>
          </w:p>
        </w:tc>
        <w:tc>
          <w:tcPr>
            <w:tcW w:w="4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5470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仪器多元素标准溶液、内标液、安装调谐液校正液各一套。</w:t>
            </w:r>
          </w:p>
        </w:tc>
      </w:tr>
    </w:tbl>
    <w:p w14:paraId="1D2EDD5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0F49476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tbl>
      <w:tblPr>
        <w:tblStyle w:val="38"/>
        <w:tblW w:w="888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33"/>
        <w:gridCol w:w="1260"/>
        <w:gridCol w:w="924"/>
        <w:gridCol w:w="5663"/>
      </w:tblGrid>
      <w:tr w14:paraId="1F21B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8" w:hRule="atLeast"/>
        </w:trPr>
        <w:tc>
          <w:tcPr>
            <w:tcW w:w="8880" w:type="dxa"/>
            <w:gridSpan w:val="4"/>
            <w:tcBorders>
              <w:top w:val="nil"/>
              <w:left w:val="nil"/>
              <w:bottom w:val="nil"/>
              <w:right w:val="nil"/>
            </w:tcBorders>
            <w:shd w:val="clear" w:color="auto" w:fill="auto"/>
            <w:vAlign w:val="center"/>
          </w:tcPr>
          <w:p w14:paraId="34915C2A">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仪器设备技术参数（十二）</w:t>
            </w:r>
          </w:p>
        </w:tc>
      </w:tr>
      <w:tr w14:paraId="1D3E6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880" w:type="dxa"/>
            <w:gridSpan w:val="4"/>
            <w:tcBorders>
              <w:top w:val="nil"/>
              <w:left w:val="nil"/>
              <w:bottom w:val="nil"/>
              <w:right w:val="nil"/>
            </w:tcBorders>
            <w:shd w:val="clear" w:color="auto" w:fill="auto"/>
            <w:noWrap/>
            <w:vAlign w:val="center"/>
          </w:tcPr>
          <w:p w14:paraId="77B23BD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品目名称：Quechers 前处理设备</w:t>
            </w:r>
          </w:p>
        </w:tc>
      </w:tr>
      <w:tr w14:paraId="2F620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8880" w:type="dxa"/>
            <w:gridSpan w:val="4"/>
            <w:tcBorders>
              <w:top w:val="nil"/>
              <w:left w:val="nil"/>
              <w:bottom w:val="nil"/>
              <w:right w:val="nil"/>
            </w:tcBorders>
            <w:shd w:val="clear" w:color="auto" w:fill="auto"/>
            <w:noWrap/>
            <w:vAlign w:val="center"/>
          </w:tcPr>
          <w:p w14:paraId="171D673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子品目名称：Quechers 前处理设备</w:t>
            </w:r>
          </w:p>
        </w:tc>
      </w:tr>
      <w:tr w14:paraId="68C2B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8" w:hRule="atLeast"/>
        </w:trPr>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F8D7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序号</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3A02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指标类型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"★"或"▲"</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E1F2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条款号</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9A23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技术指标内容</w:t>
            </w:r>
          </w:p>
        </w:tc>
      </w:tr>
      <w:tr w14:paraId="46B87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10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7C3A8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3.主要技术参数</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D0C9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054B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C5A2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工作条件：工作电压：220V±10%，50Hz；温度：4℃-40℃；湿度：&lt;90%相对湿度。</w:t>
            </w:r>
          </w:p>
        </w:tc>
      </w:tr>
      <w:tr w14:paraId="0DA39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F707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43A2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DF55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4F4F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系统功能要求：</w:t>
            </w:r>
          </w:p>
        </w:tc>
      </w:tr>
      <w:tr w14:paraId="70475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3"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2E5B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C71D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6EBD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3.2.1</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29A5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自动化程度：仅需放入样品和耗材，在占地面积≤1.5㎡的主机上能自动完成QuECHERS法的加盐、加液、振荡、离心流程，整个过程无需人工介入。</w:t>
            </w:r>
          </w:p>
        </w:tc>
      </w:tr>
      <w:tr w14:paraId="1173E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B0F8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D2BD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82C3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3.2.2</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1E38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最大连续处理样品量：≥60个样品，无需人为介入，仪器能自动对样品进行上条参数中所有QuECHERs步骤的样品前处理。</w:t>
            </w:r>
          </w:p>
        </w:tc>
      </w:tr>
      <w:tr w14:paraId="70D39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E75C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897D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0981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3.3</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DB0B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样品管理模块</w:t>
            </w:r>
          </w:p>
        </w:tc>
      </w:tr>
      <w:tr w14:paraId="5AFDD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E57B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C5E4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C8F7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3.3.1</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B23D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仪器可以自动移取处理过程中所需的50mL样品管和15mL净化管，完成不同实验步骤；通过三轴机械臂，配合夹爪，可以抓取样品管、净化管、收集管并转移到指定的位置；</w:t>
            </w:r>
          </w:p>
        </w:tc>
      </w:tr>
      <w:tr w14:paraId="68696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64DB5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6874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0547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3.3.2</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3E1E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样品管运输定位精度：准确度&lt;1mm。</w:t>
            </w:r>
          </w:p>
        </w:tc>
      </w:tr>
      <w:tr w14:paraId="4EF6C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3"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CAB6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2AAC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7518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3.4</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AC6B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自动开关盖模块：≥2位夹取爪，可同时进行2个样品管的开关盖，包括2个50ml离心管或2个15ml离心管（净化盐管）或1个50ml离心管1个15ml离心管；</w:t>
            </w:r>
          </w:p>
        </w:tc>
      </w:tr>
      <w:tr w14:paraId="1C59A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B0945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5938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F796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3.5</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E250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全自动溶剂添加模块</w:t>
            </w:r>
          </w:p>
        </w:tc>
      </w:tr>
      <w:tr w14:paraId="17C4D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682E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458B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827F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3.5.1</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E4BD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按照用户设定的添加量，自动添加提取溶剂；溶剂添加数量≥6种；添加量：≥1mL；溶剂体积分度值：0.1mL；</w:t>
            </w:r>
          </w:p>
        </w:tc>
      </w:tr>
      <w:tr w14:paraId="23FDD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D073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6EF0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7842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3.5.2</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2B92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25ml高精度注射泵；</w:t>
            </w:r>
          </w:p>
        </w:tc>
      </w:tr>
      <w:tr w14:paraId="55F29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7C94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C5FC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0748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3.5.3</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3455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管路配备管液传感器，用于监测管路是否有液体。</w:t>
            </w:r>
          </w:p>
        </w:tc>
      </w:tr>
      <w:tr w14:paraId="25D7E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534C3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5974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0E75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3.6</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EA07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液体转移模块</w:t>
            </w:r>
          </w:p>
        </w:tc>
      </w:tr>
      <w:tr w14:paraId="323CB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9830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7F21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6383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3.6.1</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04A4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液面区分：电导/气压液面检测；具有液面分析功能。自动识别液体液面，从液面逐层取液；移液准确度：≤±2%；</w:t>
            </w:r>
          </w:p>
        </w:tc>
      </w:tr>
      <w:tr w14:paraId="75670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4"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BAF9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2299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A401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3.6.2</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AE7E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自动取液跟随：取液过程中，枪头跟随液面下降速度运动，使枪头插入深度保持唯一，减少液体挂壁；</w:t>
            </w:r>
          </w:p>
        </w:tc>
      </w:tr>
      <w:tr w14:paraId="59A94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0CCF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E897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B881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3.6.3</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D53C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使用一次性枪头，杜绝交叉污染，免清洗、高效率；自动判定枪头取卸状态；</w:t>
            </w:r>
          </w:p>
        </w:tc>
      </w:tr>
      <w:tr w14:paraId="1F11F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B862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1D2C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B07E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3.7</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A016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全自动加盐模块</w:t>
            </w:r>
          </w:p>
        </w:tc>
      </w:tr>
      <w:tr w14:paraId="005D8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2"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617E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CC2C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342E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3.7.1</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822F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自动添加标准方法所规定的商品化混合盐；一体式加盐筒，无需特定加盐耗材；</w:t>
            </w:r>
          </w:p>
        </w:tc>
      </w:tr>
      <w:tr w14:paraId="15FC1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8"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0DEE3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E195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03AF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3.7.2</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1D41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加盐量：2g-15g可调；加盐模块容量：≥500g；配备提取盐搅拌功能。</w:t>
            </w:r>
          </w:p>
        </w:tc>
      </w:tr>
      <w:tr w14:paraId="30E05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F521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426F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FC48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3.8</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A22F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涡旋振荡模块</w:t>
            </w:r>
          </w:p>
        </w:tc>
      </w:tr>
      <w:tr w14:paraId="6306A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8"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75431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3949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C783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3.8.1</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F96C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旋振荡频率：≥3500次/分钟；振荡时间：≥30min；</w:t>
            </w:r>
          </w:p>
        </w:tc>
      </w:tr>
      <w:tr w14:paraId="07B9A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1780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F463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D6FB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3.8.2</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C8C4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涡旋震荡位数：≥4位，支持双模块，同时兼容≥4个50mL或≥4个15mL样品管的涡旋震荡；</w:t>
            </w:r>
          </w:p>
        </w:tc>
      </w:tr>
      <w:tr w14:paraId="486A1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8450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18D1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8300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3.9</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0CAC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垂直振荡模块：</w:t>
            </w:r>
          </w:p>
        </w:tc>
      </w:tr>
      <w:tr w14:paraId="6218F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69A4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AB22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33B9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3.9.1</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CAB7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振荡频率：≥950次/分钟；振荡振幅：≥30mm；</w:t>
            </w:r>
          </w:p>
        </w:tc>
      </w:tr>
      <w:tr w14:paraId="35033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DE979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E36B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F8D4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3.9.2</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EC50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垂直震荡位数：≥8位，支持双模块，同时兼容≥8个50mL或≥8个15mL样品管的垂直震荡；</w:t>
            </w:r>
          </w:p>
        </w:tc>
      </w:tr>
      <w:tr w14:paraId="6A51E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E396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1A86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6EB2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3.10</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3A75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样品离心模块</w:t>
            </w:r>
          </w:p>
        </w:tc>
      </w:tr>
      <w:tr w14:paraId="284D1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5ABF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C8D1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C80B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3.10.1</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5ECD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最大离心速度：≥5500rpm；最大离心力≥5500RCF；</w:t>
            </w:r>
          </w:p>
        </w:tc>
      </w:tr>
      <w:tr w14:paraId="3E238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8"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20F4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3902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3586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3.10.2</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0532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离心位数：≥8位，最大可同时离心≥4位50mL离心管与≥4位15mL离心管；</w:t>
            </w:r>
          </w:p>
        </w:tc>
      </w:tr>
      <w:tr w14:paraId="58D57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8838E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6693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2B5E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3.10.3</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F567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具有制冷功能，可进行4℃~室温的离心温度设置。</w:t>
            </w:r>
          </w:p>
        </w:tc>
      </w:tr>
      <w:tr w14:paraId="24351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03D8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4E14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D7B7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3.10.4</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3D86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均质子加入模块</w:t>
            </w:r>
          </w:p>
        </w:tc>
      </w:tr>
      <w:tr w14:paraId="18BC9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719DD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C953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A84C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3.10.5</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A9F6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 均质子加入数量可控：0-99个；</w:t>
            </w:r>
          </w:p>
        </w:tc>
      </w:tr>
      <w:tr w14:paraId="18EAE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62BC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789B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0C11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3.10.6</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7CD2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均质子容量：≥800颗，直径：≥8.0mm；</w:t>
            </w:r>
          </w:p>
        </w:tc>
      </w:tr>
      <w:tr w14:paraId="73286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7CF3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B147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C801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3.11</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E3BA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系统控制平台</w:t>
            </w:r>
          </w:p>
        </w:tc>
      </w:tr>
      <w:tr w14:paraId="14F45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035D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2C87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9E75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3.11.1</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6A66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系统控制：自带嵌入式触摸屏彩色电脑，也可使用键盘输入；</w:t>
            </w:r>
          </w:p>
        </w:tc>
      </w:tr>
      <w:tr w14:paraId="64AC3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C909B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B6C1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4E3A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3.11.2</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24DB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软件功能：直观的方法编辑模块，同时可以对各个步骤的参数进行编辑，且单个步骤可自由选取、自由组合流程；</w:t>
            </w:r>
          </w:p>
        </w:tc>
      </w:tr>
      <w:tr w14:paraId="28BFB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0DAD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6737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4EAB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3.11.3</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8A88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多方法运行：一次序列运行中可执行≥5种不同流程的并行方法。</w:t>
            </w:r>
          </w:p>
        </w:tc>
      </w:tr>
      <w:tr w14:paraId="6A1BE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4" w:hRule="atLeast"/>
        </w:trPr>
        <w:tc>
          <w:tcPr>
            <w:tcW w:w="10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B8CCD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4.主要配置</w:t>
            </w:r>
          </w:p>
        </w:tc>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4E36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D6AA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4.1</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7821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主机 1台</w:t>
            </w:r>
          </w:p>
        </w:tc>
      </w:tr>
      <w:tr w14:paraId="45316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8"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FB9E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EB7A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520E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4.2</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FA8D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均质子添加模块；</w:t>
            </w:r>
          </w:p>
        </w:tc>
      </w:tr>
      <w:tr w14:paraId="3326E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E5EB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4D2E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CE84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4.3</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4268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仪器启动包：1个</w:t>
            </w:r>
          </w:p>
        </w:tc>
      </w:tr>
      <w:tr w14:paraId="50A45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8" w:hRule="atLeast"/>
        </w:trPr>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6C35B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9BC0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F4DD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4.4</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36C0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软件 1套</w:t>
            </w:r>
          </w:p>
        </w:tc>
      </w:tr>
    </w:tbl>
    <w:p w14:paraId="7CA2325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F12BDE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7213479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0B72F1D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48A40F9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440479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408AD45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6145AA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752C6F4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35B6758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tbl>
      <w:tblPr>
        <w:tblStyle w:val="38"/>
        <w:tblW w:w="94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49"/>
        <w:gridCol w:w="1260"/>
        <w:gridCol w:w="876"/>
        <w:gridCol w:w="6075"/>
      </w:tblGrid>
      <w:tr w14:paraId="37618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9460" w:type="dxa"/>
            <w:gridSpan w:val="4"/>
            <w:tcBorders>
              <w:top w:val="nil"/>
              <w:left w:val="nil"/>
              <w:bottom w:val="nil"/>
              <w:right w:val="nil"/>
            </w:tcBorders>
            <w:shd w:val="clear" w:color="auto" w:fill="auto"/>
            <w:vAlign w:val="center"/>
          </w:tcPr>
          <w:p w14:paraId="6B07A341">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仪器设备技术参数（十三）</w:t>
            </w:r>
          </w:p>
        </w:tc>
      </w:tr>
      <w:tr w14:paraId="65949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8" w:hRule="atLeast"/>
        </w:trPr>
        <w:tc>
          <w:tcPr>
            <w:tcW w:w="9460" w:type="dxa"/>
            <w:gridSpan w:val="4"/>
            <w:tcBorders>
              <w:top w:val="nil"/>
              <w:left w:val="nil"/>
              <w:bottom w:val="nil"/>
              <w:right w:val="nil"/>
            </w:tcBorders>
            <w:shd w:val="clear" w:color="auto" w:fill="auto"/>
            <w:noWrap/>
            <w:vAlign w:val="center"/>
          </w:tcPr>
          <w:p w14:paraId="38AFF0B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w:t>
            </w:r>
            <w:r>
              <w:rPr>
                <w:rFonts w:hint="eastAsia" w:ascii="宋体" w:hAnsi="宋体" w:eastAsia="宋体" w:cs="宋体"/>
                <w:i w:val="0"/>
                <w:iCs w:val="0"/>
                <w:color w:val="auto"/>
                <w:kern w:val="0"/>
                <w:sz w:val="20"/>
                <w:szCs w:val="20"/>
                <w:highlight w:val="none"/>
                <w:u w:val="none"/>
                <w:lang w:val="en-US" w:eastAsia="zh-CN" w:bidi="ar"/>
              </w:rPr>
              <w:t>超声波清洗器</w:t>
            </w:r>
          </w:p>
        </w:tc>
      </w:tr>
      <w:tr w14:paraId="30E09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9460" w:type="dxa"/>
            <w:gridSpan w:val="4"/>
            <w:tcBorders>
              <w:top w:val="nil"/>
              <w:left w:val="nil"/>
              <w:bottom w:val="nil"/>
              <w:right w:val="nil"/>
            </w:tcBorders>
            <w:shd w:val="clear" w:color="auto" w:fill="auto"/>
            <w:noWrap/>
            <w:vAlign w:val="center"/>
          </w:tcPr>
          <w:p w14:paraId="2F3CA22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w:t>
            </w:r>
            <w:r>
              <w:rPr>
                <w:rFonts w:hint="eastAsia" w:ascii="宋体" w:hAnsi="宋体" w:eastAsia="宋体" w:cs="宋体"/>
                <w:i w:val="0"/>
                <w:iCs w:val="0"/>
                <w:color w:val="auto"/>
                <w:kern w:val="0"/>
                <w:sz w:val="20"/>
                <w:szCs w:val="20"/>
                <w:highlight w:val="none"/>
                <w:u w:val="none"/>
                <w:lang w:val="en-US" w:eastAsia="zh-CN" w:bidi="ar"/>
              </w:rPr>
              <w:t>超声波清洗器</w:t>
            </w:r>
          </w:p>
        </w:tc>
      </w:tr>
      <w:tr w14:paraId="73481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12D4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777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w:t>
            </w:r>
            <w:r>
              <w:rPr>
                <w:rFonts w:hint="default" w:ascii="宋体" w:hAnsi="宋体" w:eastAsia="宋体" w:cs="宋体"/>
                <w:i w:val="0"/>
                <w:iCs w:val="0"/>
                <w:color w:val="auto"/>
                <w:kern w:val="0"/>
                <w:sz w:val="20"/>
                <w:szCs w:val="20"/>
                <w:highlight w:val="none"/>
                <w:u w:val="none"/>
                <w:lang w:val="en-US" w:eastAsia="zh-CN" w:bidi="ar"/>
              </w:rPr>
              <w:t>"或"</w:t>
            </w:r>
            <w:r>
              <w:rPr>
                <w:rFonts w:hint="eastAsia" w:ascii="宋体" w:hAnsi="宋体" w:eastAsia="宋体" w:cs="宋体"/>
                <w:i w:val="0"/>
                <w:iCs w:val="0"/>
                <w:color w:val="auto"/>
                <w:kern w:val="0"/>
                <w:sz w:val="20"/>
                <w:szCs w:val="20"/>
                <w:highlight w:val="none"/>
                <w:u w:val="none"/>
                <w:lang w:val="en-US" w:eastAsia="zh-CN" w:bidi="ar"/>
              </w:rPr>
              <w:t>▲</w:t>
            </w:r>
            <w:r>
              <w:rPr>
                <w:rFonts w:hint="default" w:ascii="宋体" w:hAnsi="宋体" w:eastAsia="宋体" w:cs="宋体"/>
                <w:i w:val="0"/>
                <w:iCs w:val="0"/>
                <w:color w:val="auto"/>
                <w:kern w:val="0"/>
                <w:sz w:val="20"/>
                <w:szCs w:val="20"/>
                <w:highlight w:val="none"/>
                <w:u w:val="none"/>
                <w:lang w:val="en-US" w:eastAsia="zh-CN" w:bidi="ar"/>
              </w:rPr>
              <w:t>"</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09A7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5441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技术指标内容</w:t>
            </w:r>
          </w:p>
        </w:tc>
      </w:tr>
      <w:tr w14:paraId="63D3D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249" w:type="dxa"/>
            <w:vMerge w:val="restart"/>
            <w:tcBorders>
              <w:top w:val="single" w:color="000000" w:sz="4" w:space="0"/>
              <w:left w:val="single" w:color="000000" w:sz="4" w:space="0"/>
              <w:bottom w:val="nil"/>
              <w:right w:val="single" w:color="000000" w:sz="4" w:space="0"/>
            </w:tcBorders>
            <w:shd w:val="clear" w:color="auto" w:fill="auto"/>
            <w:vAlign w:val="center"/>
          </w:tcPr>
          <w:p w14:paraId="2A63B5D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3.主要技术参数</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30CE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5643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w:t>
            </w:r>
          </w:p>
        </w:tc>
        <w:tc>
          <w:tcPr>
            <w:tcW w:w="60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218B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内槽长宽高：≥300*155*150（mm）L/W/H</w:t>
            </w:r>
          </w:p>
        </w:tc>
      </w:tr>
      <w:tr w14:paraId="6D781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1249" w:type="dxa"/>
            <w:vMerge w:val="continue"/>
            <w:tcBorders>
              <w:top w:val="single" w:color="000000" w:sz="4" w:space="0"/>
              <w:left w:val="single" w:color="000000" w:sz="4" w:space="0"/>
              <w:bottom w:val="nil"/>
              <w:right w:val="single" w:color="000000" w:sz="4" w:space="0"/>
            </w:tcBorders>
            <w:shd w:val="clear" w:color="auto" w:fill="auto"/>
            <w:vAlign w:val="center"/>
          </w:tcPr>
          <w:p w14:paraId="2C36878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7D54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F33D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w:t>
            </w:r>
          </w:p>
        </w:tc>
        <w:tc>
          <w:tcPr>
            <w:tcW w:w="60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799A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容量：≥6L</w:t>
            </w:r>
          </w:p>
        </w:tc>
      </w:tr>
      <w:tr w14:paraId="554BC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1249" w:type="dxa"/>
            <w:vMerge w:val="continue"/>
            <w:tcBorders>
              <w:top w:val="single" w:color="000000" w:sz="4" w:space="0"/>
              <w:left w:val="single" w:color="000000" w:sz="4" w:space="0"/>
              <w:bottom w:val="nil"/>
              <w:right w:val="single" w:color="000000" w:sz="4" w:space="0"/>
            </w:tcBorders>
            <w:shd w:val="clear" w:color="auto" w:fill="auto"/>
            <w:vAlign w:val="center"/>
          </w:tcPr>
          <w:p w14:paraId="7F7FAF8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AF1F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AC1D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w:t>
            </w:r>
          </w:p>
        </w:tc>
        <w:tc>
          <w:tcPr>
            <w:tcW w:w="60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6E38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频率: 40KHz</w:t>
            </w:r>
          </w:p>
        </w:tc>
      </w:tr>
      <w:tr w14:paraId="342FD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1249" w:type="dxa"/>
            <w:vMerge w:val="continue"/>
            <w:tcBorders>
              <w:top w:val="single" w:color="000000" w:sz="4" w:space="0"/>
              <w:left w:val="single" w:color="000000" w:sz="4" w:space="0"/>
              <w:bottom w:val="nil"/>
              <w:right w:val="single" w:color="000000" w:sz="4" w:space="0"/>
            </w:tcBorders>
            <w:shd w:val="clear" w:color="auto" w:fill="auto"/>
            <w:vAlign w:val="center"/>
          </w:tcPr>
          <w:p w14:paraId="5AC355C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nil"/>
              <w:left w:val="nil"/>
              <w:bottom w:val="nil"/>
              <w:right w:val="nil"/>
            </w:tcBorders>
            <w:shd w:val="clear" w:color="auto" w:fill="auto"/>
            <w:noWrap/>
            <w:vAlign w:val="center"/>
          </w:tcPr>
          <w:p w14:paraId="1ACD1E9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956E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3.4</w:t>
            </w:r>
          </w:p>
        </w:tc>
        <w:tc>
          <w:tcPr>
            <w:tcW w:w="60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CA0A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超声功率: ≥180W</w:t>
            </w:r>
          </w:p>
        </w:tc>
      </w:tr>
      <w:tr w14:paraId="3AB53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1249" w:type="dxa"/>
            <w:vMerge w:val="continue"/>
            <w:tcBorders>
              <w:top w:val="single" w:color="000000" w:sz="4" w:space="0"/>
              <w:left w:val="single" w:color="000000" w:sz="4" w:space="0"/>
              <w:bottom w:val="nil"/>
              <w:right w:val="single" w:color="000000" w:sz="4" w:space="0"/>
            </w:tcBorders>
            <w:shd w:val="clear" w:color="auto" w:fill="auto"/>
            <w:vAlign w:val="center"/>
          </w:tcPr>
          <w:p w14:paraId="0B24AFA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7554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B2F4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3.5</w:t>
            </w:r>
          </w:p>
        </w:tc>
        <w:tc>
          <w:tcPr>
            <w:tcW w:w="60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D9C6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加热功率: ≥400W</w:t>
            </w:r>
          </w:p>
        </w:tc>
      </w:tr>
      <w:tr w14:paraId="4D812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1249" w:type="dxa"/>
            <w:vMerge w:val="continue"/>
            <w:tcBorders>
              <w:top w:val="single" w:color="000000" w:sz="4" w:space="0"/>
              <w:left w:val="single" w:color="000000" w:sz="4" w:space="0"/>
              <w:bottom w:val="nil"/>
              <w:right w:val="single" w:color="000000" w:sz="4" w:space="0"/>
            </w:tcBorders>
            <w:shd w:val="clear" w:color="auto" w:fill="auto"/>
            <w:vAlign w:val="center"/>
          </w:tcPr>
          <w:p w14:paraId="01013E8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C680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6CFB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3.6</w:t>
            </w:r>
          </w:p>
        </w:tc>
        <w:tc>
          <w:tcPr>
            <w:tcW w:w="60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CFA4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温度可调: 室温-80</w:t>
            </w:r>
            <w:r>
              <w:rPr>
                <w:rFonts w:hint="eastAsia" w:ascii="宋体" w:hAnsi="宋体" w:eastAsia="宋体" w:cs="宋体"/>
                <w:i w:val="0"/>
                <w:iCs w:val="0"/>
                <w:color w:val="auto"/>
                <w:kern w:val="0"/>
                <w:sz w:val="20"/>
                <w:szCs w:val="20"/>
                <w:highlight w:val="none"/>
                <w:u w:val="none"/>
                <w:lang w:val="en-US" w:eastAsia="zh-CN" w:bidi="ar"/>
              </w:rPr>
              <w:t>℃</w:t>
            </w:r>
          </w:p>
        </w:tc>
      </w:tr>
      <w:tr w14:paraId="27D5D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1249" w:type="dxa"/>
            <w:vMerge w:val="continue"/>
            <w:tcBorders>
              <w:top w:val="single" w:color="000000" w:sz="4" w:space="0"/>
              <w:left w:val="single" w:color="000000" w:sz="4" w:space="0"/>
              <w:bottom w:val="nil"/>
              <w:right w:val="single" w:color="000000" w:sz="4" w:space="0"/>
            </w:tcBorders>
            <w:shd w:val="clear" w:color="auto" w:fill="auto"/>
            <w:vAlign w:val="center"/>
          </w:tcPr>
          <w:p w14:paraId="5F3E6F6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FBB6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2DB7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3.7</w:t>
            </w:r>
          </w:p>
        </w:tc>
        <w:tc>
          <w:tcPr>
            <w:tcW w:w="60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D5F9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时间可调: 1-999min</w:t>
            </w:r>
          </w:p>
        </w:tc>
      </w:tr>
      <w:tr w14:paraId="300D9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trPr>
        <w:tc>
          <w:tcPr>
            <w:tcW w:w="1249" w:type="dxa"/>
            <w:vMerge w:val="continue"/>
            <w:tcBorders>
              <w:top w:val="single" w:color="000000" w:sz="4" w:space="0"/>
              <w:left w:val="single" w:color="000000" w:sz="4" w:space="0"/>
              <w:bottom w:val="nil"/>
              <w:right w:val="single" w:color="000000" w:sz="4" w:space="0"/>
            </w:tcBorders>
            <w:shd w:val="clear" w:color="auto" w:fill="auto"/>
            <w:vAlign w:val="center"/>
          </w:tcPr>
          <w:p w14:paraId="2F76F26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3859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EB9F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3.8</w:t>
            </w:r>
          </w:p>
        </w:tc>
        <w:tc>
          <w:tcPr>
            <w:tcW w:w="60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AC57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排水: 无</w:t>
            </w:r>
          </w:p>
        </w:tc>
      </w:tr>
      <w:tr w14:paraId="0C471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1249" w:type="dxa"/>
            <w:vMerge w:val="continue"/>
            <w:tcBorders>
              <w:top w:val="single" w:color="000000" w:sz="4" w:space="0"/>
              <w:left w:val="single" w:color="000000" w:sz="4" w:space="0"/>
              <w:bottom w:val="nil"/>
              <w:right w:val="single" w:color="000000" w:sz="4" w:space="0"/>
            </w:tcBorders>
            <w:shd w:val="clear" w:color="auto" w:fill="auto"/>
            <w:vAlign w:val="center"/>
          </w:tcPr>
          <w:p w14:paraId="5BA0CD0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A66C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CE5E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3.9</w:t>
            </w:r>
          </w:p>
        </w:tc>
        <w:tc>
          <w:tcPr>
            <w:tcW w:w="60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7C0D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降音盖: 有</w:t>
            </w:r>
          </w:p>
        </w:tc>
      </w:tr>
      <w:tr w14:paraId="61138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2" w:hRule="atLeast"/>
        </w:trPr>
        <w:tc>
          <w:tcPr>
            <w:tcW w:w="1249" w:type="dxa"/>
            <w:vMerge w:val="continue"/>
            <w:tcBorders>
              <w:top w:val="single" w:color="000000" w:sz="4" w:space="0"/>
              <w:left w:val="single" w:color="000000" w:sz="4" w:space="0"/>
              <w:bottom w:val="nil"/>
              <w:right w:val="single" w:color="000000" w:sz="4" w:space="0"/>
            </w:tcBorders>
            <w:shd w:val="clear" w:color="auto" w:fill="auto"/>
            <w:vAlign w:val="center"/>
          </w:tcPr>
          <w:p w14:paraId="31877C1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FD0C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272B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3.10</w:t>
            </w:r>
          </w:p>
        </w:tc>
        <w:tc>
          <w:tcPr>
            <w:tcW w:w="60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2B39D">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网架: 有</w:t>
            </w:r>
          </w:p>
        </w:tc>
      </w:tr>
      <w:tr w14:paraId="53A93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3"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7A66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4.主要配置</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1FD8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F9EB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w:t>
            </w:r>
          </w:p>
        </w:tc>
        <w:tc>
          <w:tcPr>
            <w:tcW w:w="60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3BC7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超声波清洗机1台</w:t>
            </w:r>
          </w:p>
        </w:tc>
      </w:tr>
    </w:tbl>
    <w:p w14:paraId="33A6B99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2FF4424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3AAF34D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7B4654C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08B89A8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42CC8DC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60279F2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21ECA69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44A316D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575ECE1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72067CD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402564A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4C1F6AE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33A4D75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6EDAAEA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56B37E5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5C92345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3A9E533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350FC05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5D6605E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01644DC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4335053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665F39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tbl>
      <w:tblPr>
        <w:tblStyle w:val="38"/>
        <w:tblW w:w="89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89"/>
        <w:gridCol w:w="1235"/>
        <w:gridCol w:w="1010"/>
        <w:gridCol w:w="4926"/>
      </w:tblGrid>
      <w:tr w14:paraId="6D537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8960" w:type="dxa"/>
            <w:gridSpan w:val="4"/>
            <w:tcBorders>
              <w:top w:val="nil"/>
              <w:left w:val="nil"/>
              <w:bottom w:val="nil"/>
              <w:right w:val="nil"/>
            </w:tcBorders>
            <w:shd w:val="clear" w:color="auto" w:fill="auto"/>
            <w:vAlign w:val="center"/>
          </w:tcPr>
          <w:p w14:paraId="4F1F2FB4">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仪器设备技术参数（十四）</w:t>
            </w:r>
          </w:p>
        </w:tc>
      </w:tr>
      <w:tr w14:paraId="11DB2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4"/>
            <w:tcBorders>
              <w:top w:val="nil"/>
              <w:left w:val="nil"/>
              <w:bottom w:val="nil"/>
              <w:right w:val="nil"/>
            </w:tcBorders>
            <w:shd w:val="clear" w:color="auto" w:fill="auto"/>
            <w:noWrap/>
            <w:vAlign w:val="center"/>
          </w:tcPr>
          <w:p w14:paraId="45EDB6E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设备名称：直接进样测汞仪</w:t>
            </w:r>
          </w:p>
        </w:tc>
      </w:tr>
      <w:tr w14:paraId="3F675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4"/>
            <w:tcBorders>
              <w:top w:val="nil"/>
              <w:left w:val="nil"/>
              <w:bottom w:val="nil"/>
              <w:right w:val="nil"/>
            </w:tcBorders>
            <w:shd w:val="clear" w:color="auto" w:fill="auto"/>
            <w:noWrap/>
            <w:vAlign w:val="center"/>
          </w:tcPr>
          <w:p w14:paraId="7C3684B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子品目名称：直接进样测汞仪</w:t>
            </w:r>
          </w:p>
        </w:tc>
      </w:tr>
      <w:tr w14:paraId="17A59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738D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序号</w:t>
            </w: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5DF4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指标类型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"★"或"▲"</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4EE8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条款号</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6A50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技术指标内容</w:t>
            </w:r>
          </w:p>
        </w:tc>
      </w:tr>
      <w:tr w14:paraId="3D5A6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17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FBA19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3.主要技术参数</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11A50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4798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0343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仪器测量原理：电热蒸发、冷原子吸收原理；</w:t>
            </w:r>
          </w:p>
        </w:tc>
      </w:tr>
      <w:tr w14:paraId="58781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4758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01E00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F55E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6751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仪器不用进样模块切换，可直接自动测定固体、液体或气体样品</w:t>
            </w:r>
          </w:p>
        </w:tc>
      </w:tr>
      <w:tr w14:paraId="44760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4"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5B37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D92B2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759C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3.3</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8523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自动进样器不少于60位</w:t>
            </w:r>
          </w:p>
        </w:tc>
      </w:tr>
      <w:tr w14:paraId="45915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5DAD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6F274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6879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3.4</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F334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无需任何样品前处理、无需使用任何助燃剂、缓冲溶液、直接自动测定固体或液体样品；</w:t>
            </w:r>
          </w:p>
        </w:tc>
      </w:tr>
      <w:tr w14:paraId="39E21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CCF2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E522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1724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3.5</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B8AF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双通道检测：利用顺序进样、同时裂解以及顺序检测流程技术，双通道检测。</w:t>
            </w:r>
          </w:p>
        </w:tc>
      </w:tr>
      <w:tr w14:paraId="4FD37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D9ED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9A9C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1353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3.6</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E0D1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齐化管及催化管采用分体设计。</w:t>
            </w:r>
          </w:p>
        </w:tc>
      </w:tr>
      <w:tr w14:paraId="6E74C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7470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E8DF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6048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3.7</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57D7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PID数字控温系统：裂解、催化、捕集释放、吸收全过程温度控制；计算机对关键环节均建立数学模型。</w:t>
            </w:r>
          </w:p>
        </w:tc>
      </w:tr>
      <w:tr w14:paraId="3CF9D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2E55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FF23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DCB3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3.8</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D0BE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进样器采用气体进行驱动进样。</w:t>
            </w:r>
          </w:p>
        </w:tc>
      </w:tr>
      <w:tr w14:paraId="60CCB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01CB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0C87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77C2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3.9</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4B55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120℃以上的恒温加热型双测量池设计。</w:t>
            </w:r>
          </w:p>
        </w:tc>
      </w:tr>
      <w:tr w14:paraId="48B61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7B7D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41D5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0380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w:t>
            </w:r>
            <w:r>
              <w:rPr>
                <w:rFonts w:hint="eastAsia" w:ascii="宋体" w:hAnsi="宋体" w:cs="宋体"/>
                <w:i w:val="0"/>
                <w:iCs w:val="0"/>
                <w:color w:val="auto"/>
                <w:kern w:val="0"/>
                <w:sz w:val="20"/>
                <w:szCs w:val="20"/>
                <w:highlight w:val="none"/>
                <w:u w:val="none"/>
                <w:lang w:val="en-US" w:eastAsia="zh-CN" w:bidi="ar"/>
              </w:rPr>
              <w:t>0</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0F02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通过电子天平数据接口，可实时将样品称重数据导入软件系统。</w:t>
            </w:r>
          </w:p>
        </w:tc>
      </w:tr>
      <w:tr w14:paraId="3B43E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8BDA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DD8F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997A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3.11</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6C41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仪器具有高效尾气净化装置。</w:t>
            </w:r>
          </w:p>
        </w:tc>
      </w:tr>
      <w:tr w14:paraId="29680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AB85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8637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54A0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3.12</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11C9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净化装置具有颜色指示功能。</w:t>
            </w:r>
          </w:p>
        </w:tc>
      </w:tr>
      <w:tr w14:paraId="2F0B7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EBE49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0BCD3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148B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3.13</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DE56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除水方式：采用120℃以上恒温加热除水，无除水耗材，分析结果不受耗材性能变化影响。</w:t>
            </w:r>
          </w:p>
        </w:tc>
      </w:tr>
      <w:tr w14:paraId="00D5A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5C2E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14C10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6FA3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3.14</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6BE9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非反射式双光束设计，可对光源漂移和波动进行实时校正，参比光束用于消除光源波动对测定结果的影响，高低灵敏度两个测量池的吸收信号需使用同一个检测器得出。</w:t>
            </w:r>
          </w:p>
        </w:tc>
      </w:tr>
      <w:tr w14:paraId="37E6B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C749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C5275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CE18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3.15</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4E5D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仪器具备预富集功能，对于超低含量的样品进行多次进样一次解析的自动操作，可以实现40倍以上的富集能力。</w:t>
            </w:r>
          </w:p>
        </w:tc>
      </w:tr>
      <w:tr w14:paraId="179EE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1361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4BAF4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0BB4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3.16</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0AB0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断续气路设计：采用断续气路设计，双通道裂解过程废气直接排入尾气净化系统，实现纯汞蒸气进入吸收池。</w:t>
            </w:r>
          </w:p>
        </w:tc>
      </w:tr>
      <w:tr w14:paraId="01B9F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6"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CA41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C2D56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6462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3.17</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2C13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可采用压缩空气作为载气。</w:t>
            </w:r>
          </w:p>
        </w:tc>
      </w:tr>
      <w:tr w14:paraId="36E8C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EBD5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C8CB2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E36B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3.18</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45EF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全中文操作软件，软件可实现无人值守、自动测量功能，软件自带标准的应用方法，用户也可以随意的调用、增加和删除方法，并对每种方法进行编辑。</w:t>
            </w:r>
          </w:p>
        </w:tc>
      </w:tr>
      <w:tr w14:paraId="237F7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CF9D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0FE17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065D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3.19</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8104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应用软件支持报表模板编辑功能，可输出Excel、PDF、Word、Xsl等多种格式电子文档。</w:t>
            </w:r>
          </w:p>
        </w:tc>
      </w:tr>
      <w:tr w14:paraId="280C9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2"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AFC6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CA44C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71E7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3.20</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0CAB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指标参数</w:t>
            </w:r>
          </w:p>
        </w:tc>
      </w:tr>
      <w:tr w14:paraId="6C2C0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6"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CD42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176A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E384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3.21</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55CE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重复性： RSD≤1.0%</w:t>
            </w:r>
          </w:p>
        </w:tc>
      </w:tr>
      <w:tr w14:paraId="2732E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C1D84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E520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0F29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3.22</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948E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检出限：≤0.0005ng</w:t>
            </w:r>
          </w:p>
        </w:tc>
      </w:tr>
      <w:tr w14:paraId="0B905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2"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E108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9CC4E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6A90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3.23</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FFB5C">
            <w:pPr>
              <w:keepNext w:val="0"/>
              <w:keepLines w:val="0"/>
              <w:pageBreakBefore w:val="0"/>
              <w:widowControl/>
              <w:suppressLineNumbers w:val="0"/>
              <w:kinsoku/>
              <w:wordWrap w:val="0"/>
              <w:overflowPunct/>
              <w:bidi w:val="0"/>
              <w:jc w:val="both"/>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检 测 器：UV硅光二极管</w:t>
            </w:r>
          </w:p>
        </w:tc>
      </w:tr>
      <w:tr w14:paraId="3F041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6261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AF2D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8ADE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3.24</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4AC6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波  长：253.65nm</w:t>
            </w:r>
          </w:p>
        </w:tc>
      </w:tr>
      <w:tr w14:paraId="54EA8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257E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3767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3DD6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3.25</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5662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最大进样量：液体样品：1.5mL，固体样品：1.5g</w:t>
            </w:r>
          </w:p>
        </w:tc>
      </w:tr>
      <w:tr w14:paraId="6CC33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ED1C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7BFC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BAA6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3.26</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AFA5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吸 收 池：恒温长、短吸收池</w:t>
            </w:r>
          </w:p>
        </w:tc>
      </w:tr>
      <w:tr w14:paraId="04E4D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2ADF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F08B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F70B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3.27</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F703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校准方式：标准溶液或标准物质；</w:t>
            </w:r>
          </w:p>
        </w:tc>
      </w:tr>
      <w:tr w14:paraId="034F0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9D2D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5943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FBE5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3.28</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9C5A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自动进样器：不少于60位内置无限循环式，固体/液体样品均可，带防尘罩。</w:t>
            </w:r>
          </w:p>
        </w:tc>
      </w:tr>
      <w:tr w14:paraId="5E143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F47E4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3829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AA70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3.29</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5DD5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测量方式：峰高/峰面积</w:t>
            </w:r>
          </w:p>
        </w:tc>
      </w:tr>
      <w:tr w14:paraId="7AB6A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trPr>
        <w:tc>
          <w:tcPr>
            <w:tcW w:w="17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6246E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4.主要配置</w:t>
            </w:r>
          </w:p>
        </w:tc>
        <w:tc>
          <w:tcPr>
            <w:tcW w:w="12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B64D2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D6D8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4.1</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8DCC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主机 1台</w:t>
            </w:r>
          </w:p>
        </w:tc>
      </w:tr>
      <w:tr w14:paraId="20188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E5E48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9CE66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BF88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4.2</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F180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催化管≥ 1根</w:t>
            </w:r>
          </w:p>
        </w:tc>
      </w:tr>
      <w:tr w14:paraId="21122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81B7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FA81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23B3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4.3</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DB2D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捕集管≥ 1根</w:t>
            </w:r>
          </w:p>
        </w:tc>
      </w:tr>
      <w:tr w14:paraId="5103C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9AEF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B0FA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28C0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4.4</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440B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石英舟      5个</w:t>
            </w:r>
          </w:p>
        </w:tc>
      </w:tr>
      <w:tr w14:paraId="420F8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D058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B870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54DB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4.5</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4BD0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瓷舟        20个</w:t>
            </w:r>
          </w:p>
        </w:tc>
      </w:tr>
      <w:tr w14:paraId="01997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6"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D7D8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44F7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A158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4.6</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3127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100ppm汞标液    1支</w:t>
            </w:r>
          </w:p>
        </w:tc>
      </w:tr>
      <w:tr w14:paraId="69448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B58C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080D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3245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4.7</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E925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工具箱      1套</w:t>
            </w:r>
          </w:p>
        </w:tc>
      </w:tr>
      <w:tr w14:paraId="14EA1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E3307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2649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43E8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4.8</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7037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操作软件    1套</w:t>
            </w:r>
          </w:p>
        </w:tc>
      </w:tr>
      <w:tr w14:paraId="3B72F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2CC9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11B0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185B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w:t>
            </w:r>
            <w:r>
              <w:rPr>
                <w:rFonts w:hint="eastAsia" w:ascii="宋体" w:hAnsi="宋体" w:cs="宋体"/>
                <w:i w:val="0"/>
                <w:iCs w:val="0"/>
                <w:color w:val="auto"/>
                <w:kern w:val="0"/>
                <w:sz w:val="20"/>
                <w:szCs w:val="20"/>
                <w:highlight w:val="none"/>
                <w:u w:val="none"/>
                <w:lang w:val="en-US" w:eastAsia="zh-CN" w:bidi="ar"/>
              </w:rPr>
              <w:t>9</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5641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计算机      1台</w:t>
            </w:r>
          </w:p>
        </w:tc>
      </w:tr>
      <w:tr w14:paraId="392FB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trPr>
        <w:tc>
          <w:tcPr>
            <w:tcW w:w="1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B4500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517B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F854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w:t>
            </w:r>
            <w:r>
              <w:rPr>
                <w:rFonts w:hint="eastAsia" w:ascii="宋体" w:hAnsi="宋体" w:cs="宋体"/>
                <w:i w:val="0"/>
                <w:iCs w:val="0"/>
                <w:color w:val="auto"/>
                <w:kern w:val="0"/>
                <w:sz w:val="20"/>
                <w:szCs w:val="20"/>
                <w:highlight w:val="none"/>
                <w:u w:val="none"/>
                <w:lang w:val="en-US" w:eastAsia="zh-CN" w:bidi="ar"/>
              </w:rPr>
              <w:t>10</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8299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打印机      1台</w:t>
            </w:r>
          </w:p>
        </w:tc>
      </w:tr>
    </w:tbl>
    <w:p w14:paraId="0F6E0F8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65A25F2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6C5A019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5B4AB9B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4E12E5D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67E0E95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39CC824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0060C01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C257F3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7763C11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307FE1D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488969D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7625958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955913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3B10983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2DFC172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38C19AB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74C0409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4300028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tbl>
      <w:tblPr>
        <w:tblStyle w:val="38"/>
        <w:tblW w:w="908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18"/>
        <w:gridCol w:w="1535"/>
        <w:gridCol w:w="960"/>
        <w:gridCol w:w="5167"/>
      </w:tblGrid>
      <w:tr w14:paraId="08C6A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 w:hRule="atLeast"/>
        </w:trPr>
        <w:tc>
          <w:tcPr>
            <w:tcW w:w="9080" w:type="dxa"/>
            <w:gridSpan w:val="4"/>
            <w:tcBorders>
              <w:top w:val="nil"/>
              <w:left w:val="nil"/>
              <w:bottom w:val="nil"/>
              <w:right w:val="nil"/>
            </w:tcBorders>
            <w:shd w:val="clear" w:color="auto" w:fill="auto"/>
            <w:vAlign w:val="center"/>
          </w:tcPr>
          <w:p w14:paraId="0D6AF13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i w:val="0"/>
                <w:iCs w:val="0"/>
                <w:color w:val="auto"/>
                <w:kern w:val="0"/>
                <w:sz w:val="32"/>
                <w:szCs w:val="32"/>
                <w:highlight w:val="none"/>
                <w:u w:val="none"/>
                <w:lang w:val="en-US" w:eastAsia="zh-CN" w:bidi="ar"/>
              </w:rPr>
              <w:t>仪器设备技术参数（十五）</w:t>
            </w:r>
          </w:p>
        </w:tc>
      </w:tr>
      <w:tr w14:paraId="69D26770">
        <w:tblPrEx>
          <w:shd w:val="clear" w:color="auto" w:fill="auto"/>
          <w:tblCellMar>
            <w:top w:w="0" w:type="dxa"/>
            <w:left w:w="108" w:type="dxa"/>
            <w:bottom w:w="0" w:type="dxa"/>
            <w:right w:w="108" w:type="dxa"/>
          </w:tblCellMar>
        </w:tblPrEx>
        <w:trPr>
          <w:trHeight w:val="480" w:hRule="atLeast"/>
        </w:trPr>
        <w:tc>
          <w:tcPr>
            <w:tcW w:w="9080" w:type="dxa"/>
            <w:gridSpan w:val="4"/>
            <w:tcBorders>
              <w:top w:val="nil"/>
              <w:left w:val="nil"/>
              <w:bottom w:val="nil"/>
              <w:right w:val="nil"/>
            </w:tcBorders>
            <w:shd w:val="clear" w:color="auto" w:fill="auto"/>
            <w:vAlign w:val="center"/>
          </w:tcPr>
          <w:p w14:paraId="52C3ECC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品目名称：全自动固相萃取仪</w:t>
            </w:r>
          </w:p>
        </w:tc>
      </w:tr>
      <w:tr w14:paraId="0DF29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 w:hRule="atLeast"/>
        </w:trPr>
        <w:tc>
          <w:tcPr>
            <w:tcW w:w="9080" w:type="dxa"/>
            <w:gridSpan w:val="4"/>
            <w:tcBorders>
              <w:top w:val="nil"/>
              <w:left w:val="nil"/>
              <w:bottom w:val="nil"/>
              <w:right w:val="nil"/>
            </w:tcBorders>
            <w:shd w:val="clear" w:color="auto" w:fill="auto"/>
            <w:vAlign w:val="center"/>
          </w:tcPr>
          <w:p w14:paraId="522C0C4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子品目名称：全自动固相萃取仪</w:t>
            </w:r>
          </w:p>
        </w:tc>
      </w:tr>
      <w:tr w14:paraId="2717D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1" w:hRule="atLeast"/>
        </w:trPr>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E379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序号</w:t>
            </w:r>
          </w:p>
        </w:tc>
        <w:tc>
          <w:tcPr>
            <w:tcW w:w="1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8FF8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指标类型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"★"或"▲"</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6AAF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条款号</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DC51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技术指标内容</w:t>
            </w:r>
          </w:p>
        </w:tc>
      </w:tr>
      <w:tr w14:paraId="047D5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14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8420A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3.主要技术参数</w:t>
            </w: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366F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55F2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07CF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同一主机可自动连续批量完成固相萃取的全过程（柱活化、上样、淋洗、吹干、洗脱、分步收集）。</w:t>
            </w:r>
          </w:p>
        </w:tc>
      </w:tr>
      <w:tr w14:paraId="00BAF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6FEB4">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0A40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16DB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3906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样品通道数：≥8个，可同时自动处理8个样品，并同时活化、同时上样、同时洗脱。</w:t>
            </w:r>
          </w:p>
        </w:tc>
      </w:tr>
      <w:tr w14:paraId="04E40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1" w:hRule="atLeast"/>
        </w:trPr>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479B4">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DC12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656E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3.3</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BDFA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自动固相处理样品数：≥56位 50ml离心管。</w:t>
            </w:r>
          </w:p>
        </w:tc>
      </w:tr>
      <w:tr w14:paraId="36A1E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EE204">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D8158">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C1FF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3.4</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D604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支持固相萃取柱类型：3mL、6mL、12mL、20mL，或其他规格。</w:t>
            </w:r>
          </w:p>
        </w:tc>
      </w:tr>
      <w:tr w14:paraId="1EEB3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5E80C">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683E0">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2ED2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3.5</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E8B4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SPE柱密封头快速更换设计：免工具更换3mL、6mL、12mL、20mL等规格。</w:t>
            </w:r>
          </w:p>
        </w:tc>
      </w:tr>
      <w:tr w14:paraId="05FB3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311BF3">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1B2D1">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59B7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3.6</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B249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使用免疫亲和柱可连续自动化处理，免疫亲和柱下盖帽同时自动移除数量≥8个。</w:t>
            </w:r>
          </w:p>
        </w:tc>
      </w:tr>
      <w:tr w14:paraId="56CE8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534E6E">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A922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B6C6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3.7</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AEBE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多通阀自动切换溶剂数量：≥6种。</w:t>
            </w:r>
          </w:p>
        </w:tc>
      </w:tr>
      <w:tr w14:paraId="02ED5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9373F">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ED223">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327B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3.8</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6E6C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SPE柱密封高度可设定范围：0.1cm-9.0cm，软件可设定内壁密封圈的密封高度。</w:t>
            </w:r>
          </w:p>
        </w:tc>
      </w:tr>
      <w:tr w14:paraId="754C5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trPr>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AE44E">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69008">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DC62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3.9</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26B3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样品泵数量：≥8套10mL高精度注射泵，流速范围：0~100mL/min。</w:t>
            </w:r>
          </w:p>
        </w:tc>
      </w:tr>
      <w:tr w14:paraId="57644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532C2">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036FB">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AC61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3.10</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8FEF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样品架，收集架，SPE柱架都可以独立自动移动，具备自动定位的功能，并且具备样品架、收集架和柱架自动识别功能。</w:t>
            </w:r>
          </w:p>
        </w:tc>
      </w:tr>
      <w:tr w14:paraId="6A19C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C97848">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9D8D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F8F5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3.11</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9573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大体积样品批处理能力，样品同时处理8个，可连续自动处理≥40个的1L大体积水样富集净化。</w:t>
            </w:r>
          </w:p>
        </w:tc>
      </w:tr>
      <w:tr w14:paraId="6D0C2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atLeast"/>
        </w:trPr>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6BD12">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1A9F4">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F2C7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3.12</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4CAC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SPE柱氮气干燥功能：压力设置范围0-50psi，采用电子比例阀控制氮气吹干压力。</w:t>
            </w:r>
          </w:p>
        </w:tc>
      </w:tr>
      <w:tr w14:paraId="56B2F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368148">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D0D7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FE36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3.13</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8FFC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样品架、收集架均具备自动识别功能，每个位置具备≥3个识别传感器，自动识别样品架。（提供主机样品架≥3个识别传感器的实拍图片和样品架自动识别的实机界面照片）</w:t>
            </w:r>
          </w:p>
        </w:tc>
      </w:tr>
      <w:tr w14:paraId="1C32F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9" w:hRule="atLeast"/>
        </w:trPr>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70496">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C5A45">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947D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3.14</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EED9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排废功能：≥3通道废液排放。</w:t>
            </w:r>
          </w:p>
        </w:tc>
      </w:tr>
      <w:tr w14:paraId="795B5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DBF199">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B20F5">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0B58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3.15</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97A4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整机仪器密封，内置照明，独立的排风系统，防止溶剂挥发，紧凑化设计：整机可放入通风橱内，溶剂瓶架集合在主机，节约实验室空间。透明式外罩，可实时观察做样过程，随时调整运行方法</w:t>
            </w:r>
          </w:p>
        </w:tc>
      </w:tr>
      <w:tr w14:paraId="65CB8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48FAC">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EA2B5">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21A4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3.16</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1E55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主机集成自控，≥10英寸大屏幕参数显示及控制，主屏幕进行参数设定，并可实时监测数据。</w:t>
            </w:r>
          </w:p>
        </w:tc>
      </w:tr>
      <w:tr w14:paraId="31EFA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0D80F">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C3138">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FA89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3.17</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460B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控制软件具备溶剂体积主动提醒统计、方法时长自动统计、样品架自动匹配等智能统计功能。</w:t>
            </w:r>
          </w:p>
        </w:tc>
      </w:tr>
      <w:tr w14:paraId="7AED0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21ABBA">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1C5CB">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E429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3.18</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4ACD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控制软件具备中英文，设置界面直接切换。</w:t>
            </w:r>
          </w:p>
        </w:tc>
      </w:tr>
      <w:tr w14:paraId="12E1B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9" w:hRule="atLeast"/>
        </w:trPr>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D4A80">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208A6">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4E1A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3.19</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7EF7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自动取放滤头：取样针自动取放滤头，能进行在线样品过滤。</w:t>
            </w:r>
          </w:p>
        </w:tc>
      </w:tr>
      <w:tr w14:paraId="20A84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1418" w:type="dxa"/>
            <w:vMerge w:val="restart"/>
            <w:tcBorders>
              <w:top w:val="single" w:color="000000" w:sz="4" w:space="0"/>
              <w:left w:val="single" w:color="000000" w:sz="4" w:space="0"/>
              <w:bottom w:val="nil"/>
              <w:right w:val="single" w:color="000000" w:sz="4" w:space="0"/>
            </w:tcBorders>
            <w:shd w:val="clear" w:color="auto" w:fill="auto"/>
            <w:vAlign w:val="center"/>
          </w:tcPr>
          <w:p w14:paraId="7196DE7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4.主要配置</w:t>
            </w: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796C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B392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4.1</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8F29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全自动固相萃取仪主机       1台</w:t>
            </w:r>
          </w:p>
        </w:tc>
      </w:tr>
      <w:tr w14:paraId="14183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1418" w:type="dxa"/>
            <w:vMerge w:val="continue"/>
            <w:tcBorders>
              <w:top w:val="single" w:color="000000" w:sz="4" w:space="0"/>
              <w:left w:val="single" w:color="000000" w:sz="4" w:space="0"/>
              <w:bottom w:val="nil"/>
              <w:right w:val="single" w:color="000000" w:sz="4" w:space="0"/>
            </w:tcBorders>
            <w:shd w:val="clear" w:color="auto" w:fill="auto"/>
            <w:vAlign w:val="center"/>
          </w:tcPr>
          <w:p w14:paraId="5A389318">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9CC93">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6CAE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4.2</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FCAE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6mL萃取柱模块(已装入主机)    1套</w:t>
            </w:r>
          </w:p>
        </w:tc>
      </w:tr>
      <w:tr w14:paraId="2F639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1418" w:type="dxa"/>
            <w:vMerge w:val="continue"/>
            <w:tcBorders>
              <w:top w:val="single" w:color="000000" w:sz="4" w:space="0"/>
              <w:left w:val="single" w:color="000000" w:sz="4" w:space="0"/>
              <w:bottom w:val="nil"/>
              <w:right w:val="single" w:color="000000" w:sz="4" w:space="0"/>
            </w:tcBorders>
            <w:shd w:val="clear" w:color="auto" w:fill="auto"/>
            <w:vAlign w:val="center"/>
          </w:tcPr>
          <w:p w14:paraId="3D4EF748">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40284">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603A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4.3</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4421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旋转多通阀(已装入主机)      8个</w:t>
            </w:r>
          </w:p>
        </w:tc>
      </w:tr>
      <w:tr w14:paraId="34069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9" w:hRule="atLeast"/>
        </w:trPr>
        <w:tc>
          <w:tcPr>
            <w:tcW w:w="1418" w:type="dxa"/>
            <w:vMerge w:val="continue"/>
            <w:tcBorders>
              <w:top w:val="single" w:color="000000" w:sz="4" w:space="0"/>
              <w:left w:val="single" w:color="000000" w:sz="4" w:space="0"/>
              <w:bottom w:val="nil"/>
              <w:right w:val="single" w:color="000000" w:sz="4" w:space="0"/>
            </w:tcBorders>
            <w:shd w:val="clear" w:color="auto" w:fill="auto"/>
            <w:vAlign w:val="center"/>
          </w:tcPr>
          <w:p w14:paraId="483EBFAF">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8D50A">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A0E1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4.4</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1FA0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镀层取样针(已装入主机)     8个</w:t>
            </w:r>
          </w:p>
        </w:tc>
      </w:tr>
      <w:tr w14:paraId="5FE46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1418" w:type="dxa"/>
            <w:vMerge w:val="continue"/>
            <w:tcBorders>
              <w:top w:val="single" w:color="000000" w:sz="4" w:space="0"/>
              <w:left w:val="single" w:color="000000" w:sz="4" w:space="0"/>
              <w:bottom w:val="nil"/>
              <w:right w:val="single" w:color="000000" w:sz="4" w:space="0"/>
            </w:tcBorders>
            <w:shd w:val="clear" w:color="auto" w:fill="auto"/>
            <w:vAlign w:val="center"/>
          </w:tcPr>
          <w:p w14:paraId="3A64E8CF">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29BBF">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62DF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4.5</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E633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3通道排废模块(已装入主机)     1个</w:t>
            </w:r>
          </w:p>
        </w:tc>
      </w:tr>
      <w:tr w14:paraId="67F62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9" w:hRule="atLeast"/>
        </w:trPr>
        <w:tc>
          <w:tcPr>
            <w:tcW w:w="1418" w:type="dxa"/>
            <w:vMerge w:val="continue"/>
            <w:tcBorders>
              <w:top w:val="single" w:color="000000" w:sz="4" w:space="0"/>
              <w:left w:val="single" w:color="000000" w:sz="4" w:space="0"/>
              <w:bottom w:val="nil"/>
              <w:right w:val="single" w:color="000000" w:sz="4" w:space="0"/>
            </w:tcBorders>
            <w:shd w:val="clear" w:color="auto" w:fill="auto"/>
            <w:vAlign w:val="center"/>
          </w:tcPr>
          <w:p w14:paraId="2A967AA7">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77B43">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FAF1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4.6</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4736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排废蠕动泵(已装入主机)     1套</w:t>
            </w:r>
          </w:p>
        </w:tc>
      </w:tr>
      <w:tr w14:paraId="6450B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9" w:hRule="atLeast"/>
        </w:trPr>
        <w:tc>
          <w:tcPr>
            <w:tcW w:w="1418" w:type="dxa"/>
            <w:vMerge w:val="continue"/>
            <w:tcBorders>
              <w:top w:val="single" w:color="000000" w:sz="4" w:space="0"/>
              <w:left w:val="single" w:color="000000" w:sz="4" w:space="0"/>
              <w:bottom w:val="nil"/>
              <w:right w:val="single" w:color="000000" w:sz="4" w:space="0"/>
            </w:tcBorders>
            <w:shd w:val="clear" w:color="auto" w:fill="auto"/>
            <w:vAlign w:val="center"/>
          </w:tcPr>
          <w:p w14:paraId="61DBC19B">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67306">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A858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4.7</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AF7A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56位50ml样品架       1个</w:t>
            </w:r>
          </w:p>
        </w:tc>
      </w:tr>
      <w:tr w14:paraId="7A0CC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1418" w:type="dxa"/>
            <w:vMerge w:val="continue"/>
            <w:tcBorders>
              <w:top w:val="single" w:color="000000" w:sz="4" w:space="0"/>
              <w:left w:val="single" w:color="000000" w:sz="4" w:space="0"/>
              <w:bottom w:val="nil"/>
              <w:right w:val="single" w:color="000000" w:sz="4" w:space="0"/>
            </w:tcBorders>
            <w:shd w:val="clear" w:color="auto" w:fill="auto"/>
            <w:vAlign w:val="center"/>
          </w:tcPr>
          <w:p w14:paraId="7A936320">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E5F5C">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4370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4.8</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725D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80位15ml样品架       1个</w:t>
            </w:r>
          </w:p>
        </w:tc>
      </w:tr>
      <w:tr w14:paraId="05A89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1418" w:type="dxa"/>
            <w:vMerge w:val="continue"/>
            <w:tcBorders>
              <w:top w:val="single" w:color="000000" w:sz="4" w:space="0"/>
              <w:left w:val="single" w:color="000000" w:sz="4" w:space="0"/>
              <w:bottom w:val="nil"/>
              <w:right w:val="single" w:color="000000" w:sz="4" w:space="0"/>
            </w:tcBorders>
            <w:shd w:val="clear" w:color="auto" w:fill="auto"/>
            <w:vAlign w:val="center"/>
          </w:tcPr>
          <w:p w14:paraId="5DCE0CF3">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E25D0">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6237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4.9</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F142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自动取样针在线过滤系统     1套</w:t>
            </w:r>
          </w:p>
        </w:tc>
      </w:tr>
    </w:tbl>
    <w:p w14:paraId="23FC4E8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209957D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609EB42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61A417E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39FA85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9A15A5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7674897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07BED26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2719FB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204F0C5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3087C48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D5E35C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35F5C5C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78D2415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43A58E5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0758BAF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713954F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5E49EB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1DEB86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5E336C5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28269D9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2F24A47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4901034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6B311D5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05AF4B3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6B298A0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69E403A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7E5CD5D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36ED335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4856974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tbl>
      <w:tblPr>
        <w:tblStyle w:val="38"/>
        <w:tblW w:w="934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69"/>
        <w:gridCol w:w="1260"/>
        <w:gridCol w:w="828"/>
        <w:gridCol w:w="5583"/>
      </w:tblGrid>
      <w:tr w14:paraId="12350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9340" w:type="dxa"/>
            <w:gridSpan w:val="4"/>
            <w:tcBorders>
              <w:top w:val="nil"/>
              <w:left w:val="nil"/>
              <w:bottom w:val="nil"/>
              <w:right w:val="nil"/>
            </w:tcBorders>
            <w:shd w:val="clear" w:color="auto" w:fill="auto"/>
            <w:vAlign w:val="center"/>
          </w:tcPr>
          <w:p w14:paraId="0DD1DA39">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仪器设备技术参数（十六）</w:t>
            </w:r>
          </w:p>
        </w:tc>
      </w:tr>
      <w:tr w14:paraId="25B45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340" w:type="dxa"/>
            <w:gridSpan w:val="4"/>
            <w:tcBorders>
              <w:top w:val="nil"/>
              <w:left w:val="nil"/>
              <w:bottom w:val="nil"/>
              <w:right w:val="nil"/>
            </w:tcBorders>
            <w:shd w:val="clear" w:color="auto" w:fill="auto"/>
            <w:noWrap/>
            <w:vAlign w:val="center"/>
          </w:tcPr>
          <w:p w14:paraId="4CD6C95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品目名称：水浴氮吹仪</w:t>
            </w:r>
          </w:p>
        </w:tc>
      </w:tr>
      <w:tr w14:paraId="3816A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340" w:type="dxa"/>
            <w:gridSpan w:val="4"/>
            <w:tcBorders>
              <w:top w:val="nil"/>
              <w:left w:val="nil"/>
              <w:bottom w:val="nil"/>
              <w:right w:val="nil"/>
            </w:tcBorders>
            <w:shd w:val="clear" w:color="auto" w:fill="auto"/>
            <w:noWrap/>
            <w:vAlign w:val="center"/>
          </w:tcPr>
          <w:p w14:paraId="73BDD76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子品目名称：水浴氮吹仪</w:t>
            </w:r>
          </w:p>
        </w:tc>
      </w:tr>
      <w:tr w14:paraId="66E8F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4" w:hRule="atLeast"/>
        </w:trPr>
        <w:tc>
          <w:tcPr>
            <w:tcW w:w="1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6DE5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序号</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50D8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指标类型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"★"或"▲"</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F410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条款号</w:t>
            </w:r>
          </w:p>
        </w:tc>
        <w:tc>
          <w:tcPr>
            <w:tcW w:w="5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A741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技术指标内容</w:t>
            </w:r>
          </w:p>
        </w:tc>
      </w:tr>
      <w:tr w14:paraId="50E05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3" w:hRule="atLeast"/>
        </w:trPr>
        <w:tc>
          <w:tcPr>
            <w:tcW w:w="1669" w:type="dxa"/>
            <w:vMerge w:val="restart"/>
            <w:tcBorders>
              <w:top w:val="single" w:color="000000" w:sz="4" w:space="0"/>
              <w:left w:val="single" w:color="000000" w:sz="4" w:space="0"/>
              <w:bottom w:val="nil"/>
              <w:right w:val="single" w:color="000000" w:sz="4" w:space="0"/>
            </w:tcBorders>
            <w:shd w:val="clear" w:color="auto" w:fill="auto"/>
            <w:vAlign w:val="center"/>
          </w:tcPr>
          <w:p w14:paraId="234726E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3.主要技术参数</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C23DE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0BEA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w:t>
            </w:r>
          </w:p>
        </w:tc>
        <w:tc>
          <w:tcPr>
            <w:tcW w:w="5583" w:type="dxa"/>
            <w:tcBorders>
              <w:top w:val="nil"/>
              <w:left w:val="single" w:color="000000" w:sz="4" w:space="0"/>
              <w:bottom w:val="single" w:color="000000" w:sz="4" w:space="0"/>
              <w:right w:val="single" w:color="000000" w:sz="4" w:space="0"/>
            </w:tcBorders>
            <w:shd w:val="clear" w:color="auto" w:fill="auto"/>
            <w:vAlign w:val="center"/>
          </w:tcPr>
          <w:p w14:paraId="7B8BE04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控温范围：室温～100℃</w:t>
            </w:r>
          </w:p>
        </w:tc>
      </w:tr>
      <w:tr w14:paraId="25CD9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7" w:hRule="atLeast"/>
        </w:trPr>
        <w:tc>
          <w:tcPr>
            <w:tcW w:w="1669" w:type="dxa"/>
            <w:vMerge w:val="continue"/>
            <w:tcBorders>
              <w:top w:val="single" w:color="000000" w:sz="4" w:space="0"/>
              <w:left w:val="single" w:color="000000" w:sz="4" w:space="0"/>
              <w:bottom w:val="nil"/>
              <w:right w:val="single" w:color="000000" w:sz="4" w:space="0"/>
            </w:tcBorders>
            <w:shd w:val="clear" w:color="auto" w:fill="auto"/>
            <w:vAlign w:val="center"/>
          </w:tcPr>
          <w:p w14:paraId="20195B9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8EC36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C787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w:t>
            </w:r>
          </w:p>
        </w:tc>
        <w:tc>
          <w:tcPr>
            <w:tcW w:w="5583" w:type="dxa"/>
            <w:tcBorders>
              <w:top w:val="nil"/>
              <w:left w:val="single" w:color="000000" w:sz="4" w:space="0"/>
              <w:bottom w:val="single" w:color="000000" w:sz="4" w:space="0"/>
              <w:right w:val="single" w:color="000000" w:sz="4" w:space="0"/>
            </w:tcBorders>
            <w:shd w:val="clear" w:color="auto" w:fill="auto"/>
            <w:vAlign w:val="center"/>
          </w:tcPr>
          <w:p w14:paraId="0785CB2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控温精度/波动度：±0.5℃（PID自整定）</w:t>
            </w:r>
          </w:p>
        </w:tc>
      </w:tr>
      <w:tr w14:paraId="2C37C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69" w:type="dxa"/>
            <w:vMerge w:val="continue"/>
            <w:tcBorders>
              <w:top w:val="single" w:color="000000" w:sz="4" w:space="0"/>
              <w:left w:val="single" w:color="000000" w:sz="4" w:space="0"/>
              <w:bottom w:val="nil"/>
              <w:right w:val="single" w:color="000000" w:sz="4" w:space="0"/>
            </w:tcBorders>
            <w:shd w:val="clear" w:color="auto" w:fill="auto"/>
            <w:vAlign w:val="center"/>
          </w:tcPr>
          <w:p w14:paraId="27F4FC2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9E495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2A11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3.3</w:t>
            </w:r>
          </w:p>
        </w:tc>
        <w:tc>
          <w:tcPr>
            <w:tcW w:w="5583" w:type="dxa"/>
            <w:tcBorders>
              <w:top w:val="nil"/>
              <w:left w:val="single" w:color="000000" w:sz="4" w:space="0"/>
              <w:bottom w:val="single" w:color="000000" w:sz="4" w:space="0"/>
              <w:right w:val="single" w:color="000000" w:sz="4" w:space="0"/>
            </w:tcBorders>
            <w:shd w:val="clear" w:color="auto" w:fill="auto"/>
            <w:vAlign w:val="center"/>
          </w:tcPr>
          <w:p w14:paraId="7DC0C3C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最大水浴容积：30 L</w:t>
            </w:r>
          </w:p>
        </w:tc>
      </w:tr>
      <w:tr w14:paraId="75890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1669" w:type="dxa"/>
            <w:vMerge w:val="continue"/>
            <w:tcBorders>
              <w:top w:val="single" w:color="000000" w:sz="4" w:space="0"/>
              <w:left w:val="single" w:color="000000" w:sz="4" w:space="0"/>
              <w:bottom w:val="nil"/>
              <w:right w:val="single" w:color="000000" w:sz="4" w:space="0"/>
            </w:tcBorders>
            <w:shd w:val="clear" w:color="auto" w:fill="auto"/>
            <w:vAlign w:val="center"/>
          </w:tcPr>
          <w:p w14:paraId="6B44C06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A60E6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A984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3.4</w:t>
            </w:r>
          </w:p>
        </w:tc>
        <w:tc>
          <w:tcPr>
            <w:tcW w:w="5583" w:type="dxa"/>
            <w:tcBorders>
              <w:top w:val="nil"/>
              <w:left w:val="single" w:color="000000" w:sz="4" w:space="0"/>
              <w:bottom w:val="single" w:color="000000" w:sz="4" w:space="0"/>
              <w:right w:val="single" w:color="000000" w:sz="4" w:space="0"/>
            </w:tcBorders>
            <w:shd w:val="clear" w:color="auto" w:fill="auto"/>
            <w:vAlign w:val="center"/>
          </w:tcPr>
          <w:p w14:paraId="15983A6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升温时间：室温→80℃ ≤30 min</w:t>
            </w:r>
          </w:p>
        </w:tc>
      </w:tr>
      <w:tr w14:paraId="0AA4A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1669" w:type="dxa"/>
            <w:vMerge w:val="continue"/>
            <w:tcBorders>
              <w:top w:val="single" w:color="000000" w:sz="4" w:space="0"/>
              <w:left w:val="single" w:color="000000" w:sz="4" w:space="0"/>
              <w:bottom w:val="nil"/>
              <w:right w:val="single" w:color="000000" w:sz="4" w:space="0"/>
            </w:tcBorders>
            <w:shd w:val="clear" w:color="auto" w:fill="auto"/>
            <w:vAlign w:val="center"/>
          </w:tcPr>
          <w:p w14:paraId="289083B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38319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60B1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3.5</w:t>
            </w:r>
          </w:p>
        </w:tc>
        <w:tc>
          <w:tcPr>
            <w:tcW w:w="5583" w:type="dxa"/>
            <w:tcBorders>
              <w:top w:val="nil"/>
              <w:left w:val="single" w:color="000000" w:sz="4" w:space="0"/>
              <w:bottom w:val="single" w:color="000000" w:sz="4" w:space="0"/>
              <w:right w:val="single" w:color="000000" w:sz="4" w:space="0"/>
            </w:tcBorders>
            <w:shd w:val="clear" w:color="auto" w:fill="auto"/>
            <w:vAlign w:val="center"/>
          </w:tcPr>
          <w:p w14:paraId="1DDCDEF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排水方式：快插式排水口，带排污阀</w:t>
            </w:r>
          </w:p>
        </w:tc>
      </w:tr>
      <w:tr w14:paraId="1A940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669" w:type="dxa"/>
            <w:vMerge w:val="continue"/>
            <w:tcBorders>
              <w:top w:val="single" w:color="000000" w:sz="4" w:space="0"/>
              <w:left w:val="single" w:color="000000" w:sz="4" w:space="0"/>
              <w:bottom w:val="nil"/>
              <w:right w:val="single" w:color="000000" w:sz="4" w:space="0"/>
            </w:tcBorders>
            <w:shd w:val="clear" w:color="auto" w:fill="auto"/>
            <w:vAlign w:val="center"/>
          </w:tcPr>
          <w:p w14:paraId="1903BED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526A4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89CD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3.6</w:t>
            </w:r>
          </w:p>
        </w:tc>
        <w:tc>
          <w:tcPr>
            <w:tcW w:w="5583" w:type="dxa"/>
            <w:tcBorders>
              <w:top w:val="nil"/>
              <w:left w:val="single" w:color="000000" w:sz="4" w:space="0"/>
              <w:bottom w:val="single" w:color="000000" w:sz="4" w:space="0"/>
              <w:right w:val="single" w:color="000000" w:sz="4" w:space="0"/>
            </w:tcBorders>
            <w:shd w:val="clear" w:color="auto" w:fill="auto"/>
            <w:vAlign w:val="center"/>
          </w:tcPr>
          <w:p w14:paraId="7CE4628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可视窗：水浴内置照明可视窗，全程观察浓缩状态</w:t>
            </w:r>
          </w:p>
        </w:tc>
      </w:tr>
      <w:tr w14:paraId="5BFF9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1669" w:type="dxa"/>
            <w:vMerge w:val="continue"/>
            <w:tcBorders>
              <w:top w:val="single" w:color="000000" w:sz="4" w:space="0"/>
              <w:left w:val="single" w:color="000000" w:sz="4" w:space="0"/>
              <w:bottom w:val="nil"/>
              <w:right w:val="single" w:color="000000" w:sz="4" w:space="0"/>
            </w:tcBorders>
            <w:shd w:val="clear" w:color="auto" w:fill="auto"/>
            <w:vAlign w:val="center"/>
          </w:tcPr>
          <w:p w14:paraId="71BB490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E084F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AED0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3.7</w:t>
            </w:r>
          </w:p>
        </w:tc>
        <w:tc>
          <w:tcPr>
            <w:tcW w:w="5583" w:type="dxa"/>
            <w:tcBorders>
              <w:top w:val="nil"/>
              <w:left w:val="single" w:color="000000" w:sz="4" w:space="0"/>
              <w:bottom w:val="single" w:color="000000" w:sz="4" w:space="0"/>
              <w:right w:val="single" w:color="000000" w:sz="4" w:space="0"/>
            </w:tcBorders>
            <w:shd w:val="clear" w:color="auto" w:fill="auto"/>
            <w:vAlign w:val="center"/>
          </w:tcPr>
          <w:p w14:paraId="7AD2B54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适配试管/浓缩管：5 mL、10 mL、15 mL、50 mL（兼容10～29 mm外径）</w:t>
            </w:r>
          </w:p>
        </w:tc>
      </w:tr>
      <w:tr w14:paraId="343D8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1669" w:type="dxa"/>
            <w:vMerge w:val="continue"/>
            <w:tcBorders>
              <w:top w:val="single" w:color="000000" w:sz="4" w:space="0"/>
              <w:left w:val="single" w:color="000000" w:sz="4" w:space="0"/>
              <w:bottom w:val="nil"/>
              <w:right w:val="single" w:color="000000" w:sz="4" w:space="0"/>
            </w:tcBorders>
            <w:shd w:val="clear" w:color="auto" w:fill="auto"/>
            <w:vAlign w:val="center"/>
          </w:tcPr>
          <w:p w14:paraId="1708C3B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5FFF7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BF1C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3.8</w:t>
            </w:r>
          </w:p>
        </w:tc>
        <w:tc>
          <w:tcPr>
            <w:tcW w:w="5583" w:type="dxa"/>
            <w:tcBorders>
              <w:top w:val="nil"/>
              <w:left w:val="single" w:color="000000" w:sz="4" w:space="0"/>
              <w:bottom w:val="single" w:color="000000" w:sz="4" w:space="0"/>
              <w:right w:val="single" w:color="000000" w:sz="4" w:space="0"/>
            </w:tcBorders>
            <w:shd w:val="clear" w:color="auto" w:fill="auto"/>
            <w:vAlign w:val="center"/>
          </w:tcPr>
          <w:p w14:paraId="2340A69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单管最大处理体积：50 mL</w:t>
            </w:r>
          </w:p>
        </w:tc>
      </w:tr>
      <w:tr w14:paraId="14AC2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7" w:hRule="atLeast"/>
        </w:trPr>
        <w:tc>
          <w:tcPr>
            <w:tcW w:w="1669" w:type="dxa"/>
            <w:vMerge w:val="continue"/>
            <w:tcBorders>
              <w:top w:val="single" w:color="000000" w:sz="4" w:space="0"/>
              <w:left w:val="single" w:color="000000" w:sz="4" w:space="0"/>
              <w:bottom w:val="nil"/>
              <w:right w:val="single" w:color="000000" w:sz="4" w:space="0"/>
            </w:tcBorders>
            <w:shd w:val="clear" w:color="auto" w:fill="auto"/>
            <w:vAlign w:val="center"/>
          </w:tcPr>
          <w:p w14:paraId="213F37A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FEB61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CF40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3.9</w:t>
            </w:r>
          </w:p>
        </w:tc>
        <w:tc>
          <w:tcPr>
            <w:tcW w:w="5583" w:type="dxa"/>
            <w:tcBorders>
              <w:top w:val="nil"/>
              <w:left w:val="single" w:color="000000" w:sz="4" w:space="0"/>
              <w:bottom w:val="single" w:color="000000" w:sz="4" w:space="0"/>
              <w:right w:val="single" w:color="000000" w:sz="4" w:space="0"/>
            </w:tcBorders>
            <w:shd w:val="clear" w:color="auto" w:fill="auto"/>
            <w:vAlign w:val="center"/>
          </w:tcPr>
          <w:p w14:paraId="19D8288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样品架：24位，316不锈钢+PTFE</w:t>
            </w:r>
          </w:p>
        </w:tc>
      </w:tr>
      <w:tr w14:paraId="7F981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1669" w:type="dxa"/>
            <w:vMerge w:val="continue"/>
            <w:tcBorders>
              <w:top w:val="single" w:color="000000" w:sz="4" w:space="0"/>
              <w:left w:val="single" w:color="000000" w:sz="4" w:space="0"/>
              <w:bottom w:val="nil"/>
              <w:right w:val="single" w:color="000000" w:sz="4" w:space="0"/>
            </w:tcBorders>
            <w:shd w:val="clear" w:color="auto" w:fill="auto"/>
            <w:vAlign w:val="center"/>
          </w:tcPr>
          <w:p w14:paraId="4B243F5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E3B42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0F98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3.10</w:t>
            </w:r>
          </w:p>
        </w:tc>
        <w:tc>
          <w:tcPr>
            <w:tcW w:w="5583" w:type="dxa"/>
            <w:tcBorders>
              <w:top w:val="nil"/>
              <w:left w:val="single" w:color="000000" w:sz="4" w:space="0"/>
              <w:bottom w:val="single" w:color="000000" w:sz="4" w:space="0"/>
              <w:right w:val="single" w:color="000000" w:sz="4" w:space="0"/>
            </w:tcBorders>
            <w:shd w:val="clear" w:color="auto" w:fill="auto"/>
            <w:vAlign w:val="center"/>
          </w:tcPr>
          <w:p w14:paraId="4FC231E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气路通道：24路完全独立，可单路开关</w:t>
            </w:r>
          </w:p>
        </w:tc>
      </w:tr>
      <w:tr w14:paraId="3EBC6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1669" w:type="dxa"/>
            <w:vMerge w:val="continue"/>
            <w:tcBorders>
              <w:top w:val="single" w:color="000000" w:sz="4" w:space="0"/>
              <w:left w:val="single" w:color="000000" w:sz="4" w:space="0"/>
              <w:bottom w:val="nil"/>
              <w:right w:val="single" w:color="000000" w:sz="4" w:space="0"/>
            </w:tcBorders>
            <w:shd w:val="clear" w:color="auto" w:fill="auto"/>
            <w:vAlign w:val="center"/>
          </w:tcPr>
          <w:p w14:paraId="0F65D48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1F033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A502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3.11</w:t>
            </w:r>
          </w:p>
        </w:tc>
        <w:tc>
          <w:tcPr>
            <w:tcW w:w="5583" w:type="dxa"/>
            <w:tcBorders>
              <w:top w:val="nil"/>
              <w:left w:val="single" w:color="000000" w:sz="4" w:space="0"/>
              <w:bottom w:val="single" w:color="000000" w:sz="4" w:space="0"/>
              <w:right w:val="single" w:color="000000" w:sz="4" w:space="0"/>
            </w:tcBorders>
            <w:shd w:val="clear" w:color="auto" w:fill="auto"/>
            <w:vAlign w:val="center"/>
          </w:tcPr>
          <w:p w14:paraId="03CF8C3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流量调节：每路带数字刻度微调阀，独立0～5 L/min可调</w:t>
            </w:r>
          </w:p>
        </w:tc>
      </w:tr>
      <w:tr w14:paraId="4D013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669" w:type="dxa"/>
            <w:vMerge w:val="continue"/>
            <w:tcBorders>
              <w:top w:val="single" w:color="000000" w:sz="4" w:space="0"/>
              <w:left w:val="single" w:color="000000" w:sz="4" w:space="0"/>
              <w:bottom w:val="nil"/>
              <w:right w:val="single" w:color="000000" w:sz="4" w:space="0"/>
            </w:tcBorders>
            <w:shd w:val="clear" w:color="auto" w:fill="auto"/>
            <w:vAlign w:val="center"/>
          </w:tcPr>
          <w:p w14:paraId="6E3A1B0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E60FE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53D4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3.12</w:t>
            </w:r>
          </w:p>
        </w:tc>
        <w:tc>
          <w:tcPr>
            <w:tcW w:w="5583" w:type="dxa"/>
            <w:tcBorders>
              <w:top w:val="nil"/>
              <w:left w:val="single" w:color="000000" w:sz="4" w:space="0"/>
              <w:bottom w:val="single" w:color="000000" w:sz="4" w:space="0"/>
              <w:right w:val="single" w:color="000000" w:sz="4" w:space="0"/>
            </w:tcBorders>
            <w:shd w:val="clear" w:color="auto" w:fill="auto"/>
            <w:vAlign w:val="center"/>
          </w:tcPr>
          <w:p w14:paraId="1C500EE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工作气压：0～0.1 MPa（推荐 0.02～0.05 MPa）</w:t>
            </w:r>
          </w:p>
        </w:tc>
      </w:tr>
      <w:tr w14:paraId="38643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1669" w:type="dxa"/>
            <w:vMerge w:val="continue"/>
            <w:tcBorders>
              <w:top w:val="single" w:color="000000" w:sz="4" w:space="0"/>
              <w:left w:val="single" w:color="000000" w:sz="4" w:space="0"/>
              <w:bottom w:val="nil"/>
              <w:right w:val="single" w:color="000000" w:sz="4" w:space="0"/>
            </w:tcBorders>
            <w:shd w:val="clear" w:color="auto" w:fill="auto"/>
            <w:vAlign w:val="center"/>
          </w:tcPr>
          <w:p w14:paraId="4980FB0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E7CCB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24D8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3.13</w:t>
            </w:r>
          </w:p>
        </w:tc>
        <w:tc>
          <w:tcPr>
            <w:tcW w:w="5583" w:type="dxa"/>
            <w:tcBorders>
              <w:top w:val="nil"/>
              <w:left w:val="single" w:color="000000" w:sz="4" w:space="0"/>
              <w:bottom w:val="single" w:color="000000" w:sz="4" w:space="0"/>
              <w:right w:val="single" w:color="000000" w:sz="4" w:space="0"/>
            </w:tcBorders>
            <w:shd w:val="clear" w:color="auto" w:fill="auto"/>
            <w:vAlign w:val="center"/>
          </w:tcPr>
          <w:p w14:paraId="528749E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氮气消耗量：约 300～500 mL/min·通道（0.1 MPa）</w:t>
            </w:r>
          </w:p>
        </w:tc>
      </w:tr>
      <w:tr w14:paraId="49B0E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trPr>
        <w:tc>
          <w:tcPr>
            <w:tcW w:w="1669" w:type="dxa"/>
            <w:vMerge w:val="continue"/>
            <w:tcBorders>
              <w:top w:val="single" w:color="000000" w:sz="4" w:space="0"/>
              <w:left w:val="single" w:color="000000" w:sz="4" w:space="0"/>
              <w:bottom w:val="nil"/>
              <w:right w:val="single" w:color="000000" w:sz="4" w:space="0"/>
            </w:tcBorders>
            <w:shd w:val="clear" w:color="auto" w:fill="auto"/>
            <w:vAlign w:val="center"/>
          </w:tcPr>
          <w:p w14:paraId="4A71ECD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6508E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6C9D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3.14</w:t>
            </w:r>
          </w:p>
        </w:tc>
        <w:tc>
          <w:tcPr>
            <w:tcW w:w="5583" w:type="dxa"/>
            <w:tcBorders>
              <w:top w:val="nil"/>
              <w:left w:val="single" w:color="000000" w:sz="4" w:space="0"/>
              <w:bottom w:val="single" w:color="000000" w:sz="4" w:space="0"/>
              <w:right w:val="single" w:color="000000" w:sz="4" w:space="0"/>
            </w:tcBorders>
            <w:shd w:val="clear" w:color="auto" w:fill="auto"/>
            <w:vAlign w:val="center"/>
          </w:tcPr>
          <w:p w14:paraId="36A9C8F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氮吹针材质：316不锈钢+PTFE15、 针升降行程：0～150 mm</w:t>
            </w:r>
          </w:p>
        </w:tc>
      </w:tr>
      <w:tr w14:paraId="4BAE6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1669" w:type="dxa"/>
            <w:vMerge w:val="continue"/>
            <w:tcBorders>
              <w:top w:val="single" w:color="000000" w:sz="4" w:space="0"/>
              <w:left w:val="single" w:color="000000" w:sz="4" w:space="0"/>
              <w:bottom w:val="nil"/>
              <w:right w:val="single" w:color="000000" w:sz="4" w:space="0"/>
            </w:tcBorders>
            <w:shd w:val="clear" w:color="auto" w:fill="auto"/>
            <w:vAlign w:val="center"/>
          </w:tcPr>
          <w:p w14:paraId="5654A52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C26FB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D6A0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3.15</w:t>
            </w:r>
          </w:p>
        </w:tc>
        <w:tc>
          <w:tcPr>
            <w:tcW w:w="5583" w:type="dxa"/>
            <w:tcBorders>
              <w:top w:val="nil"/>
              <w:left w:val="single" w:color="000000" w:sz="4" w:space="0"/>
              <w:bottom w:val="single" w:color="000000" w:sz="4" w:space="0"/>
              <w:right w:val="single" w:color="000000" w:sz="4" w:space="0"/>
            </w:tcBorders>
            <w:shd w:val="clear" w:color="auto" w:fill="auto"/>
            <w:vAlign w:val="center"/>
          </w:tcPr>
          <w:p w14:paraId="6F56E2D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升降模式：手动/自动双模式；快/慢两档速率；升降时间可调</w:t>
            </w:r>
          </w:p>
        </w:tc>
      </w:tr>
      <w:tr w14:paraId="3BB84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trPr>
        <w:tc>
          <w:tcPr>
            <w:tcW w:w="1669" w:type="dxa"/>
            <w:vMerge w:val="continue"/>
            <w:tcBorders>
              <w:top w:val="single" w:color="000000" w:sz="4" w:space="0"/>
              <w:left w:val="single" w:color="000000" w:sz="4" w:space="0"/>
              <w:bottom w:val="nil"/>
              <w:right w:val="single" w:color="000000" w:sz="4" w:space="0"/>
            </w:tcBorders>
            <w:shd w:val="clear" w:color="auto" w:fill="auto"/>
            <w:vAlign w:val="center"/>
          </w:tcPr>
          <w:p w14:paraId="4D2F3CA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D6899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F82A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3.16</w:t>
            </w:r>
          </w:p>
        </w:tc>
        <w:tc>
          <w:tcPr>
            <w:tcW w:w="5583" w:type="dxa"/>
            <w:tcBorders>
              <w:top w:val="nil"/>
              <w:left w:val="single" w:color="000000" w:sz="4" w:space="0"/>
              <w:bottom w:val="single" w:color="000000" w:sz="4" w:space="0"/>
              <w:right w:val="single" w:color="000000" w:sz="4" w:space="0"/>
            </w:tcBorders>
            <w:shd w:val="clear" w:color="auto" w:fill="auto"/>
            <w:vAlign w:val="center"/>
          </w:tcPr>
          <w:p w14:paraId="65C427F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浓缩时间设定：0～999 min</w:t>
            </w:r>
          </w:p>
        </w:tc>
      </w:tr>
      <w:tr w14:paraId="6DA5E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1669" w:type="dxa"/>
            <w:vMerge w:val="continue"/>
            <w:tcBorders>
              <w:top w:val="single" w:color="000000" w:sz="4" w:space="0"/>
              <w:left w:val="single" w:color="000000" w:sz="4" w:space="0"/>
              <w:bottom w:val="nil"/>
              <w:right w:val="single" w:color="000000" w:sz="4" w:space="0"/>
            </w:tcBorders>
            <w:shd w:val="clear" w:color="auto" w:fill="auto"/>
            <w:vAlign w:val="center"/>
          </w:tcPr>
          <w:p w14:paraId="200E1EC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6C48F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5EA8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3.17</w:t>
            </w:r>
          </w:p>
        </w:tc>
        <w:tc>
          <w:tcPr>
            <w:tcW w:w="5583" w:type="dxa"/>
            <w:tcBorders>
              <w:top w:val="nil"/>
              <w:left w:val="single" w:color="000000" w:sz="4" w:space="0"/>
              <w:bottom w:val="single" w:color="000000" w:sz="4" w:space="0"/>
              <w:right w:val="single" w:color="000000" w:sz="4" w:space="0"/>
            </w:tcBorders>
            <w:shd w:val="clear" w:color="auto" w:fill="auto"/>
            <w:vAlign w:val="center"/>
          </w:tcPr>
          <w:p w14:paraId="203C471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程序存储：可存≥20组方法，一键调用</w:t>
            </w:r>
          </w:p>
        </w:tc>
      </w:tr>
      <w:tr w14:paraId="578F2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 w:hRule="atLeast"/>
        </w:trPr>
        <w:tc>
          <w:tcPr>
            <w:tcW w:w="1669" w:type="dxa"/>
            <w:vMerge w:val="continue"/>
            <w:tcBorders>
              <w:top w:val="single" w:color="000000" w:sz="4" w:space="0"/>
              <w:left w:val="single" w:color="000000" w:sz="4" w:space="0"/>
              <w:bottom w:val="nil"/>
              <w:right w:val="single" w:color="000000" w:sz="4" w:space="0"/>
            </w:tcBorders>
            <w:shd w:val="clear" w:color="auto" w:fill="auto"/>
            <w:vAlign w:val="center"/>
          </w:tcPr>
          <w:p w14:paraId="0C442C7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FA27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B1A5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3.18</w:t>
            </w:r>
          </w:p>
        </w:tc>
        <w:tc>
          <w:tcPr>
            <w:tcW w:w="5583" w:type="dxa"/>
            <w:tcBorders>
              <w:top w:val="nil"/>
              <w:left w:val="single" w:color="000000" w:sz="4" w:space="0"/>
              <w:bottom w:val="single" w:color="000000" w:sz="4" w:space="0"/>
              <w:right w:val="single" w:color="000000" w:sz="4" w:space="0"/>
            </w:tcBorders>
            <w:shd w:val="clear" w:color="auto" w:fill="auto"/>
            <w:vAlign w:val="center"/>
          </w:tcPr>
          <w:p w14:paraId="4964843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到温自动开氮吹、完成自动关气+声光报警</w:t>
            </w:r>
          </w:p>
        </w:tc>
      </w:tr>
      <w:tr w14:paraId="2FEAC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669" w:type="dxa"/>
            <w:vMerge w:val="restart"/>
            <w:tcBorders>
              <w:top w:val="single" w:color="000000" w:sz="4" w:space="0"/>
              <w:left w:val="single" w:color="000000" w:sz="4" w:space="0"/>
              <w:bottom w:val="nil"/>
              <w:right w:val="single" w:color="000000" w:sz="4" w:space="0"/>
            </w:tcBorders>
            <w:shd w:val="clear" w:color="auto" w:fill="auto"/>
            <w:vAlign w:val="center"/>
          </w:tcPr>
          <w:p w14:paraId="5CBA3EE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4.主要配置</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A6AA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35D3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4.1</w:t>
            </w:r>
          </w:p>
        </w:tc>
        <w:tc>
          <w:tcPr>
            <w:tcW w:w="5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0308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主机1台</w:t>
            </w:r>
          </w:p>
        </w:tc>
      </w:tr>
      <w:tr w14:paraId="08E25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1669" w:type="dxa"/>
            <w:vMerge w:val="continue"/>
            <w:tcBorders>
              <w:top w:val="single" w:color="000000" w:sz="4" w:space="0"/>
              <w:left w:val="single" w:color="000000" w:sz="4" w:space="0"/>
              <w:bottom w:val="nil"/>
              <w:right w:val="single" w:color="000000" w:sz="4" w:space="0"/>
            </w:tcBorders>
            <w:shd w:val="clear" w:color="auto" w:fill="auto"/>
            <w:vAlign w:val="center"/>
          </w:tcPr>
          <w:p w14:paraId="0D7CB8F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6233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FF0B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4.2</w:t>
            </w:r>
          </w:p>
        </w:tc>
        <w:tc>
          <w:tcPr>
            <w:tcW w:w="5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5339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样品架1套</w:t>
            </w:r>
          </w:p>
        </w:tc>
      </w:tr>
      <w:tr w14:paraId="072FE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1669" w:type="dxa"/>
            <w:vMerge w:val="continue"/>
            <w:tcBorders>
              <w:top w:val="single" w:color="000000" w:sz="4" w:space="0"/>
              <w:left w:val="single" w:color="000000" w:sz="4" w:space="0"/>
              <w:bottom w:val="nil"/>
              <w:right w:val="single" w:color="000000" w:sz="4" w:space="0"/>
            </w:tcBorders>
            <w:shd w:val="clear" w:color="auto" w:fill="auto"/>
            <w:vAlign w:val="center"/>
          </w:tcPr>
          <w:p w14:paraId="094B340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7F69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1EC9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4.3</w:t>
            </w:r>
          </w:p>
        </w:tc>
        <w:tc>
          <w:tcPr>
            <w:tcW w:w="5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FAAC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氮吹针24根</w:t>
            </w:r>
          </w:p>
        </w:tc>
      </w:tr>
    </w:tbl>
    <w:p w14:paraId="6B88A10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49060F3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0832C7A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6D8F4F9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7FDB4C9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tbl>
      <w:tblPr>
        <w:tblStyle w:val="38"/>
        <w:tblW w:w="916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2"/>
        <w:gridCol w:w="1477"/>
        <w:gridCol w:w="852"/>
        <w:gridCol w:w="5868"/>
      </w:tblGrid>
      <w:tr w14:paraId="5DE9A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169" w:type="dxa"/>
            <w:gridSpan w:val="4"/>
            <w:tcBorders>
              <w:top w:val="nil"/>
              <w:left w:val="nil"/>
              <w:bottom w:val="nil"/>
              <w:right w:val="nil"/>
            </w:tcBorders>
            <w:shd w:val="clear" w:color="auto" w:fill="auto"/>
            <w:vAlign w:val="center"/>
          </w:tcPr>
          <w:p w14:paraId="7E313992">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仪器设备技术参数（十七）</w:t>
            </w:r>
          </w:p>
        </w:tc>
      </w:tr>
      <w:tr w14:paraId="4885F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 w:hRule="atLeast"/>
        </w:trPr>
        <w:tc>
          <w:tcPr>
            <w:tcW w:w="0" w:type="auto"/>
            <w:gridSpan w:val="4"/>
            <w:tcBorders>
              <w:top w:val="nil"/>
              <w:left w:val="nil"/>
              <w:bottom w:val="nil"/>
              <w:right w:val="nil"/>
            </w:tcBorders>
            <w:shd w:val="clear" w:color="auto" w:fill="auto"/>
            <w:noWrap/>
            <w:vAlign w:val="center"/>
          </w:tcPr>
          <w:p w14:paraId="32B0F3F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w:t>
            </w:r>
            <w:r>
              <w:rPr>
                <w:rFonts w:hint="eastAsia" w:ascii="宋体" w:hAnsi="宋体" w:eastAsia="宋体" w:cs="宋体"/>
                <w:i w:val="0"/>
                <w:iCs w:val="0"/>
                <w:color w:val="auto"/>
                <w:kern w:val="0"/>
                <w:sz w:val="20"/>
                <w:szCs w:val="20"/>
                <w:highlight w:val="none"/>
                <w:u w:val="none"/>
                <w:lang w:val="en-US" w:eastAsia="zh-CN" w:bidi="ar"/>
              </w:rPr>
              <w:t>鼓风干燥箱</w:t>
            </w:r>
          </w:p>
        </w:tc>
      </w:tr>
      <w:tr w14:paraId="35B51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 w:hRule="atLeast"/>
        </w:trPr>
        <w:tc>
          <w:tcPr>
            <w:tcW w:w="0" w:type="auto"/>
            <w:gridSpan w:val="4"/>
            <w:tcBorders>
              <w:top w:val="nil"/>
              <w:left w:val="nil"/>
              <w:bottom w:val="nil"/>
              <w:right w:val="nil"/>
            </w:tcBorders>
            <w:shd w:val="clear" w:color="auto" w:fill="auto"/>
            <w:noWrap/>
            <w:vAlign w:val="center"/>
          </w:tcPr>
          <w:p w14:paraId="2A6EEDD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w:t>
            </w:r>
            <w:r>
              <w:rPr>
                <w:rFonts w:hint="eastAsia" w:ascii="宋体" w:hAnsi="宋体" w:eastAsia="宋体" w:cs="宋体"/>
                <w:i w:val="0"/>
                <w:iCs w:val="0"/>
                <w:color w:val="auto"/>
                <w:kern w:val="0"/>
                <w:sz w:val="20"/>
                <w:szCs w:val="20"/>
                <w:highlight w:val="none"/>
                <w:u w:val="none"/>
                <w:lang w:val="en-US" w:eastAsia="zh-CN" w:bidi="ar"/>
              </w:rPr>
              <w:t>鼓风干燥箱</w:t>
            </w:r>
          </w:p>
        </w:tc>
      </w:tr>
      <w:tr w14:paraId="55330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1F18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285A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4243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A49C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技术指标内容</w:t>
            </w:r>
          </w:p>
        </w:tc>
      </w:tr>
      <w:tr w14:paraId="4DDED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972" w:type="dxa"/>
            <w:vMerge w:val="restart"/>
            <w:tcBorders>
              <w:top w:val="nil"/>
              <w:left w:val="single" w:color="000000" w:sz="4" w:space="0"/>
              <w:bottom w:val="nil"/>
              <w:right w:val="single" w:color="000000" w:sz="4" w:space="0"/>
            </w:tcBorders>
            <w:shd w:val="clear" w:color="auto" w:fill="auto"/>
            <w:vAlign w:val="center"/>
          </w:tcPr>
          <w:p w14:paraId="1C351DE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3.主要技术参数</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F133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FE8B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w:t>
            </w:r>
          </w:p>
        </w:tc>
        <w:tc>
          <w:tcPr>
            <w:tcW w:w="5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B68A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工作室内搁架可随用户的要求任意调节高度以及搁架的数量。</w:t>
            </w:r>
          </w:p>
        </w:tc>
      </w:tr>
      <w:tr w14:paraId="433A7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972" w:type="dxa"/>
            <w:vMerge w:val="continue"/>
            <w:tcBorders>
              <w:top w:val="nil"/>
              <w:left w:val="single" w:color="000000" w:sz="4" w:space="0"/>
              <w:bottom w:val="nil"/>
              <w:right w:val="single" w:color="000000" w:sz="4" w:space="0"/>
            </w:tcBorders>
            <w:shd w:val="clear" w:color="auto" w:fill="auto"/>
            <w:vAlign w:val="center"/>
          </w:tcPr>
          <w:p w14:paraId="397AC09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7309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FB46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w:t>
            </w:r>
          </w:p>
        </w:tc>
        <w:tc>
          <w:tcPr>
            <w:tcW w:w="5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EA08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采用耐腐蚀内胆</w:t>
            </w:r>
          </w:p>
        </w:tc>
      </w:tr>
      <w:tr w14:paraId="3588C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972" w:type="dxa"/>
            <w:vMerge w:val="continue"/>
            <w:tcBorders>
              <w:top w:val="nil"/>
              <w:left w:val="single" w:color="000000" w:sz="4" w:space="0"/>
              <w:bottom w:val="nil"/>
              <w:right w:val="single" w:color="000000" w:sz="4" w:space="0"/>
            </w:tcBorders>
            <w:shd w:val="clear" w:color="auto" w:fill="auto"/>
            <w:vAlign w:val="center"/>
          </w:tcPr>
          <w:p w14:paraId="49A278B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77" w:type="dxa"/>
            <w:tcBorders>
              <w:top w:val="nil"/>
              <w:left w:val="nil"/>
              <w:bottom w:val="nil"/>
              <w:right w:val="nil"/>
            </w:tcBorders>
            <w:shd w:val="clear" w:color="auto" w:fill="auto"/>
            <w:noWrap/>
            <w:vAlign w:val="center"/>
          </w:tcPr>
          <w:p w14:paraId="46992D3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E9D9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w:t>
            </w:r>
          </w:p>
        </w:tc>
        <w:tc>
          <w:tcPr>
            <w:tcW w:w="5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8104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容积L 120~140L</w:t>
            </w:r>
          </w:p>
        </w:tc>
      </w:tr>
      <w:tr w14:paraId="4A4C6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972" w:type="dxa"/>
            <w:vMerge w:val="continue"/>
            <w:tcBorders>
              <w:top w:val="nil"/>
              <w:left w:val="single" w:color="000000" w:sz="4" w:space="0"/>
              <w:bottom w:val="nil"/>
              <w:right w:val="single" w:color="000000" w:sz="4" w:space="0"/>
            </w:tcBorders>
            <w:shd w:val="clear" w:color="auto" w:fill="auto"/>
            <w:vAlign w:val="center"/>
          </w:tcPr>
          <w:p w14:paraId="3DA8338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BEB2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1B22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3.4</w:t>
            </w:r>
          </w:p>
        </w:tc>
        <w:tc>
          <w:tcPr>
            <w:tcW w:w="5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36A4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温度控制范围:RT+10～250℃</w:t>
            </w:r>
          </w:p>
        </w:tc>
      </w:tr>
      <w:tr w14:paraId="33A7A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972" w:type="dxa"/>
            <w:vMerge w:val="continue"/>
            <w:tcBorders>
              <w:top w:val="nil"/>
              <w:left w:val="single" w:color="000000" w:sz="4" w:space="0"/>
              <w:bottom w:val="nil"/>
              <w:right w:val="single" w:color="000000" w:sz="4" w:space="0"/>
            </w:tcBorders>
            <w:shd w:val="clear" w:color="auto" w:fill="auto"/>
            <w:vAlign w:val="center"/>
          </w:tcPr>
          <w:p w14:paraId="400D23F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8D6C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7C68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3.5</w:t>
            </w:r>
          </w:p>
        </w:tc>
        <w:tc>
          <w:tcPr>
            <w:tcW w:w="5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C6BD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温度波动度:±2℃ at100</w:t>
            </w:r>
          </w:p>
        </w:tc>
      </w:tr>
      <w:tr w14:paraId="74186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972" w:type="dxa"/>
            <w:vMerge w:val="continue"/>
            <w:tcBorders>
              <w:top w:val="nil"/>
              <w:left w:val="single" w:color="000000" w:sz="4" w:space="0"/>
              <w:bottom w:val="nil"/>
              <w:right w:val="single" w:color="000000" w:sz="4" w:space="0"/>
            </w:tcBorders>
            <w:shd w:val="clear" w:color="auto" w:fill="auto"/>
            <w:vAlign w:val="center"/>
          </w:tcPr>
          <w:p w14:paraId="385D48C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E026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C70B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3.6</w:t>
            </w:r>
          </w:p>
        </w:tc>
        <w:tc>
          <w:tcPr>
            <w:tcW w:w="5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BCA0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温度均匀度:±2℃ at100</w:t>
            </w:r>
          </w:p>
        </w:tc>
      </w:tr>
      <w:tr w14:paraId="4A0DB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972" w:type="dxa"/>
            <w:vMerge w:val="continue"/>
            <w:tcBorders>
              <w:top w:val="nil"/>
              <w:left w:val="single" w:color="000000" w:sz="4" w:space="0"/>
              <w:bottom w:val="nil"/>
              <w:right w:val="single" w:color="000000" w:sz="4" w:space="0"/>
            </w:tcBorders>
            <w:shd w:val="clear" w:color="auto" w:fill="auto"/>
            <w:vAlign w:val="center"/>
          </w:tcPr>
          <w:p w14:paraId="343EE82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C7B3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257A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3.7</w:t>
            </w:r>
          </w:p>
        </w:tc>
        <w:tc>
          <w:tcPr>
            <w:tcW w:w="5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55B9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温度分辨率：0.1℃</w:t>
            </w:r>
          </w:p>
        </w:tc>
      </w:tr>
      <w:tr w14:paraId="2FD23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8168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4.主要配置</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6F8B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0BD0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w:t>
            </w:r>
          </w:p>
        </w:tc>
        <w:tc>
          <w:tcPr>
            <w:tcW w:w="5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AB80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鼓风干燥箱</w:t>
            </w:r>
            <w:r>
              <w:rPr>
                <w:rFonts w:hint="eastAsia" w:ascii="宋体" w:hAnsi="宋体" w:eastAsia="宋体" w:cs="宋体"/>
                <w:i w:val="0"/>
                <w:iCs w:val="0"/>
                <w:color w:val="auto"/>
                <w:kern w:val="0"/>
                <w:sz w:val="20"/>
                <w:szCs w:val="20"/>
                <w:highlight w:val="none"/>
                <w:u w:val="none"/>
                <w:lang w:val="en-US" w:eastAsia="zh-CN" w:bidi="ar"/>
              </w:rPr>
              <w:t>1台</w:t>
            </w:r>
          </w:p>
        </w:tc>
      </w:tr>
    </w:tbl>
    <w:p w14:paraId="5EE6C28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6D78B6C8">
      <w:pPr>
        <w:pStyle w:val="2"/>
        <w:pageBreakBefore w:val="0"/>
        <w:kinsoku/>
        <w:wordWrap w:val="0"/>
        <w:overflowPunct/>
        <w:bidi w:val="0"/>
        <w:rPr>
          <w:rFonts w:hint="eastAsia" w:ascii="宋体" w:hAnsi="宋体" w:eastAsia="宋体" w:cs="宋体"/>
          <w:i w:val="0"/>
          <w:iCs w:val="0"/>
          <w:color w:val="auto"/>
          <w:kern w:val="0"/>
          <w:sz w:val="20"/>
          <w:szCs w:val="20"/>
          <w:highlight w:val="none"/>
          <w:u w:val="none"/>
          <w:lang w:val="zh-CN" w:eastAsia="zh-CN" w:bidi="ar"/>
        </w:rPr>
      </w:pPr>
    </w:p>
    <w:p w14:paraId="040B3FE0">
      <w:pPr>
        <w:pageBreakBefore w:val="0"/>
        <w:kinsoku/>
        <w:wordWrap w:val="0"/>
        <w:overflowPunct/>
        <w:bidi w:val="0"/>
        <w:rPr>
          <w:rFonts w:hint="eastAsia" w:ascii="宋体" w:hAnsi="宋体" w:eastAsia="宋体" w:cs="宋体"/>
          <w:i w:val="0"/>
          <w:iCs w:val="0"/>
          <w:color w:val="auto"/>
          <w:kern w:val="0"/>
          <w:sz w:val="20"/>
          <w:szCs w:val="20"/>
          <w:highlight w:val="none"/>
          <w:u w:val="none"/>
          <w:lang w:val="zh-CN" w:eastAsia="zh-CN" w:bidi="ar"/>
        </w:rPr>
      </w:pPr>
    </w:p>
    <w:p w14:paraId="08BB8B61">
      <w:pPr>
        <w:pStyle w:val="2"/>
        <w:pageBreakBefore w:val="0"/>
        <w:kinsoku/>
        <w:wordWrap w:val="0"/>
        <w:overflowPunct/>
        <w:bidi w:val="0"/>
        <w:rPr>
          <w:rFonts w:hint="eastAsia" w:ascii="宋体" w:hAnsi="宋体" w:eastAsia="宋体" w:cs="宋体"/>
          <w:i w:val="0"/>
          <w:iCs w:val="0"/>
          <w:color w:val="auto"/>
          <w:kern w:val="0"/>
          <w:sz w:val="20"/>
          <w:szCs w:val="20"/>
          <w:highlight w:val="none"/>
          <w:u w:val="none"/>
          <w:lang w:val="zh-CN" w:eastAsia="zh-CN" w:bidi="ar"/>
        </w:rPr>
      </w:pPr>
    </w:p>
    <w:p w14:paraId="78CD16C4">
      <w:pPr>
        <w:pageBreakBefore w:val="0"/>
        <w:kinsoku/>
        <w:wordWrap w:val="0"/>
        <w:overflowPunct/>
        <w:bidi w:val="0"/>
        <w:rPr>
          <w:rFonts w:hint="eastAsia" w:ascii="宋体" w:hAnsi="宋体" w:eastAsia="宋体" w:cs="宋体"/>
          <w:i w:val="0"/>
          <w:iCs w:val="0"/>
          <w:color w:val="auto"/>
          <w:kern w:val="0"/>
          <w:sz w:val="20"/>
          <w:szCs w:val="20"/>
          <w:highlight w:val="none"/>
          <w:u w:val="none"/>
          <w:lang w:val="zh-CN" w:eastAsia="zh-CN" w:bidi="ar"/>
        </w:rPr>
      </w:pPr>
    </w:p>
    <w:p w14:paraId="07A928AD">
      <w:pPr>
        <w:pStyle w:val="2"/>
        <w:pageBreakBefore w:val="0"/>
        <w:kinsoku/>
        <w:wordWrap w:val="0"/>
        <w:overflowPunct/>
        <w:bidi w:val="0"/>
        <w:rPr>
          <w:rFonts w:hint="eastAsia" w:ascii="宋体" w:hAnsi="宋体" w:eastAsia="宋体" w:cs="宋体"/>
          <w:i w:val="0"/>
          <w:iCs w:val="0"/>
          <w:color w:val="auto"/>
          <w:kern w:val="0"/>
          <w:sz w:val="20"/>
          <w:szCs w:val="20"/>
          <w:highlight w:val="none"/>
          <w:u w:val="none"/>
          <w:lang w:val="zh-CN" w:eastAsia="zh-CN" w:bidi="ar"/>
        </w:rPr>
      </w:pPr>
    </w:p>
    <w:p w14:paraId="450E6B66">
      <w:pPr>
        <w:pageBreakBefore w:val="0"/>
        <w:kinsoku/>
        <w:wordWrap w:val="0"/>
        <w:overflowPunct/>
        <w:bidi w:val="0"/>
        <w:rPr>
          <w:rFonts w:hint="eastAsia" w:ascii="宋体" w:hAnsi="宋体" w:eastAsia="宋体" w:cs="宋体"/>
          <w:i w:val="0"/>
          <w:iCs w:val="0"/>
          <w:color w:val="auto"/>
          <w:kern w:val="0"/>
          <w:sz w:val="20"/>
          <w:szCs w:val="20"/>
          <w:highlight w:val="none"/>
          <w:u w:val="none"/>
          <w:lang w:val="zh-CN" w:eastAsia="zh-CN" w:bidi="ar"/>
        </w:rPr>
      </w:pPr>
    </w:p>
    <w:p w14:paraId="5539FFAC">
      <w:pPr>
        <w:pStyle w:val="2"/>
        <w:pageBreakBefore w:val="0"/>
        <w:kinsoku/>
        <w:wordWrap w:val="0"/>
        <w:overflowPunct/>
        <w:bidi w:val="0"/>
        <w:rPr>
          <w:rFonts w:hint="eastAsia"/>
          <w:color w:val="auto"/>
          <w:highlight w:val="none"/>
          <w:lang w:val="zh-CN" w:eastAsia="zh-CN"/>
        </w:rPr>
      </w:pPr>
    </w:p>
    <w:p w14:paraId="55F60858">
      <w:pPr>
        <w:pStyle w:val="2"/>
        <w:pageBreakBefore w:val="0"/>
        <w:kinsoku/>
        <w:wordWrap w:val="0"/>
        <w:overflowPunct/>
        <w:bidi w:val="0"/>
        <w:rPr>
          <w:rFonts w:hint="eastAsia"/>
          <w:color w:val="auto"/>
          <w:highlight w:val="none"/>
          <w:lang w:val="zh-CN" w:eastAsia="zh-CN"/>
        </w:rPr>
      </w:pPr>
    </w:p>
    <w:p w14:paraId="199ABEA1">
      <w:pPr>
        <w:rPr>
          <w:rFonts w:hint="eastAsia"/>
          <w:color w:val="auto"/>
          <w:highlight w:val="none"/>
          <w:lang w:val="zh-CN" w:eastAsia="zh-CN"/>
        </w:rPr>
      </w:pPr>
    </w:p>
    <w:p w14:paraId="366B3637">
      <w:pPr>
        <w:bidi w:val="0"/>
        <w:rPr>
          <w:rFonts w:hint="eastAsia"/>
          <w:color w:val="auto"/>
          <w:highlight w:val="none"/>
          <w:lang w:val="zh-CN" w:eastAsia="zh-CN"/>
        </w:rPr>
      </w:pPr>
    </w:p>
    <w:tbl>
      <w:tblPr>
        <w:tblStyle w:val="38"/>
        <w:tblW w:w="907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73"/>
        <w:gridCol w:w="1368"/>
        <w:gridCol w:w="900"/>
        <w:gridCol w:w="5536"/>
      </w:tblGrid>
      <w:tr w14:paraId="61AF0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077" w:type="dxa"/>
            <w:gridSpan w:val="4"/>
            <w:tcBorders>
              <w:top w:val="nil"/>
              <w:left w:val="nil"/>
              <w:bottom w:val="nil"/>
              <w:right w:val="nil"/>
            </w:tcBorders>
            <w:shd w:val="clear" w:color="auto" w:fill="auto"/>
            <w:vAlign w:val="center"/>
          </w:tcPr>
          <w:p w14:paraId="5C5939F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仪器设备技术参数（十八）</w:t>
            </w:r>
          </w:p>
        </w:tc>
      </w:tr>
      <w:tr w14:paraId="597C6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077" w:type="dxa"/>
            <w:gridSpan w:val="4"/>
            <w:tcBorders>
              <w:top w:val="nil"/>
              <w:left w:val="nil"/>
              <w:bottom w:val="nil"/>
              <w:right w:val="nil"/>
            </w:tcBorders>
            <w:shd w:val="clear" w:color="auto" w:fill="auto"/>
            <w:noWrap/>
            <w:vAlign w:val="center"/>
          </w:tcPr>
          <w:p w14:paraId="4F1E1718">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w:t>
            </w:r>
            <w:r>
              <w:rPr>
                <w:rFonts w:hint="eastAsia" w:ascii="宋体" w:hAnsi="宋体" w:eastAsia="宋体" w:cs="宋体"/>
                <w:i w:val="0"/>
                <w:iCs w:val="0"/>
                <w:color w:val="auto"/>
                <w:kern w:val="0"/>
                <w:sz w:val="20"/>
                <w:szCs w:val="20"/>
                <w:highlight w:val="none"/>
                <w:u w:val="none"/>
                <w:lang w:val="en-US" w:eastAsia="zh-CN" w:bidi="ar"/>
              </w:rPr>
              <w:t>水浴摇床</w:t>
            </w:r>
          </w:p>
        </w:tc>
      </w:tr>
      <w:tr w14:paraId="77C6E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077" w:type="dxa"/>
            <w:gridSpan w:val="4"/>
            <w:tcBorders>
              <w:top w:val="nil"/>
              <w:left w:val="nil"/>
              <w:bottom w:val="nil"/>
              <w:right w:val="nil"/>
            </w:tcBorders>
            <w:shd w:val="clear" w:color="auto" w:fill="auto"/>
            <w:noWrap/>
            <w:vAlign w:val="center"/>
          </w:tcPr>
          <w:p w14:paraId="24E7181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w:t>
            </w:r>
            <w:r>
              <w:rPr>
                <w:rFonts w:hint="eastAsia" w:ascii="宋体" w:hAnsi="宋体" w:eastAsia="宋体" w:cs="宋体"/>
                <w:i w:val="0"/>
                <w:iCs w:val="0"/>
                <w:color w:val="auto"/>
                <w:kern w:val="0"/>
                <w:sz w:val="20"/>
                <w:szCs w:val="20"/>
                <w:highlight w:val="none"/>
                <w:u w:val="none"/>
                <w:lang w:val="en-US" w:eastAsia="zh-CN" w:bidi="ar"/>
              </w:rPr>
              <w:t>水浴摇床</w:t>
            </w:r>
          </w:p>
        </w:tc>
      </w:tr>
      <w:tr w14:paraId="22847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9" w:hRule="atLeast"/>
        </w:trPr>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417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7BFA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C937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6147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技术指标内容</w:t>
            </w:r>
          </w:p>
        </w:tc>
      </w:tr>
      <w:tr w14:paraId="79367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1" w:hRule="atLeast"/>
        </w:trPr>
        <w:tc>
          <w:tcPr>
            <w:tcW w:w="1273" w:type="dxa"/>
            <w:vMerge w:val="restart"/>
            <w:tcBorders>
              <w:top w:val="single" w:color="000000" w:sz="4" w:space="0"/>
              <w:left w:val="single" w:color="000000" w:sz="4" w:space="0"/>
              <w:bottom w:val="nil"/>
              <w:right w:val="single" w:color="000000" w:sz="4" w:space="0"/>
            </w:tcBorders>
            <w:shd w:val="clear" w:color="auto" w:fill="auto"/>
            <w:vAlign w:val="center"/>
          </w:tcPr>
          <w:p w14:paraId="41D9FDC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3.主要技术参数</w:t>
            </w: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E098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3A10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w:t>
            </w:r>
          </w:p>
        </w:tc>
        <w:tc>
          <w:tcPr>
            <w:tcW w:w="5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DCA8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功能：回旋/往复</w:t>
            </w:r>
          </w:p>
        </w:tc>
      </w:tr>
      <w:tr w14:paraId="00403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1" w:hRule="atLeast"/>
        </w:trPr>
        <w:tc>
          <w:tcPr>
            <w:tcW w:w="1273" w:type="dxa"/>
            <w:vMerge w:val="continue"/>
            <w:tcBorders>
              <w:top w:val="single" w:color="000000" w:sz="4" w:space="0"/>
              <w:left w:val="single" w:color="000000" w:sz="4" w:space="0"/>
              <w:bottom w:val="nil"/>
              <w:right w:val="single" w:color="000000" w:sz="4" w:space="0"/>
            </w:tcBorders>
            <w:shd w:val="clear" w:color="auto" w:fill="auto"/>
            <w:vAlign w:val="center"/>
          </w:tcPr>
          <w:p w14:paraId="29B3468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8AA9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02A2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w:t>
            </w:r>
          </w:p>
        </w:tc>
        <w:tc>
          <w:tcPr>
            <w:tcW w:w="5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3DEA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控温范围：RT+5~100℃</w:t>
            </w:r>
          </w:p>
        </w:tc>
      </w:tr>
      <w:tr w14:paraId="77EF6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1273" w:type="dxa"/>
            <w:vMerge w:val="continue"/>
            <w:tcBorders>
              <w:top w:val="single" w:color="000000" w:sz="4" w:space="0"/>
              <w:left w:val="single" w:color="000000" w:sz="4" w:space="0"/>
              <w:bottom w:val="nil"/>
              <w:right w:val="single" w:color="000000" w:sz="4" w:space="0"/>
            </w:tcBorders>
            <w:shd w:val="clear" w:color="auto" w:fill="auto"/>
            <w:vAlign w:val="center"/>
          </w:tcPr>
          <w:p w14:paraId="5071EAB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1174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DA8E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w:t>
            </w:r>
          </w:p>
        </w:tc>
        <w:tc>
          <w:tcPr>
            <w:tcW w:w="5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EC81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控温均匀度：≤±0.5℃</w:t>
            </w:r>
          </w:p>
        </w:tc>
      </w:tr>
      <w:tr w14:paraId="2E31B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1273" w:type="dxa"/>
            <w:vMerge w:val="continue"/>
            <w:tcBorders>
              <w:top w:val="single" w:color="000000" w:sz="4" w:space="0"/>
              <w:left w:val="single" w:color="000000" w:sz="4" w:space="0"/>
              <w:bottom w:val="nil"/>
              <w:right w:val="single" w:color="000000" w:sz="4" w:space="0"/>
            </w:tcBorders>
            <w:shd w:val="clear" w:color="auto" w:fill="auto"/>
            <w:vAlign w:val="center"/>
          </w:tcPr>
          <w:p w14:paraId="1860AC5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68" w:type="dxa"/>
            <w:tcBorders>
              <w:top w:val="nil"/>
              <w:left w:val="nil"/>
              <w:bottom w:val="nil"/>
              <w:right w:val="nil"/>
            </w:tcBorders>
            <w:shd w:val="clear" w:color="auto" w:fill="auto"/>
            <w:noWrap/>
            <w:vAlign w:val="center"/>
          </w:tcPr>
          <w:p w14:paraId="05F6FA2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69D7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3.4</w:t>
            </w:r>
          </w:p>
        </w:tc>
        <w:tc>
          <w:tcPr>
            <w:tcW w:w="5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A634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振荡频率：40~300rpm</w:t>
            </w:r>
          </w:p>
        </w:tc>
      </w:tr>
      <w:tr w14:paraId="02952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1273" w:type="dxa"/>
            <w:vMerge w:val="continue"/>
            <w:tcBorders>
              <w:top w:val="single" w:color="000000" w:sz="4" w:space="0"/>
              <w:left w:val="single" w:color="000000" w:sz="4" w:space="0"/>
              <w:bottom w:val="nil"/>
              <w:right w:val="single" w:color="000000" w:sz="4" w:space="0"/>
            </w:tcBorders>
            <w:shd w:val="clear" w:color="auto" w:fill="auto"/>
            <w:vAlign w:val="center"/>
          </w:tcPr>
          <w:p w14:paraId="1E6E6AF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0CD3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E85D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3.5</w:t>
            </w:r>
          </w:p>
        </w:tc>
        <w:tc>
          <w:tcPr>
            <w:tcW w:w="5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C47B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转速振幅：启动0~300r/min</w:t>
            </w:r>
          </w:p>
        </w:tc>
      </w:tr>
      <w:tr w14:paraId="3749C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1273" w:type="dxa"/>
            <w:vMerge w:val="continue"/>
            <w:tcBorders>
              <w:top w:val="single" w:color="000000" w:sz="4" w:space="0"/>
              <w:left w:val="single" w:color="000000" w:sz="4" w:space="0"/>
              <w:bottom w:val="nil"/>
              <w:right w:val="single" w:color="000000" w:sz="4" w:space="0"/>
            </w:tcBorders>
            <w:shd w:val="clear" w:color="auto" w:fill="auto"/>
            <w:vAlign w:val="center"/>
          </w:tcPr>
          <w:p w14:paraId="1A02B3C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CCC4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22C9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3.6</w:t>
            </w:r>
          </w:p>
        </w:tc>
        <w:tc>
          <w:tcPr>
            <w:tcW w:w="5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CC58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振荡幅度：20mm</w:t>
            </w:r>
          </w:p>
        </w:tc>
      </w:tr>
      <w:tr w14:paraId="27D64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1273" w:type="dxa"/>
            <w:vMerge w:val="continue"/>
            <w:tcBorders>
              <w:top w:val="single" w:color="000000" w:sz="4" w:space="0"/>
              <w:left w:val="single" w:color="000000" w:sz="4" w:space="0"/>
              <w:bottom w:val="nil"/>
              <w:right w:val="single" w:color="000000" w:sz="4" w:space="0"/>
            </w:tcBorders>
            <w:shd w:val="clear" w:color="auto" w:fill="auto"/>
            <w:vAlign w:val="center"/>
          </w:tcPr>
          <w:p w14:paraId="2D54A6A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C2E3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106B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3.7</w:t>
            </w:r>
          </w:p>
        </w:tc>
        <w:tc>
          <w:tcPr>
            <w:tcW w:w="5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2409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定时范围：0~120min</w:t>
            </w:r>
          </w:p>
        </w:tc>
      </w:tr>
      <w:tr w14:paraId="2C6BF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E3E0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4.主要配置</w:t>
            </w: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26F4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C617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w:t>
            </w:r>
          </w:p>
        </w:tc>
        <w:tc>
          <w:tcPr>
            <w:tcW w:w="5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28E8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水浴摇床1台</w:t>
            </w:r>
          </w:p>
        </w:tc>
      </w:tr>
    </w:tbl>
    <w:p w14:paraId="3A4241E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2B72B979">
      <w:pPr>
        <w:pStyle w:val="2"/>
        <w:pageBreakBefore w:val="0"/>
        <w:kinsoku/>
        <w:wordWrap w:val="0"/>
        <w:overflowPunct/>
        <w:bidi w:val="0"/>
        <w:rPr>
          <w:rFonts w:hint="eastAsia" w:ascii="宋体" w:hAnsi="宋体" w:eastAsia="宋体" w:cs="宋体"/>
          <w:i w:val="0"/>
          <w:iCs w:val="0"/>
          <w:color w:val="auto"/>
          <w:kern w:val="0"/>
          <w:sz w:val="20"/>
          <w:szCs w:val="20"/>
          <w:highlight w:val="none"/>
          <w:u w:val="none"/>
          <w:lang w:val="zh-CN" w:eastAsia="zh-CN" w:bidi="ar"/>
        </w:rPr>
      </w:pPr>
    </w:p>
    <w:p w14:paraId="2708B160">
      <w:pPr>
        <w:pageBreakBefore w:val="0"/>
        <w:kinsoku/>
        <w:wordWrap w:val="0"/>
        <w:overflowPunct/>
        <w:bidi w:val="0"/>
        <w:rPr>
          <w:rFonts w:hint="eastAsia" w:ascii="宋体" w:hAnsi="宋体" w:eastAsia="宋体" w:cs="宋体"/>
          <w:i w:val="0"/>
          <w:iCs w:val="0"/>
          <w:color w:val="auto"/>
          <w:kern w:val="0"/>
          <w:sz w:val="20"/>
          <w:szCs w:val="20"/>
          <w:highlight w:val="none"/>
          <w:u w:val="none"/>
          <w:lang w:val="zh-CN" w:eastAsia="zh-CN" w:bidi="ar"/>
        </w:rPr>
      </w:pPr>
    </w:p>
    <w:p w14:paraId="5BAC774B">
      <w:pPr>
        <w:pStyle w:val="2"/>
        <w:pageBreakBefore w:val="0"/>
        <w:kinsoku/>
        <w:wordWrap w:val="0"/>
        <w:overflowPunct/>
        <w:bidi w:val="0"/>
        <w:rPr>
          <w:rFonts w:hint="eastAsia" w:ascii="宋体" w:hAnsi="宋体" w:eastAsia="宋体" w:cs="宋体"/>
          <w:i w:val="0"/>
          <w:iCs w:val="0"/>
          <w:color w:val="auto"/>
          <w:kern w:val="0"/>
          <w:sz w:val="20"/>
          <w:szCs w:val="20"/>
          <w:highlight w:val="none"/>
          <w:u w:val="none"/>
          <w:lang w:val="zh-CN" w:eastAsia="zh-CN" w:bidi="ar"/>
        </w:rPr>
      </w:pPr>
    </w:p>
    <w:p w14:paraId="4338D753">
      <w:pPr>
        <w:pageBreakBefore w:val="0"/>
        <w:kinsoku/>
        <w:wordWrap w:val="0"/>
        <w:overflowPunct/>
        <w:bidi w:val="0"/>
        <w:rPr>
          <w:rFonts w:hint="eastAsia" w:ascii="宋体" w:hAnsi="宋体" w:eastAsia="宋体" w:cs="宋体"/>
          <w:i w:val="0"/>
          <w:iCs w:val="0"/>
          <w:color w:val="auto"/>
          <w:kern w:val="0"/>
          <w:sz w:val="20"/>
          <w:szCs w:val="20"/>
          <w:highlight w:val="none"/>
          <w:u w:val="none"/>
          <w:lang w:val="zh-CN" w:eastAsia="zh-CN" w:bidi="ar"/>
        </w:rPr>
      </w:pPr>
    </w:p>
    <w:p w14:paraId="5A788603">
      <w:pPr>
        <w:pStyle w:val="2"/>
        <w:pageBreakBefore w:val="0"/>
        <w:kinsoku/>
        <w:wordWrap w:val="0"/>
        <w:overflowPunct/>
        <w:bidi w:val="0"/>
        <w:rPr>
          <w:rFonts w:hint="eastAsia" w:ascii="宋体" w:hAnsi="宋体" w:eastAsia="宋体" w:cs="宋体"/>
          <w:i w:val="0"/>
          <w:iCs w:val="0"/>
          <w:color w:val="auto"/>
          <w:kern w:val="0"/>
          <w:sz w:val="20"/>
          <w:szCs w:val="20"/>
          <w:highlight w:val="none"/>
          <w:u w:val="none"/>
          <w:lang w:val="zh-CN" w:eastAsia="zh-CN" w:bidi="ar"/>
        </w:rPr>
      </w:pPr>
    </w:p>
    <w:p w14:paraId="1CB177C3">
      <w:pPr>
        <w:pageBreakBefore w:val="0"/>
        <w:kinsoku/>
        <w:wordWrap w:val="0"/>
        <w:overflowPunct/>
        <w:bidi w:val="0"/>
        <w:rPr>
          <w:rFonts w:hint="eastAsia" w:ascii="宋体" w:hAnsi="宋体" w:eastAsia="宋体" w:cs="宋体"/>
          <w:i w:val="0"/>
          <w:iCs w:val="0"/>
          <w:color w:val="auto"/>
          <w:kern w:val="0"/>
          <w:sz w:val="20"/>
          <w:szCs w:val="20"/>
          <w:highlight w:val="none"/>
          <w:u w:val="none"/>
          <w:lang w:val="zh-CN" w:eastAsia="zh-CN" w:bidi="ar"/>
        </w:rPr>
      </w:pPr>
    </w:p>
    <w:p w14:paraId="1D9292C1">
      <w:pPr>
        <w:pStyle w:val="2"/>
        <w:rPr>
          <w:rFonts w:hint="eastAsia"/>
          <w:color w:val="auto"/>
          <w:highlight w:val="none"/>
          <w:lang w:val="zh-CN" w:eastAsia="zh-CN"/>
        </w:rPr>
      </w:pPr>
    </w:p>
    <w:p w14:paraId="7E2D4CB1">
      <w:pPr>
        <w:rPr>
          <w:rFonts w:hint="eastAsia"/>
          <w:color w:val="auto"/>
          <w:highlight w:val="none"/>
          <w:lang w:val="zh-CN" w:eastAsia="zh-CN"/>
        </w:rPr>
      </w:pPr>
    </w:p>
    <w:p w14:paraId="46209469">
      <w:pPr>
        <w:pStyle w:val="13"/>
        <w:rPr>
          <w:rFonts w:hint="eastAsia"/>
          <w:color w:val="auto"/>
          <w:highlight w:val="none"/>
          <w:lang w:val="zh-CN" w:eastAsia="zh-CN"/>
        </w:rPr>
      </w:pPr>
    </w:p>
    <w:p w14:paraId="28B190B4">
      <w:pPr>
        <w:rPr>
          <w:rFonts w:hint="eastAsia"/>
          <w:color w:val="auto"/>
          <w:highlight w:val="none"/>
          <w:lang w:val="zh-CN" w:eastAsia="zh-CN"/>
        </w:rPr>
      </w:pPr>
    </w:p>
    <w:tbl>
      <w:tblPr>
        <w:tblStyle w:val="38"/>
        <w:tblW w:w="898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45"/>
        <w:gridCol w:w="1344"/>
        <w:gridCol w:w="924"/>
        <w:gridCol w:w="5367"/>
      </w:tblGrid>
      <w:tr w14:paraId="6454F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980" w:type="dxa"/>
            <w:gridSpan w:val="4"/>
            <w:tcBorders>
              <w:top w:val="nil"/>
              <w:left w:val="nil"/>
              <w:bottom w:val="nil"/>
              <w:right w:val="nil"/>
            </w:tcBorders>
            <w:shd w:val="clear" w:color="auto" w:fill="auto"/>
            <w:vAlign w:val="center"/>
          </w:tcPr>
          <w:p w14:paraId="506EF134">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仪器设备技术参数（十九）</w:t>
            </w:r>
          </w:p>
        </w:tc>
      </w:tr>
      <w:tr w14:paraId="4D7BF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980" w:type="dxa"/>
            <w:gridSpan w:val="4"/>
            <w:tcBorders>
              <w:top w:val="nil"/>
              <w:left w:val="nil"/>
              <w:bottom w:val="nil"/>
              <w:right w:val="nil"/>
            </w:tcBorders>
            <w:shd w:val="clear" w:color="auto" w:fill="auto"/>
            <w:noWrap/>
            <w:vAlign w:val="center"/>
          </w:tcPr>
          <w:p w14:paraId="0B83DDE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w:t>
            </w:r>
            <w:r>
              <w:rPr>
                <w:rFonts w:hint="eastAsia" w:ascii="宋体" w:hAnsi="宋体" w:eastAsia="宋体" w:cs="宋体"/>
                <w:i w:val="0"/>
                <w:iCs w:val="0"/>
                <w:color w:val="auto"/>
                <w:kern w:val="0"/>
                <w:sz w:val="20"/>
                <w:szCs w:val="20"/>
                <w:highlight w:val="none"/>
                <w:u w:val="none"/>
                <w:lang w:val="en-US" w:eastAsia="zh-CN" w:bidi="ar"/>
              </w:rPr>
              <w:t>粉碎机</w:t>
            </w:r>
          </w:p>
        </w:tc>
      </w:tr>
      <w:tr w14:paraId="3DC11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8980" w:type="dxa"/>
            <w:gridSpan w:val="4"/>
            <w:tcBorders>
              <w:top w:val="nil"/>
              <w:left w:val="nil"/>
              <w:bottom w:val="nil"/>
              <w:right w:val="nil"/>
            </w:tcBorders>
            <w:shd w:val="clear" w:color="auto" w:fill="auto"/>
            <w:noWrap/>
            <w:vAlign w:val="center"/>
          </w:tcPr>
          <w:p w14:paraId="6120FFB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w:t>
            </w:r>
            <w:r>
              <w:rPr>
                <w:rFonts w:hint="eastAsia" w:ascii="宋体" w:hAnsi="宋体" w:eastAsia="宋体" w:cs="宋体"/>
                <w:i w:val="0"/>
                <w:iCs w:val="0"/>
                <w:color w:val="auto"/>
                <w:kern w:val="0"/>
                <w:sz w:val="20"/>
                <w:szCs w:val="20"/>
                <w:highlight w:val="none"/>
                <w:u w:val="none"/>
                <w:lang w:val="en-US" w:eastAsia="zh-CN" w:bidi="ar"/>
              </w:rPr>
              <w:t>粉碎机</w:t>
            </w:r>
          </w:p>
        </w:tc>
      </w:tr>
      <w:tr w14:paraId="15623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B9B1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6B0E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789C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B1CE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技术指标内容</w:t>
            </w:r>
          </w:p>
        </w:tc>
      </w:tr>
      <w:tr w14:paraId="0A514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345" w:type="dxa"/>
            <w:vMerge w:val="restart"/>
            <w:tcBorders>
              <w:top w:val="single" w:color="000000" w:sz="4" w:space="0"/>
              <w:left w:val="single" w:color="000000" w:sz="4" w:space="0"/>
              <w:bottom w:val="nil"/>
              <w:right w:val="single" w:color="000000" w:sz="4" w:space="0"/>
            </w:tcBorders>
            <w:shd w:val="clear" w:color="auto" w:fill="auto"/>
            <w:vAlign w:val="center"/>
          </w:tcPr>
          <w:p w14:paraId="4869B35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3.主要技术参数</w:t>
            </w: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8D00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365C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w:t>
            </w:r>
          </w:p>
        </w:tc>
        <w:tc>
          <w:tcPr>
            <w:tcW w:w="5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3EE2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转速：不低于30000r/min</w:t>
            </w:r>
          </w:p>
        </w:tc>
      </w:tr>
      <w:tr w14:paraId="3C2F6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8" w:hRule="atLeast"/>
        </w:trPr>
        <w:tc>
          <w:tcPr>
            <w:tcW w:w="1345" w:type="dxa"/>
            <w:vMerge w:val="continue"/>
            <w:tcBorders>
              <w:top w:val="single" w:color="000000" w:sz="4" w:space="0"/>
              <w:left w:val="single" w:color="000000" w:sz="4" w:space="0"/>
              <w:bottom w:val="nil"/>
              <w:right w:val="single" w:color="000000" w:sz="4" w:space="0"/>
            </w:tcBorders>
            <w:shd w:val="clear" w:color="auto" w:fill="auto"/>
            <w:vAlign w:val="center"/>
          </w:tcPr>
          <w:p w14:paraId="51CB41E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BB6F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90DE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w:t>
            </w:r>
          </w:p>
        </w:tc>
        <w:tc>
          <w:tcPr>
            <w:tcW w:w="5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E109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工作时间：0-5分钟</w:t>
            </w:r>
          </w:p>
        </w:tc>
      </w:tr>
      <w:tr w14:paraId="55421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345" w:type="dxa"/>
            <w:vMerge w:val="continue"/>
            <w:tcBorders>
              <w:top w:val="single" w:color="000000" w:sz="4" w:space="0"/>
              <w:left w:val="single" w:color="000000" w:sz="4" w:space="0"/>
              <w:bottom w:val="nil"/>
              <w:right w:val="single" w:color="000000" w:sz="4" w:space="0"/>
            </w:tcBorders>
            <w:shd w:val="clear" w:color="auto" w:fill="auto"/>
            <w:vAlign w:val="center"/>
          </w:tcPr>
          <w:p w14:paraId="0FEB735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79BB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05FF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w:t>
            </w:r>
          </w:p>
        </w:tc>
        <w:tc>
          <w:tcPr>
            <w:tcW w:w="5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4CC5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粉碎程度：70-300目</w:t>
            </w:r>
          </w:p>
        </w:tc>
      </w:tr>
      <w:tr w14:paraId="1F8C6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D06B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4.主要配置</w:t>
            </w: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953A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C8CC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w:t>
            </w:r>
          </w:p>
        </w:tc>
        <w:tc>
          <w:tcPr>
            <w:tcW w:w="5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D301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粉碎机1台</w:t>
            </w:r>
          </w:p>
        </w:tc>
      </w:tr>
    </w:tbl>
    <w:p w14:paraId="02D8A02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232EE2FA">
      <w:pPr>
        <w:pStyle w:val="2"/>
        <w:pageBreakBefore w:val="0"/>
        <w:kinsoku/>
        <w:wordWrap w:val="0"/>
        <w:overflowPunct/>
        <w:bidi w:val="0"/>
        <w:rPr>
          <w:rFonts w:hint="eastAsia" w:ascii="宋体" w:hAnsi="宋体" w:eastAsia="宋体" w:cs="宋体"/>
          <w:i w:val="0"/>
          <w:iCs w:val="0"/>
          <w:color w:val="auto"/>
          <w:kern w:val="0"/>
          <w:sz w:val="20"/>
          <w:szCs w:val="20"/>
          <w:highlight w:val="none"/>
          <w:u w:val="none"/>
          <w:lang w:val="zh-CN" w:eastAsia="zh-CN" w:bidi="ar"/>
        </w:rPr>
      </w:pPr>
    </w:p>
    <w:p w14:paraId="1B56DF7F">
      <w:pPr>
        <w:pageBreakBefore w:val="0"/>
        <w:kinsoku/>
        <w:wordWrap w:val="0"/>
        <w:overflowPunct/>
        <w:bidi w:val="0"/>
        <w:rPr>
          <w:rFonts w:hint="eastAsia" w:ascii="宋体" w:hAnsi="宋体" w:eastAsia="宋体" w:cs="宋体"/>
          <w:i w:val="0"/>
          <w:iCs w:val="0"/>
          <w:color w:val="auto"/>
          <w:kern w:val="0"/>
          <w:sz w:val="20"/>
          <w:szCs w:val="20"/>
          <w:highlight w:val="none"/>
          <w:u w:val="none"/>
          <w:lang w:val="zh-CN" w:eastAsia="zh-CN" w:bidi="ar"/>
        </w:rPr>
      </w:pPr>
    </w:p>
    <w:p w14:paraId="4C802993">
      <w:pPr>
        <w:pStyle w:val="2"/>
        <w:pageBreakBefore w:val="0"/>
        <w:kinsoku/>
        <w:wordWrap w:val="0"/>
        <w:overflowPunct/>
        <w:bidi w:val="0"/>
        <w:rPr>
          <w:rFonts w:hint="eastAsia" w:ascii="宋体" w:hAnsi="宋体" w:eastAsia="宋体" w:cs="宋体"/>
          <w:i w:val="0"/>
          <w:iCs w:val="0"/>
          <w:color w:val="auto"/>
          <w:kern w:val="0"/>
          <w:sz w:val="20"/>
          <w:szCs w:val="20"/>
          <w:highlight w:val="none"/>
          <w:u w:val="none"/>
          <w:lang w:val="zh-CN" w:eastAsia="zh-CN" w:bidi="ar"/>
        </w:rPr>
      </w:pPr>
    </w:p>
    <w:p w14:paraId="2AA53CCC">
      <w:pPr>
        <w:pageBreakBefore w:val="0"/>
        <w:kinsoku/>
        <w:wordWrap w:val="0"/>
        <w:overflowPunct/>
        <w:bidi w:val="0"/>
        <w:rPr>
          <w:rFonts w:hint="eastAsia" w:ascii="宋体" w:hAnsi="宋体" w:eastAsia="宋体" w:cs="宋体"/>
          <w:i w:val="0"/>
          <w:iCs w:val="0"/>
          <w:color w:val="auto"/>
          <w:kern w:val="0"/>
          <w:sz w:val="20"/>
          <w:szCs w:val="20"/>
          <w:highlight w:val="none"/>
          <w:u w:val="none"/>
          <w:lang w:val="zh-CN" w:eastAsia="zh-CN" w:bidi="ar"/>
        </w:rPr>
      </w:pPr>
    </w:p>
    <w:p w14:paraId="72712A37">
      <w:pPr>
        <w:pStyle w:val="2"/>
        <w:pageBreakBefore w:val="0"/>
        <w:kinsoku/>
        <w:wordWrap w:val="0"/>
        <w:overflowPunct/>
        <w:bidi w:val="0"/>
        <w:rPr>
          <w:rFonts w:hint="eastAsia" w:ascii="宋体" w:hAnsi="宋体" w:eastAsia="宋体" w:cs="宋体"/>
          <w:i w:val="0"/>
          <w:iCs w:val="0"/>
          <w:color w:val="auto"/>
          <w:kern w:val="0"/>
          <w:sz w:val="20"/>
          <w:szCs w:val="20"/>
          <w:highlight w:val="none"/>
          <w:u w:val="none"/>
          <w:lang w:val="zh-CN" w:eastAsia="zh-CN" w:bidi="ar"/>
        </w:rPr>
      </w:pPr>
    </w:p>
    <w:p w14:paraId="5D1EBB51">
      <w:pPr>
        <w:pageBreakBefore w:val="0"/>
        <w:kinsoku/>
        <w:wordWrap w:val="0"/>
        <w:overflowPunct/>
        <w:bidi w:val="0"/>
        <w:rPr>
          <w:rFonts w:hint="eastAsia" w:ascii="宋体" w:hAnsi="宋体" w:eastAsia="宋体" w:cs="宋体"/>
          <w:i w:val="0"/>
          <w:iCs w:val="0"/>
          <w:color w:val="auto"/>
          <w:kern w:val="0"/>
          <w:sz w:val="20"/>
          <w:szCs w:val="20"/>
          <w:highlight w:val="none"/>
          <w:u w:val="none"/>
          <w:lang w:val="zh-CN" w:eastAsia="zh-CN" w:bidi="ar"/>
        </w:rPr>
      </w:pPr>
    </w:p>
    <w:p w14:paraId="075CD09A">
      <w:pPr>
        <w:pStyle w:val="2"/>
        <w:pageBreakBefore w:val="0"/>
        <w:kinsoku/>
        <w:wordWrap w:val="0"/>
        <w:overflowPunct/>
        <w:bidi w:val="0"/>
        <w:rPr>
          <w:rFonts w:hint="eastAsia" w:ascii="宋体" w:hAnsi="宋体" w:eastAsia="宋体" w:cs="宋体"/>
          <w:i w:val="0"/>
          <w:iCs w:val="0"/>
          <w:color w:val="auto"/>
          <w:kern w:val="0"/>
          <w:sz w:val="20"/>
          <w:szCs w:val="20"/>
          <w:highlight w:val="none"/>
          <w:u w:val="none"/>
          <w:lang w:val="zh-CN" w:eastAsia="zh-CN" w:bidi="ar"/>
        </w:rPr>
      </w:pPr>
    </w:p>
    <w:p w14:paraId="63F7038F">
      <w:pPr>
        <w:pStyle w:val="2"/>
        <w:pageBreakBefore w:val="0"/>
        <w:kinsoku/>
        <w:wordWrap w:val="0"/>
        <w:overflowPunct/>
        <w:bidi w:val="0"/>
        <w:rPr>
          <w:rFonts w:hint="eastAsia"/>
          <w:color w:val="auto"/>
          <w:highlight w:val="none"/>
          <w:lang w:val="zh-CN" w:eastAsia="zh-CN"/>
        </w:rPr>
      </w:pPr>
    </w:p>
    <w:p w14:paraId="34B07489">
      <w:pPr>
        <w:rPr>
          <w:rFonts w:hint="eastAsia"/>
          <w:color w:val="auto"/>
          <w:highlight w:val="none"/>
          <w:lang w:val="zh-CN" w:eastAsia="zh-CN"/>
        </w:rPr>
      </w:pPr>
    </w:p>
    <w:p w14:paraId="3ACE64C7">
      <w:pPr>
        <w:pStyle w:val="2"/>
        <w:rPr>
          <w:rFonts w:hint="eastAsia"/>
          <w:color w:val="auto"/>
          <w:highlight w:val="none"/>
          <w:lang w:val="zh-CN" w:eastAsia="zh-CN"/>
        </w:rPr>
      </w:pPr>
    </w:p>
    <w:p w14:paraId="4F4CBFAA">
      <w:pPr>
        <w:rPr>
          <w:rFonts w:hint="eastAsia"/>
          <w:color w:val="auto"/>
          <w:highlight w:val="none"/>
          <w:lang w:val="zh-CN" w:eastAsia="zh-CN"/>
        </w:rPr>
      </w:pPr>
    </w:p>
    <w:tbl>
      <w:tblPr>
        <w:tblStyle w:val="38"/>
        <w:tblW w:w="892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20"/>
        <w:gridCol w:w="1373"/>
        <w:gridCol w:w="972"/>
        <w:gridCol w:w="5364"/>
      </w:tblGrid>
      <w:tr w14:paraId="0AB11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929" w:type="dxa"/>
            <w:gridSpan w:val="4"/>
            <w:tcBorders>
              <w:top w:val="nil"/>
              <w:left w:val="nil"/>
              <w:bottom w:val="nil"/>
              <w:right w:val="nil"/>
            </w:tcBorders>
            <w:shd w:val="clear" w:color="auto" w:fill="auto"/>
            <w:vAlign w:val="center"/>
          </w:tcPr>
          <w:p w14:paraId="3F6BAA5D">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仪器设备技术参数（二十）</w:t>
            </w:r>
          </w:p>
        </w:tc>
      </w:tr>
      <w:tr w14:paraId="5B2DA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 w:hRule="atLeast"/>
        </w:trPr>
        <w:tc>
          <w:tcPr>
            <w:tcW w:w="8929" w:type="dxa"/>
            <w:gridSpan w:val="4"/>
            <w:tcBorders>
              <w:top w:val="nil"/>
              <w:left w:val="nil"/>
              <w:bottom w:val="nil"/>
              <w:right w:val="nil"/>
            </w:tcBorders>
            <w:shd w:val="clear" w:color="auto" w:fill="auto"/>
            <w:noWrap/>
            <w:vAlign w:val="center"/>
          </w:tcPr>
          <w:p w14:paraId="0E0BD4B1">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w:t>
            </w:r>
            <w:r>
              <w:rPr>
                <w:rFonts w:hint="eastAsia" w:ascii="宋体" w:hAnsi="宋体" w:eastAsia="宋体" w:cs="宋体"/>
                <w:i w:val="0"/>
                <w:iCs w:val="0"/>
                <w:color w:val="auto"/>
                <w:kern w:val="0"/>
                <w:sz w:val="20"/>
                <w:szCs w:val="20"/>
                <w:highlight w:val="none"/>
                <w:u w:val="none"/>
                <w:lang w:val="en-US" w:eastAsia="zh-CN" w:bidi="ar"/>
              </w:rPr>
              <w:t>台式低速离心机</w:t>
            </w:r>
          </w:p>
        </w:tc>
      </w:tr>
      <w:tr w14:paraId="2B3AC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 w:hRule="atLeast"/>
        </w:trPr>
        <w:tc>
          <w:tcPr>
            <w:tcW w:w="8929" w:type="dxa"/>
            <w:gridSpan w:val="4"/>
            <w:tcBorders>
              <w:top w:val="nil"/>
              <w:left w:val="nil"/>
              <w:bottom w:val="nil"/>
              <w:right w:val="nil"/>
            </w:tcBorders>
            <w:shd w:val="clear" w:color="auto" w:fill="auto"/>
            <w:noWrap/>
            <w:vAlign w:val="center"/>
          </w:tcPr>
          <w:p w14:paraId="0EB8F0C1">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w:t>
            </w:r>
            <w:r>
              <w:rPr>
                <w:rFonts w:hint="eastAsia" w:ascii="宋体" w:hAnsi="宋体" w:eastAsia="宋体" w:cs="宋体"/>
                <w:i w:val="0"/>
                <w:iCs w:val="0"/>
                <w:color w:val="auto"/>
                <w:kern w:val="0"/>
                <w:sz w:val="20"/>
                <w:szCs w:val="20"/>
                <w:highlight w:val="none"/>
                <w:u w:val="none"/>
                <w:lang w:val="en-US" w:eastAsia="zh-CN" w:bidi="ar"/>
              </w:rPr>
              <w:t>台式低速离心机</w:t>
            </w:r>
          </w:p>
        </w:tc>
      </w:tr>
      <w:tr w14:paraId="3864A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F923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4406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C3B7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320B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技术指标内容</w:t>
            </w:r>
          </w:p>
        </w:tc>
      </w:tr>
      <w:tr w14:paraId="1C7AC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1220" w:type="dxa"/>
            <w:vMerge w:val="restart"/>
            <w:tcBorders>
              <w:top w:val="single" w:color="000000" w:sz="4" w:space="0"/>
              <w:left w:val="single" w:color="000000" w:sz="4" w:space="0"/>
              <w:bottom w:val="nil"/>
              <w:right w:val="single" w:color="000000" w:sz="4" w:space="0"/>
            </w:tcBorders>
            <w:shd w:val="clear" w:color="auto" w:fill="auto"/>
            <w:vAlign w:val="center"/>
          </w:tcPr>
          <w:p w14:paraId="2F2F6D6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3.主要技术参数</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332F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1528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3.1</w:t>
            </w:r>
          </w:p>
        </w:tc>
        <w:tc>
          <w:tcPr>
            <w:tcW w:w="5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7A7A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最高转速最低≥ 5000rpm</w:t>
            </w:r>
          </w:p>
        </w:tc>
      </w:tr>
      <w:tr w14:paraId="3A7D2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1220" w:type="dxa"/>
            <w:vMerge w:val="continue"/>
            <w:tcBorders>
              <w:top w:val="single" w:color="000000" w:sz="4" w:space="0"/>
              <w:left w:val="single" w:color="000000" w:sz="4" w:space="0"/>
              <w:bottom w:val="nil"/>
              <w:right w:val="single" w:color="000000" w:sz="4" w:space="0"/>
            </w:tcBorders>
            <w:shd w:val="clear" w:color="auto" w:fill="auto"/>
            <w:vAlign w:val="center"/>
          </w:tcPr>
          <w:p w14:paraId="0D48C4D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9426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A6FC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3.2</w:t>
            </w:r>
          </w:p>
        </w:tc>
        <w:tc>
          <w:tcPr>
            <w:tcW w:w="5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A3DE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最大相对离心力 ≥4000×g</w:t>
            </w:r>
          </w:p>
        </w:tc>
      </w:tr>
      <w:tr w14:paraId="73F2D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1220" w:type="dxa"/>
            <w:vMerge w:val="continue"/>
            <w:tcBorders>
              <w:top w:val="single" w:color="000000" w:sz="4" w:space="0"/>
              <w:left w:val="single" w:color="000000" w:sz="4" w:space="0"/>
              <w:bottom w:val="nil"/>
              <w:right w:val="single" w:color="000000" w:sz="4" w:space="0"/>
            </w:tcBorders>
            <w:shd w:val="clear" w:color="auto" w:fill="auto"/>
            <w:vAlign w:val="center"/>
          </w:tcPr>
          <w:p w14:paraId="56EC831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16E4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1F9D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3.3</w:t>
            </w:r>
          </w:p>
        </w:tc>
        <w:tc>
          <w:tcPr>
            <w:tcW w:w="5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E093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最大容量 4×250ml（可更换多种不同尺寸的离心架）</w:t>
            </w:r>
          </w:p>
        </w:tc>
      </w:tr>
      <w:tr w14:paraId="3171D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1220" w:type="dxa"/>
            <w:vMerge w:val="continue"/>
            <w:tcBorders>
              <w:top w:val="single" w:color="000000" w:sz="4" w:space="0"/>
              <w:left w:val="single" w:color="000000" w:sz="4" w:space="0"/>
              <w:bottom w:val="nil"/>
              <w:right w:val="single" w:color="000000" w:sz="4" w:space="0"/>
            </w:tcBorders>
            <w:shd w:val="clear" w:color="auto" w:fill="auto"/>
            <w:vAlign w:val="center"/>
          </w:tcPr>
          <w:p w14:paraId="11FBD9B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73" w:type="dxa"/>
            <w:tcBorders>
              <w:top w:val="nil"/>
              <w:left w:val="nil"/>
              <w:bottom w:val="nil"/>
              <w:right w:val="nil"/>
            </w:tcBorders>
            <w:shd w:val="clear" w:color="auto" w:fill="auto"/>
            <w:noWrap/>
            <w:vAlign w:val="center"/>
          </w:tcPr>
          <w:p w14:paraId="4CE7D70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3515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3.4</w:t>
            </w:r>
          </w:p>
        </w:tc>
        <w:tc>
          <w:tcPr>
            <w:tcW w:w="5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0946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定时范围 1s-99min</w:t>
            </w:r>
          </w:p>
        </w:tc>
      </w:tr>
      <w:tr w14:paraId="3E7E5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1220" w:type="dxa"/>
            <w:vMerge w:val="continue"/>
            <w:tcBorders>
              <w:top w:val="single" w:color="000000" w:sz="4" w:space="0"/>
              <w:left w:val="single" w:color="000000" w:sz="4" w:space="0"/>
              <w:bottom w:val="nil"/>
              <w:right w:val="single" w:color="000000" w:sz="4" w:space="0"/>
            </w:tcBorders>
            <w:shd w:val="clear" w:color="auto" w:fill="auto"/>
            <w:vAlign w:val="center"/>
          </w:tcPr>
          <w:p w14:paraId="30ED365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5BAC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065A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3.5</w:t>
            </w:r>
          </w:p>
        </w:tc>
        <w:tc>
          <w:tcPr>
            <w:tcW w:w="5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C64E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RPM/RCF转换 是</w:t>
            </w:r>
          </w:p>
        </w:tc>
      </w:tr>
      <w:tr w14:paraId="4E141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1220" w:type="dxa"/>
            <w:vMerge w:val="continue"/>
            <w:tcBorders>
              <w:top w:val="single" w:color="000000" w:sz="4" w:space="0"/>
              <w:left w:val="single" w:color="000000" w:sz="4" w:space="0"/>
              <w:bottom w:val="nil"/>
              <w:right w:val="single" w:color="000000" w:sz="4" w:space="0"/>
            </w:tcBorders>
            <w:shd w:val="clear" w:color="auto" w:fill="auto"/>
            <w:vAlign w:val="center"/>
          </w:tcPr>
          <w:p w14:paraId="76487DD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F49A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1FDF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3.6</w:t>
            </w:r>
          </w:p>
        </w:tc>
        <w:tc>
          <w:tcPr>
            <w:tcW w:w="5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F2FF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噪音(dB) ≤58db（A）</w:t>
            </w:r>
          </w:p>
        </w:tc>
      </w:tr>
      <w:tr w14:paraId="6D57C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1220" w:type="dxa"/>
            <w:vMerge w:val="continue"/>
            <w:tcBorders>
              <w:top w:val="single" w:color="000000" w:sz="4" w:space="0"/>
              <w:left w:val="single" w:color="000000" w:sz="4" w:space="0"/>
              <w:bottom w:val="nil"/>
              <w:right w:val="single" w:color="000000" w:sz="4" w:space="0"/>
            </w:tcBorders>
            <w:shd w:val="clear" w:color="auto" w:fill="auto"/>
            <w:vAlign w:val="center"/>
          </w:tcPr>
          <w:p w14:paraId="3FC8FE0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066B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C871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3.7</w:t>
            </w:r>
          </w:p>
        </w:tc>
        <w:tc>
          <w:tcPr>
            <w:tcW w:w="5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AA59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控速精度 ±10r/min</w:t>
            </w:r>
          </w:p>
        </w:tc>
      </w:tr>
      <w:tr w14:paraId="40153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2EB6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4.主要配置</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50DE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9B44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4.1</w:t>
            </w:r>
          </w:p>
        </w:tc>
        <w:tc>
          <w:tcPr>
            <w:tcW w:w="5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E39D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台式低速离心机 一台</w:t>
            </w:r>
          </w:p>
        </w:tc>
      </w:tr>
    </w:tbl>
    <w:p w14:paraId="713B638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124329E">
      <w:pPr>
        <w:pStyle w:val="2"/>
        <w:rPr>
          <w:rFonts w:hint="eastAsia" w:ascii="宋体" w:hAnsi="宋体" w:eastAsia="宋体" w:cs="宋体"/>
          <w:i w:val="0"/>
          <w:iCs w:val="0"/>
          <w:color w:val="auto"/>
          <w:kern w:val="0"/>
          <w:sz w:val="20"/>
          <w:szCs w:val="20"/>
          <w:highlight w:val="none"/>
          <w:u w:val="none"/>
          <w:lang w:val="zh-CN" w:eastAsia="zh-CN" w:bidi="ar"/>
        </w:rPr>
      </w:pPr>
    </w:p>
    <w:p w14:paraId="51B94631">
      <w:pPr>
        <w:rPr>
          <w:rFonts w:hint="eastAsia" w:ascii="宋体" w:hAnsi="宋体" w:eastAsia="宋体" w:cs="宋体"/>
          <w:i w:val="0"/>
          <w:iCs w:val="0"/>
          <w:color w:val="auto"/>
          <w:kern w:val="0"/>
          <w:sz w:val="20"/>
          <w:szCs w:val="20"/>
          <w:highlight w:val="none"/>
          <w:u w:val="none"/>
          <w:lang w:val="zh-CN" w:eastAsia="zh-CN" w:bidi="ar"/>
        </w:rPr>
      </w:pPr>
    </w:p>
    <w:p w14:paraId="51676D84">
      <w:pPr>
        <w:pStyle w:val="2"/>
        <w:rPr>
          <w:rFonts w:hint="eastAsia" w:ascii="宋体" w:hAnsi="宋体" w:eastAsia="宋体" w:cs="宋体"/>
          <w:i w:val="0"/>
          <w:iCs w:val="0"/>
          <w:color w:val="auto"/>
          <w:kern w:val="0"/>
          <w:sz w:val="20"/>
          <w:szCs w:val="20"/>
          <w:highlight w:val="none"/>
          <w:u w:val="none"/>
          <w:lang w:val="zh-CN" w:eastAsia="zh-CN" w:bidi="ar"/>
        </w:rPr>
      </w:pPr>
    </w:p>
    <w:p w14:paraId="08663693">
      <w:pPr>
        <w:rPr>
          <w:rFonts w:hint="eastAsia" w:ascii="宋体" w:hAnsi="宋体" w:eastAsia="宋体" w:cs="宋体"/>
          <w:i w:val="0"/>
          <w:iCs w:val="0"/>
          <w:color w:val="auto"/>
          <w:kern w:val="0"/>
          <w:sz w:val="20"/>
          <w:szCs w:val="20"/>
          <w:highlight w:val="none"/>
          <w:u w:val="none"/>
          <w:lang w:val="zh-CN" w:eastAsia="zh-CN" w:bidi="ar"/>
        </w:rPr>
      </w:pPr>
    </w:p>
    <w:p w14:paraId="5D9DA337">
      <w:pPr>
        <w:pStyle w:val="2"/>
        <w:rPr>
          <w:rFonts w:hint="eastAsia" w:ascii="宋体" w:hAnsi="宋体" w:eastAsia="宋体" w:cs="宋体"/>
          <w:i w:val="0"/>
          <w:iCs w:val="0"/>
          <w:color w:val="auto"/>
          <w:kern w:val="0"/>
          <w:sz w:val="20"/>
          <w:szCs w:val="20"/>
          <w:highlight w:val="none"/>
          <w:u w:val="none"/>
          <w:lang w:val="zh-CN" w:eastAsia="zh-CN" w:bidi="ar"/>
        </w:rPr>
      </w:pPr>
    </w:p>
    <w:p w14:paraId="657BA64C">
      <w:pPr>
        <w:rPr>
          <w:rFonts w:hint="eastAsia" w:ascii="宋体" w:hAnsi="宋体" w:eastAsia="宋体" w:cs="宋体"/>
          <w:i w:val="0"/>
          <w:iCs w:val="0"/>
          <w:color w:val="auto"/>
          <w:kern w:val="0"/>
          <w:sz w:val="20"/>
          <w:szCs w:val="20"/>
          <w:highlight w:val="none"/>
          <w:u w:val="none"/>
          <w:lang w:val="zh-CN" w:eastAsia="zh-CN" w:bidi="ar"/>
        </w:rPr>
      </w:pPr>
    </w:p>
    <w:p w14:paraId="483AC83C">
      <w:pPr>
        <w:rPr>
          <w:rFonts w:hint="eastAsia" w:ascii="宋体" w:hAnsi="宋体" w:eastAsia="宋体" w:cs="宋体"/>
          <w:color w:val="auto"/>
          <w:sz w:val="28"/>
          <w:szCs w:val="28"/>
          <w:highlight w:val="none"/>
        </w:rPr>
      </w:pPr>
      <w:bookmarkStart w:id="269" w:name="_Toc17279"/>
      <w:r>
        <w:rPr>
          <w:rFonts w:hint="eastAsia" w:ascii="宋体" w:hAnsi="宋体" w:eastAsia="宋体" w:cs="宋体"/>
          <w:color w:val="auto"/>
          <w:sz w:val="28"/>
          <w:szCs w:val="28"/>
          <w:highlight w:val="none"/>
        </w:rPr>
        <w:br w:type="page"/>
      </w:r>
    </w:p>
    <w:p w14:paraId="29CDB174">
      <w:pPr>
        <w:pStyle w:val="3"/>
        <w:keepNext/>
        <w:keepLines/>
        <w:pageBreakBefore w:val="0"/>
        <w:widowControl w:val="0"/>
        <w:numPr>
          <w:ilvl w:val="0"/>
          <w:numId w:val="4"/>
        </w:numPr>
        <w:tabs>
          <w:tab w:val="left" w:pos="360"/>
        </w:tabs>
        <w:kinsoku/>
        <w:wordWrap/>
        <w:overflowPunct/>
        <w:topLinePunct w:val="0"/>
        <w:autoSpaceDE/>
        <w:autoSpaceDN/>
        <w:bidi w:val="0"/>
        <w:adjustRightInd/>
        <w:snapToGrid/>
        <w:spacing w:before="0" w:after="0"/>
        <w:ind w:left="691" w:leftChars="0" w:hanging="691" w:hangingChars="247"/>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商务及其他要求</w:t>
      </w:r>
      <w:bookmarkEnd w:id="269"/>
    </w:p>
    <w:p w14:paraId="3963A681">
      <w:pPr>
        <w:pStyle w:val="3"/>
        <w:keepNext/>
        <w:keepLines/>
        <w:pageBreakBefore w:val="0"/>
        <w:widowControl w:val="0"/>
        <w:numPr>
          <w:ilvl w:val="0"/>
          <w:numId w:val="0"/>
        </w:numPr>
        <w:tabs>
          <w:tab w:val="left" w:pos="360"/>
        </w:tabs>
        <w:kinsoku/>
        <w:wordWrap/>
        <w:overflowPunct/>
        <w:topLinePunct w:val="0"/>
        <w:autoSpaceDE/>
        <w:autoSpaceDN/>
        <w:bidi w:val="0"/>
        <w:adjustRightInd/>
        <w:snapToGrid/>
        <w:spacing w:before="0" w:after="0" w:line="413" w:lineRule="auto"/>
        <w:ind w:left="0" w:leftChars="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商务及其他要求前附表</w:t>
      </w:r>
    </w:p>
    <w:tbl>
      <w:tblPr>
        <w:tblStyle w:val="38"/>
        <w:tblW w:w="894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10"/>
        <w:gridCol w:w="1118"/>
        <w:gridCol w:w="872"/>
        <w:gridCol w:w="5546"/>
      </w:tblGrid>
      <w:tr w14:paraId="75536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68" w:hRule="atLeast"/>
        </w:trPr>
        <w:tc>
          <w:tcPr>
            <w:tcW w:w="8946" w:type="dxa"/>
            <w:gridSpan w:val="4"/>
            <w:tcBorders>
              <w:top w:val="nil"/>
              <w:left w:val="nil"/>
              <w:bottom w:val="nil"/>
              <w:right w:val="nil"/>
            </w:tcBorders>
            <w:shd w:val="clear" w:color="auto" w:fill="auto"/>
            <w:vAlign w:val="center"/>
          </w:tcPr>
          <w:p w14:paraId="2269AADD">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w:t>
            </w: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（一）</w:t>
            </w:r>
          </w:p>
        </w:tc>
      </w:tr>
      <w:tr w14:paraId="454DD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 w:hRule="atLeast"/>
        </w:trPr>
        <w:tc>
          <w:tcPr>
            <w:tcW w:w="8946" w:type="dxa"/>
            <w:gridSpan w:val="4"/>
            <w:tcBorders>
              <w:top w:val="nil"/>
              <w:left w:val="nil"/>
              <w:bottom w:val="nil"/>
              <w:right w:val="nil"/>
            </w:tcBorders>
            <w:shd w:val="clear" w:color="auto" w:fill="auto"/>
            <w:noWrap/>
            <w:vAlign w:val="center"/>
          </w:tcPr>
          <w:p w14:paraId="6188A23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品目名称：全自动酶免仪</w:t>
            </w:r>
          </w:p>
        </w:tc>
      </w:tr>
      <w:tr w14:paraId="7D100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trPr>
        <w:tc>
          <w:tcPr>
            <w:tcW w:w="8946" w:type="dxa"/>
            <w:gridSpan w:val="4"/>
            <w:tcBorders>
              <w:top w:val="nil"/>
              <w:left w:val="nil"/>
              <w:bottom w:val="nil"/>
              <w:right w:val="nil"/>
            </w:tcBorders>
            <w:shd w:val="clear" w:color="auto" w:fill="auto"/>
            <w:noWrap/>
            <w:vAlign w:val="center"/>
          </w:tcPr>
          <w:p w14:paraId="650F91E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子品目名称：多功能酶标仪</w:t>
            </w:r>
          </w:p>
        </w:tc>
      </w:tr>
      <w:tr w14:paraId="3498A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4" w:hRule="atLeast"/>
        </w:trPr>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B693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5A29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1D18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341F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商务</w:t>
            </w:r>
            <w:r>
              <w:rPr>
                <w:rFonts w:hint="default" w:ascii="宋体" w:hAnsi="宋体" w:eastAsia="宋体" w:cs="宋体"/>
                <w:i w:val="0"/>
                <w:iCs w:val="0"/>
                <w:color w:val="auto"/>
                <w:kern w:val="0"/>
                <w:sz w:val="20"/>
                <w:szCs w:val="20"/>
                <w:highlight w:val="none"/>
                <w:u w:val="none"/>
                <w:lang w:val="en-US" w:eastAsia="zh-CN" w:bidi="ar"/>
              </w:rPr>
              <w:t>指标内容</w:t>
            </w:r>
          </w:p>
        </w:tc>
      </w:tr>
      <w:tr w14:paraId="2CD5C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1" w:hRule="atLeast"/>
        </w:trPr>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579D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 xml:space="preserve">5.交货期   </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7A7D6">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D0DA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w:t>
            </w:r>
          </w:p>
        </w:tc>
        <w:tc>
          <w:tcPr>
            <w:tcW w:w="5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03308">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产品不得超过正式签订合同后</w:t>
            </w:r>
            <w:r>
              <w:rPr>
                <w:rFonts w:hint="eastAsia" w:ascii="宋体" w:hAnsi="宋体" w:eastAsia="宋体" w:cs="宋体"/>
                <w:i w:val="0"/>
                <w:iCs w:val="0"/>
                <w:color w:val="auto"/>
                <w:kern w:val="0"/>
                <w:sz w:val="20"/>
                <w:szCs w:val="20"/>
                <w:highlight w:val="none"/>
                <w:u w:val="none"/>
                <w:lang w:val="en-US" w:eastAsia="zh-CN" w:bidi="ar"/>
              </w:rPr>
              <w:t>60</w:t>
            </w:r>
            <w:r>
              <w:rPr>
                <w:rFonts w:hint="default" w:ascii="宋体" w:hAnsi="宋体" w:eastAsia="宋体" w:cs="宋体"/>
                <w:i w:val="0"/>
                <w:iCs w:val="0"/>
                <w:color w:val="auto"/>
                <w:kern w:val="0"/>
                <w:sz w:val="20"/>
                <w:szCs w:val="20"/>
                <w:highlight w:val="none"/>
                <w:u w:val="none"/>
                <w:lang w:val="en-US" w:eastAsia="zh-CN" w:bidi="ar"/>
              </w:rPr>
              <w:t>个日历日。</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供应商应予以特别注意：如出现未能到期供货的情况，需求单位有权单方终止合同的执行，所有的经济损失由逾期供货商单方承担。</w:t>
            </w:r>
          </w:p>
        </w:tc>
      </w:tr>
      <w:tr w14:paraId="3C945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4" w:hRule="atLeast"/>
        </w:trPr>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B522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 xml:space="preserve">6.质保期    </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1737A">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40C7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w:t>
            </w:r>
          </w:p>
        </w:tc>
        <w:tc>
          <w:tcPr>
            <w:tcW w:w="5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877F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产品安装调试经用户验收合格当天起，质保期1年，在质保期内，产品因故障停用，质保期相应顺延。质保期外4年内，能更及时地为用户提供仪器关键零备件、消耗品等。</w:t>
            </w:r>
          </w:p>
        </w:tc>
      </w:tr>
      <w:tr w14:paraId="52926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9" w:hRule="atLeast"/>
        </w:trPr>
        <w:tc>
          <w:tcPr>
            <w:tcW w:w="14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C1A45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 xml:space="preserve">7. 售后服务要求    </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EBD8B">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F9D4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7.1</w:t>
            </w:r>
          </w:p>
        </w:tc>
        <w:tc>
          <w:tcPr>
            <w:tcW w:w="5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9894F">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应提供原产商质量保证和售后服务承诺书。在质量保证期内设备发生故障，中标供应商应免费提供原厂商售后维修和更换零件服务。质保期后，中标供应商提供设备终身技术支持，包括故障排除和零配件的供应、仪器软件免费升级和培训；设备出现故障需更换配件时，只收取零配件费用，免收其它费用。合同签订后，在1周内中标供应商将仪器操作间的装修要求和水、电、气要求通知需求单位。</w:t>
            </w:r>
          </w:p>
        </w:tc>
      </w:tr>
      <w:tr w14:paraId="43A89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7" w:hRule="atLeast"/>
        </w:trPr>
        <w:tc>
          <w:tcPr>
            <w:tcW w:w="14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C927AF">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C2C61">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41FB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7.2</w:t>
            </w:r>
          </w:p>
        </w:tc>
        <w:tc>
          <w:tcPr>
            <w:tcW w:w="5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95541">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11CA3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8" w:hRule="atLeast"/>
        </w:trPr>
        <w:tc>
          <w:tcPr>
            <w:tcW w:w="14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BB31F">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D082B">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7063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7.3</w:t>
            </w:r>
          </w:p>
        </w:tc>
        <w:tc>
          <w:tcPr>
            <w:tcW w:w="5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ADFC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0D585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1" w:hRule="atLeast"/>
        </w:trPr>
        <w:tc>
          <w:tcPr>
            <w:tcW w:w="14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A67AD">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5ED6B">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929B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7.4</w:t>
            </w:r>
          </w:p>
        </w:tc>
        <w:tc>
          <w:tcPr>
            <w:tcW w:w="5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D901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中标供应商能响应故障处理请求和电话咨询，提供7x24小时技术支持，4小时内响应和24小时内提出解决方案，一般应在48小时内派人到现场维修的售后服务。中标供应商应提供维保人员名单、联系电话等。</w:t>
            </w:r>
          </w:p>
        </w:tc>
      </w:tr>
      <w:tr w14:paraId="284FB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9" w:hRule="atLeast"/>
        </w:trPr>
        <w:tc>
          <w:tcPr>
            <w:tcW w:w="14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380A3">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013A9">
            <w:pPr>
              <w:pageBreakBefore w:val="0"/>
              <w:kinsoku/>
              <w:wordWrap w:val="0"/>
              <w:overflowPunct/>
              <w:bidi w:val="0"/>
              <w:jc w:val="center"/>
              <w:rPr>
                <w:rFonts w:hint="default" w:ascii="方正仿宋_GBK" w:hAnsi="方正仿宋_GBK" w:eastAsia="方正仿宋_GBK" w:cs="方正仿宋_GBK"/>
                <w:i w:val="0"/>
                <w:iCs w:val="0"/>
                <w:color w:val="auto"/>
                <w:sz w:val="20"/>
                <w:szCs w:val="20"/>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D805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7.5</w:t>
            </w:r>
          </w:p>
        </w:tc>
        <w:tc>
          <w:tcPr>
            <w:tcW w:w="5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B39C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现场培训：仪器在安装调试同时，中标供应商负责免费派工程师对用户就仪器原理和基本操作进行现场培训，培训人员人数不限，培训时间视需求单位需要，原则上不少于2天，确保需求单位用户能正常操作。</w:t>
            </w:r>
          </w:p>
        </w:tc>
      </w:tr>
    </w:tbl>
    <w:p w14:paraId="1C37B542">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tbl>
      <w:tblPr>
        <w:tblStyle w:val="38"/>
        <w:tblW w:w="903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66"/>
        <w:gridCol w:w="1344"/>
        <w:gridCol w:w="876"/>
        <w:gridCol w:w="5544"/>
      </w:tblGrid>
      <w:tr w14:paraId="0288C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68" w:hRule="atLeast"/>
        </w:trPr>
        <w:tc>
          <w:tcPr>
            <w:tcW w:w="9030" w:type="dxa"/>
            <w:gridSpan w:val="4"/>
            <w:tcBorders>
              <w:top w:val="nil"/>
              <w:left w:val="nil"/>
              <w:bottom w:val="nil"/>
              <w:right w:val="nil"/>
            </w:tcBorders>
            <w:shd w:val="clear" w:color="auto" w:fill="auto"/>
            <w:vAlign w:val="center"/>
          </w:tcPr>
          <w:p w14:paraId="1A6A03B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商务及其他需求（二）</w:t>
            </w:r>
          </w:p>
        </w:tc>
      </w:tr>
      <w:tr w14:paraId="3A4CE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trPr>
        <w:tc>
          <w:tcPr>
            <w:tcW w:w="9030" w:type="dxa"/>
            <w:gridSpan w:val="4"/>
            <w:tcBorders>
              <w:top w:val="nil"/>
              <w:left w:val="nil"/>
              <w:bottom w:val="nil"/>
              <w:right w:val="nil"/>
            </w:tcBorders>
            <w:shd w:val="clear" w:color="auto" w:fill="auto"/>
            <w:noWrap/>
            <w:vAlign w:val="center"/>
          </w:tcPr>
          <w:p w14:paraId="65DF9CB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品目名称：高速冷冻离心机</w:t>
            </w:r>
          </w:p>
        </w:tc>
      </w:tr>
      <w:tr w14:paraId="08989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trPr>
        <w:tc>
          <w:tcPr>
            <w:tcW w:w="9030" w:type="dxa"/>
            <w:gridSpan w:val="4"/>
            <w:tcBorders>
              <w:top w:val="nil"/>
              <w:left w:val="nil"/>
              <w:bottom w:val="nil"/>
              <w:right w:val="nil"/>
            </w:tcBorders>
            <w:shd w:val="clear" w:color="auto" w:fill="auto"/>
            <w:noWrap/>
            <w:vAlign w:val="center"/>
          </w:tcPr>
          <w:p w14:paraId="079FD8B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子品目名称：高速冷冻离心机</w:t>
            </w:r>
          </w:p>
        </w:tc>
      </w:tr>
      <w:tr w14:paraId="52FEA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1C2E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序号</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D0E3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指标类型</w:t>
            </w:r>
          </w:p>
          <w:p w14:paraId="6DE7C66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"★"或"▲"</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2E9E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条款号</w:t>
            </w:r>
          </w:p>
        </w:tc>
        <w:tc>
          <w:tcPr>
            <w:tcW w:w="5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940A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商务指标内容</w:t>
            </w:r>
          </w:p>
        </w:tc>
      </w:tr>
      <w:tr w14:paraId="14ADC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5" w:hRule="atLeast"/>
        </w:trPr>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4A13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5. 交货期   </w:t>
            </w: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87D0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5093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w:t>
            </w:r>
          </w:p>
        </w:tc>
        <w:tc>
          <w:tcPr>
            <w:tcW w:w="5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9AE8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产品不得超过正式签订合同后60个日历日。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供应商应予以特别注意：如出现未能到期供货的情况，需求单位有权单方终止合同的执行，所有的经济损失由逾期供货商单方承担。</w:t>
            </w:r>
          </w:p>
        </w:tc>
      </w:tr>
      <w:tr w14:paraId="4764F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991B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6. 质保期    </w:t>
            </w: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61D4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630C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w:t>
            </w:r>
          </w:p>
        </w:tc>
        <w:tc>
          <w:tcPr>
            <w:tcW w:w="5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96EA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产品安装调试经用户验收合格当天起，质保期1年，在质保期内，产品因故障停用，质保期相应顺延。质保期外4年内，能更及时地为用户提供仪器关键零备件、消耗品等。</w:t>
            </w:r>
          </w:p>
        </w:tc>
      </w:tr>
      <w:tr w14:paraId="0682D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7" w:hRule="atLeast"/>
        </w:trPr>
        <w:tc>
          <w:tcPr>
            <w:tcW w:w="12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777AC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7. 售后服务要求    </w:t>
            </w: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C324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84C0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7.1</w:t>
            </w:r>
          </w:p>
        </w:tc>
        <w:tc>
          <w:tcPr>
            <w:tcW w:w="5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A3A2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应提供原产商质量保证和售后服务承诺书。在质量保证期内设备发生故障，中标供应商应免费提供原厂商售后维修和更换零件服务。质保期后，中标供应商提供设备终身技术支持，包括故障排除和零配件的供应、仪器软件免费升级和培训；设备出现故障需更换配件时，只收取零配件费用，免收其它费用。合同签订后，在1周内中标供应商将仪器操作间的装修要求和水、电、气要求通知需求单位。</w:t>
            </w:r>
          </w:p>
        </w:tc>
      </w:tr>
      <w:tr w14:paraId="1F7A9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7" w:hRule="atLeast"/>
        </w:trPr>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FC76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3930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8F13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7.2</w:t>
            </w:r>
          </w:p>
        </w:tc>
        <w:tc>
          <w:tcPr>
            <w:tcW w:w="5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2EEB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0F14B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trPr>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5CAA5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C397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6B70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7.3</w:t>
            </w:r>
          </w:p>
        </w:tc>
        <w:tc>
          <w:tcPr>
            <w:tcW w:w="5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F370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16216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582B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6B92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F8D5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7.4</w:t>
            </w:r>
          </w:p>
        </w:tc>
        <w:tc>
          <w:tcPr>
            <w:tcW w:w="5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95E7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中标供应商能响应故障处理请求和电话咨询，提供7x24小时技术支持，4小时内响应和24小时内提出解决方案，一般应在48小时内派人到现场维修的售后服务。中标供应商应提供维保人员名单、联系电话等。</w:t>
            </w:r>
          </w:p>
        </w:tc>
      </w:tr>
      <w:tr w14:paraId="19B32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9" w:hRule="atLeast"/>
        </w:trPr>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1F00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7F23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FF17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7.5</w:t>
            </w:r>
          </w:p>
        </w:tc>
        <w:tc>
          <w:tcPr>
            <w:tcW w:w="5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080A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现场培训：仪器在安装调试同时，中标供应商负责免费派工程师对用户就仪器原理和基本操作进行现场培训，培训人员人数不限，培训时间视需求单位需要，原则上不少于2天，确保需求单位用户能正常操作。</w:t>
            </w:r>
          </w:p>
        </w:tc>
      </w:tr>
    </w:tbl>
    <w:p w14:paraId="1516AF30">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3012DD31">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tbl>
      <w:tblPr>
        <w:tblStyle w:val="38"/>
        <w:tblpPr w:leftFromText="180" w:rightFromText="180" w:vertAnchor="text" w:horzAnchor="page" w:tblpX="1622" w:tblpY="456"/>
        <w:tblOverlap w:val="never"/>
        <w:tblW w:w="96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98"/>
        <w:gridCol w:w="1236"/>
        <w:gridCol w:w="1032"/>
        <w:gridCol w:w="6294"/>
      </w:tblGrid>
      <w:tr w14:paraId="2832F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7" w:hRule="atLeast"/>
        </w:trPr>
        <w:tc>
          <w:tcPr>
            <w:tcW w:w="9660" w:type="dxa"/>
            <w:gridSpan w:val="4"/>
            <w:tcBorders>
              <w:top w:val="nil"/>
              <w:left w:val="nil"/>
              <w:bottom w:val="nil"/>
              <w:right w:val="nil"/>
            </w:tcBorders>
            <w:shd w:val="clear" w:color="auto" w:fill="auto"/>
            <w:vAlign w:val="center"/>
          </w:tcPr>
          <w:p w14:paraId="7AEDD712">
            <w:pPr>
              <w:keepNext w:val="0"/>
              <w:keepLines w:val="0"/>
              <w:pageBreakBefore w:val="0"/>
              <w:widowControl/>
              <w:suppressLineNumbers w:val="0"/>
              <w:kinsoku/>
              <w:wordWrap w:val="0"/>
              <w:overflowPunct/>
              <w:bidi w:val="0"/>
              <w:jc w:val="both"/>
              <w:textAlignment w:val="center"/>
              <w:rPr>
                <w:rFonts w:hint="default" w:ascii="方正小标宋_GBK" w:hAnsi="方正小标宋_GBK" w:eastAsia="方正小标宋_GBK" w:cs="方正小标宋_GBK"/>
                <w:i w:val="0"/>
                <w:iCs w:val="0"/>
                <w:color w:val="auto"/>
                <w:kern w:val="0"/>
                <w:sz w:val="32"/>
                <w:szCs w:val="32"/>
                <w:highlight w:val="none"/>
                <w:u w:val="none"/>
                <w:lang w:val="en-US" w:eastAsia="zh-CN" w:bidi="ar"/>
              </w:rPr>
            </w:pPr>
          </w:p>
          <w:p w14:paraId="668CD97E">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w:t>
            </w: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（三）</w:t>
            </w:r>
          </w:p>
        </w:tc>
      </w:tr>
      <w:tr w14:paraId="2854A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9660" w:type="dxa"/>
            <w:gridSpan w:val="4"/>
            <w:tcBorders>
              <w:top w:val="nil"/>
              <w:left w:val="nil"/>
              <w:bottom w:val="nil"/>
              <w:right w:val="nil"/>
            </w:tcBorders>
            <w:shd w:val="clear" w:color="auto" w:fill="auto"/>
            <w:noWrap/>
            <w:vAlign w:val="center"/>
          </w:tcPr>
          <w:p w14:paraId="6EAFF09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品目名称：全自动多功能成像系统</w:t>
            </w:r>
          </w:p>
        </w:tc>
      </w:tr>
      <w:tr w14:paraId="60D3C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9660" w:type="dxa"/>
            <w:gridSpan w:val="4"/>
            <w:tcBorders>
              <w:top w:val="nil"/>
              <w:left w:val="nil"/>
              <w:bottom w:val="nil"/>
              <w:right w:val="nil"/>
            </w:tcBorders>
            <w:shd w:val="clear" w:color="auto" w:fill="auto"/>
            <w:noWrap/>
            <w:vAlign w:val="center"/>
          </w:tcPr>
          <w:p w14:paraId="51D0AD3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子品目名称：全自动多功能成像系统</w:t>
            </w:r>
          </w:p>
        </w:tc>
      </w:tr>
      <w:tr w14:paraId="25CB7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3" w:hRule="atLeast"/>
        </w:trPr>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F944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5712A">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EC8B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E435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商务</w:t>
            </w:r>
            <w:r>
              <w:rPr>
                <w:rFonts w:hint="default" w:ascii="宋体" w:hAnsi="宋体" w:eastAsia="宋体" w:cs="宋体"/>
                <w:i w:val="0"/>
                <w:iCs w:val="0"/>
                <w:color w:val="auto"/>
                <w:kern w:val="0"/>
                <w:sz w:val="20"/>
                <w:szCs w:val="20"/>
                <w:highlight w:val="none"/>
                <w:u w:val="none"/>
                <w:lang w:val="en-US" w:eastAsia="zh-CN" w:bidi="ar"/>
              </w:rPr>
              <w:t>指标内容</w:t>
            </w:r>
          </w:p>
        </w:tc>
      </w:tr>
      <w:tr w14:paraId="20387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5" w:hRule="atLeast"/>
        </w:trPr>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508E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 交货期</w:t>
            </w: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380C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08A2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0B4B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产品不得超过正式签订合同后</w:t>
            </w:r>
            <w:r>
              <w:rPr>
                <w:rFonts w:hint="eastAsia" w:ascii="宋体" w:hAnsi="宋体" w:eastAsia="宋体" w:cs="宋体"/>
                <w:i w:val="0"/>
                <w:iCs w:val="0"/>
                <w:color w:val="auto"/>
                <w:kern w:val="0"/>
                <w:sz w:val="20"/>
                <w:szCs w:val="20"/>
                <w:highlight w:val="none"/>
                <w:u w:val="none"/>
                <w:lang w:val="en-US" w:eastAsia="zh-CN" w:bidi="ar"/>
              </w:rPr>
              <w:t>60</w:t>
            </w:r>
            <w:r>
              <w:rPr>
                <w:rFonts w:hint="default" w:ascii="宋体" w:hAnsi="宋体" w:eastAsia="宋体" w:cs="宋体"/>
                <w:i w:val="0"/>
                <w:iCs w:val="0"/>
                <w:color w:val="auto"/>
                <w:kern w:val="0"/>
                <w:sz w:val="20"/>
                <w:szCs w:val="20"/>
                <w:highlight w:val="none"/>
                <w:u w:val="none"/>
                <w:lang w:val="en-US" w:eastAsia="zh-CN" w:bidi="ar"/>
              </w:rPr>
              <w:t>个日历日。</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供应商应予以特别注意：如出现未能到期供货的情况，需求单位有权单方终止合同的执行，所有的经济损失由逾期供货商单方承担。</w:t>
            </w:r>
          </w:p>
        </w:tc>
      </w:tr>
      <w:tr w14:paraId="44C54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5" w:hRule="atLeast"/>
        </w:trPr>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371D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 质保期</w:t>
            </w: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905F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96B6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2B63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产品安装调试经用户验收合格当天起，质保期1年，在质保期内，产品因故障停用，质保期相应顺延。质保期外4年内，能更及时地为用户提供仪器关键零备件、消耗品等。</w:t>
            </w:r>
          </w:p>
        </w:tc>
      </w:tr>
      <w:tr w14:paraId="70677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59" w:hRule="atLeast"/>
        </w:trPr>
        <w:tc>
          <w:tcPr>
            <w:tcW w:w="10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460A5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 售后服务要求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7562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BC28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7.1</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37EB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应提供原产商质量保证和售后服务承诺书。在质量保证期内设备发生故障，中标供应商应免费提供原厂商售后维修和更换零件服务。质保期后，中标供应商提供设备终身技术支持，包括故障排除和零配件的供应、仪器软件免费升级和培训；设备出现故障需更换配件时，只收取零配件费用，免收其它费用。合同签订后，在1周内中标供应商将仪器操作间的装修要求和水、电、气要求通知需求单位。</w:t>
            </w:r>
          </w:p>
        </w:tc>
      </w:tr>
      <w:tr w14:paraId="14BD1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59" w:hRule="atLeast"/>
        </w:trPr>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9022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9AED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C790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7.2</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50E9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18332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2" w:hRule="atLeast"/>
        </w:trPr>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572B6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289C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B331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7.3</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16D8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4C1E8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5" w:hRule="atLeast"/>
        </w:trPr>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4517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81B3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1CAC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7.4</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A9DC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中标供应商能响应故障处理请求和电话咨询，提供7x24小时技术支持，4小时内响应和24小时内提出解决方案，一般应在48小时内派人到现场维修的售后服务。中标供应商应提供维保人员名单、联系电话等。</w:t>
            </w:r>
          </w:p>
        </w:tc>
      </w:tr>
      <w:tr w14:paraId="6BC59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5" w:hRule="atLeast"/>
        </w:trPr>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94E0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1D9D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0E6E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7.5</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EFB2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现场培训：仪器在安装调试同时，中标供应商负责免费派工程师对用户就仪器原理和基本操作进行现场培训，培训人员人数不限，培训时间视需求单位需要，原则上不少于2天，确保需求单位用户能正常操作。</w:t>
            </w:r>
          </w:p>
        </w:tc>
      </w:tr>
      <w:tr w14:paraId="252E7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736A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9E36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6D3A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7.6</w:t>
            </w:r>
          </w:p>
        </w:tc>
        <w:tc>
          <w:tcPr>
            <w:tcW w:w="6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8D2A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集中培训：中标人免费提供需求单位不少于3名技术人员到厂家指定地点进行相同设备专项技能培训，培训时间原则上不少于3天。</w:t>
            </w:r>
          </w:p>
        </w:tc>
      </w:tr>
    </w:tbl>
    <w:p w14:paraId="636DAAD4">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52132EF8">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393E1EA1">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tbl>
      <w:tblPr>
        <w:tblStyle w:val="38"/>
        <w:tblW w:w="910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78"/>
        <w:gridCol w:w="1260"/>
        <w:gridCol w:w="936"/>
        <w:gridCol w:w="5626"/>
      </w:tblGrid>
      <w:tr w14:paraId="24E21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9100" w:type="dxa"/>
            <w:gridSpan w:val="4"/>
            <w:tcBorders>
              <w:top w:val="nil"/>
              <w:left w:val="nil"/>
              <w:bottom w:val="nil"/>
              <w:right w:val="nil"/>
            </w:tcBorders>
            <w:shd w:val="clear" w:color="auto" w:fill="auto"/>
            <w:vAlign w:val="center"/>
          </w:tcPr>
          <w:p w14:paraId="264FBEA7">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w:t>
            </w: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（四）</w:t>
            </w:r>
          </w:p>
        </w:tc>
      </w:tr>
      <w:tr w14:paraId="78B42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9100" w:type="dxa"/>
            <w:gridSpan w:val="4"/>
            <w:tcBorders>
              <w:top w:val="nil"/>
              <w:left w:val="nil"/>
              <w:bottom w:val="nil"/>
              <w:right w:val="nil"/>
            </w:tcBorders>
            <w:shd w:val="clear" w:color="auto" w:fill="auto"/>
            <w:noWrap/>
            <w:vAlign w:val="center"/>
          </w:tcPr>
          <w:p w14:paraId="4E500EF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子品目名称：全自动均质器</w:t>
            </w:r>
          </w:p>
        </w:tc>
      </w:tr>
      <w:tr w14:paraId="6F089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9100" w:type="dxa"/>
            <w:gridSpan w:val="4"/>
            <w:tcBorders>
              <w:top w:val="nil"/>
              <w:left w:val="nil"/>
              <w:bottom w:val="nil"/>
              <w:right w:val="nil"/>
            </w:tcBorders>
            <w:shd w:val="clear" w:color="auto" w:fill="auto"/>
            <w:noWrap/>
            <w:vAlign w:val="center"/>
          </w:tcPr>
          <w:p w14:paraId="1EB95AB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子品目名称：全自动均质器</w:t>
            </w:r>
          </w:p>
        </w:tc>
      </w:tr>
      <w:tr w14:paraId="253CC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2" w:hRule="atLeast"/>
        </w:trPr>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F1CC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A021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2BBC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5DB2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商务</w:t>
            </w:r>
            <w:r>
              <w:rPr>
                <w:rFonts w:hint="default" w:ascii="宋体" w:hAnsi="宋体" w:eastAsia="宋体" w:cs="宋体"/>
                <w:i w:val="0"/>
                <w:iCs w:val="0"/>
                <w:color w:val="auto"/>
                <w:kern w:val="0"/>
                <w:sz w:val="20"/>
                <w:szCs w:val="20"/>
                <w:highlight w:val="none"/>
                <w:u w:val="none"/>
                <w:lang w:val="en-US" w:eastAsia="zh-CN" w:bidi="ar"/>
              </w:rPr>
              <w:t>指标内容</w:t>
            </w:r>
          </w:p>
        </w:tc>
      </w:tr>
      <w:tr w14:paraId="7A975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1" w:hRule="atLeast"/>
        </w:trPr>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0AFC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 交货期</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1869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56D7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0825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产品不得超过正式签订合同后</w:t>
            </w:r>
            <w:r>
              <w:rPr>
                <w:rFonts w:hint="eastAsia" w:ascii="宋体" w:hAnsi="宋体" w:eastAsia="宋体" w:cs="宋体"/>
                <w:i w:val="0"/>
                <w:iCs w:val="0"/>
                <w:color w:val="auto"/>
                <w:kern w:val="0"/>
                <w:sz w:val="20"/>
                <w:szCs w:val="20"/>
                <w:highlight w:val="none"/>
                <w:u w:val="none"/>
                <w:lang w:val="en-US" w:eastAsia="zh-CN" w:bidi="ar"/>
              </w:rPr>
              <w:t>60</w:t>
            </w:r>
            <w:r>
              <w:rPr>
                <w:rFonts w:hint="default" w:ascii="宋体" w:hAnsi="宋体" w:eastAsia="宋体" w:cs="宋体"/>
                <w:i w:val="0"/>
                <w:iCs w:val="0"/>
                <w:color w:val="auto"/>
                <w:kern w:val="0"/>
                <w:sz w:val="20"/>
                <w:szCs w:val="20"/>
                <w:highlight w:val="none"/>
                <w:u w:val="none"/>
                <w:lang w:val="en-US" w:eastAsia="zh-CN" w:bidi="ar"/>
              </w:rPr>
              <w:t>个日历日。</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供应商应予以特别注意：如出现未能到期供货的情况，需求单位有权单方终止合同的执行，所有的经济损失由逾期供货商单方承担。</w:t>
            </w:r>
          </w:p>
        </w:tc>
      </w:tr>
      <w:tr w14:paraId="0D649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3" w:hRule="atLeast"/>
        </w:trPr>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CD1B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 质保期</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9E73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4107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9EA9A">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产品安装调试经用户验收合格当天起，质保期1年，在质保期内，产品因故障停用，质保期相应顺延。质保期外4年内，能更及时地为用户提供仪器关键零备件、消耗品等。</w:t>
            </w:r>
          </w:p>
        </w:tc>
      </w:tr>
      <w:tr w14:paraId="398FB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93" w:hRule="atLeast"/>
        </w:trPr>
        <w:tc>
          <w:tcPr>
            <w:tcW w:w="12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E63D8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 售后服务要求</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D75A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6AC5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7.1</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9F25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应提供原产商质量保证和售后服务承诺书。在质量保证期内设备发生故障，中标供应商应免费提供原厂商售后维修和更换零件服务。质保期后，中标供应商提供设备终身技术支持，包括故障排除和零配件的供应、仪器软件免费升级和培训；设备出现故障需更换配件时，只收取零配件费用，免收其它费用。合同签订后，在1周内中标供应商将仪器操作间的装修要求和水、电、气要求通知需求单位。</w:t>
            </w:r>
          </w:p>
        </w:tc>
      </w:tr>
      <w:tr w14:paraId="1E1CC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7" w:hRule="atLeast"/>
        </w:trPr>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FA07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F087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2766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7.2</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7A12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69DA8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9" w:hRule="atLeast"/>
        </w:trPr>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1854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2009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F7BF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7.3</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EDBA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0A3C5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5" w:hRule="atLeast"/>
        </w:trPr>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3B1E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1FF8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5F76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7.4</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B3BE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中标供应商能响应故障处理请求和电话咨询，提供7x24小时技术支持，4小时内响应和24小时内提出解决方案，一般应在48小时内派人到现场维修的售后服务。中标供应商应提供维保人员名单、联系电话等。</w:t>
            </w:r>
          </w:p>
        </w:tc>
      </w:tr>
      <w:tr w14:paraId="7EDCC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0" w:hRule="atLeast"/>
        </w:trPr>
        <w:tc>
          <w:tcPr>
            <w:tcW w:w="12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22BB0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8E54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3ADB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7.5</w:t>
            </w:r>
          </w:p>
        </w:tc>
        <w:tc>
          <w:tcPr>
            <w:tcW w:w="5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F0058">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现场培训：仪器在安装调试同时，中标供应商负责免费派工程师对用户就仪器原理和基本操作进行现场培训，培训人员人数不限，培训时间视需求单位需要，原则上不少于2天，确保需求单位用户能正常操作。</w:t>
            </w:r>
          </w:p>
        </w:tc>
      </w:tr>
    </w:tbl>
    <w:p w14:paraId="005C42CE">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tbl>
      <w:tblPr>
        <w:tblStyle w:val="3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22"/>
        <w:gridCol w:w="1226"/>
        <w:gridCol w:w="873"/>
        <w:gridCol w:w="5853"/>
      </w:tblGrid>
      <w:tr w14:paraId="12205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5000" w:type="pct"/>
            <w:gridSpan w:val="4"/>
            <w:tcBorders>
              <w:top w:val="nil"/>
              <w:left w:val="nil"/>
              <w:bottom w:val="nil"/>
              <w:right w:val="nil"/>
            </w:tcBorders>
            <w:shd w:val="clear" w:color="auto" w:fill="auto"/>
            <w:vAlign w:val="center"/>
          </w:tcPr>
          <w:p w14:paraId="0C4D0912">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w:t>
            </w: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（五）</w:t>
            </w:r>
          </w:p>
        </w:tc>
      </w:tr>
      <w:tr w14:paraId="56CA5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9" w:hRule="atLeast"/>
        </w:trPr>
        <w:tc>
          <w:tcPr>
            <w:tcW w:w="5000" w:type="pct"/>
            <w:gridSpan w:val="4"/>
            <w:tcBorders>
              <w:top w:val="nil"/>
              <w:left w:val="nil"/>
              <w:bottom w:val="nil"/>
              <w:right w:val="nil"/>
            </w:tcBorders>
            <w:shd w:val="clear" w:color="auto" w:fill="auto"/>
            <w:noWrap/>
            <w:vAlign w:val="center"/>
          </w:tcPr>
          <w:p w14:paraId="31CBADF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子品目名称：低温&amp;灭活研磨仪</w:t>
            </w:r>
          </w:p>
        </w:tc>
      </w:tr>
      <w:tr w14:paraId="2275C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9" w:hRule="atLeast"/>
        </w:trPr>
        <w:tc>
          <w:tcPr>
            <w:tcW w:w="5000" w:type="pct"/>
            <w:gridSpan w:val="4"/>
            <w:tcBorders>
              <w:top w:val="nil"/>
              <w:left w:val="nil"/>
              <w:bottom w:val="nil"/>
              <w:right w:val="nil"/>
            </w:tcBorders>
            <w:shd w:val="clear" w:color="auto" w:fill="auto"/>
            <w:noWrap/>
            <w:vAlign w:val="center"/>
          </w:tcPr>
          <w:p w14:paraId="6EB0F93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子品目名称：低温&amp;灭活研磨仪</w:t>
            </w:r>
          </w:p>
        </w:tc>
      </w:tr>
      <w:tr w14:paraId="0E004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8" w:hRule="atLeast"/>
        </w:trPr>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39C1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CE5C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3E5C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3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F5F7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商务</w:t>
            </w:r>
            <w:r>
              <w:rPr>
                <w:rFonts w:hint="default" w:ascii="宋体" w:hAnsi="宋体" w:eastAsia="宋体" w:cs="宋体"/>
                <w:i w:val="0"/>
                <w:iCs w:val="0"/>
                <w:color w:val="auto"/>
                <w:kern w:val="0"/>
                <w:sz w:val="20"/>
                <w:szCs w:val="20"/>
                <w:highlight w:val="none"/>
                <w:u w:val="none"/>
                <w:lang w:val="en-US" w:eastAsia="zh-CN" w:bidi="ar"/>
              </w:rPr>
              <w:t>指标内容</w:t>
            </w:r>
          </w:p>
        </w:tc>
      </w:tr>
      <w:tr w14:paraId="13F42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5" w:hRule="atLeast"/>
        </w:trPr>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F55F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 交货期</w:t>
            </w: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D079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5D28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w:t>
            </w:r>
          </w:p>
        </w:tc>
        <w:tc>
          <w:tcPr>
            <w:tcW w:w="3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B43F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产品不得超过正式签订合同后</w:t>
            </w:r>
            <w:r>
              <w:rPr>
                <w:rFonts w:hint="eastAsia" w:ascii="宋体" w:hAnsi="宋体" w:eastAsia="宋体" w:cs="宋体"/>
                <w:i w:val="0"/>
                <w:iCs w:val="0"/>
                <w:color w:val="auto"/>
                <w:kern w:val="0"/>
                <w:sz w:val="20"/>
                <w:szCs w:val="20"/>
                <w:highlight w:val="none"/>
                <w:u w:val="none"/>
                <w:lang w:val="en-US" w:eastAsia="zh-CN" w:bidi="ar"/>
              </w:rPr>
              <w:t>60</w:t>
            </w:r>
            <w:r>
              <w:rPr>
                <w:rFonts w:hint="default" w:ascii="宋体" w:hAnsi="宋体" w:eastAsia="宋体" w:cs="宋体"/>
                <w:i w:val="0"/>
                <w:iCs w:val="0"/>
                <w:color w:val="auto"/>
                <w:kern w:val="0"/>
                <w:sz w:val="20"/>
                <w:szCs w:val="20"/>
                <w:highlight w:val="none"/>
                <w:u w:val="none"/>
                <w:lang w:val="en-US" w:eastAsia="zh-CN" w:bidi="ar"/>
              </w:rPr>
              <w:t>个日历日。</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供应商应予以特别注意：如出现未能到期供货的情况，需求单位有权单方终止合同的执行，所有的经济损失由逾期供货商单方承担。</w:t>
            </w:r>
          </w:p>
        </w:tc>
      </w:tr>
      <w:tr w14:paraId="08292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5" w:hRule="atLeast"/>
        </w:trPr>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B353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 质保期</w:t>
            </w: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256F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B08D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w:t>
            </w:r>
          </w:p>
        </w:tc>
        <w:tc>
          <w:tcPr>
            <w:tcW w:w="3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4CC2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产品安装调试经用户验收合格当天起，质保期1年，在质保期内，产品因故障停用，质保期相应顺延。质保期外4年内，能更及时地为用户提供仪器关键零备件、消耗品等。</w:t>
            </w:r>
          </w:p>
        </w:tc>
      </w:tr>
      <w:tr w14:paraId="3EA6F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6" w:hRule="atLeast"/>
        </w:trPr>
        <w:tc>
          <w:tcPr>
            <w:tcW w:w="66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71F9B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 售后服务要求</w:t>
            </w: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58ED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BDB6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7.1</w:t>
            </w:r>
          </w:p>
        </w:tc>
        <w:tc>
          <w:tcPr>
            <w:tcW w:w="3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B705A">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应提供原产商质量保证和售后服务承诺书。在质量保证期内设备发生故障，中标供应商应免费提供原厂商售后维修和更换零件服务。质保期后，中标供应商提供设备终身技术支持，包括故障排除和零配件的供应、仪器软件免费升级和培训；设备出现故障需更换配件时，只收取零配件费用，免收其它费用。合同签订后，在1周内中标供应商将仪器操作间的装修要求和水、电、气要求通知需求单位。</w:t>
            </w:r>
          </w:p>
        </w:tc>
      </w:tr>
      <w:tr w14:paraId="4BED0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8" w:hRule="atLeast"/>
        </w:trPr>
        <w:tc>
          <w:tcPr>
            <w:tcW w:w="66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8D473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F2A6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C1A1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7.2</w:t>
            </w:r>
          </w:p>
        </w:tc>
        <w:tc>
          <w:tcPr>
            <w:tcW w:w="3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2E6C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12B97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2" w:hRule="atLeast"/>
        </w:trPr>
        <w:tc>
          <w:tcPr>
            <w:tcW w:w="66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18CC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42A9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6326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7.3</w:t>
            </w:r>
          </w:p>
        </w:tc>
        <w:tc>
          <w:tcPr>
            <w:tcW w:w="3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05B1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74CC9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8" w:hRule="atLeast"/>
        </w:trPr>
        <w:tc>
          <w:tcPr>
            <w:tcW w:w="66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7433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638F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5ABC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7.4</w:t>
            </w:r>
          </w:p>
        </w:tc>
        <w:tc>
          <w:tcPr>
            <w:tcW w:w="3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3EDE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中标供应商能响应故障处理请求和电话咨询，提供7x24小时技术支持，4小时内响应和24小时内提出解决方案，一般应在48小时内派人到现场维修的售后服务。中标供应商应提供维保人员名单、联系电话等。</w:t>
            </w:r>
          </w:p>
        </w:tc>
      </w:tr>
      <w:tr w14:paraId="1D33C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0" w:hRule="atLeast"/>
        </w:trPr>
        <w:tc>
          <w:tcPr>
            <w:tcW w:w="66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3DBE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AFD2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8D16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7.5</w:t>
            </w:r>
          </w:p>
        </w:tc>
        <w:tc>
          <w:tcPr>
            <w:tcW w:w="3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CBA1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现场培训：仪器在安装调试同时，中标供应商负责免费派工程师对用户就仪器原理和基本操作进行现场培训，培训人员人数不限，培训时间视需求单位需要，原则上不少于2天，确保需求单位用户能正常操作。</w:t>
            </w:r>
          </w:p>
        </w:tc>
      </w:tr>
    </w:tbl>
    <w:p w14:paraId="7318E12C">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31710E5A">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tbl>
      <w:tblPr>
        <w:tblStyle w:val="3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01"/>
        <w:gridCol w:w="1319"/>
        <w:gridCol w:w="851"/>
        <w:gridCol w:w="5903"/>
      </w:tblGrid>
      <w:tr w14:paraId="1CEB4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6" w:hRule="atLeast"/>
        </w:trPr>
        <w:tc>
          <w:tcPr>
            <w:tcW w:w="5000" w:type="pct"/>
            <w:gridSpan w:val="4"/>
            <w:tcBorders>
              <w:top w:val="nil"/>
              <w:left w:val="nil"/>
              <w:bottom w:val="nil"/>
              <w:right w:val="nil"/>
            </w:tcBorders>
            <w:shd w:val="clear" w:color="auto" w:fill="auto"/>
            <w:vAlign w:val="center"/>
          </w:tcPr>
          <w:p w14:paraId="02F356FA">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w:t>
            </w: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（六）</w:t>
            </w:r>
          </w:p>
        </w:tc>
      </w:tr>
      <w:tr w14:paraId="7C879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6" w:hRule="atLeast"/>
        </w:trPr>
        <w:tc>
          <w:tcPr>
            <w:tcW w:w="5000" w:type="pct"/>
            <w:gridSpan w:val="4"/>
            <w:tcBorders>
              <w:top w:val="nil"/>
              <w:left w:val="nil"/>
              <w:bottom w:val="nil"/>
              <w:right w:val="nil"/>
            </w:tcBorders>
            <w:shd w:val="clear" w:color="auto" w:fill="auto"/>
            <w:noWrap/>
            <w:vAlign w:val="center"/>
          </w:tcPr>
          <w:p w14:paraId="7F1EF0D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w:t>
            </w:r>
            <w:r>
              <w:rPr>
                <w:rFonts w:hint="eastAsia" w:ascii="宋体" w:hAnsi="宋体" w:eastAsia="宋体" w:cs="宋体"/>
                <w:i w:val="0"/>
                <w:iCs w:val="0"/>
                <w:color w:val="auto"/>
                <w:kern w:val="0"/>
                <w:sz w:val="20"/>
                <w:szCs w:val="20"/>
                <w:highlight w:val="none"/>
                <w:u w:val="none"/>
                <w:lang w:val="en-US" w:eastAsia="zh-CN" w:bidi="ar"/>
              </w:rPr>
              <w:t>生物安全柜</w:t>
            </w:r>
          </w:p>
        </w:tc>
      </w:tr>
      <w:tr w14:paraId="6E223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6" w:hRule="atLeast"/>
        </w:trPr>
        <w:tc>
          <w:tcPr>
            <w:tcW w:w="5000" w:type="pct"/>
            <w:gridSpan w:val="4"/>
            <w:tcBorders>
              <w:top w:val="nil"/>
              <w:left w:val="nil"/>
              <w:bottom w:val="nil"/>
              <w:right w:val="nil"/>
            </w:tcBorders>
            <w:shd w:val="clear" w:color="auto" w:fill="auto"/>
            <w:noWrap/>
            <w:vAlign w:val="center"/>
          </w:tcPr>
          <w:p w14:paraId="4622B87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w:t>
            </w:r>
            <w:r>
              <w:rPr>
                <w:rFonts w:hint="eastAsia" w:ascii="宋体" w:hAnsi="宋体" w:eastAsia="宋体" w:cs="宋体"/>
                <w:i w:val="0"/>
                <w:iCs w:val="0"/>
                <w:color w:val="auto"/>
                <w:kern w:val="0"/>
                <w:sz w:val="20"/>
                <w:szCs w:val="20"/>
                <w:highlight w:val="none"/>
                <w:u w:val="none"/>
                <w:lang w:val="en-US" w:eastAsia="zh-CN" w:bidi="ar"/>
              </w:rPr>
              <w:t>生物安全柜</w:t>
            </w:r>
          </w:p>
        </w:tc>
      </w:tr>
      <w:tr w14:paraId="4A984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2" w:hRule="atLeast"/>
        </w:trPr>
        <w:tc>
          <w:tcPr>
            <w:tcW w:w="6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9634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7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19A1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E8E3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30DB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商务指标内容</w:t>
            </w:r>
          </w:p>
        </w:tc>
      </w:tr>
      <w:tr w14:paraId="0FF3A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2" w:hRule="atLeast"/>
        </w:trPr>
        <w:tc>
          <w:tcPr>
            <w:tcW w:w="6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C7B1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 交货期</w:t>
            </w:r>
          </w:p>
        </w:tc>
        <w:tc>
          <w:tcPr>
            <w:tcW w:w="7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B37E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BE92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5B72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产品不得超过正式签订合同后60个日历日。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供应商应予以特别注意：如出现未能到期供货的情况，需求单位有权单方终止合同的执行，所有的经济损失由逾期供货商单方承担。</w:t>
            </w:r>
          </w:p>
        </w:tc>
      </w:tr>
      <w:tr w14:paraId="4E553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2" w:hRule="atLeast"/>
        </w:trPr>
        <w:tc>
          <w:tcPr>
            <w:tcW w:w="6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7FC9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 质保期</w:t>
            </w:r>
          </w:p>
        </w:tc>
        <w:tc>
          <w:tcPr>
            <w:tcW w:w="7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B857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2117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AF82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产品安装调试经用户验收合格当天起，质保期1年，在质保期内，产品因故障停用，质保期相应顺延。质保期外4年内，能更及时地为用户提供仪器关键零备件、消耗品等。</w:t>
            </w:r>
          </w:p>
        </w:tc>
      </w:tr>
      <w:tr w14:paraId="30E9F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2" w:hRule="atLeast"/>
        </w:trPr>
        <w:tc>
          <w:tcPr>
            <w:tcW w:w="60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48A1B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 售后服务要求</w:t>
            </w:r>
          </w:p>
        </w:tc>
        <w:tc>
          <w:tcPr>
            <w:tcW w:w="7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6559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12EC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7.1</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5902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应提供原产商质量保证和售后服务承诺书。在质量保证期内设备发生故障，中标供应商应免费提供原厂商售后维修和更换零件服务。质保期后，中标供应商提供设备终身技术支持，包括故障排除和零配件的供应、仪器软件免费升级和培训；设备出现故障需更换配件时，只收取零配件费用，免收其它费用。合同签订后，在1周内中标供应商将仪器操作间的装修要求和水、电、气要求通知需求单位。</w:t>
            </w:r>
          </w:p>
        </w:tc>
      </w:tr>
      <w:tr w14:paraId="3B8F7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4"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6C45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B1D8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0450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7.2</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9B30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667C1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6"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8141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8B84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B26B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7.3</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6275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47DB0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8AB5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69FE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87F1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7.4</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E362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中标供应商能响应故障处理请求和电话咨询，提供7x24小时技术支持，4小时内响应和24小时内提出解决方案，一般应在48小时内派人到现场维修的售后服务。中标供应商应提供维保人员名单、联系电话等。</w:t>
            </w:r>
          </w:p>
        </w:tc>
      </w:tr>
      <w:tr w14:paraId="71464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0" w:hRule="atLeast"/>
        </w:trPr>
        <w:tc>
          <w:tcPr>
            <w:tcW w:w="6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7DBF8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7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8033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491A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7.5</w:t>
            </w:r>
          </w:p>
        </w:tc>
        <w:tc>
          <w:tcPr>
            <w:tcW w:w="3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E150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现场培训：仪器在安装调试同时，中标供应商负责免费派工程师对用户就仪器原理和基本操作进行现场培训，培训人员人数不限，培训时间视需求单位需要，原则上不少于2天，确保需求单位用户能正常操作。</w:t>
            </w:r>
          </w:p>
        </w:tc>
      </w:tr>
    </w:tbl>
    <w:p w14:paraId="517AADC2">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7A521D09">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tbl>
      <w:tblPr>
        <w:tblStyle w:val="38"/>
        <w:tblW w:w="934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97"/>
        <w:gridCol w:w="1284"/>
        <w:gridCol w:w="888"/>
        <w:gridCol w:w="5871"/>
      </w:tblGrid>
      <w:tr w14:paraId="15FFD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3" w:hRule="atLeast"/>
        </w:trPr>
        <w:tc>
          <w:tcPr>
            <w:tcW w:w="9340" w:type="dxa"/>
            <w:gridSpan w:val="4"/>
            <w:tcBorders>
              <w:top w:val="nil"/>
              <w:left w:val="nil"/>
              <w:bottom w:val="nil"/>
              <w:right w:val="nil"/>
            </w:tcBorders>
            <w:shd w:val="clear" w:color="auto" w:fill="auto"/>
            <w:vAlign w:val="center"/>
          </w:tcPr>
          <w:p w14:paraId="678225B8">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w:t>
            </w: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（七）</w:t>
            </w:r>
          </w:p>
        </w:tc>
      </w:tr>
      <w:tr w14:paraId="7F4AE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3" w:hRule="atLeast"/>
        </w:trPr>
        <w:tc>
          <w:tcPr>
            <w:tcW w:w="9340" w:type="dxa"/>
            <w:gridSpan w:val="4"/>
            <w:tcBorders>
              <w:top w:val="nil"/>
              <w:left w:val="nil"/>
              <w:bottom w:val="nil"/>
              <w:right w:val="nil"/>
            </w:tcBorders>
            <w:shd w:val="clear" w:color="auto" w:fill="auto"/>
            <w:noWrap/>
            <w:vAlign w:val="center"/>
          </w:tcPr>
          <w:p w14:paraId="205DA4B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w:t>
            </w:r>
            <w:r>
              <w:rPr>
                <w:rFonts w:hint="eastAsia" w:ascii="宋体" w:hAnsi="宋体" w:eastAsia="宋体" w:cs="宋体"/>
                <w:i w:val="0"/>
                <w:iCs w:val="0"/>
                <w:color w:val="auto"/>
                <w:kern w:val="0"/>
                <w:sz w:val="20"/>
                <w:szCs w:val="20"/>
                <w:highlight w:val="none"/>
                <w:u w:val="none"/>
                <w:lang w:val="en-US" w:eastAsia="zh-CN" w:bidi="ar"/>
              </w:rPr>
              <w:t>实时荧光定量PCR仪</w:t>
            </w:r>
          </w:p>
        </w:tc>
      </w:tr>
      <w:tr w14:paraId="5FC25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9340" w:type="dxa"/>
            <w:gridSpan w:val="4"/>
            <w:tcBorders>
              <w:top w:val="nil"/>
              <w:left w:val="nil"/>
              <w:bottom w:val="nil"/>
              <w:right w:val="nil"/>
            </w:tcBorders>
            <w:shd w:val="clear" w:color="auto" w:fill="auto"/>
            <w:noWrap/>
            <w:vAlign w:val="center"/>
          </w:tcPr>
          <w:p w14:paraId="1E64E04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w:t>
            </w:r>
            <w:r>
              <w:rPr>
                <w:rFonts w:hint="eastAsia" w:ascii="宋体" w:hAnsi="宋体" w:eastAsia="宋体" w:cs="宋体"/>
                <w:i w:val="0"/>
                <w:iCs w:val="0"/>
                <w:color w:val="auto"/>
                <w:kern w:val="0"/>
                <w:sz w:val="20"/>
                <w:szCs w:val="20"/>
                <w:highlight w:val="none"/>
                <w:u w:val="none"/>
                <w:lang w:val="en-US" w:eastAsia="zh-CN" w:bidi="ar"/>
              </w:rPr>
              <w:t>实时荧光定量PCR仪</w:t>
            </w:r>
          </w:p>
        </w:tc>
      </w:tr>
      <w:tr w14:paraId="7D4E9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4" w:hRule="atLeast"/>
        </w:trPr>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1211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7E6F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7097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DCA5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商务</w:t>
            </w:r>
            <w:r>
              <w:rPr>
                <w:rFonts w:hint="default" w:ascii="宋体" w:hAnsi="宋体" w:eastAsia="宋体" w:cs="宋体"/>
                <w:i w:val="0"/>
                <w:iCs w:val="0"/>
                <w:color w:val="auto"/>
                <w:kern w:val="0"/>
                <w:sz w:val="20"/>
                <w:szCs w:val="20"/>
                <w:highlight w:val="none"/>
                <w:u w:val="none"/>
                <w:lang w:val="en-US" w:eastAsia="zh-CN" w:bidi="ar"/>
              </w:rPr>
              <w:t>指标内容</w:t>
            </w:r>
          </w:p>
        </w:tc>
      </w:tr>
      <w:tr w14:paraId="19364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8" w:hRule="atLeast"/>
        </w:trPr>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2D67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 交货期</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0A68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ABCC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28A7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产品不得超过正式签订合同后</w:t>
            </w:r>
            <w:r>
              <w:rPr>
                <w:rFonts w:hint="eastAsia" w:ascii="宋体" w:hAnsi="宋体" w:eastAsia="宋体" w:cs="宋体"/>
                <w:i w:val="0"/>
                <w:iCs w:val="0"/>
                <w:color w:val="auto"/>
                <w:kern w:val="0"/>
                <w:sz w:val="20"/>
                <w:szCs w:val="20"/>
                <w:highlight w:val="none"/>
                <w:u w:val="none"/>
                <w:lang w:val="en-US" w:eastAsia="zh-CN" w:bidi="ar"/>
              </w:rPr>
              <w:t>60</w:t>
            </w:r>
            <w:r>
              <w:rPr>
                <w:rFonts w:hint="default" w:ascii="宋体" w:hAnsi="宋体" w:eastAsia="宋体" w:cs="宋体"/>
                <w:i w:val="0"/>
                <w:iCs w:val="0"/>
                <w:color w:val="auto"/>
                <w:kern w:val="0"/>
                <w:sz w:val="20"/>
                <w:szCs w:val="20"/>
                <w:highlight w:val="none"/>
                <w:u w:val="none"/>
                <w:lang w:val="en-US" w:eastAsia="zh-CN" w:bidi="ar"/>
              </w:rPr>
              <w:t>个日历日。</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供应商应予以特别注意：如出现未能到期供货的情况，需求单位有权单方终止合同的执行，所有的经济损失由逾期供货商单方承担。</w:t>
            </w:r>
          </w:p>
        </w:tc>
      </w:tr>
      <w:tr w14:paraId="2E17C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8" w:hRule="atLeast"/>
        </w:trPr>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5201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 质保期</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703B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9B94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7EC5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产品安装调试经用户验收合格当天起，质保期1年，在质保期内，产品因故障停用，质保期相应顺延。质保期外4年内，能更及时地为用户提供仪器关键零备件、消耗品等。</w:t>
            </w:r>
          </w:p>
        </w:tc>
      </w:tr>
      <w:tr w14:paraId="597CE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6" w:hRule="atLeast"/>
        </w:trPr>
        <w:tc>
          <w:tcPr>
            <w:tcW w:w="12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AEAA8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 售后服务要求</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E55E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973F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7.1</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BB58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应提供原产商质量保证和售后服务承诺书。在质量保证期内设备发生故障，中标供应商应免费提供原厂商售后维修和更换零件服务。质保期后，中标供应商提供设备终身技术支持，包括故障排除和零配件的供应、仪器软件免费升级和培训；设备出现故障需更换配件时，只收取零配件费用，免收其它费用。合同签订后，在1周内中标供应商将仪器操作间的装修要求和水、电、气要求通知需求单位。</w:t>
            </w:r>
          </w:p>
        </w:tc>
      </w:tr>
      <w:tr w14:paraId="73224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6" w:hRule="atLeast"/>
        </w:trPr>
        <w:tc>
          <w:tcPr>
            <w:tcW w:w="12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8768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9B7D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AC37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7.2</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53391">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602BE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5" w:hRule="atLeast"/>
        </w:trPr>
        <w:tc>
          <w:tcPr>
            <w:tcW w:w="12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5DCD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22AE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A8D5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7.3</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9883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4771D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8" w:hRule="atLeast"/>
        </w:trPr>
        <w:tc>
          <w:tcPr>
            <w:tcW w:w="12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7CB7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E5D7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2ADC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7.4</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0566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中标供应商能响应故障处理请求和电话咨询，提供7x24小时技术支持，4小时内响应和24小时内提出解决方案，一般应在48小时内派人到现场维修的售后服务。中标供应商应提供维保人员名单、联系电话等。</w:t>
            </w:r>
          </w:p>
        </w:tc>
      </w:tr>
      <w:tr w14:paraId="7421D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4" w:hRule="atLeast"/>
        </w:trPr>
        <w:tc>
          <w:tcPr>
            <w:tcW w:w="12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BBE5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A2BC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3908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7.5</w:t>
            </w:r>
          </w:p>
        </w:tc>
        <w:tc>
          <w:tcPr>
            <w:tcW w:w="5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B9BCD">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现场培训：仪器在安装调试同时，中标供应商负责免费派工程师对用户就仪器原理和基本操作进行现场培训，培训人员人数不限，培训时间视需求单位需要，原则上不少于2天，确保需求单位用户能正常操作。</w:t>
            </w:r>
          </w:p>
        </w:tc>
      </w:tr>
    </w:tbl>
    <w:p w14:paraId="2CC09170">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p w14:paraId="4A578DAB">
      <w:pPr>
        <w:pageBreakBefore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zh-CN" w:eastAsia="zh-CN"/>
        </w:rPr>
      </w:pPr>
    </w:p>
    <w:tbl>
      <w:tblPr>
        <w:tblStyle w:val="38"/>
        <w:tblW w:w="934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17"/>
        <w:gridCol w:w="1344"/>
        <w:gridCol w:w="828"/>
        <w:gridCol w:w="5751"/>
      </w:tblGrid>
      <w:tr w14:paraId="40521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340" w:type="dxa"/>
            <w:gridSpan w:val="4"/>
            <w:tcBorders>
              <w:top w:val="nil"/>
              <w:left w:val="nil"/>
              <w:bottom w:val="nil"/>
              <w:right w:val="nil"/>
            </w:tcBorders>
            <w:shd w:val="clear" w:color="auto" w:fill="auto"/>
            <w:vAlign w:val="center"/>
          </w:tcPr>
          <w:p w14:paraId="330B8CA6">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w:t>
            </w: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（八）</w:t>
            </w:r>
          </w:p>
        </w:tc>
      </w:tr>
      <w:tr w14:paraId="0207F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9340" w:type="dxa"/>
            <w:gridSpan w:val="4"/>
            <w:tcBorders>
              <w:top w:val="nil"/>
              <w:left w:val="nil"/>
              <w:bottom w:val="nil"/>
              <w:right w:val="nil"/>
            </w:tcBorders>
            <w:shd w:val="clear" w:color="auto" w:fill="auto"/>
            <w:noWrap/>
            <w:vAlign w:val="center"/>
          </w:tcPr>
          <w:p w14:paraId="669F960D">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品目名称：核酸提取</w:t>
            </w:r>
          </w:p>
        </w:tc>
      </w:tr>
      <w:tr w14:paraId="51C8C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9340" w:type="dxa"/>
            <w:gridSpan w:val="4"/>
            <w:tcBorders>
              <w:top w:val="nil"/>
              <w:left w:val="nil"/>
              <w:bottom w:val="nil"/>
              <w:right w:val="nil"/>
            </w:tcBorders>
            <w:shd w:val="clear" w:color="auto" w:fill="auto"/>
            <w:noWrap/>
            <w:vAlign w:val="center"/>
          </w:tcPr>
          <w:p w14:paraId="7C3A9BCD">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子品目名称：核酸提取</w:t>
            </w:r>
          </w:p>
        </w:tc>
      </w:tr>
      <w:tr w14:paraId="54F8C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D1A2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3F41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A485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3C21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商务</w:t>
            </w:r>
            <w:r>
              <w:rPr>
                <w:rFonts w:hint="default" w:ascii="宋体" w:hAnsi="宋体" w:eastAsia="宋体" w:cs="宋体"/>
                <w:i w:val="0"/>
                <w:iCs w:val="0"/>
                <w:color w:val="auto"/>
                <w:kern w:val="0"/>
                <w:sz w:val="20"/>
                <w:szCs w:val="20"/>
                <w:highlight w:val="none"/>
                <w:u w:val="none"/>
                <w:lang w:val="en-US" w:eastAsia="zh-CN" w:bidi="ar"/>
              </w:rPr>
              <w:t>指标内容</w:t>
            </w:r>
          </w:p>
        </w:tc>
      </w:tr>
      <w:tr w14:paraId="0B1B3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66E0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 交货期</w:t>
            </w: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9F68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0BC0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w:t>
            </w:r>
          </w:p>
        </w:tc>
        <w:tc>
          <w:tcPr>
            <w:tcW w:w="5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1BD3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产品不得超过正式签订合同后</w:t>
            </w:r>
            <w:r>
              <w:rPr>
                <w:rFonts w:hint="eastAsia" w:ascii="宋体" w:hAnsi="宋体" w:eastAsia="宋体" w:cs="宋体"/>
                <w:i w:val="0"/>
                <w:iCs w:val="0"/>
                <w:color w:val="auto"/>
                <w:kern w:val="0"/>
                <w:sz w:val="20"/>
                <w:szCs w:val="20"/>
                <w:highlight w:val="none"/>
                <w:u w:val="none"/>
                <w:lang w:val="en-US" w:eastAsia="zh-CN" w:bidi="ar"/>
              </w:rPr>
              <w:t>60</w:t>
            </w:r>
            <w:r>
              <w:rPr>
                <w:rFonts w:hint="default" w:ascii="宋体" w:hAnsi="宋体" w:eastAsia="宋体" w:cs="宋体"/>
                <w:i w:val="0"/>
                <w:iCs w:val="0"/>
                <w:color w:val="auto"/>
                <w:kern w:val="0"/>
                <w:sz w:val="20"/>
                <w:szCs w:val="20"/>
                <w:highlight w:val="none"/>
                <w:u w:val="none"/>
                <w:lang w:val="en-US" w:eastAsia="zh-CN" w:bidi="ar"/>
              </w:rPr>
              <w:t>个日历日。</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供应商应予以特别注意：如出现未能到期供货的情况，需求单位有权单方终止合同的执行，所有的经济损失由逾期供货商单方承担。</w:t>
            </w:r>
          </w:p>
        </w:tc>
      </w:tr>
      <w:tr w14:paraId="19440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9C88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 质保期</w:t>
            </w: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ABF7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9250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w:t>
            </w:r>
          </w:p>
        </w:tc>
        <w:tc>
          <w:tcPr>
            <w:tcW w:w="5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8DFB8">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产品安装调试经用户验收合格当天起，质保期1年，在质保期内，产品因故障停用，质保期相应顺延。质保期外4年内，能更及时地为用户提供仪器关键零备件、消耗品等。</w:t>
            </w:r>
          </w:p>
        </w:tc>
      </w:tr>
      <w:tr w14:paraId="338DE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14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6E5DE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 售后服务要求</w:t>
            </w: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28AB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7F4E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7.1</w:t>
            </w:r>
          </w:p>
        </w:tc>
        <w:tc>
          <w:tcPr>
            <w:tcW w:w="5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421C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应提供原产商质量保证和售后服务承诺书。在质量保证期内设备发生故障，中标供应商应免费提供原厂商售后维修和更换零件服务。质保期后，中标供应商提供设备终身技术支持，包括故障排除和零配件的供应、仪器软件免费升级和培训；设备出现故障需更换配件时，只收取零配件费用，免收其它费用。合同签订后，在1周内中标供应商将仪器操作间的装修要求和水、电、气要求通知需求单位。</w:t>
            </w:r>
          </w:p>
        </w:tc>
      </w:tr>
      <w:tr w14:paraId="574BB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60" w:hRule="atLeast"/>
        </w:trPr>
        <w:tc>
          <w:tcPr>
            <w:tcW w:w="14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2E3C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6531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56D6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7.2</w:t>
            </w:r>
          </w:p>
        </w:tc>
        <w:tc>
          <w:tcPr>
            <w:tcW w:w="5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C44F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7E61F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14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03B58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F407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4B60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7.3</w:t>
            </w:r>
          </w:p>
        </w:tc>
        <w:tc>
          <w:tcPr>
            <w:tcW w:w="5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7E50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6F500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14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3D1A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EBED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DD88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7.4</w:t>
            </w:r>
          </w:p>
        </w:tc>
        <w:tc>
          <w:tcPr>
            <w:tcW w:w="5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1B86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中标供应商能响应故障处理请求和电话咨询，提供7x24小时技术支持，4小时内响应和24小时内提出解决方案，一般应在48小时内派人到现场维修的售后服务。中标供应商应提供维保人员名单、联系电话等。</w:t>
            </w:r>
          </w:p>
        </w:tc>
      </w:tr>
      <w:tr w14:paraId="5669F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14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9CA1C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189D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8BF2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7.5</w:t>
            </w:r>
          </w:p>
        </w:tc>
        <w:tc>
          <w:tcPr>
            <w:tcW w:w="5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B7D3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现场培训：仪器在安装调试同时，中标供应商负责免费派工程师对用户就仪器原理和基本操作进行现场培训，培训人员人数不限，培训时间视需求单位需要，原则上不少于2天，确保需求单位用户能正常操作。</w:t>
            </w:r>
          </w:p>
        </w:tc>
      </w:tr>
    </w:tbl>
    <w:p w14:paraId="5FD20D7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07996B15">
      <w:pPr>
        <w:pStyle w:val="2"/>
        <w:rPr>
          <w:rFonts w:hint="eastAsia"/>
          <w:color w:val="auto"/>
          <w:highlight w:val="none"/>
          <w:lang w:val="zh-CN" w:eastAsia="zh-CN"/>
        </w:rPr>
      </w:pPr>
    </w:p>
    <w:p w14:paraId="4BE6F3AA">
      <w:pPr>
        <w:bidi w:val="0"/>
        <w:rPr>
          <w:rFonts w:hint="eastAsia"/>
          <w:color w:val="auto"/>
          <w:highlight w:val="none"/>
          <w:lang w:val="zh-CN" w:eastAsia="zh-CN"/>
        </w:rPr>
      </w:pPr>
    </w:p>
    <w:tbl>
      <w:tblPr>
        <w:tblStyle w:val="38"/>
        <w:tblW w:w="907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65"/>
        <w:gridCol w:w="1344"/>
        <w:gridCol w:w="924"/>
        <w:gridCol w:w="5344"/>
      </w:tblGrid>
      <w:tr w14:paraId="7F4D7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077" w:type="dxa"/>
            <w:gridSpan w:val="4"/>
            <w:tcBorders>
              <w:top w:val="nil"/>
              <w:left w:val="nil"/>
              <w:bottom w:val="nil"/>
              <w:right w:val="nil"/>
            </w:tcBorders>
            <w:shd w:val="clear" w:color="auto" w:fill="auto"/>
            <w:vAlign w:val="center"/>
          </w:tcPr>
          <w:p w14:paraId="610F6385">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w:t>
            </w: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（九）</w:t>
            </w:r>
          </w:p>
        </w:tc>
      </w:tr>
      <w:tr w14:paraId="4EB70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077" w:type="dxa"/>
            <w:gridSpan w:val="4"/>
            <w:tcBorders>
              <w:top w:val="nil"/>
              <w:left w:val="nil"/>
              <w:bottom w:val="nil"/>
              <w:right w:val="nil"/>
            </w:tcBorders>
            <w:shd w:val="clear" w:color="auto" w:fill="auto"/>
            <w:noWrap/>
            <w:vAlign w:val="center"/>
          </w:tcPr>
          <w:p w14:paraId="4E8AA33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品目名称：全自动酶联免疫分析仪</w:t>
            </w:r>
          </w:p>
        </w:tc>
      </w:tr>
      <w:tr w14:paraId="48665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077" w:type="dxa"/>
            <w:gridSpan w:val="4"/>
            <w:tcBorders>
              <w:top w:val="nil"/>
              <w:left w:val="nil"/>
              <w:bottom w:val="nil"/>
              <w:right w:val="nil"/>
            </w:tcBorders>
            <w:shd w:val="clear" w:color="auto" w:fill="auto"/>
            <w:noWrap/>
            <w:vAlign w:val="center"/>
          </w:tcPr>
          <w:p w14:paraId="649EF7E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子品目名称：全自动酶联免疫分析仪</w:t>
            </w:r>
          </w:p>
        </w:tc>
      </w:tr>
      <w:tr w14:paraId="41673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2367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80AD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13AE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ED04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商务</w:t>
            </w:r>
            <w:r>
              <w:rPr>
                <w:rFonts w:hint="default" w:ascii="宋体" w:hAnsi="宋体" w:eastAsia="宋体" w:cs="宋体"/>
                <w:i w:val="0"/>
                <w:iCs w:val="0"/>
                <w:color w:val="auto"/>
                <w:kern w:val="0"/>
                <w:sz w:val="20"/>
                <w:szCs w:val="20"/>
                <w:highlight w:val="none"/>
                <w:u w:val="none"/>
                <w:lang w:val="en-US" w:eastAsia="zh-CN" w:bidi="ar"/>
              </w:rPr>
              <w:t>指标内容</w:t>
            </w:r>
          </w:p>
        </w:tc>
      </w:tr>
      <w:tr w14:paraId="270E8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1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6F98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 交货期</w:t>
            </w: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A404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ECC7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EC37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产品不得超过正式签订合同后</w:t>
            </w:r>
            <w:r>
              <w:rPr>
                <w:rFonts w:hint="eastAsia" w:ascii="宋体" w:hAnsi="宋体" w:eastAsia="宋体" w:cs="宋体"/>
                <w:i w:val="0"/>
                <w:iCs w:val="0"/>
                <w:color w:val="auto"/>
                <w:kern w:val="0"/>
                <w:sz w:val="20"/>
                <w:szCs w:val="20"/>
                <w:highlight w:val="none"/>
                <w:u w:val="none"/>
                <w:lang w:val="en-US" w:eastAsia="zh-CN" w:bidi="ar"/>
              </w:rPr>
              <w:t>60</w:t>
            </w:r>
            <w:r>
              <w:rPr>
                <w:rFonts w:hint="default" w:ascii="宋体" w:hAnsi="宋体" w:eastAsia="宋体" w:cs="宋体"/>
                <w:i w:val="0"/>
                <w:iCs w:val="0"/>
                <w:color w:val="auto"/>
                <w:kern w:val="0"/>
                <w:sz w:val="20"/>
                <w:szCs w:val="20"/>
                <w:highlight w:val="none"/>
                <w:u w:val="none"/>
                <w:lang w:val="en-US" w:eastAsia="zh-CN" w:bidi="ar"/>
              </w:rPr>
              <w:t>个日历日。</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供应商应予以特别注意：如出现未能到期供货的情况，需求单位有权单方终止合同的执行，所有的经济损失由逾期供货商单方承担。</w:t>
            </w:r>
          </w:p>
        </w:tc>
      </w:tr>
      <w:tr w14:paraId="37418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23A4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 质保期</w:t>
            </w: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3BAF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91F1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B2D7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产品安装调试经用户验收合格当天起，质保期1年，在质保期内，产品因故障停用，质保期相应顺延。质保期外4年内，能更及时地为用户提供仪器关键零备件、消耗品等。</w:t>
            </w:r>
          </w:p>
        </w:tc>
      </w:tr>
      <w:tr w14:paraId="0867E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0" w:hRule="atLeast"/>
        </w:trPr>
        <w:tc>
          <w:tcPr>
            <w:tcW w:w="14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A5662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 售后服务要求</w:t>
            </w: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658D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1FC6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7.1</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CEFDF">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应提供原产商质量保证和售后服务承诺书。在质量保证期内设备发生故障，中标供应商应免费提供原厂商售后维修和更换零件服务。质保期后，中标供应商提供设备终身技术支持，包括故障排除和零配件的供应、仪器软件免费升级和培训；设备出现故障需更换配件时，只收取零配件费用，免收其它费用。合同签订后，在1周内中标供应商将仪器操作间的装修要求和水、电、气要求通知需求单位。</w:t>
            </w:r>
          </w:p>
        </w:tc>
      </w:tr>
      <w:tr w14:paraId="45DF5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1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E572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EEC1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36D9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7.2</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3BF1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25AC3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E0B9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CC25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B7AB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7.3</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1667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12C9E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7B1C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E1B6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533C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7.4</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F9D7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中标供应商能响应故障处理请求和电话咨询，提供7x24小时技术支持，4小时内响应和24小时内提出解决方案，一般应在48小时内派人到现场维修的售后服务。中标供应商应提供维保人员名单、联系电话等。</w:t>
            </w:r>
          </w:p>
        </w:tc>
      </w:tr>
      <w:tr w14:paraId="7FFDD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F7AB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27BB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95D4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7.5</w:t>
            </w:r>
          </w:p>
        </w:tc>
        <w:tc>
          <w:tcPr>
            <w:tcW w:w="5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E9AC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现场培训：仪器在安装调试同时，中标供应商负责免费派工程师对用户就仪器原理和基本操作进行现场培训，培训人员人数不限，培训时间视需求单位需要，原则上不少于2天，确保需求单位用户能正常操作。</w:t>
            </w:r>
          </w:p>
        </w:tc>
      </w:tr>
    </w:tbl>
    <w:p w14:paraId="5D4F398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01637DA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6A27BC1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59355D5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606D396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5E19A1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940F73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tbl>
      <w:tblPr>
        <w:tblStyle w:val="38"/>
        <w:tblW w:w="904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25"/>
        <w:gridCol w:w="1464"/>
        <w:gridCol w:w="959"/>
        <w:gridCol w:w="5392"/>
      </w:tblGrid>
      <w:tr w14:paraId="3B8CE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9040" w:type="dxa"/>
            <w:gridSpan w:val="4"/>
            <w:tcBorders>
              <w:top w:val="nil"/>
              <w:left w:val="nil"/>
              <w:bottom w:val="nil"/>
              <w:right w:val="nil"/>
            </w:tcBorders>
            <w:shd w:val="clear" w:color="auto" w:fill="auto"/>
            <w:vAlign w:val="center"/>
          </w:tcPr>
          <w:p w14:paraId="5957CD62">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w:t>
            </w: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（十）</w:t>
            </w:r>
          </w:p>
        </w:tc>
      </w:tr>
      <w:tr w14:paraId="22830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40" w:type="dxa"/>
            <w:gridSpan w:val="4"/>
            <w:tcBorders>
              <w:top w:val="nil"/>
              <w:left w:val="nil"/>
              <w:bottom w:val="nil"/>
              <w:right w:val="nil"/>
            </w:tcBorders>
            <w:shd w:val="clear" w:color="auto" w:fill="auto"/>
            <w:noWrap/>
            <w:vAlign w:val="center"/>
          </w:tcPr>
          <w:p w14:paraId="75EC345D">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w:t>
            </w:r>
            <w:r>
              <w:rPr>
                <w:rFonts w:hint="eastAsia" w:ascii="宋体" w:hAnsi="宋体" w:eastAsia="宋体" w:cs="宋体"/>
                <w:i w:val="0"/>
                <w:iCs w:val="0"/>
                <w:color w:val="auto"/>
                <w:kern w:val="0"/>
                <w:sz w:val="20"/>
                <w:szCs w:val="20"/>
                <w:highlight w:val="none"/>
                <w:u w:val="none"/>
                <w:lang w:val="en-US" w:eastAsia="zh-CN" w:bidi="ar"/>
              </w:rPr>
              <w:t>液相色谱</w:t>
            </w:r>
            <w:r>
              <w:rPr>
                <w:rFonts w:hint="default"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串联三重四极杆质谱</w:t>
            </w:r>
          </w:p>
        </w:tc>
      </w:tr>
      <w:tr w14:paraId="46DC0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 w:hRule="atLeast"/>
        </w:trPr>
        <w:tc>
          <w:tcPr>
            <w:tcW w:w="9040" w:type="dxa"/>
            <w:gridSpan w:val="4"/>
            <w:tcBorders>
              <w:top w:val="nil"/>
              <w:left w:val="nil"/>
              <w:bottom w:val="nil"/>
              <w:right w:val="nil"/>
            </w:tcBorders>
            <w:shd w:val="clear" w:color="auto" w:fill="auto"/>
            <w:noWrap/>
            <w:vAlign w:val="center"/>
          </w:tcPr>
          <w:p w14:paraId="6567AAB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w:t>
            </w:r>
            <w:r>
              <w:rPr>
                <w:rFonts w:hint="eastAsia" w:ascii="宋体" w:hAnsi="宋体" w:eastAsia="宋体" w:cs="宋体"/>
                <w:i w:val="0"/>
                <w:iCs w:val="0"/>
                <w:color w:val="auto"/>
                <w:kern w:val="0"/>
                <w:sz w:val="20"/>
                <w:szCs w:val="20"/>
                <w:highlight w:val="none"/>
                <w:u w:val="none"/>
                <w:lang w:val="en-US" w:eastAsia="zh-CN" w:bidi="ar"/>
              </w:rPr>
              <w:t>液相色谱</w:t>
            </w:r>
            <w:r>
              <w:rPr>
                <w:rFonts w:hint="default"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串联三重四极杆质谱</w:t>
            </w:r>
          </w:p>
        </w:tc>
      </w:tr>
      <w:tr w14:paraId="4CF17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7" w:hRule="atLeast"/>
        </w:trPr>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BC51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5A8F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BF89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34B7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商务</w:t>
            </w:r>
            <w:r>
              <w:rPr>
                <w:rFonts w:hint="default" w:ascii="宋体" w:hAnsi="宋体" w:eastAsia="宋体" w:cs="宋体"/>
                <w:i w:val="0"/>
                <w:iCs w:val="0"/>
                <w:color w:val="auto"/>
                <w:kern w:val="0"/>
                <w:sz w:val="20"/>
                <w:szCs w:val="20"/>
                <w:highlight w:val="none"/>
                <w:u w:val="none"/>
                <w:lang w:val="en-US" w:eastAsia="zh-CN" w:bidi="ar"/>
              </w:rPr>
              <w:t>指标内容</w:t>
            </w:r>
          </w:p>
        </w:tc>
      </w:tr>
      <w:tr w14:paraId="77A42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BF2B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 交货期</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13E9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F2D5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C8AC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产品不得超过正式签订合同后60个日历日。</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供应商应予以特别注意：如出现未能到期供货的情况，需求单位有权单方终止合同的执行，所有的经济损失由逾期供货商单方承担。</w:t>
            </w:r>
          </w:p>
        </w:tc>
      </w:tr>
      <w:tr w14:paraId="0184A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98AB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 质保期</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007C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4845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174C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产品安装调试经用户验收合格当天起，质保期2年，在质保期内，产品因故障停用，质保期相应顺延。质保期外4年内，能更及时地为用户提供仪器关键零备件、消耗品等。</w:t>
            </w:r>
          </w:p>
        </w:tc>
      </w:tr>
      <w:tr w14:paraId="2ECC1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7" w:hRule="atLeast"/>
        </w:trPr>
        <w:tc>
          <w:tcPr>
            <w:tcW w:w="12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3D27B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 售后服务要求</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94B7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E900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7.1</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6984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应提供原产商质量保证和售后服务承诺书。在质量保证期内设备发生故障，中标供应商应免费提供原厂商售后维修和更换零件服务。质保期后，中标供应商提供设备终身技术支持，包括故障排除和零配件的供应、仪器软件免费升级和培训；设备出现故障需更换配件时，只收取零配件费用，免收其它费用。合同签订后，在1周内中标供应商将仪器操作间的装修要求和水、电、气要求通知需求单位。</w:t>
            </w:r>
          </w:p>
        </w:tc>
      </w:tr>
      <w:tr w14:paraId="17FF9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6"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71FD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CD8D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C53B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7.2</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5EDE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08D9F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DEEC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84B6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D554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7.3</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5584F">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2540D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7"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1DDF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EA06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7344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7.4</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F0CDA">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中标供应商能响应故障处理请求和电话咨询，提供7x24小时技术支持，4小时内响应和24小时内提出解决方案，一般应在48小时内派人到现场维修的售后服务。中标供应商应提供维保人员名单、联系电话等。</w:t>
            </w:r>
          </w:p>
        </w:tc>
      </w:tr>
      <w:tr w14:paraId="0AF55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9"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182B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706D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48B0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7.5</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7773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现场培训：仪器在安装调试同时，中标供应商负责免费派工程师对用户就仪器原理和基本操作进行现场培训，培训人员人数不限，培训时间视需求单位需要，原则上不少于2天，确保需求单位用户能正常操作。</w:t>
            </w:r>
          </w:p>
        </w:tc>
      </w:tr>
      <w:tr w14:paraId="4BA8A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5" w:hRule="atLeast"/>
        </w:trPr>
        <w:tc>
          <w:tcPr>
            <w:tcW w:w="1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181FC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53AE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6FAD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7.6</w:t>
            </w:r>
          </w:p>
        </w:tc>
        <w:tc>
          <w:tcPr>
            <w:tcW w:w="5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CB8E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集中培训：中标人免费提供需求单位不少于3名技术人员到厂家指定地点进行相同设备专项技能培训，培训时间原则上不少于3天。</w:t>
            </w:r>
          </w:p>
        </w:tc>
      </w:tr>
    </w:tbl>
    <w:p w14:paraId="5DFE864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0D74ED9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tbl>
      <w:tblPr>
        <w:tblStyle w:val="38"/>
        <w:tblW w:w="907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59"/>
        <w:gridCol w:w="1320"/>
        <w:gridCol w:w="816"/>
        <w:gridCol w:w="5482"/>
      </w:tblGrid>
      <w:tr w14:paraId="7C644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9077" w:type="dxa"/>
            <w:gridSpan w:val="4"/>
            <w:tcBorders>
              <w:top w:val="nil"/>
              <w:left w:val="nil"/>
              <w:bottom w:val="nil"/>
              <w:right w:val="nil"/>
            </w:tcBorders>
            <w:shd w:val="clear" w:color="auto" w:fill="auto"/>
            <w:vAlign w:val="center"/>
          </w:tcPr>
          <w:p w14:paraId="13BC16C7">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w:t>
            </w: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（十一）</w:t>
            </w:r>
          </w:p>
        </w:tc>
      </w:tr>
      <w:tr w14:paraId="6998A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9077" w:type="dxa"/>
            <w:gridSpan w:val="4"/>
            <w:tcBorders>
              <w:top w:val="nil"/>
              <w:left w:val="nil"/>
              <w:bottom w:val="nil"/>
              <w:right w:val="nil"/>
            </w:tcBorders>
            <w:shd w:val="clear" w:color="auto" w:fill="auto"/>
            <w:noWrap/>
            <w:vAlign w:val="center"/>
          </w:tcPr>
          <w:p w14:paraId="4C43E9D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w:t>
            </w:r>
            <w:r>
              <w:rPr>
                <w:rFonts w:hint="eastAsia" w:ascii="宋体" w:hAnsi="宋体" w:eastAsia="宋体" w:cs="宋体"/>
                <w:i w:val="0"/>
                <w:iCs w:val="0"/>
                <w:color w:val="auto"/>
                <w:kern w:val="0"/>
                <w:sz w:val="20"/>
                <w:szCs w:val="20"/>
                <w:highlight w:val="none"/>
                <w:u w:val="none"/>
                <w:lang w:val="en-US" w:eastAsia="zh-CN" w:bidi="ar"/>
              </w:rPr>
              <w:t>电感耦合等离子体</w:t>
            </w:r>
            <w:r>
              <w:rPr>
                <w:rFonts w:hint="default"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质谱仪（</w:t>
            </w:r>
            <w:r>
              <w:rPr>
                <w:rFonts w:hint="default" w:ascii="宋体" w:hAnsi="宋体" w:eastAsia="宋体" w:cs="宋体"/>
                <w:i w:val="0"/>
                <w:iCs w:val="0"/>
                <w:color w:val="auto"/>
                <w:kern w:val="0"/>
                <w:sz w:val="20"/>
                <w:szCs w:val="20"/>
                <w:highlight w:val="none"/>
                <w:u w:val="none"/>
                <w:lang w:val="en-US" w:eastAsia="zh-CN" w:bidi="ar"/>
              </w:rPr>
              <w:t>ICP-MS</w:t>
            </w:r>
            <w:r>
              <w:rPr>
                <w:rFonts w:hint="eastAsia" w:ascii="宋体" w:hAnsi="宋体" w:eastAsia="宋体" w:cs="宋体"/>
                <w:i w:val="0"/>
                <w:iCs w:val="0"/>
                <w:color w:val="auto"/>
                <w:kern w:val="0"/>
                <w:sz w:val="20"/>
                <w:szCs w:val="20"/>
                <w:highlight w:val="none"/>
                <w:u w:val="none"/>
                <w:lang w:val="en-US" w:eastAsia="zh-CN" w:bidi="ar"/>
              </w:rPr>
              <w:t>）</w:t>
            </w:r>
          </w:p>
        </w:tc>
      </w:tr>
      <w:tr w14:paraId="7B492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9077" w:type="dxa"/>
            <w:gridSpan w:val="4"/>
            <w:tcBorders>
              <w:top w:val="nil"/>
              <w:left w:val="nil"/>
              <w:bottom w:val="nil"/>
              <w:right w:val="nil"/>
            </w:tcBorders>
            <w:shd w:val="clear" w:color="auto" w:fill="auto"/>
            <w:noWrap/>
            <w:vAlign w:val="center"/>
          </w:tcPr>
          <w:p w14:paraId="6991C94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w:t>
            </w:r>
            <w:r>
              <w:rPr>
                <w:rFonts w:hint="eastAsia" w:ascii="宋体" w:hAnsi="宋体" w:eastAsia="宋体" w:cs="宋体"/>
                <w:i w:val="0"/>
                <w:iCs w:val="0"/>
                <w:color w:val="auto"/>
                <w:kern w:val="0"/>
                <w:sz w:val="20"/>
                <w:szCs w:val="20"/>
                <w:highlight w:val="none"/>
                <w:u w:val="none"/>
                <w:lang w:val="en-US" w:eastAsia="zh-CN" w:bidi="ar"/>
              </w:rPr>
              <w:t>电感耦合等离子体</w:t>
            </w:r>
            <w:r>
              <w:rPr>
                <w:rFonts w:hint="default"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质谱仪（</w:t>
            </w:r>
            <w:r>
              <w:rPr>
                <w:rFonts w:hint="default" w:ascii="宋体" w:hAnsi="宋体" w:eastAsia="宋体" w:cs="宋体"/>
                <w:i w:val="0"/>
                <w:iCs w:val="0"/>
                <w:color w:val="auto"/>
                <w:kern w:val="0"/>
                <w:sz w:val="20"/>
                <w:szCs w:val="20"/>
                <w:highlight w:val="none"/>
                <w:u w:val="none"/>
                <w:lang w:val="en-US" w:eastAsia="zh-CN" w:bidi="ar"/>
              </w:rPr>
              <w:t>ICP-MS</w:t>
            </w:r>
            <w:r>
              <w:rPr>
                <w:rFonts w:hint="eastAsia" w:ascii="宋体" w:hAnsi="宋体" w:eastAsia="宋体" w:cs="宋体"/>
                <w:i w:val="0"/>
                <w:iCs w:val="0"/>
                <w:color w:val="auto"/>
                <w:kern w:val="0"/>
                <w:sz w:val="20"/>
                <w:szCs w:val="20"/>
                <w:highlight w:val="none"/>
                <w:u w:val="none"/>
                <w:lang w:val="en-US" w:eastAsia="zh-CN" w:bidi="ar"/>
              </w:rPr>
              <w:t>）</w:t>
            </w:r>
          </w:p>
        </w:tc>
      </w:tr>
      <w:tr w14:paraId="7A288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0" w:hRule="atLeast"/>
        </w:trPr>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189A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9D0C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348C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50B2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商务</w:t>
            </w:r>
            <w:r>
              <w:rPr>
                <w:rFonts w:hint="default" w:ascii="宋体" w:hAnsi="宋体" w:eastAsia="宋体" w:cs="宋体"/>
                <w:i w:val="0"/>
                <w:iCs w:val="0"/>
                <w:color w:val="auto"/>
                <w:kern w:val="0"/>
                <w:sz w:val="20"/>
                <w:szCs w:val="20"/>
                <w:highlight w:val="none"/>
                <w:u w:val="none"/>
                <w:lang w:val="en-US" w:eastAsia="zh-CN" w:bidi="ar"/>
              </w:rPr>
              <w:t>指标内容</w:t>
            </w:r>
          </w:p>
        </w:tc>
      </w:tr>
      <w:tr w14:paraId="34434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4" w:hRule="atLeast"/>
        </w:trPr>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42A7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 交货期</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1681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2ABF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w:t>
            </w:r>
          </w:p>
        </w:tc>
        <w:tc>
          <w:tcPr>
            <w:tcW w:w="5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B48B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产品不得超过正式签订合同后60个日历日。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供应商应予以特别注意：如出现未能到期供货的情况，需求单位有权单方终止合同的执行，所有的经济损失由逾期供货商单方承担。</w:t>
            </w:r>
          </w:p>
        </w:tc>
      </w:tr>
      <w:tr w14:paraId="34B3C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1" w:hRule="atLeast"/>
        </w:trPr>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2DB7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 质保期</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E5A9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5710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w:t>
            </w:r>
          </w:p>
        </w:tc>
        <w:tc>
          <w:tcPr>
            <w:tcW w:w="5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3052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产品安装调试经用户验收合格当天起，质保期2年，在质保期内，产品因故障停用，质保期相应顺延。质保期外4年内，能更及时地为用户提供仪器关键零备件、消耗品等。</w:t>
            </w:r>
          </w:p>
        </w:tc>
      </w:tr>
      <w:tr w14:paraId="62931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1" w:hRule="atLeast"/>
        </w:trPr>
        <w:tc>
          <w:tcPr>
            <w:tcW w:w="1459" w:type="dxa"/>
            <w:vMerge w:val="restart"/>
            <w:tcBorders>
              <w:top w:val="single" w:color="000000" w:sz="4" w:space="0"/>
              <w:left w:val="single" w:color="000000" w:sz="4" w:space="0"/>
              <w:right w:val="single" w:color="000000" w:sz="4" w:space="0"/>
            </w:tcBorders>
            <w:shd w:val="clear" w:color="auto" w:fill="auto"/>
            <w:vAlign w:val="center"/>
          </w:tcPr>
          <w:p w14:paraId="6C6C587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 售后服务要求</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544D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0F80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7.1</w:t>
            </w:r>
          </w:p>
        </w:tc>
        <w:tc>
          <w:tcPr>
            <w:tcW w:w="5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B049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应提供原产商质量保证和售后服务承诺书。在质量保证期内设备发生故障，中标供应商应免费提供原厂商售后维修和更换零件服务。质保期后，中标供应商提供设备终身技术支持，包括故障排除和零配件的供应、仪器软件免费升级和培训；设备出现故障需更换配件时，只收取零配件费用，免收其它费用。合同签订后，在1周内中标供应商将仪器操作间的装修要求和水、电、气要求通知需求单位。</w:t>
            </w:r>
          </w:p>
        </w:tc>
      </w:tr>
      <w:tr w14:paraId="12F56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9" w:hRule="atLeast"/>
        </w:trPr>
        <w:tc>
          <w:tcPr>
            <w:tcW w:w="1459" w:type="dxa"/>
            <w:vMerge w:val="continue"/>
            <w:tcBorders>
              <w:left w:val="single" w:color="000000" w:sz="4" w:space="0"/>
              <w:right w:val="single" w:color="000000" w:sz="4" w:space="0"/>
            </w:tcBorders>
            <w:shd w:val="clear" w:color="auto" w:fill="auto"/>
            <w:vAlign w:val="center"/>
          </w:tcPr>
          <w:p w14:paraId="7037618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8921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D6D0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7.2</w:t>
            </w:r>
          </w:p>
        </w:tc>
        <w:tc>
          <w:tcPr>
            <w:tcW w:w="5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4382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27DB9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459" w:type="dxa"/>
            <w:vMerge w:val="continue"/>
            <w:tcBorders>
              <w:left w:val="single" w:color="000000" w:sz="4" w:space="0"/>
              <w:right w:val="single" w:color="000000" w:sz="4" w:space="0"/>
            </w:tcBorders>
            <w:shd w:val="clear" w:color="auto" w:fill="auto"/>
            <w:vAlign w:val="center"/>
          </w:tcPr>
          <w:p w14:paraId="27096CD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7E1A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8ACF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7.3</w:t>
            </w:r>
          </w:p>
        </w:tc>
        <w:tc>
          <w:tcPr>
            <w:tcW w:w="5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F4DF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097FE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1" w:hRule="atLeast"/>
        </w:trPr>
        <w:tc>
          <w:tcPr>
            <w:tcW w:w="1459" w:type="dxa"/>
            <w:vMerge w:val="continue"/>
            <w:tcBorders>
              <w:left w:val="single" w:color="000000" w:sz="4" w:space="0"/>
              <w:right w:val="single" w:color="000000" w:sz="4" w:space="0"/>
            </w:tcBorders>
            <w:shd w:val="clear" w:color="auto" w:fill="auto"/>
            <w:vAlign w:val="center"/>
          </w:tcPr>
          <w:p w14:paraId="0EC01DE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EB37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B130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7.4</w:t>
            </w:r>
          </w:p>
        </w:tc>
        <w:tc>
          <w:tcPr>
            <w:tcW w:w="5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1E25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中标供应商能响应故障处理请求和电话咨询，提供7x24小时技术支持，4小时内响应和24小时内提出解决方案，一般应在48小时内派人到现场维修的售后服务。中标供应商应提供维保人员名单、联系电话等。</w:t>
            </w:r>
          </w:p>
        </w:tc>
      </w:tr>
      <w:tr w14:paraId="4C9CF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59" w:type="dxa"/>
            <w:vMerge w:val="continue"/>
            <w:tcBorders>
              <w:left w:val="single" w:color="000000" w:sz="4" w:space="0"/>
              <w:right w:val="single" w:color="000000" w:sz="4" w:space="0"/>
            </w:tcBorders>
            <w:shd w:val="clear" w:color="auto" w:fill="auto"/>
            <w:vAlign w:val="center"/>
          </w:tcPr>
          <w:p w14:paraId="077DB57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978F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DB9F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7.5</w:t>
            </w:r>
          </w:p>
        </w:tc>
        <w:tc>
          <w:tcPr>
            <w:tcW w:w="5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500F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现场培训：仪器在安装调试同时，中标供应商负责免费派工程师对用户就仪器原理和基本操作进行现场培训，培训人员人数不限，培训时间视需求单位需要，原则上不少于2天，确保需求单位用户能正常操作。</w:t>
            </w:r>
          </w:p>
        </w:tc>
      </w:tr>
      <w:tr w14:paraId="7BA00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459" w:type="dxa"/>
            <w:vMerge w:val="continue"/>
            <w:tcBorders>
              <w:left w:val="single" w:color="000000" w:sz="4" w:space="0"/>
              <w:bottom w:val="single" w:color="000000" w:sz="4" w:space="0"/>
              <w:right w:val="single" w:color="000000" w:sz="4" w:space="0"/>
            </w:tcBorders>
            <w:shd w:val="clear" w:color="auto" w:fill="auto"/>
            <w:vAlign w:val="center"/>
          </w:tcPr>
          <w:p w14:paraId="35D8798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B00F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CE57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7.6</w:t>
            </w:r>
          </w:p>
        </w:tc>
        <w:tc>
          <w:tcPr>
            <w:tcW w:w="5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EF3F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集中培训：中标人免费提供需求单位不少于3名技术人员到厂家指定地点进行相同设备专项技能培训，培训时间原则上不少于3天。</w:t>
            </w:r>
          </w:p>
        </w:tc>
      </w:tr>
    </w:tbl>
    <w:p w14:paraId="7FB3604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4685F04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tbl>
      <w:tblPr>
        <w:tblStyle w:val="38"/>
        <w:tblW w:w="888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33"/>
        <w:gridCol w:w="1260"/>
        <w:gridCol w:w="924"/>
        <w:gridCol w:w="5663"/>
      </w:tblGrid>
      <w:tr w14:paraId="1510F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8" w:hRule="atLeast"/>
        </w:trPr>
        <w:tc>
          <w:tcPr>
            <w:tcW w:w="8880" w:type="dxa"/>
            <w:gridSpan w:val="4"/>
            <w:tcBorders>
              <w:top w:val="nil"/>
              <w:left w:val="nil"/>
              <w:bottom w:val="nil"/>
              <w:right w:val="nil"/>
            </w:tcBorders>
            <w:shd w:val="clear" w:color="auto" w:fill="auto"/>
            <w:vAlign w:val="center"/>
          </w:tcPr>
          <w:p w14:paraId="5B8C6961">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w:t>
            </w: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（十二）</w:t>
            </w:r>
          </w:p>
        </w:tc>
      </w:tr>
      <w:tr w14:paraId="27708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8880" w:type="dxa"/>
            <w:gridSpan w:val="4"/>
            <w:tcBorders>
              <w:top w:val="nil"/>
              <w:left w:val="nil"/>
              <w:bottom w:val="nil"/>
              <w:right w:val="nil"/>
            </w:tcBorders>
            <w:shd w:val="clear" w:color="auto" w:fill="auto"/>
            <w:noWrap/>
            <w:vAlign w:val="center"/>
          </w:tcPr>
          <w:p w14:paraId="47FF316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品目名称：Quechers 前处理设备</w:t>
            </w:r>
          </w:p>
        </w:tc>
      </w:tr>
      <w:tr w14:paraId="42F4A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8880" w:type="dxa"/>
            <w:gridSpan w:val="4"/>
            <w:tcBorders>
              <w:top w:val="nil"/>
              <w:left w:val="nil"/>
              <w:bottom w:val="nil"/>
              <w:right w:val="nil"/>
            </w:tcBorders>
            <w:shd w:val="clear" w:color="auto" w:fill="auto"/>
            <w:noWrap/>
            <w:vAlign w:val="center"/>
          </w:tcPr>
          <w:p w14:paraId="1E9C99FA">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子品目名称：Quechers 前处理设备</w:t>
            </w:r>
          </w:p>
        </w:tc>
      </w:tr>
      <w:tr w14:paraId="678F8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8" w:hRule="atLeast"/>
        </w:trPr>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7B77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序号</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4A15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指标类型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"★"或"▲"</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CF22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条款号</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75E4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商务指标内容</w:t>
            </w:r>
          </w:p>
        </w:tc>
      </w:tr>
      <w:tr w14:paraId="09360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3" w:hRule="atLeast"/>
        </w:trPr>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FD33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 交货期</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656A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4701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w:t>
            </w:r>
          </w:p>
        </w:tc>
        <w:tc>
          <w:tcPr>
            <w:tcW w:w="5663" w:type="dxa"/>
            <w:tcBorders>
              <w:top w:val="single" w:color="000000" w:sz="4" w:space="0"/>
              <w:left w:val="nil"/>
              <w:bottom w:val="single" w:color="000000" w:sz="4" w:space="0"/>
              <w:right w:val="single" w:color="000000" w:sz="4" w:space="0"/>
            </w:tcBorders>
            <w:shd w:val="clear" w:color="auto" w:fill="auto"/>
            <w:vAlign w:val="center"/>
          </w:tcPr>
          <w:p w14:paraId="685F703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产品不得超过正式签订合同后60个日历日。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供应商应予以特别注意：如出现未能到期供货的情况，需求单位有权单方终止合同的执行，所有的经济损失由逾期供货商单方承担。</w:t>
            </w:r>
          </w:p>
        </w:tc>
      </w:tr>
      <w:tr w14:paraId="2DFB3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1" w:hRule="atLeast"/>
        </w:trPr>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E5A6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 质保期</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059F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F3AF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7030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产品安装调试经用户验收合格当天起，质保期2年，在质保期内，产品因故障停用，质保期相应顺延。质保期外4年内，能更及时地为用户提供仪器关键零备件、消耗品等。</w:t>
            </w:r>
          </w:p>
        </w:tc>
      </w:tr>
      <w:tr w14:paraId="045C7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7" w:hRule="atLeast"/>
        </w:trPr>
        <w:tc>
          <w:tcPr>
            <w:tcW w:w="1033" w:type="dxa"/>
            <w:vMerge w:val="restart"/>
            <w:tcBorders>
              <w:top w:val="single" w:color="000000" w:sz="4" w:space="0"/>
              <w:left w:val="single" w:color="000000" w:sz="4" w:space="0"/>
              <w:right w:val="single" w:color="000000" w:sz="4" w:space="0"/>
            </w:tcBorders>
            <w:shd w:val="clear" w:color="auto" w:fill="auto"/>
            <w:vAlign w:val="center"/>
          </w:tcPr>
          <w:p w14:paraId="4AA3480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 售后服务要求</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D314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F73D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7.1</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0EDA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应提供原产商质量保证和售后服务承诺书。在质量保证期内设备发生故障，中标供应商应免费提供原厂商售后维修和更换零件服务。质保期后，中标供应商提供设备终身技术支持，包括故障排除和零配件的供应、仪器软件免费升级和培训；设备出现故障需更换配件时，只收取零配件费用，免收其它费用。合同签订后，在1周内中标供应商将仪器操作间的装修要求和水、电、气要求通知需求单位。</w:t>
            </w:r>
          </w:p>
        </w:tc>
      </w:tr>
      <w:tr w14:paraId="67A8E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9" w:hRule="atLeast"/>
        </w:trPr>
        <w:tc>
          <w:tcPr>
            <w:tcW w:w="1033" w:type="dxa"/>
            <w:vMerge w:val="continue"/>
            <w:tcBorders>
              <w:left w:val="single" w:color="000000" w:sz="4" w:space="0"/>
              <w:right w:val="single" w:color="000000" w:sz="4" w:space="0"/>
            </w:tcBorders>
            <w:shd w:val="clear" w:color="auto" w:fill="auto"/>
            <w:vAlign w:val="center"/>
          </w:tcPr>
          <w:p w14:paraId="4CBC1F56">
            <w:pPr>
              <w:pageBreakBefore w:val="0"/>
              <w:kinsoku/>
              <w:wordWrap w:val="0"/>
              <w:overflowPunct/>
              <w:bidi w:val="0"/>
              <w:jc w:val="center"/>
              <w:rPr>
                <w:rFonts w:hint="eastAsia" w:ascii="微软雅黑 Light" w:hAnsi="微软雅黑 Light" w:eastAsia="微软雅黑 Light" w:cs="微软雅黑 Light"/>
                <w:i w:val="0"/>
                <w:iCs w:val="0"/>
                <w:color w:val="auto"/>
                <w:sz w:val="20"/>
                <w:szCs w:val="20"/>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07E76">
            <w:pPr>
              <w:pageBreakBefore w:val="0"/>
              <w:kinsoku/>
              <w:wordWrap w:val="0"/>
              <w:overflowPunct/>
              <w:bidi w:val="0"/>
              <w:jc w:val="center"/>
              <w:rPr>
                <w:rFonts w:hint="eastAsia" w:ascii="微软雅黑 Light" w:hAnsi="微软雅黑 Light" w:eastAsia="微软雅黑 Light" w:cs="微软雅黑 Light"/>
                <w:i w:val="0"/>
                <w:iCs w:val="0"/>
                <w:color w:val="auto"/>
                <w:sz w:val="20"/>
                <w:szCs w:val="20"/>
                <w:highlight w:val="none"/>
                <w:u w:val="none"/>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B58D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7.2</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B58B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7974D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1033" w:type="dxa"/>
            <w:vMerge w:val="continue"/>
            <w:tcBorders>
              <w:left w:val="single" w:color="000000" w:sz="4" w:space="0"/>
              <w:right w:val="single" w:color="000000" w:sz="4" w:space="0"/>
            </w:tcBorders>
            <w:shd w:val="clear" w:color="auto" w:fill="auto"/>
            <w:vAlign w:val="center"/>
          </w:tcPr>
          <w:p w14:paraId="64E9E9C3">
            <w:pPr>
              <w:pageBreakBefore w:val="0"/>
              <w:kinsoku/>
              <w:wordWrap w:val="0"/>
              <w:overflowPunct/>
              <w:bidi w:val="0"/>
              <w:jc w:val="center"/>
              <w:rPr>
                <w:rFonts w:hint="eastAsia" w:ascii="微软雅黑 Light" w:hAnsi="微软雅黑 Light" w:eastAsia="微软雅黑 Light" w:cs="微软雅黑 Light"/>
                <w:i w:val="0"/>
                <w:iCs w:val="0"/>
                <w:color w:val="auto"/>
                <w:sz w:val="20"/>
                <w:szCs w:val="20"/>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AD4A3">
            <w:pPr>
              <w:pageBreakBefore w:val="0"/>
              <w:kinsoku/>
              <w:wordWrap w:val="0"/>
              <w:overflowPunct/>
              <w:bidi w:val="0"/>
              <w:jc w:val="center"/>
              <w:rPr>
                <w:rFonts w:hint="eastAsia" w:ascii="微软雅黑 Light" w:hAnsi="微软雅黑 Light" w:eastAsia="微软雅黑 Light" w:cs="微软雅黑 Light"/>
                <w:i w:val="0"/>
                <w:iCs w:val="0"/>
                <w:color w:val="auto"/>
                <w:sz w:val="20"/>
                <w:szCs w:val="20"/>
                <w:highlight w:val="none"/>
                <w:u w:val="none"/>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81B4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7.3</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D59F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55121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9" w:hRule="atLeast"/>
        </w:trPr>
        <w:tc>
          <w:tcPr>
            <w:tcW w:w="1033" w:type="dxa"/>
            <w:vMerge w:val="continue"/>
            <w:tcBorders>
              <w:left w:val="single" w:color="000000" w:sz="4" w:space="0"/>
              <w:right w:val="single" w:color="000000" w:sz="4" w:space="0"/>
            </w:tcBorders>
            <w:shd w:val="clear" w:color="auto" w:fill="auto"/>
            <w:vAlign w:val="center"/>
          </w:tcPr>
          <w:p w14:paraId="4E4950F9">
            <w:pPr>
              <w:pageBreakBefore w:val="0"/>
              <w:kinsoku/>
              <w:wordWrap w:val="0"/>
              <w:overflowPunct/>
              <w:bidi w:val="0"/>
              <w:jc w:val="center"/>
              <w:rPr>
                <w:rFonts w:hint="eastAsia" w:ascii="微软雅黑 Light" w:hAnsi="微软雅黑 Light" w:eastAsia="微软雅黑 Light" w:cs="微软雅黑 Light"/>
                <w:i w:val="0"/>
                <w:iCs w:val="0"/>
                <w:color w:val="auto"/>
                <w:sz w:val="20"/>
                <w:szCs w:val="20"/>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D1DA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354A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7.4</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C407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中标供应商能响应故障处理请求和电话咨询，提供7x24小时技术支持，4小时内响应和24小时内提出解决方案，一般应在48小时内派人到现场维修的售后服务。中标供应商应提供维保人员名单、联系电话等。</w:t>
            </w:r>
          </w:p>
        </w:tc>
      </w:tr>
      <w:tr w14:paraId="613B8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9" w:hRule="atLeast"/>
        </w:trPr>
        <w:tc>
          <w:tcPr>
            <w:tcW w:w="1033" w:type="dxa"/>
            <w:vMerge w:val="continue"/>
            <w:tcBorders>
              <w:left w:val="single" w:color="000000" w:sz="4" w:space="0"/>
              <w:bottom w:val="single" w:color="000000" w:sz="4" w:space="0"/>
              <w:right w:val="single" w:color="000000" w:sz="4" w:space="0"/>
            </w:tcBorders>
            <w:shd w:val="clear" w:color="auto" w:fill="auto"/>
            <w:vAlign w:val="center"/>
          </w:tcPr>
          <w:p w14:paraId="1FAF4BDD">
            <w:pPr>
              <w:pageBreakBefore w:val="0"/>
              <w:kinsoku/>
              <w:wordWrap w:val="0"/>
              <w:overflowPunct/>
              <w:bidi w:val="0"/>
              <w:jc w:val="center"/>
              <w:rPr>
                <w:rFonts w:hint="eastAsia" w:ascii="微软雅黑 Light" w:hAnsi="微软雅黑 Light" w:eastAsia="微软雅黑 Light" w:cs="微软雅黑 Light"/>
                <w:i w:val="0"/>
                <w:iCs w:val="0"/>
                <w:color w:val="auto"/>
                <w:sz w:val="20"/>
                <w:szCs w:val="20"/>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D316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7AF5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7.5</w:t>
            </w:r>
          </w:p>
        </w:tc>
        <w:tc>
          <w:tcPr>
            <w:tcW w:w="5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1203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现场培训：仪器在安装调试同时，中标供应商负责免费派工程师对用户就仪器原理和基本操作进行现场培训，培训人员人数不限，培训时间视需求单位需要，原则上不少于2天，确保需求单位用户能正常操作。</w:t>
            </w:r>
          </w:p>
        </w:tc>
      </w:tr>
    </w:tbl>
    <w:p w14:paraId="455C81D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F7A085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28AB816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3FCF56F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C87961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tbl>
      <w:tblPr>
        <w:tblStyle w:val="38"/>
        <w:tblW w:w="94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49"/>
        <w:gridCol w:w="1260"/>
        <w:gridCol w:w="876"/>
        <w:gridCol w:w="6075"/>
      </w:tblGrid>
      <w:tr w14:paraId="373D1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9460" w:type="dxa"/>
            <w:gridSpan w:val="4"/>
            <w:tcBorders>
              <w:top w:val="nil"/>
              <w:left w:val="nil"/>
              <w:bottom w:val="nil"/>
              <w:right w:val="nil"/>
            </w:tcBorders>
            <w:shd w:val="clear" w:color="auto" w:fill="auto"/>
            <w:vAlign w:val="center"/>
          </w:tcPr>
          <w:p w14:paraId="2B2EFF63">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w:t>
            </w: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（十三）</w:t>
            </w:r>
          </w:p>
        </w:tc>
      </w:tr>
      <w:tr w14:paraId="37697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8" w:hRule="atLeast"/>
        </w:trPr>
        <w:tc>
          <w:tcPr>
            <w:tcW w:w="9460" w:type="dxa"/>
            <w:gridSpan w:val="4"/>
            <w:tcBorders>
              <w:top w:val="nil"/>
              <w:left w:val="nil"/>
              <w:bottom w:val="nil"/>
              <w:right w:val="nil"/>
            </w:tcBorders>
            <w:shd w:val="clear" w:color="auto" w:fill="auto"/>
            <w:noWrap/>
            <w:vAlign w:val="center"/>
          </w:tcPr>
          <w:p w14:paraId="6F8FA56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w:t>
            </w:r>
            <w:r>
              <w:rPr>
                <w:rFonts w:hint="eastAsia" w:ascii="宋体" w:hAnsi="宋体" w:eastAsia="宋体" w:cs="宋体"/>
                <w:i w:val="0"/>
                <w:iCs w:val="0"/>
                <w:color w:val="auto"/>
                <w:kern w:val="0"/>
                <w:sz w:val="20"/>
                <w:szCs w:val="20"/>
                <w:highlight w:val="none"/>
                <w:u w:val="none"/>
                <w:lang w:val="en-US" w:eastAsia="zh-CN" w:bidi="ar"/>
              </w:rPr>
              <w:t>超声波清洗器</w:t>
            </w:r>
          </w:p>
        </w:tc>
      </w:tr>
      <w:tr w14:paraId="1DCBA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9460" w:type="dxa"/>
            <w:gridSpan w:val="4"/>
            <w:tcBorders>
              <w:top w:val="nil"/>
              <w:left w:val="nil"/>
              <w:bottom w:val="nil"/>
              <w:right w:val="nil"/>
            </w:tcBorders>
            <w:shd w:val="clear" w:color="auto" w:fill="auto"/>
            <w:noWrap/>
            <w:vAlign w:val="center"/>
          </w:tcPr>
          <w:p w14:paraId="4464697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w:t>
            </w:r>
            <w:r>
              <w:rPr>
                <w:rFonts w:hint="eastAsia" w:ascii="宋体" w:hAnsi="宋体" w:eastAsia="宋体" w:cs="宋体"/>
                <w:i w:val="0"/>
                <w:iCs w:val="0"/>
                <w:color w:val="auto"/>
                <w:kern w:val="0"/>
                <w:sz w:val="20"/>
                <w:szCs w:val="20"/>
                <w:highlight w:val="none"/>
                <w:u w:val="none"/>
                <w:lang w:val="en-US" w:eastAsia="zh-CN" w:bidi="ar"/>
              </w:rPr>
              <w:t>超声波清洗器</w:t>
            </w:r>
          </w:p>
        </w:tc>
      </w:tr>
      <w:tr w14:paraId="3A580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576F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DBEA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w:t>
            </w:r>
            <w:r>
              <w:rPr>
                <w:rFonts w:hint="default" w:ascii="宋体" w:hAnsi="宋体" w:eastAsia="宋体" w:cs="宋体"/>
                <w:i w:val="0"/>
                <w:iCs w:val="0"/>
                <w:color w:val="auto"/>
                <w:kern w:val="0"/>
                <w:sz w:val="20"/>
                <w:szCs w:val="20"/>
                <w:highlight w:val="none"/>
                <w:u w:val="none"/>
                <w:lang w:val="en-US" w:eastAsia="zh-CN" w:bidi="ar"/>
              </w:rPr>
              <w:t>"或"</w:t>
            </w:r>
            <w:r>
              <w:rPr>
                <w:rFonts w:hint="eastAsia" w:ascii="宋体" w:hAnsi="宋体" w:eastAsia="宋体" w:cs="宋体"/>
                <w:i w:val="0"/>
                <w:iCs w:val="0"/>
                <w:color w:val="auto"/>
                <w:kern w:val="0"/>
                <w:sz w:val="20"/>
                <w:szCs w:val="20"/>
                <w:highlight w:val="none"/>
                <w:u w:val="none"/>
                <w:lang w:val="en-US" w:eastAsia="zh-CN" w:bidi="ar"/>
              </w:rPr>
              <w:t>▲</w:t>
            </w:r>
            <w:r>
              <w:rPr>
                <w:rFonts w:hint="default" w:ascii="宋体" w:hAnsi="宋体" w:eastAsia="宋体" w:cs="宋体"/>
                <w:i w:val="0"/>
                <w:iCs w:val="0"/>
                <w:color w:val="auto"/>
                <w:kern w:val="0"/>
                <w:sz w:val="20"/>
                <w:szCs w:val="20"/>
                <w:highlight w:val="none"/>
                <w:u w:val="none"/>
                <w:lang w:val="en-US" w:eastAsia="zh-CN" w:bidi="ar"/>
              </w:rPr>
              <w:t>"</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C0D2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88DA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商务</w:t>
            </w:r>
            <w:r>
              <w:rPr>
                <w:rFonts w:hint="default" w:ascii="宋体" w:hAnsi="宋体" w:eastAsia="宋体" w:cs="宋体"/>
                <w:i w:val="0"/>
                <w:iCs w:val="0"/>
                <w:color w:val="auto"/>
                <w:kern w:val="0"/>
                <w:sz w:val="20"/>
                <w:szCs w:val="20"/>
                <w:highlight w:val="none"/>
                <w:u w:val="none"/>
                <w:lang w:val="en-US" w:eastAsia="zh-CN" w:bidi="ar"/>
              </w:rPr>
              <w:t>指标内容</w:t>
            </w:r>
          </w:p>
        </w:tc>
      </w:tr>
      <w:tr w14:paraId="13726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991F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 交货期</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8A09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9715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C2B0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产品不得超过正式签订合同后</w:t>
            </w:r>
            <w:r>
              <w:rPr>
                <w:rFonts w:hint="eastAsia" w:ascii="宋体" w:hAnsi="宋体" w:eastAsia="宋体" w:cs="宋体"/>
                <w:i w:val="0"/>
                <w:iCs w:val="0"/>
                <w:color w:val="auto"/>
                <w:kern w:val="0"/>
                <w:sz w:val="20"/>
                <w:szCs w:val="20"/>
                <w:highlight w:val="none"/>
                <w:u w:val="none"/>
                <w:lang w:val="en-US" w:eastAsia="zh-CN" w:bidi="ar"/>
              </w:rPr>
              <w:t>60</w:t>
            </w:r>
            <w:r>
              <w:rPr>
                <w:rFonts w:hint="default" w:ascii="宋体" w:hAnsi="宋体" w:eastAsia="宋体" w:cs="宋体"/>
                <w:i w:val="0"/>
                <w:iCs w:val="0"/>
                <w:color w:val="auto"/>
                <w:kern w:val="0"/>
                <w:sz w:val="20"/>
                <w:szCs w:val="20"/>
                <w:highlight w:val="none"/>
                <w:u w:val="none"/>
                <w:lang w:val="en-US" w:eastAsia="zh-CN" w:bidi="ar"/>
              </w:rPr>
              <w:t>个日历日。</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供应商应予以特别注意：如出现未能到期供货的情况，需求单位有权单方终止合同的执行，所有的经济损失由逾期供货商单方承担。</w:t>
            </w:r>
          </w:p>
        </w:tc>
      </w:tr>
      <w:tr w14:paraId="7E972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3"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4263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 质保期</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4800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4ED2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92E1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产品安装调试经用户验收合格当天起，质保期1年，在质保期内，产品因故障停用，质保期相应顺延。质保期外4年内，能更及时地为用户提供仪器关键零备件、消耗品等。</w:t>
            </w:r>
          </w:p>
        </w:tc>
      </w:tr>
      <w:tr w14:paraId="39E3C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3" w:hRule="atLeast"/>
        </w:trPr>
        <w:tc>
          <w:tcPr>
            <w:tcW w:w="12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08BF6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 售后服务要求</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1259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1DA4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7.1</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A58BD">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应提供原产商质量保证和售后服务承诺书。在质量保证期内设备发生故障，中标供应商应免费提供原厂商售后维修和更换零件服务。质保期后，中标供应商提供设备终身技术支持，包括故障排除和零配件的供应、仪器软件免费升级和培训；设备出现故障需更换配件时，只收取零配件费用，免收其它费用。合同签订后，在1周内中标供应商将仪器操作间的装修要求和水、电、气要求通知需求单位。</w:t>
            </w:r>
          </w:p>
        </w:tc>
      </w:tr>
      <w:tr w14:paraId="7C7BD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1" w:hRule="atLeast"/>
        </w:trPr>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E964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719B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1603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7.2</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567D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42EF9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 w:hRule="atLeast"/>
        </w:trPr>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3163D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9EDF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457D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7.3</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933E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3BFF1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7" w:hRule="atLeast"/>
        </w:trPr>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02E6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DE25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D542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7.4</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D0B5A">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中标供应商能响应故障处理请求和电话咨询，提供7x24小时技术支持，4小时内响应和24小时内提出解决方案，一般应在48小时内派人到现场维修的售后服务。中标供应商应提供维保人员名单、联系电话等。</w:t>
            </w:r>
          </w:p>
        </w:tc>
      </w:tr>
    </w:tbl>
    <w:p w14:paraId="0E0683E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0C206A2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565BE4D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52D579E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2D6E6E8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F91851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11210A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7E96E7B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0C14F48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3D8F4F18">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tbl>
      <w:tblPr>
        <w:tblStyle w:val="38"/>
        <w:tblW w:w="89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89"/>
        <w:gridCol w:w="1235"/>
        <w:gridCol w:w="1010"/>
        <w:gridCol w:w="4926"/>
      </w:tblGrid>
      <w:tr w14:paraId="088D5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8960" w:type="dxa"/>
            <w:gridSpan w:val="4"/>
            <w:tcBorders>
              <w:top w:val="nil"/>
              <w:left w:val="nil"/>
              <w:bottom w:val="nil"/>
              <w:right w:val="nil"/>
            </w:tcBorders>
            <w:shd w:val="clear" w:color="auto" w:fill="auto"/>
            <w:vAlign w:val="center"/>
          </w:tcPr>
          <w:p w14:paraId="5846885B">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w:t>
            </w: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（十四）</w:t>
            </w:r>
          </w:p>
        </w:tc>
      </w:tr>
      <w:tr w14:paraId="5DF1F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4"/>
            <w:tcBorders>
              <w:top w:val="nil"/>
              <w:left w:val="nil"/>
              <w:bottom w:val="nil"/>
              <w:right w:val="nil"/>
            </w:tcBorders>
            <w:shd w:val="clear" w:color="auto" w:fill="auto"/>
            <w:noWrap/>
            <w:vAlign w:val="center"/>
          </w:tcPr>
          <w:p w14:paraId="6535DE48">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设备名称：直接进样测汞仪</w:t>
            </w:r>
          </w:p>
        </w:tc>
      </w:tr>
      <w:tr w14:paraId="1102F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4"/>
            <w:tcBorders>
              <w:top w:val="nil"/>
              <w:left w:val="nil"/>
              <w:bottom w:val="nil"/>
              <w:right w:val="nil"/>
            </w:tcBorders>
            <w:shd w:val="clear" w:color="auto" w:fill="auto"/>
            <w:noWrap/>
            <w:vAlign w:val="center"/>
          </w:tcPr>
          <w:p w14:paraId="24FA1C8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子品目名称：直接进样测汞仪</w:t>
            </w:r>
          </w:p>
        </w:tc>
      </w:tr>
      <w:tr w14:paraId="6E599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3828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序号</w:t>
            </w: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4AC9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指标类型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"★"或"▲"</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EA63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条款号</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47D8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商务指标内容</w:t>
            </w:r>
          </w:p>
        </w:tc>
      </w:tr>
      <w:tr w14:paraId="397BA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0" w:hRule="atLeast"/>
        </w:trPr>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E78D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 交货期</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8C1B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B836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F4A3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产品不得超过正式签订合同后60个日历日。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供应商应予以特别注意：如出现未能到期供货的情况，需求单位有权单方终止合同的执行，所有的经济损失由逾期供货商单方承担。</w:t>
            </w:r>
          </w:p>
        </w:tc>
      </w:tr>
      <w:tr w14:paraId="1564A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2" w:hRule="atLeast"/>
        </w:trPr>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F2F9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 质保期</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CD73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69F7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w:t>
            </w:r>
          </w:p>
        </w:tc>
        <w:tc>
          <w:tcPr>
            <w:tcW w:w="4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C7B7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产品安装调试经用户验收合格当天起，质保期1年，在质保期内，产品因故障停用，质保期相应顺延。质保期外4年内，能更及时地为用户提供仪器关键零备件、消耗品等。</w:t>
            </w:r>
          </w:p>
        </w:tc>
      </w:tr>
      <w:tr w14:paraId="437E0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1789" w:type="dxa"/>
            <w:vMerge w:val="restart"/>
            <w:tcBorders>
              <w:top w:val="single" w:color="000000" w:sz="4" w:space="0"/>
              <w:left w:val="single" w:color="000000" w:sz="4" w:space="0"/>
              <w:bottom w:val="nil"/>
              <w:right w:val="nil"/>
            </w:tcBorders>
            <w:shd w:val="clear" w:color="auto" w:fill="auto"/>
            <w:vAlign w:val="center"/>
          </w:tcPr>
          <w:p w14:paraId="7D89BD5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 售后服务要求</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48F2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626D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7.1</w:t>
            </w:r>
          </w:p>
        </w:tc>
        <w:tc>
          <w:tcPr>
            <w:tcW w:w="4926" w:type="dxa"/>
            <w:tcBorders>
              <w:top w:val="single" w:color="000000" w:sz="4" w:space="0"/>
              <w:left w:val="nil"/>
              <w:bottom w:val="single" w:color="000000" w:sz="4" w:space="0"/>
              <w:right w:val="single" w:color="000000" w:sz="4" w:space="0"/>
            </w:tcBorders>
            <w:shd w:val="clear" w:color="auto" w:fill="auto"/>
            <w:vAlign w:val="center"/>
          </w:tcPr>
          <w:p w14:paraId="2EF5057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应提供原产商质量保证和售后服务承诺书。在质量保证期内设备发生故障，中标供应商应免费提供原厂商售后维修和更换零件服务。质保期后，中标供应商提供设备终身技术支持，包括故障排除和零配件的供应、仪器软件免费升级和培训；设备出现故障需更换配件时，只收取零配件费用，免收其它费用。合同签订后，在1周内中标供应商将仪器操作间的装修要求和水、电、气要求通知需求单位。</w:t>
            </w:r>
          </w:p>
        </w:tc>
      </w:tr>
      <w:tr w14:paraId="30963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1789" w:type="dxa"/>
            <w:vMerge w:val="continue"/>
            <w:tcBorders>
              <w:top w:val="single" w:color="000000" w:sz="4" w:space="0"/>
              <w:left w:val="single" w:color="000000" w:sz="4" w:space="0"/>
              <w:bottom w:val="nil"/>
              <w:right w:val="nil"/>
            </w:tcBorders>
            <w:shd w:val="clear" w:color="auto" w:fill="auto"/>
            <w:vAlign w:val="center"/>
          </w:tcPr>
          <w:p w14:paraId="41CCA13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4256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CA80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7.2</w:t>
            </w:r>
          </w:p>
        </w:tc>
        <w:tc>
          <w:tcPr>
            <w:tcW w:w="4926" w:type="dxa"/>
            <w:tcBorders>
              <w:top w:val="single" w:color="000000" w:sz="4" w:space="0"/>
              <w:left w:val="nil"/>
              <w:bottom w:val="single" w:color="000000" w:sz="4" w:space="0"/>
              <w:right w:val="single" w:color="000000" w:sz="4" w:space="0"/>
            </w:tcBorders>
            <w:shd w:val="clear" w:color="auto" w:fill="auto"/>
            <w:vAlign w:val="center"/>
          </w:tcPr>
          <w:p w14:paraId="2322CD2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347DE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789" w:type="dxa"/>
            <w:vMerge w:val="continue"/>
            <w:tcBorders>
              <w:top w:val="single" w:color="000000" w:sz="4" w:space="0"/>
              <w:left w:val="single" w:color="000000" w:sz="4" w:space="0"/>
              <w:bottom w:val="nil"/>
              <w:right w:val="nil"/>
            </w:tcBorders>
            <w:shd w:val="clear" w:color="auto" w:fill="auto"/>
            <w:vAlign w:val="center"/>
          </w:tcPr>
          <w:p w14:paraId="6C4B441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EA9B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7B88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7.3</w:t>
            </w:r>
          </w:p>
        </w:tc>
        <w:tc>
          <w:tcPr>
            <w:tcW w:w="4926" w:type="dxa"/>
            <w:tcBorders>
              <w:top w:val="single" w:color="000000" w:sz="4" w:space="0"/>
              <w:left w:val="nil"/>
              <w:bottom w:val="single" w:color="000000" w:sz="4" w:space="0"/>
              <w:right w:val="single" w:color="000000" w:sz="4" w:space="0"/>
            </w:tcBorders>
            <w:shd w:val="clear" w:color="auto" w:fill="auto"/>
            <w:vAlign w:val="center"/>
          </w:tcPr>
          <w:p w14:paraId="304C080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151BC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1789" w:type="dxa"/>
            <w:vMerge w:val="continue"/>
            <w:tcBorders>
              <w:top w:val="single" w:color="000000" w:sz="4" w:space="0"/>
              <w:left w:val="single" w:color="000000" w:sz="4" w:space="0"/>
              <w:bottom w:val="nil"/>
              <w:right w:val="nil"/>
            </w:tcBorders>
            <w:shd w:val="clear" w:color="auto" w:fill="auto"/>
            <w:vAlign w:val="center"/>
          </w:tcPr>
          <w:p w14:paraId="7C759C3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5C37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6863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7.4</w:t>
            </w:r>
          </w:p>
        </w:tc>
        <w:tc>
          <w:tcPr>
            <w:tcW w:w="4926" w:type="dxa"/>
            <w:tcBorders>
              <w:top w:val="single" w:color="000000" w:sz="4" w:space="0"/>
              <w:left w:val="nil"/>
              <w:bottom w:val="single" w:color="000000" w:sz="4" w:space="0"/>
              <w:right w:val="single" w:color="000000" w:sz="4" w:space="0"/>
            </w:tcBorders>
            <w:shd w:val="clear" w:color="auto" w:fill="auto"/>
            <w:vAlign w:val="center"/>
          </w:tcPr>
          <w:p w14:paraId="02869E3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中标供应商能响应故障处理请求和电话咨询，提供7x24小时技术支持，4小时内响应和24小时内提出解决方案，一般应在48小时内派人到现场维修的售后服务。中标供应商应提供维保人员名单、联系电话等。</w:t>
            </w:r>
          </w:p>
        </w:tc>
      </w:tr>
      <w:tr w14:paraId="5F2AA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789" w:type="dxa"/>
            <w:vMerge w:val="continue"/>
            <w:tcBorders>
              <w:top w:val="single" w:color="000000" w:sz="4" w:space="0"/>
              <w:left w:val="single" w:color="000000" w:sz="4" w:space="0"/>
              <w:bottom w:val="nil"/>
              <w:right w:val="nil"/>
            </w:tcBorders>
            <w:shd w:val="clear" w:color="auto" w:fill="auto"/>
            <w:vAlign w:val="center"/>
          </w:tcPr>
          <w:p w14:paraId="01BBC49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4CDC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2C87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7.5</w:t>
            </w:r>
          </w:p>
        </w:tc>
        <w:tc>
          <w:tcPr>
            <w:tcW w:w="4926" w:type="dxa"/>
            <w:tcBorders>
              <w:top w:val="single" w:color="000000" w:sz="4" w:space="0"/>
              <w:left w:val="nil"/>
              <w:bottom w:val="single" w:color="000000" w:sz="4" w:space="0"/>
              <w:right w:val="single" w:color="000000" w:sz="4" w:space="0"/>
            </w:tcBorders>
            <w:shd w:val="clear" w:color="auto" w:fill="auto"/>
            <w:vAlign w:val="center"/>
          </w:tcPr>
          <w:p w14:paraId="725EA83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现场培训：仪器在安装调试同时，中标供应商负责免费派工程师对用户就仪器原理和基本操作进行现场培训，培训人员人数不限，培训时间视需求单位需要，原则上不少于2天，确保需求单位用户能正常操作。</w:t>
            </w:r>
          </w:p>
        </w:tc>
      </w:tr>
    </w:tbl>
    <w:p w14:paraId="4D16B8E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59569BE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6BD2087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4B289A8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tbl>
      <w:tblPr>
        <w:tblStyle w:val="38"/>
        <w:tblW w:w="908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18"/>
        <w:gridCol w:w="1535"/>
        <w:gridCol w:w="960"/>
        <w:gridCol w:w="5167"/>
      </w:tblGrid>
      <w:tr w14:paraId="3BEB6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 w:hRule="atLeast"/>
        </w:trPr>
        <w:tc>
          <w:tcPr>
            <w:tcW w:w="9080" w:type="dxa"/>
            <w:gridSpan w:val="4"/>
            <w:tcBorders>
              <w:top w:val="nil"/>
              <w:left w:val="nil"/>
              <w:bottom w:val="nil"/>
              <w:right w:val="nil"/>
            </w:tcBorders>
            <w:shd w:val="clear" w:color="auto" w:fill="auto"/>
            <w:vAlign w:val="center"/>
          </w:tcPr>
          <w:p w14:paraId="0DFE753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w:t>
            </w:r>
            <w:r>
              <w:rPr>
                <w:rFonts w:hint="eastAsia" w:ascii="宋体" w:hAnsi="宋体" w:eastAsia="宋体" w:cs="宋体"/>
                <w:b/>
                <w:bCs/>
                <w:i w:val="0"/>
                <w:iCs w:val="0"/>
                <w:color w:val="auto"/>
                <w:kern w:val="0"/>
                <w:sz w:val="32"/>
                <w:szCs w:val="32"/>
                <w:highlight w:val="none"/>
                <w:u w:val="none"/>
                <w:lang w:val="en-US" w:eastAsia="zh-CN" w:bidi="ar"/>
              </w:rPr>
              <w:t>（十五）</w:t>
            </w:r>
          </w:p>
        </w:tc>
      </w:tr>
      <w:tr w14:paraId="1CF7C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080" w:type="dxa"/>
            <w:gridSpan w:val="4"/>
            <w:tcBorders>
              <w:top w:val="nil"/>
              <w:left w:val="nil"/>
              <w:bottom w:val="nil"/>
              <w:right w:val="nil"/>
            </w:tcBorders>
            <w:shd w:val="clear" w:color="auto" w:fill="auto"/>
            <w:vAlign w:val="center"/>
          </w:tcPr>
          <w:p w14:paraId="758C505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品目名称：全自动固相萃取仪</w:t>
            </w:r>
          </w:p>
        </w:tc>
      </w:tr>
      <w:tr w14:paraId="0738C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 w:hRule="atLeast"/>
        </w:trPr>
        <w:tc>
          <w:tcPr>
            <w:tcW w:w="9080" w:type="dxa"/>
            <w:gridSpan w:val="4"/>
            <w:tcBorders>
              <w:top w:val="nil"/>
              <w:left w:val="nil"/>
              <w:bottom w:val="nil"/>
              <w:right w:val="nil"/>
            </w:tcBorders>
            <w:shd w:val="clear" w:color="auto" w:fill="auto"/>
            <w:vAlign w:val="center"/>
          </w:tcPr>
          <w:p w14:paraId="1A177EE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子品目名称：全自动固相萃取仪</w:t>
            </w:r>
          </w:p>
        </w:tc>
      </w:tr>
      <w:tr w14:paraId="19CC1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1" w:hRule="atLeast"/>
        </w:trPr>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98C0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序号</w:t>
            </w:r>
          </w:p>
        </w:tc>
        <w:tc>
          <w:tcPr>
            <w:tcW w:w="1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74E4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指标类型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"★"或"▲"</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3DC9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条款号</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6A56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商务指标内容</w:t>
            </w:r>
          </w:p>
        </w:tc>
      </w:tr>
      <w:tr w14:paraId="7B726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EB2E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 交货期</w:t>
            </w: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C4D9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C154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5.1</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045B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产品不得超过正式签订合同后60个日历日。</w:t>
            </w:r>
          </w:p>
        </w:tc>
      </w:tr>
      <w:tr w14:paraId="2F393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9" w:hRule="atLeast"/>
        </w:trPr>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412F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 质保期</w:t>
            </w: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22EC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F58F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6.1</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D0D6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产品安装调试经用户验收合格当天起，免费质保期1年，在质保期内，产品因故障停用，质保期相应顺延。质保期外4年内，能更及时地为用户提供仪器关键零备件、消耗品等。</w:t>
            </w:r>
          </w:p>
        </w:tc>
      </w:tr>
      <w:tr w14:paraId="71080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4" w:hRule="atLeast"/>
        </w:trPr>
        <w:tc>
          <w:tcPr>
            <w:tcW w:w="1418" w:type="dxa"/>
            <w:vMerge w:val="restart"/>
            <w:tcBorders>
              <w:top w:val="single" w:color="000000" w:sz="4" w:space="0"/>
              <w:left w:val="single" w:color="000000" w:sz="4" w:space="0"/>
              <w:bottom w:val="nil"/>
              <w:right w:val="single" w:color="000000" w:sz="4" w:space="0"/>
            </w:tcBorders>
            <w:shd w:val="clear" w:color="auto" w:fill="auto"/>
            <w:vAlign w:val="center"/>
          </w:tcPr>
          <w:p w14:paraId="6FD0351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 售后服务要求</w:t>
            </w: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E7AE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20E43">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7.1</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21AF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中标供应商应提供原产商质量保证和售后服务承诺书。合同签订后，在1周内中标供应商将仪器操作间的装修要求和水、电、气要求通知需求单位。</w:t>
            </w:r>
          </w:p>
        </w:tc>
      </w:tr>
      <w:tr w14:paraId="50B0D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1" w:hRule="atLeast"/>
        </w:trPr>
        <w:tc>
          <w:tcPr>
            <w:tcW w:w="1418" w:type="dxa"/>
            <w:vMerge w:val="continue"/>
            <w:tcBorders>
              <w:top w:val="single" w:color="000000" w:sz="4" w:space="0"/>
              <w:left w:val="single" w:color="000000" w:sz="4" w:space="0"/>
              <w:bottom w:val="nil"/>
              <w:right w:val="single" w:color="000000" w:sz="4" w:space="0"/>
            </w:tcBorders>
            <w:shd w:val="clear" w:color="auto" w:fill="auto"/>
            <w:vAlign w:val="center"/>
          </w:tcPr>
          <w:p w14:paraId="4B473070">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3BAE6">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FC43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7.2</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2CE2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0BA74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9" w:hRule="atLeast"/>
        </w:trPr>
        <w:tc>
          <w:tcPr>
            <w:tcW w:w="1418" w:type="dxa"/>
            <w:vMerge w:val="continue"/>
            <w:tcBorders>
              <w:top w:val="single" w:color="000000" w:sz="4" w:space="0"/>
              <w:left w:val="single" w:color="000000" w:sz="4" w:space="0"/>
              <w:bottom w:val="nil"/>
              <w:right w:val="single" w:color="000000" w:sz="4" w:space="0"/>
            </w:tcBorders>
            <w:shd w:val="clear" w:color="auto" w:fill="auto"/>
            <w:vAlign w:val="center"/>
          </w:tcPr>
          <w:p w14:paraId="0AA849AB">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ACE18">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63A5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7.3</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1B4A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5B047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1" w:hRule="atLeast"/>
        </w:trPr>
        <w:tc>
          <w:tcPr>
            <w:tcW w:w="1418" w:type="dxa"/>
            <w:vMerge w:val="continue"/>
            <w:tcBorders>
              <w:top w:val="single" w:color="000000" w:sz="4" w:space="0"/>
              <w:left w:val="single" w:color="000000" w:sz="4" w:space="0"/>
              <w:bottom w:val="nil"/>
              <w:right w:val="single" w:color="000000" w:sz="4" w:space="0"/>
            </w:tcBorders>
            <w:shd w:val="clear" w:color="auto" w:fill="auto"/>
            <w:vAlign w:val="center"/>
          </w:tcPr>
          <w:p w14:paraId="16C47793">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2288A">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BB28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7.4</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BD60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中标供应商能响应故障处理请求和电话咨询，提供7×24小时技术支持，4小时内响应和24小时内提出解决方案，一般应在48小时内派人到现场维修的售后服务。中标供应商应提供维保人员名单、联系电话等。</w:t>
            </w:r>
          </w:p>
        </w:tc>
      </w:tr>
      <w:tr w14:paraId="2D9DF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1" w:hRule="atLeast"/>
        </w:trPr>
        <w:tc>
          <w:tcPr>
            <w:tcW w:w="1418" w:type="dxa"/>
            <w:vMerge w:val="continue"/>
            <w:tcBorders>
              <w:top w:val="single" w:color="000000" w:sz="4" w:space="0"/>
              <w:left w:val="single" w:color="000000" w:sz="4" w:space="0"/>
              <w:bottom w:val="nil"/>
              <w:right w:val="single" w:color="000000" w:sz="4" w:space="0"/>
            </w:tcBorders>
            <w:shd w:val="clear" w:color="auto" w:fill="auto"/>
            <w:vAlign w:val="center"/>
          </w:tcPr>
          <w:p w14:paraId="437519C3">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A3093">
            <w:pPr>
              <w:pageBreakBefore w:val="0"/>
              <w:kinsoku/>
              <w:wordWrap w:val="0"/>
              <w:overflowPunct/>
              <w:bidi w:val="0"/>
              <w:jc w:val="center"/>
              <w:rPr>
                <w:rFonts w:hint="eastAsia" w:ascii="宋体" w:hAnsi="宋体" w:eastAsia="宋体" w:cs="宋体"/>
                <w:i w:val="0"/>
                <w:iCs w:val="0"/>
                <w:color w:val="auto"/>
                <w:kern w:val="0"/>
                <w:sz w:val="20"/>
                <w:szCs w:val="20"/>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E763C">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7.5</w:t>
            </w:r>
          </w:p>
        </w:tc>
        <w:tc>
          <w:tcPr>
            <w:tcW w:w="5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D895D">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现场培训：仪器在安装调试同时，中标供应商负责免费派工程师对用户就仪器原理和基本操作进行现场培训，培训人员人数不限，培训时间视需求单位需要，原则上不少于2天，确保需求单位用户能正常操作。</w:t>
            </w:r>
          </w:p>
        </w:tc>
      </w:tr>
    </w:tbl>
    <w:p w14:paraId="0699AEA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28BB5C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5BAF8217">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5554C47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0D6FF42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3D9E49E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0D12F21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3AAD250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5F22C89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22B8AAD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4A1B02F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tbl>
      <w:tblPr>
        <w:tblStyle w:val="38"/>
        <w:tblW w:w="934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69"/>
        <w:gridCol w:w="1260"/>
        <w:gridCol w:w="828"/>
        <w:gridCol w:w="5583"/>
      </w:tblGrid>
      <w:tr w14:paraId="32DFC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3" w:hRule="atLeast"/>
        </w:trPr>
        <w:tc>
          <w:tcPr>
            <w:tcW w:w="9340" w:type="dxa"/>
            <w:gridSpan w:val="4"/>
            <w:tcBorders>
              <w:top w:val="nil"/>
              <w:left w:val="nil"/>
              <w:bottom w:val="nil"/>
              <w:right w:val="nil"/>
            </w:tcBorders>
            <w:shd w:val="clear" w:color="auto" w:fill="auto"/>
            <w:vAlign w:val="center"/>
          </w:tcPr>
          <w:p w14:paraId="06C823B9">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w:t>
            </w: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（十六）</w:t>
            </w:r>
          </w:p>
        </w:tc>
      </w:tr>
      <w:tr w14:paraId="789E7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340" w:type="dxa"/>
            <w:gridSpan w:val="4"/>
            <w:tcBorders>
              <w:top w:val="nil"/>
              <w:left w:val="nil"/>
              <w:bottom w:val="nil"/>
              <w:right w:val="nil"/>
            </w:tcBorders>
            <w:shd w:val="clear" w:color="auto" w:fill="auto"/>
            <w:noWrap/>
            <w:vAlign w:val="center"/>
          </w:tcPr>
          <w:p w14:paraId="710CFB66">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品目名称：水浴氮吹仪</w:t>
            </w:r>
          </w:p>
        </w:tc>
      </w:tr>
      <w:tr w14:paraId="5BDDD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340" w:type="dxa"/>
            <w:gridSpan w:val="4"/>
            <w:tcBorders>
              <w:top w:val="nil"/>
              <w:left w:val="nil"/>
              <w:bottom w:val="nil"/>
              <w:right w:val="nil"/>
            </w:tcBorders>
            <w:shd w:val="clear" w:color="auto" w:fill="auto"/>
            <w:noWrap/>
            <w:vAlign w:val="center"/>
          </w:tcPr>
          <w:p w14:paraId="658F363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子品目名称：水浴氮吹仪</w:t>
            </w:r>
          </w:p>
        </w:tc>
      </w:tr>
      <w:tr w14:paraId="11EB6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4" w:hRule="atLeast"/>
        </w:trPr>
        <w:tc>
          <w:tcPr>
            <w:tcW w:w="1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DC947">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序号</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B922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指标类型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"★"或"▲"</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7FA9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条款号</w:t>
            </w:r>
          </w:p>
        </w:tc>
        <w:tc>
          <w:tcPr>
            <w:tcW w:w="5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1139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商务指标内容</w:t>
            </w:r>
          </w:p>
        </w:tc>
      </w:tr>
      <w:tr w14:paraId="00996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3" w:hRule="atLeast"/>
        </w:trPr>
        <w:tc>
          <w:tcPr>
            <w:tcW w:w="1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C586F">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 交货期</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B020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2657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5.1</w:t>
            </w:r>
          </w:p>
        </w:tc>
        <w:tc>
          <w:tcPr>
            <w:tcW w:w="5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C785B">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产品不得超过正式签订合同后60个日历日。</w:t>
            </w:r>
          </w:p>
        </w:tc>
      </w:tr>
      <w:tr w14:paraId="5A555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4" w:hRule="atLeast"/>
        </w:trPr>
        <w:tc>
          <w:tcPr>
            <w:tcW w:w="1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09B2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 质保期</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03BEE">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7225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6.1</w:t>
            </w:r>
          </w:p>
        </w:tc>
        <w:tc>
          <w:tcPr>
            <w:tcW w:w="5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4387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产品安装调试经用户验收合格当天起，免费质保期1年，在质保期内，产品因故障停用，质保期相应顺延。质保期外4年内，能更及时地为用户提供仪器关键零备件、消耗品等。</w:t>
            </w:r>
          </w:p>
        </w:tc>
      </w:tr>
      <w:tr w14:paraId="7A4AC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4" w:hRule="atLeast"/>
        </w:trPr>
        <w:tc>
          <w:tcPr>
            <w:tcW w:w="16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C240CD">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 售后服务要求</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2FFFA">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299A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7.1</w:t>
            </w:r>
          </w:p>
        </w:tc>
        <w:tc>
          <w:tcPr>
            <w:tcW w:w="5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095E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中标供应商应提供原产商质量保证和售后服务承诺书。合同签订后，在1周内中标供应商将仪器操作间的装修要求和水、电、气要求通知需求单位。</w:t>
            </w:r>
          </w:p>
        </w:tc>
      </w:tr>
      <w:tr w14:paraId="7ACF0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90" w:hRule="atLeast"/>
        </w:trPr>
        <w:tc>
          <w:tcPr>
            <w:tcW w:w="16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BEED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B9802">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548A8">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7.2</w:t>
            </w:r>
          </w:p>
        </w:tc>
        <w:tc>
          <w:tcPr>
            <w:tcW w:w="5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3D410">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43C2C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16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F9C4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2300B">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E7880">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7.3</w:t>
            </w:r>
          </w:p>
        </w:tc>
        <w:tc>
          <w:tcPr>
            <w:tcW w:w="5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D6F1E">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6A860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6" w:hRule="atLeast"/>
        </w:trPr>
        <w:tc>
          <w:tcPr>
            <w:tcW w:w="16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D624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497F4">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F41A5">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7.4</w:t>
            </w:r>
          </w:p>
        </w:tc>
        <w:tc>
          <w:tcPr>
            <w:tcW w:w="5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2085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中标供应商能响应故障处理请求和电话咨询，提供7×24小时技术支持，4小时内响应和24小时内提出解决方案，一般应在48小时内派人到现场维修的售后服务。中标供应商应提供维保人员名单、联系电话等。</w:t>
            </w:r>
          </w:p>
        </w:tc>
      </w:tr>
      <w:tr w14:paraId="05D7D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6" w:hRule="atLeast"/>
        </w:trPr>
        <w:tc>
          <w:tcPr>
            <w:tcW w:w="16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BAA79">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49316">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612D1">
            <w:pPr>
              <w:keepNext w:val="0"/>
              <w:keepLines w:val="0"/>
              <w:pageBreakBefore w:val="0"/>
              <w:widowControl/>
              <w:suppressLineNumbers w:val="0"/>
              <w:kinsoku/>
              <w:wordWrap w:val="0"/>
              <w:overflowPunct/>
              <w:bidi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7.5</w:t>
            </w:r>
          </w:p>
        </w:tc>
        <w:tc>
          <w:tcPr>
            <w:tcW w:w="5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0568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现场培训：仪器在安装调试同时，中标供应商负责免费派工程师对用户就仪器原理和基本操作进行现场培训，培训人员人数不限，培训时间视需求单位需要，原则上不少于2天，确保需求单位用户能正常操作。</w:t>
            </w:r>
          </w:p>
        </w:tc>
      </w:tr>
    </w:tbl>
    <w:p w14:paraId="43C9C27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43D1618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5D74C40C">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8174FE1">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7673693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0BD7C004">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5BD8A455">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301ACB43">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7B4E5D9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AA49C3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3BFCEA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p w14:paraId="103203C9">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zh-CN" w:eastAsia="zh-CN" w:bidi="ar"/>
        </w:rPr>
      </w:pPr>
    </w:p>
    <w:tbl>
      <w:tblPr>
        <w:tblStyle w:val="38"/>
        <w:tblW w:w="916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2"/>
        <w:gridCol w:w="1477"/>
        <w:gridCol w:w="852"/>
        <w:gridCol w:w="5868"/>
      </w:tblGrid>
      <w:tr w14:paraId="2789A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169" w:type="dxa"/>
            <w:gridSpan w:val="4"/>
            <w:tcBorders>
              <w:top w:val="nil"/>
              <w:left w:val="nil"/>
              <w:bottom w:val="nil"/>
              <w:right w:val="nil"/>
            </w:tcBorders>
            <w:shd w:val="clear" w:color="auto" w:fill="auto"/>
            <w:vAlign w:val="center"/>
          </w:tcPr>
          <w:p w14:paraId="25133DAC">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w:t>
            </w: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（十七）</w:t>
            </w:r>
          </w:p>
        </w:tc>
      </w:tr>
      <w:tr w14:paraId="69C63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 w:hRule="atLeast"/>
        </w:trPr>
        <w:tc>
          <w:tcPr>
            <w:tcW w:w="0" w:type="auto"/>
            <w:gridSpan w:val="4"/>
            <w:tcBorders>
              <w:top w:val="nil"/>
              <w:left w:val="nil"/>
              <w:bottom w:val="nil"/>
              <w:right w:val="nil"/>
            </w:tcBorders>
            <w:shd w:val="clear" w:color="auto" w:fill="auto"/>
            <w:noWrap/>
            <w:vAlign w:val="center"/>
          </w:tcPr>
          <w:p w14:paraId="04DA69C2">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w:t>
            </w:r>
            <w:r>
              <w:rPr>
                <w:rFonts w:hint="eastAsia" w:ascii="宋体" w:hAnsi="宋体" w:eastAsia="宋体" w:cs="宋体"/>
                <w:i w:val="0"/>
                <w:iCs w:val="0"/>
                <w:color w:val="auto"/>
                <w:kern w:val="0"/>
                <w:sz w:val="20"/>
                <w:szCs w:val="20"/>
                <w:highlight w:val="none"/>
                <w:u w:val="none"/>
                <w:lang w:val="en-US" w:eastAsia="zh-CN" w:bidi="ar"/>
              </w:rPr>
              <w:t>鼓风干燥箱</w:t>
            </w:r>
          </w:p>
        </w:tc>
      </w:tr>
      <w:tr w14:paraId="21BD3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 w:hRule="atLeast"/>
        </w:trPr>
        <w:tc>
          <w:tcPr>
            <w:tcW w:w="0" w:type="auto"/>
            <w:gridSpan w:val="4"/>
            <w:tcBorders>
              <w:top w:val="nil"/>
              <w:left w:val="nil"/>
              <w:bottom w:val="nil"/>
              <w:right w:val="nil"/>
            </w:tcBorders>
            <w:shd w:val="clear" w:color="auto" w:fill="auto"/>
            <w:noWrap/>
            <w:vAlign w:val="center"/>
          </w:tcPr>
          <w:p w14:paraId="2E11224F">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w:t>
            </w:r>
            <w:r>
              <w:rPr>
                <w:rFonts w:hint="eastAsia" w:ascii="宋体" w:hAnsi="宋体" w:eastAsia="宋体" w:cs="宋体"/>
                <w:i w:val="0"/>
                <w:iCs w:val="0"/>
                <w:color w:val="auto"/>
                <w:kern w:val="0"/>
                <w:sz w:val="20"/>
                <w:szCs w:val="20"/>
                <w:highlight w:val="none"/>
                <w:u w:val="none"/>
                <w:lang w:val="en-US" w:eastAsia="zh-CN" w:bidi="ar"/>
              </w:rPr>
              <w:t>鼓风干燥箱</w:t>
            </w:r>
          </w:p>
        </w:tc>
      </w:tr>
      <w:tr w14:paraId="29FCB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B0DF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6A0F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DDA1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3A3B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商务</w:t>
            </w:r>
            <w:r>
              <w:rPr>
                <w:rFonts w:hint="default" w:ascii="宋体" w:hAnsi="宋体" w:eastAsia="宋体" w:cs="宋体"/>
                <w:i w:val="0"/>
                <w:iCs w:val="0"/>
                <w:color w:val="auto"/>
                <w:kern w:val="0"/>
                <w:sz w:val="20"/>
                <w:szCs w:val="20"/>
                <w:highlight w:val="none"/>
                <w:u w:val="none"/>
                <w:lang w:val="en-US" w:eastAsia="zh-CN" w:bidi="ar"/>
              </w:rPr>
              <w:t>指标内容</w:t>
            </w:r>
          </w:p>
        </w:tc>
      </w:tr>
      <w:tr w14:paraId="4D389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2A55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 交货期</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CEBC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7084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w:t>
            </w:r>
          </w:p>
        </w:tc>
        <w:tc>
          <w:tcPr>
            <w:tcW w:w="5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947A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产品不得超过正式签订合同后</w:t>
            </w:r>
            <w:r>
              <w:rPr>
                <w:rFonts w:hint="eastAsia" w:ascii="宋体" w:hAnsi="宋体" w:eastAsia="宋体" w:cs="宋体"/>
                <w:i w:val="0"/>
                <w:iCs w:val="0"/>
                <w:color w:val="auto"/>
                <w:kern w:val="0"/>
                <w:sz w:val="20"/>
                <w:szCs w:val="20"/>
                <w:highlight w:val="none"/>
                <w:u w:val="none"/>
                <w:lang w:val="en-US" w:eastAsia="zh-CN" w:bidi="ar"/>
              </w:rPr>
              <w:t>60</w:t>
            </w:r>
            <w:r>
              <w:rPr>
                <w:rFonts w:hint="default" w:ascii="宋体" w:hAnsi="宋体" w:eastAsia="宋体" w:cs="宋体"/>
                <w:i w:val="0"/>
                <w:iCs w:val="0"/>
                <w:color w:val="auto"/>
                <w:kern w:val="0"/>
                <w:sz w:val="20"/>
                <w:szCs w:val="20"/>
                <w:highlight w:val="none"/>
                <w:u w:val="none"/>
                <w:lang w:val="en-US" w:eastAsia="zh-CN" w:bidi="ar"/>
              </w:rPr>
              <w:t>个日历日。</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供应商应予以特别注意：如出现未能到期供货的情况，需求单位有权单方终止合同的执行，所有的经济损失由逾期供货商单方承担。</w:t>
            </w:r>
          </w:p>
        </w:tc>
      </w:tr>
      <w:tr w14:paraId="70919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187D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 质保期</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E2EF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0D5E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w:t>
            </w:r>
          </w:p>
        </w:tc>
        <w:tc>
          <w:tcPr>
            <w:tcW w:w="5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334BF">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产品安装调试经用户验收合格当天起，质保期1年，在质保期内，产品因故障停用，质保期相应顺延。质保期外4年内，能更及时地为用户提供仪器关键零备件、消耗品等。</w:t>
            </w:r>
          </w:p>
        </w:tc>
      </w:tr>
      <w:tr w14:paraId="21B33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50563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 售后服务要求</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9F3D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D834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7.1</w:t>
            </w:r>
          </w:p>
        </w:tc>
        <w:tc>
          <w:tcPr>
            <w:tcW w:w="5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1F997">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应提供原产商质量保证和售后服务承诺书。在质量保证期内设备发生故障，中标供应商应免费提供原厂商售后维修和更换零件服务。质保期后，中标供应商提供设备终身技术支持，包括故障排除和零配件的供应、仪器软件免费升级和培训；设备出现故障需更换配件时，只收取零配件费用，免收其它费用。合同签订后，在1周内中标供应商将仪器操作间的装修要求和水、电、气要求通知需求单位。</w:t>
            </w:r>
          </w:p>
        </w:tc>
      </w:tr>
      <w:tr w14:paraId="43279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2209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6C6A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1085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7.2</w:t>
            </w:r>
          </w:p>
        </w:tc>
        <w:tc>
          <w:tcPr>
            <w:tcW w:w="5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C138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6BBD7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83DA7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C25D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A6DC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7.3</w:t>
            </w:r>
          </w:p>
        </w:tc>
        <w:tc>
          <w:tcPr>
            <w:tcW w:w="5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FAAE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5A40F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57C6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A970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0396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7.4</w:t>
            </w:r>
          </w:p>
        </w:tc>
        <w:tc>
          <w:tcPr>
            <w:tcW w:w="5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1D1A1">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中标供应商能响应故障处理请求和电话咨询，提供7x24小时技术支持，4小时内响应和24小时内提出解决方案，一般应在48小时内派人到现场维修的售后服务。中标供应商应提供维保人员名单、联系电话等。</w:t>
            </w:r>
          </w:p>
        </w:tc>
      </w:tr>
      <w:tr w14:paraId="00A90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DF55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5263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5104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7.5</w:t>
            </w:r>
          </w:p>
        </w:tc>
        <w:tc>
          <w:tcPr>
            <w:tcW w:w="5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C155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现场培训：仪器在安装调试同时，中标供应商负责免费派工程师对用户就仪器原理和基本操作进行现场培训，培训人员人数不限，培训时间视需求单位需要，原则上不少于2天，确保需求单位用户能正常操作。</w:t>
            </w:r>
          </w:p>
        </w:tc>
      </w:tr>
    </w:tbl>
    <w:p w14:paraId="14E5034E">
      <w:pPr>
        <w:bidi w:val="0"/>
        <w:rPr>
          <w:rFonts w:hint="eastAsia"/>
          <w:color w:val="auto"/>
          <w:highlight w:val="none"/>
          <w:lang w:val="zh-CN" w:eastAsia="zh-CN"/>
        </w:rPr>
      </w:pPr>
    </w:p>
    <w:p w14:paraId="52112B53">
      <w:pPr>
        <w:rPr>
          <w:rFonts w:hint="eastAsia"/>
          <w:color w:val="auto"/>
          <w:highlight w:val="none"/>
          <w:lang w:val="zh-CN" w:eastAsia="zh-CN"/>
        </w:rPr>
      </w:pPr>
      <w:r>
        <w:rPr>
          <w:rFonts w:hint="eastAsia"/>
          <w:color w:val="auto"/>
          <w:highlight w:val="none"/>
          <w:lang w:val="zh-CN" w:eastAsia="zh-CN"/>
        </w:rPr>
        <w:br w:type="page"/>
      </w:r>
    </w:p>
    <w:p w14:paraId="1452193D">
      <w:pPr>
        <w:pStyle w:val="2"/>
        <w:rPr>
          <w:rFonts w:hint="eastAsia"/>
          <w:color w:val="auto"/>
          <w:highlight w:val="none"/>
          <w:lang w:val="zh-CN" w:eastAsia="zh-CN"/>
        </w:rPr>
      </w:pPr>
    </w:p>
    <w:tbl>
      <w:tblPr>
        <w:tblStyle w:val="38"/>
        <w:tblW w:w="907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73"/>
        <w:gridCol w:w="1368"/>
        <w:gridCol w:w="900"/>
        <w:gridCol w:w="5536"/>
      </w:tblGrid>
      <w:tr w14:paraId="53AA9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077" w:type="dxa"/>
            <w:gridSpan w:val="4"/>
            <w:tcBorders>
              <w:top w:val="nil"/>
              <w:left w:val="nil"/>
              <w:bottom w:val="nil"/>
              <w:right w:val="nil"/>
            </w:tcBorders>
            <w:shd w:val="clear" w:color="auto" w:fill="auto"/>
            <w:vAlign w:val="center"/>
          </w:tcPr>
          <w:p w14:paraId="691E27B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w:t>
            </w: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（十八）</w:t>
            </w:r>
          </w:p>
        </w:tc>
      </w:tr>
      <w:tr w14:paraId="22A47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077" w:type="dxa"/>
            <w:gridSpan w:val="4"/>
            <w:tcBorders>
              <w:top w:val="nil"/>
              <w:left w:val="nil"/>
              <w:bottom w:val="nil"/>
              <w:right w:val="nil"/>
            </w:tcBorders>
            <w:shd w:val="clear" w:color="auto" w:fill="auto"/>
            <w:noWrap/>
            <w:vAlign w:val="center"/>
          </w:tcPr>
          <w:p w14:paraId="150CC4E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w:t>
            </w:r>
            <w:r>
              <w:rPr>
                <w:rFonts w:hint="eastAsia" w:ascii="宋体" w:hAnsi="宋体" w:eastAsia="宋体" w:cs="宋体"/>
                <w:i w:val="0"/>
                <w:iCs w:val="0"/>
                <w:color w:val="auto"/>
                <w:kern w:val="0"/>
                <w:sz w:val="20"/>
                <w:szCs w:val="20"/>
                <w:highlight w:val="none"/>
                <w:u w:val="none"/>
                <w:lang w:val="en-US" w:eastAsia="zh-CN" w:bidi="ar"/>
              </w:rPr>
              <w:t>水浴摇床</w:t>
            </w:r>
          </w:p>
        </w:tc>
      </w:tr>
      <w:tr w14:paraId="537BC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9077" w:type="dxa"/>
            <w:gridSpan w:val="4"/>
            <w:tcBorders>
              <w:top w:val="nil"/>
              <w:left w:val="nil"/>
              <w:bottom w:val="nil"/>
              <w:right w:val="nil"/>
            </w:tcBorders>
            <w:shd w:val="clear" w:color="auto" w:fill="auto"/>
            <w:noWrap/>
            <w:vAlign w:val="center"/>
          </w:tcPr>
          <w:p w14:paraId="0806DD2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w:t>
            </w:r>
            <w:r>
              <w:rPr>
                <w:rFonts w:hint="eastAsia" w:ascii="宋体" w:hAnsi="宋体" w:eastAsia="宋体" w:cs="宋体"/>
                <w:i w:val="0"/>
                <w:iCs w:val="0"/>
                <w:color w:val="auto"/>
                <w:kern w:val="0"/>
                <w:sz w:val="20"/>
                <w:szCs w:val="20"/>
                <w:highlight w:val="none"/>
                <w:u w:val="none"/>
                <w:lang w:val="en-US" w:eastAsia="zh-CN" w:bidi="ar"/>
              </w:rPr>
              <w:t>水浴摇床</w:t>
            </w:r>
          </w:p>
        </w:tc>
      </w:tr>
      <w:tr w14:paraId="4155A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9" w:hRule="atLeast"/>
        </w:trPr>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F253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8E90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80D6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F801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商务</w:t>
            </w:r>
            <w:r>
              <w:rPr>
                <w:rFonts w:hint="default" w:ascii="宋体" w:hAnsi="宋体" w:eastAsia="宋体" w:cs="宋体"/>
                <w:i w:val="0"/>
                <w:iCs w:val="0"/>
                <w:color w:val="auto"/>
                <w:kern w:val="0"/>
                <w:sz w:val="20"/>
                <w:szCs w:val="20"/>
                <w:highlight w:val="none"/>
                <w:u w:val="none"/>
                <w:lang w:val="en-US" w:eastAsia="zh-CN" w:bidi="ar"/>
              </w:rPr>
              <w:t>指标内容</w:t>
            </w:r>
          </w:p>
        </w:tc>
      </w:tr>
      <w:tr w14:paraId="2D041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9" w:hRule="atLeast"/>
        </w:trPr>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3853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 交货期</w:t>
            </w: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FB5E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119B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w:t>
            </w:r>
          </w:p>
        </w:tc>
        <w:tc>
          <w:tcPr>
            <w:tcW w:w="5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7752F">
            <w:pPr>
              <w:keepNext w:val="0"/>
              <w:keepLines w:val="0"/>
              <w:pageBreakBefore w:val="0"/>
              <w:widowControl/>
              <w:suppressLineNumbers w:val="0"/>
              <w:kinsoku/>
              <w:wordWrap w:val="0"/>
              <w:overflowPunct/>
              <w:bidi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产品不得超过正式签订合同后60个日历日。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供应商应予以特别注意：如出现未能到期供货的情况，需求单位有权单方终止合同的执行，所有的经济损失由逾期供货商单方承担。</w:t>
            </w:r>
          </w:p>
        </w:tc>
      </w:tr>
      <w:tr w14:paraId="6C377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3" w:hRule="atLeast"/>
        </w:trPr>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A3E9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 质保期</w:t>
            </w: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7A42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861D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w:t>
            </w:r>
          </w:p>
        </w:tc>
        <w:tc>
          <w:tcPr>
            <w:tcW w:w="5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16D0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产品安装调试经用户验收合格当天起，质保期1年，在质保期内，产品因故障停用，质保期相应顺延。质保期外4年内，能更及时地为用户提供仪器关键零备件、消耗品等。</w:t>
            </w:r>
          </w:p>
        </w:tc>
      </w:tr>
      <w:tr w14:paraId="47E50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19" w:hRule="atLeast"/>
        </w:trPr>
        <w:tc>
          <w:tcPr>
            <w:tcW w:w="1273" w:type="dxa"/>
            <w:vMerge w:val="restart"/>
            <w:tcBorders>
              <w:top w:val="single" w:color="000000" w:sz="4" w:space="0"/>
              <w:left w:val="single" w:color="000000" w:sz="4" w:space="0"/>
              <w:right w:val="single" w:color="000000" w:sz="4" w:space="0"/>
            </w:tcBorders>
            <w:shd w:val="clear" w:color="auto" w:fill="auto"/>
            <w:vAlign w:val="center"/>
          </w:tcPr>
          <w:p w14:paraId="09F6AD9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 售后服务要求</w:t>
            </w: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C6D9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D644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7.1</w:t>
            </w:r>
          </w:p>
        </w:tc>
        <w:tc>
          <w:tcPr>
            <w:tcW w:w="5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5DA5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应提供原产商质量保证和售后服务承诺书。在质量保证期内设备发生故障，中标供应商应免费提供原厂商售后维修和更换零件服务。质保期后，中标供应商提供设备终身技术支持，包括故障排除和零配件的供应、仪器软件免费升级和培训；设备出现故障需更换配件时，只收取零配件费用，免收其它费用。合同签订后，在1周内中标供应商将仪器操作间的装修要求和水、电、气要求通知需求单位。</w:t>
            </w:r>
          </w:p>
        </w:tc>
      </w:tr>
      <w:tr w14:paraId="29A7D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19" w:hRule="atLeast"/>
        </w:trPr>
        <w:tc>
          <w:tcPr>
            <w:tcW w:w="1273" w:type="dxa"/>
            <w:vMerge w:val="continue"/>
            <w:tcBorders>
              <w:left w:val="single" w:color="000000" w:sz="4" w:space="0"/>
              <w:right w:val="single" w:color="000000" w:sz="4" w:space="0"/>
            </w:tcBorders>
            <w:shd w:val="clear" w:color="auto" w:fill="auto"/>
            <w:vAlign w:val="center"/>
          </w:tcPr>
          <w:p w14:paraId="1FD3BF3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EBB8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5D08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7.2</w:t>
            </w:r>
          </w:p>
        </w:tc>
        <w:tc>
          <w:tcPr>
            <w:tcW w:w="5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BAB29">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24112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4" w:hRule="atLeast"/>
        </w:trPr>
        <w:tc>
          <w:tcPr>
            <w:tcW w:w="1273" w:type="dxa"/>
            <w:vMerge w:val="continue"/>
            <w:tcBorders>
              <w:left w:val="single" w:color="000000" w:sz="4" w:space="0"/>
              <w:right w:val="single" w:color="000000" w:sz="4" w:space="0"/>
            </w:tcBorders>
            <w:shd w:val="clear" w:color="auto" w:fill="auto"/>
            <w:vAlign w:val="center"/>
          </w:tcPr>
          <w:p w14:paraId="12552D4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326B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B0F5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7.3</w:t>
            </w:r>
          </w:p>
        </w:tc>
        <w:tc>
          <w:tcPr>
            <w:tcW w:w="5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6907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5F394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1273" w:type="dxa"/>
            <w:vMerge w:val="continue"/>
            <w:tcBorders>
              <w:left w:val="single" w:color="000000" w:sz="4" w:space="0"/>
              <w:right w:val="single" w:color="000000" w:sz="4" w:space="0"/>
            </w:tcBorders>
            <w:shd w:val="clear" w:color="auto" w:fill="auto"/>
            <w:vAlign w:val="center"/>
          </w:tcPr>
          <w:p w14:paraId="7F15027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34E0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6DA2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7.4</w:t>
            </w:r>
          </w:p>
        </w:tc>
        <w:tc>
          <w:tcPr>
            <w:tcW w:w="5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06381">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中标供应商能响应故障处理请求和电话咨询，提供7x24小时技术支持，4小时内响应和24小时内提出解决方案，一般应在48小时内派人到现场维修的售后服务。中标供应商应提供维保人员名单、联系电话等。</w:t>
            </w:r>
          </w:p>
        </w:tc>
      </w:tr>
      <w:tr w14:paraId="086BE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9" w:hRule="atLeast"/>
        </w:trPr>
        <w:tc>
          <w:tcPr>
            <w:tcW w:w="1273" w:type="dxa"/>
            <w:vMerge w:val="continue"/>
            <w:tcBorders>
              <w:left w:val="single" w:color="000000" w:sz="4" w:space="0"/>
              <w:bottom w:val="single" w:color="000000" w:sz="4" w:space="0"/>
              <w:right w:val="single" w:color="000000" w:sz="4" w:space="0"/>
            </w:tcBorders>
            <w:shd w:val="clear" w:color="auto" w:fill="auto"/>
            <w:vAlign w:val="center"/>
          </w:tcPr>
          <w:p w14:paraId="189ECD0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1576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B04E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7.5</w:t>
            </w:r>
          </w:p>
        </w:tc>
        <w:tc>
          <w:tcPr>
            <w:tcW w:w="5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04E7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现场培训：仪器在安装调试同时，中标供应商负责免费派工程师对用户就仪器原理和基本操作进行现场培训，培训人员人数不限，培训时间视需求单位需要，原则上不少于2天，确保需求单位用户能正常操作。</w:t>
            </w:r>
          </w:p>
        </w:tc>
      </w:tr>
    </w:tbl>
    <w:p w14:paraId="12BDBE4A">
      <w:pPr>
        <w:pStyle w:val="2"/>
        <w:pageBreakBefore w:val="0"/>
        <w:kinsoku/>
        <w:wordWrap w:val="0"/>
        <w:overflowPunct/>
        <w:bidi w:val="0"/>
        <w:rPr>
          <w:rFonts w:hint="eastAsia"/>
          <w:color w:val="auto"/>
          <w:sz w:val="52"/>
          <w:szCs w:val="52"/>
          <w:highlight w:val="none"/>
          <w:lang w:val="zh-CN" w:eastAsia="zh-CN"/>
        </w:rPr>
      </w:pPr>
    </w:p>
    <w:tbl>
      <w:tblPr>
        <w:tblStyle w:val="38"/>
        <w:tblW w:w="898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45"/>
        <w:gridCol w:w="1344"/>
        <w:gridCol w:w="924"/>
        <w:gridCol w:w="5367"/>
      </w:tblGrid>
      <w:tr w14:paraId="77CA1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980" w:type="dxa"/>
            <w:gridSpan w:val="4"/>
            <w:tcBorders>
              <w:top w:val="nil"/>
              <w:left w:val="nil"/>
              <w:bottom w:val="nil"/>
              <w:right w:val="nil"/>
            </w:tcBorders>
            <w:shd w:val="clear" w:color="auto" w:fill="auto"/>
            <w:vAlign w:val="center"/>
          </w:tcPr>
          <w:p w14:paraId="6DE45D95">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w:t>
            </w: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（十九）</w:t>
            </w:r>
          </w:p>
        </w:tc>
      </w:tr>
      <w:tr w14:paraId="65DEA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980" w:type="dxa"/>
            <w:gridSpan w:val="4"/>
            <w:tcBorders>
              <w:top w:val="nil"/>
              <w:left w:val="nil"/>
              <w:bottom w:val="nil"/>
              <w:right w:val="nil"/>
            </w:tcBorders>
            <w:shd w:val="clear" w:color="auto" w:fill="auto"/>
            <w:noWrap/>
            <w:vAlign w:val="center"/>
          </w:tcPr>
          <w:p w14:paraId="1C26D1FB">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w:t>
            </w:r>
            <w:r>
              <w:rPr>
                <w:rFonts w:hint="eastAsia" w:ascii="宋体" w:hAnsi="宋体" w:eastAsia="宋体" w:cs="宋体"/>
                <w:i w:val="0"/>
                <w:iCs w:val="0"/>
                <w:color w:val="auto"/>
                <w:kern w:val="0"/>
                <w:sz w:val="20"/>
                <w:szCs w:val="20"/>
                <w:highlight w:val="none"/>
                <w:u w:val="none"/>
                <w:lang w:val="en-US" w:eastAsia="zh-CN" w:bidi="ar"/>
              </w:rPr>
              <w:t>粉碎机</w:t>
            </w:r>
          </w:p>
        </w:tc>
      </w:tr>
      <w:tr w14:paraId="25D28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980" w:type="dxa"/>
            <w:gridSpan w:val="4"/>
            <w:tcBorders>
              <w:top w:val="nil"/>
              <w:left w:val="nil"/>
              <w:bottom w:val="nil"/>
              <w:right w:val="nil"/>
            </w:tcBorders>
            <w:shd w:val="clear" w:color="auto" w:fill="auto"/>
            <w:noWrap/>
            <w:vAlign w:val="center"/>
          </w:tcPr>
          <w:p w14:paraId="5BAE8F1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w:t>
            </w:r>
            <w:r>
              <w:rPr>
                <w:rFonts w:hint="eastAsia" w:ascii="宋体" w:hAnsi="宋体" w:eastAsia="宋体" w:cs="宋体"/>
                <w:i w:val="0"/>
                <w:iCs w:val="0"/>
                <w:color w:val="auto"/>
                <w:kern w:val="0"/>
                <w:sz w:val="20"/>
                <w:szCs w:val="20"/>
                <w:highlight w:val="none"/>
                <w:u w:val="none"/>
                <w:lang w:val="en-US" w:eastAsia="zh-CN" w:bidi="ar"/>
              </w:rPr>
              <w:t>粉碎机</w:t>
            </w:r>
          </w:p>
        </w:tc>
      </w:tr>
      <w:tr w14:paraId="01950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419A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6CEB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084F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657D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商务</w:t>
            </w:r>
            <w:r>
              <w:rPr>
                <w:rFonts w:hint="default" w:ascii="宋体" w:hAnsi="宋体" w:eastAsia="宋体" w:cs="宋体"/>
                <w:i w:val="0"/>
                <w:iCs w:val="0"/>
                <w:color w:val="auto"/>
                <w:kern w:val="0"/>
                <w:sz w:val="20"/>
                <w:szCs w:val="20"/>
                <w:highlight w:val="none"/>
                <w:u w:val="none"/>
                <w:lang w:val="en-US" w:eastAsia="zh-CN" w:bidi="ar"/>
              </w:rPr>
              <w:t>指标内容</w:t>
            </w:r>
          </w:p>
        </w:tc>
      </w:tr>
      <w:tr w14:paraId="64D2F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7" w:hRule="atLeast"/>
        </w:trPr>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AFFF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 交货期</w:t>
            </w: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F897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4441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9EEF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产品不得超过正式签订合同后</w:t>
            </w:r>
            <w:r>
              <w:rPr>
                <w:rFonts w:hint="eastAsia" w:ascii="宋体" w:hAnsi="宋体" w:eastAsia="宋体" w:cs="宋体"/>
                <w:i w:val="0"/>
                <w:iCs w:val="0"/>
                <w:color w:val="auto"/>
                <w:kern w:val="0"/>
                <w:sz w:val="20"/>
                <w:szCs w:val="20"/>
                <w:highlight w:val="none"/>
                <w:u w:val="none"/>
                <w:lang w:val="en-US" w:eastAsia="zh-CN" w:bidi="ar"/>
              </w:rPr>
              <w:t>60</w:t>
            </w:r>
            <w:r>
              <w:rPr>
                <w:rFonts w:hint="default" w:ascii="宋体" w:hAnsi="宋体" w:eastAsia="宋体" w:cs="宋体"/>
                <w:i w:val="0"/>
                <w:iCs w:val="0"/>
                <w:color w:val="auto"/>
                <w:kern w:val="0"/>
                <w:sz w:val="20"/>
                <w:szCs w:val="20"/>
                <w:highlight w:val="none"/>
                <w:u w:val="none"/>
                <w:lang w:val="en-US" w:eastAsia="zh-CN" w:bidi="ar"/>
              </w:rPr>
              <w:t>个日历日。</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供应商应予以特别注意：如出现未能到期供货的情况，需求单位有权单方终止合同的执行，所有的经济损失由逾期供货商单方承担。</w:t>
            </w:r>
          </w:p>
        </w:tc>
      </w:tr>
      <w:tr w14:paraId="72EA9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6" w:hRule="atLeast"/>
        </w:trPr>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D910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 质保期</w:t>
            </w: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EB68C">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6F7B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6E943">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产品安装调试经用户验收合格当天起，质保期1年，在质保期内，产品因故障停用，质保期相应顺延。质保期外4年内，能更及时地为用户提供仪器关键零备件、消耗品等。</w:t>
            </w:r>
          </w:p>
        </w:tc>
      </w:tr>
      <w:tr w14:paraId="03834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9" w:hRule="atLeast"/>
        </w:trPr>
        <w:tc>
          <w:tcPr>
            <w:tcW w:w="13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EAA6B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 售后服务要求</w:t>
            </w: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53418">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AC5C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7.1</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8938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应提供原产商质量保证和售后服务承诺书。在质量保证期内设备发生故障，中标供应商应免费提供原厂商售后维修和更换零件服务。质保期后，中标供应商提供设备终身技术支持，包括故障排除和零配件的供应、仪器软件免费升级和培训；设备出现故障需更换配件时，只收取零配件费用，免收其它费用。合同签订后，在1周内中标供应商将仪器操作间的装修要求和水、电、气要求通知需求单位。</w:t>
            </w:r>
          </w:p>
        </w:tc>
      </w:tr>
      <w:tr w14:paraId="318AC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9" w:hRule="atLeast"/>
        </w:trPr>
        <w:tc>
          <w:tcPr>
            <w:tcW w:w="13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51534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A077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BF83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7.2</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D9275">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12357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3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0781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44C3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9B6A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7.3</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E995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1F9CD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7" w:hRule="atLeast"/>
        </w:trPr>
        <w:tc>
          <w:tcPr>
            <w:tcW w:w="13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47E5E">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CE8D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2A9D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7.4</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8A5A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中标供应商能响应故障处理请求和电话咨询，提供7x24小时技术支持，4小时内响应和24小时内提出解决方案，一般应在48小时内派人到现场维修的售后服务。中标供应商应提供维保人员名单、联系电话等。</w:t>
            </w:r>
          </w:p>
        </w:tc>
      </w:tr>
    </w:tbl>
    <w:p w14:paraId="52D07F48">
      <w:pPr>
        <w:pStyle w:val="2"/>
        <w:pageBreakBefore w:val="0"/>
        <w:kinsoku/>
        <w:wordWrap w:val="0"/>
        <w:overflowPunct/>
        <w:bidi w:val="0"/>
        <w:rPr>
          <w:rFonts w:hint="eastAsia"/>
          <w:color w:val="auto"/>
          <w:highlight w:val="none"/>
          <w:lang w:val="zh-CN" w:eastAsia="zh-CN"/>
        </w:rPr>
      </w:pPr>
    </w:p>
    <w:p w14:paraId="21E93483">
      <w:pPr>
        <w:rPr>
          <w:rFonts w:hint="eastAsia"/>
          <w:color w:val="auto"/>
          <w:highlight w:val="none"/>
          <w:lang w:val="zh-CN" w:eastAsia="zh-CN"/>
        </w:rPr>
      </w:pPr>
    </w:p>
    <w:tbl>
      <w:tblPr>
        <w:tblStyle w:val="38"/>
        <w:tblW w:w="892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20"/>
        <w:gridCol w:w="1373"/>
        <w:gridCol w:w="972"/>
        <w:gridCol w:w="5364"/>
      </w:tblGrid>
      <w:tr w14:paraId="4DA95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929" w:type="dxa"/>
            <w:gridSpan w:val="4"/>
            <w:tcBorders>
              <w:top w:val="nil"/>
              <w:left w:val="nil"/>
              <w:bottom w:val="nil"/>
              <w:right w:val="nil"/>
            </w:tcBorders>
            <w:shd w:val="clear" w:color="auto" w:fill="auto"/>
            <w:vAlign w:val="center"/>
          </w:tcPr>
          <w:p w14:paraId="31DA5F9F">
            <w:pPr>
              <w:keepNext w:val="0"/>
              <w:keepLines w:val="0"/>
              <w:pageBreakBefore w:val="0"/>
              <w:widowControl/>
              <w:suppressLineNumbers w:val="0"/>
              <w:kinsoku/>
              <w:wordWrap w:val="0"/>
              <w:overflowPunct/>
              <w:bidi w:val="0"/>
              <w:jc w:val="center"/>
              <w:textAlignment w:val="center"/>
              <w:rPr>
                <w:rFonts w:ascii="方正小标宋_GBK" w:hAnsi="方正小标宋_GBK" w:eastAsia="方正小标宋_GBK" w:cs="方正小标宋_GBK"/>
                <w:i w:val="0"/>
                <w:iCs w:val="0"/>
                <w:color w:val="auto"/>
                <w:sz w:val="32"/>
                <w:szCs w:val="32"/>
                <w:highlight w:val="none"/>
                <w:u w:val="none"/>
              </w:rPr>
            </w:pP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仪器设备</w:t>
            </w:r>
            <w:r>
              <w:rPr>
                <w:rFonts w:hint="eastAsia" w:ascii="方正小标宋_GBK" w:hAnsi="方正小标宋_GBK" w:eastAsia="方正小标宋_GBK" w:cs="方正小标宋_GBK"/>
                <w:i w:val="0"/>
                <w:iCs w:val="0"/>
                <w:color w:val="auto"/>
                <w:kern w:val="0"/>
                <w:sz w:val="32"/>
                <w:szCs w:val="32"/>
                <w:highlight w:val="none"/>
                <w:u w:val="none"/>
                <w:lang w:val="en-US" w:eastAsia="zh-CN" w:bidi="ar"/>
              </w:rPr>
              <w:t>商务及其他需求</w:t>
            </w:r>
            <w:r>
              <w:rPr>
                <w:rFonts w:hint="default" w:ascii="方正小标宋_GBK" w:hAnsi="方正小标宋_GBK" w:eastAsia="方正小标宋_GBK" w:cs="方正小标宋_GBK"/>
                <w:i w:val="0"/>
                <w:iCs w:val="0"/>
                <w:color w:val="auto"/>
                <w:kern w:val="0"/>
                <w:sz w:val="32"/>
                <w:szCs w:val="32"/>
                <w:highlight w:val="none"/>
                <w:u w:val="none"/>
                <w:lang w:val="en-US" w:eastAsia="zh-CN" w:bidi="ar"/>
              </w:rPr>
              <w:t>（二十）</w:t>
            </w:r>
          </w:p>
        </w:tc>
      </w:tr>
      <w:tr w14:paraId="2610C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 w:hRule="atLeast"/>
        </w:trPr>
        <w:tc>
          <w:tcPr>
            <w:tcW w:w="8929" w:type="dxa"/>
            <w:gridSpan w:val="4"/>
            <w:tcBorders>
              <w:top w:val="nil"/>
              <w:left w:val="nil"/>
              <w:bottom w:val="nil"/>
              <w:right w:val="nil"/>
            </w:tcBorders>
            <w:shd w:val="clear" w:color="auto" w:fill="auto"/>
            <w:noWrap/>
            <w:vAlign w:val="center"/>
          </w:tcPr>
          <w:p w14:paraId="1E487EC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品目名称：</w:t>
            </w:r>
            <w:r>
              <w:rPr>
                <w:rFonts w:hint="eastAsia" w:ascii="宋体" w:hAnsi="宋体" w:eastAsia="宋体" w:cs="宋体"/>
                <w:i w:val="0"/>
                <w:iCs w:val="0"/>
                <w:color w:val="auto"/>
                <w:kern w:val="0"/>
                <w:sz w:val="20"/>
                <w:szCs w:val="20"/>
                <w:highlight w:val="none"/>
                <w:u w:val="none"/>
                <w:lang w:val="en-US" w:eastAsia="zh-CN" w:bidi="ar"/>
              </w:rPr>
              <w:t>台式低速离心机</w:t>
            </w:r>
          </w:p>
        </w:tc>
      </w:tr>
      <w:tr w14:paraId="2C243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 w:hRule="atLeast"/>
        </w:trPr>
        <w:tc>
          <w:tcPr>
            <w:tcW w:w="8929" w:type="dxa"/>
            <w:gridSpan w:val="4"/>
            <w:tcBorders>
              <w:top w:val="nil"/>
              <w:left w:val="nil"/>
              <w:bottom w:val="nil"/>
              <w:right w:val="nil"/>
            </w:tcBorders>
            <w:shd w:val="clear" w:color="auto" w:fill="auto"/>
            <w:noWrap/>
            <w:vAlign w:val="center"/>
          </w:tcPr>
          <w:p w14:paraId="69506710">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子品目名称：</w:t>
            </w:r>
            <w:r>
              <w:rPr>
                <w:rFonts w:hint="eastAsia" w:ascii="宋体" w:hAnsi="宋体" w:eastAsia="宋体" w:cs="宋体"/>
                <w:i w:val="0"/>
                <w:iCs w:val="0"/>
                <w:color w:val="auto"/>
                <w:kern w:val="0"/>
                <w:sz w:val="20"/>
                <w:szCs w:val="20"/>
                <w:highlight w:val="none"/>
                <w:u w:val="none"/>
                <w:lang w:val="en-US" w:eastAsia="zh-CN" w:bidi="ar"/>
              </w:rPr>
              <w:t>台式低速离心机</w:t>
            </w:r>
          </w:p>
        </w:tc>
      </w:tr>
      <w:tr w14:paraId="3645D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FBD7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序号</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C1C9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指标类型</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"★"或"▲"</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760E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条款号</w:t>
            </w:r>
          </w:p>
        </w:tc>
        <w:tc>
          <w:tcPr>
            <w:tcW w:w="5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404F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商务</w:t>
            </w:r>
            <w:r>
              <w:rPr>
                <w:rFonts w:hint="default" w:ascii="宋体" w:hAnsi="宋体" w:eastAsia="宋体" w:cs="宋体"/>
                <w:i w:val="0"/>
                <w:iCs w:val="0"/>
                <w:color w:val="auto"/>
                <w:kern w:val="0"/>
                <w:sz w:val="20"/>
                <w:szCs w:val="20"/>
                <w:highlight w:val="none"/>
                <w:u w:val="none"/>
                <w:lang w:val="en-US" w:eastAsia="zh-CN" w:bidi="ar"/>
              </w:rPr>
              <w:t>指标内容</w:t>
            </w:r>
          </w:p>
        </w:tc>
      </w:tr>
      <w:tr w14:paraId="72B0D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720A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 交货期</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9A86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EDDEF">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w:t>
            </w:r>
          </w:p>
        </w:tc>
        <w:tc>
          <w:tcPr>
            <w:tcW w:w="5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A808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产品不得超过正式签订合同后</w:t>
            </w:r>
            <w:r>
              <w:rPr>
                <w:rFonts w:hint="eastAsia" w:ascii="宋体" w:hAnsi="宋体" w:eastAsia="宋体" w:cs="宋体"/>
                <w:i w:val="0"/>
                <w:iCs w:val="0"/>
                <w:color w:val="auto"/>
                <w:kern w:val="0"/>
                <w:sz w:val="20"/>
                <w:szCs w:val="20"/>
                <w:highlight w:val="none"/>
                <w:u w:val="none"/>
                <w:lang w:val="en-US" w:eastAsia="zh-CN" w:bidi="ar"/>
              </w:rPr>
              <w:t>60</w:t>
            </w:r>
            <w:r>
              <w:rPr>
                <w:rFonts w:hint="default" w:ascii="宋体" w:hAnsi="宋体" w:eastAsia="宋体" w:cs="宋体"/>
                <w:i w:val="0"/>
                <w:iCs w:val="0"/>
                <w:color w:val="auto"/>
                <w:kern w:val="0"/>
                <w:sz w:val="20"/>
                <w:szCs w:val="20"/>
                <w:highlight w:val="none"/>
                <w:u w:val="none"/>
                <w:lang w:val="en-US" w:eastAsia="zh-CN" w:bidi="ar"/>
              </w:rPr>
              <w:t>个日历日。</w:t>
            </w:r>
            <w:r>
              <w:rPr>
                <w:rFonts w:hint="default" w:ascii="宋体" w:hAnsi="宋体" w:eastAsia="宋体" w:cs="宋体"/>
                <w:i w:val="0"/>
                <w:iCs w:val="0"/>
                <w:color w:val="auto"/>
                <w:kern w:val="0"/>
                <w:sz w:val="20"/>
                <w:szCs w:val="20"/>
                <w:highlight w:val="none"/>
                <w:u w:val="none"/>
                <w:lang w:val="en-US" w:eastAsia="zh-CN" w:bidi="ar"/>
              </w:rPr>
              <w:br w:type="textWrapping"/>
            </w:r>
            <w:r>
              <w:rPr>
                <w:rFonts w:hint="default" w:ascii="宋体" w:hAnsi="宋体" w:eastAsia="宋体" w:cs="宋体"/>
                <w:i w:val="0"/>
                <w:iCs w:val="0"/>
                <w:color w:val="auto"/>
                <w:kern w:val="0"/>
                <w:sz w:val="20"/>
                <w:szCs w:val="20"/>
                <w:highlight w:val="none"/>
                <w:u w:val="none"/>
                <w:lang w:val="en-US" w:eastAsia="zh-CN" w:bidi="ar"/>
              </w:rPr>
              <w:t>供应商应予以特别注意：如出现未能到期供货的情况，需求单位有权单方终止合同的执行，所有的经济损失由逾期供货商单方承担。</w:t>
            </w:r>
          </w:p>
        </w:tc>
      </w:tr>
      <w:tr w14:paraId="24F1C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8E5A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 质保期</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10721">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49020">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w:t>
            </w:r>
          </w:p>
        </w:tc>
        <w:tc>
          <w:tcPr>
            <w:tcW w:w="5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6EA74">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产品安装调试经用户验收合格当天起，质保期1年，在质保期内，产品因故障停用，质保期相应顺延。质保期外4年内，能更及时地为用户提供仪器关键零备件、消耗品等。</w:t>
            </w:r>
          </w:p>
        </w:tc>
      </w:tr>
      <w:tr w14:paraId="5EEA7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1220" w:type="dxa"/>
            <w:vMerge w:val="restart"/>
            <w:tcBorders>
              <w:top w:val="single" w:color="000000" w:sz="4" w:space="0"/>
              <w:left w:val="single" w:color="000000" w:sz="4" w:space="0"/>
              <w:right w:val="single" w:color="000000" w:sz="4" w:space="0"/>
            </w:tcBorders>
            <w:shd w:val="clear" w:color="auto" w:fill="auto"/>
            <w:vAlign w:val="center"/>
          </w:tcPr>
          <w:p w14:paraId="4B38B2E6">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 售后服务要求</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274C3">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366CD">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7.1</w:t>
            </w:r>
          </w:p>
        </w:tc>
        <w:tc>
          <w:tcPr>
            <w:tcW w:w="5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24392">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应提供原产商质量保证和售后服务承诺书。在质量保证期内设备发生故障，中标供应商应免费提供原厂商售后维修和更换零件服务。质保期后，中标供应商提供设备终身技术支持，包括故障排除和零配件的供应、仪器软件免费升级和培训；设备出现故障需更换配件时，只收取零配件费用，免收其它费用。合同签订后，在1周内中标供应商将仪器操作间的装修要求和水、电、气要求通知需求单位。</w:t>
            </w:r>
          </w:p>
        </w:tc>
      </w:tr>
      <w:tr w14:paraId="2319C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1220" w:type="dxa"/>
            <w:vMerge w:val="continue"/>
            <w:tcBorders>
              <w:left w:val="single" w:color="000000" w:sz="4" w:space="0"/>
              <w:right w:val="single" w:color="000000" w:sz="4" w:space="0"/>
            </w:tcBorders>
            <w:shd w:val="clear" w:color="auto" w:fill="auto"/>
            <w:vAlign w:val="center"/>
          </w:tcPr>
          <w:p w14:paraId="5F0EB07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86772">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3BE2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7.2</w:t>
            </w:r>
          </w:p>
        </w:tc>
        <w:tc>
          <w:tcPr>
            <w:tcW w:w="5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0403C">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负责将设备运至需求单位指定的地点，免费负责安装，免费现场培训及技术应用培训。中标价应包含产品的制造、材料费（主材及辅材）、运输、安装、验收、保修、税收、所有手续费等直至验收合格交付需求单位使用的所有相关费用。中标价格在中标后的合同实施期间应保持不变，即不因市场价格或政策性价格的调整而增减（若因中标人责任而导致的需方依据合同条款对中标人的扣款处罚除外）。</w:t>
            </w:r>
          </w:p>
        </w:tc>
      </w:tr>
      <w:tr w14:paraId="02E41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1220" w:type="dxa"/>
            <w:vMerge w:val="continue"/>
            <w:tcBorders>
              <w:left w:val="single" w:color="000000" w:sz="4" w:space="0"/>
              <w:right w:val="single" w:color="000000" w:sz="4" w:space="0"/>
            </w:tcBorders>
            <w:shd w:val="clear" w:color="auto" w:fill="auto"/>
            <w:vAlign w:val="center"/>
          </w:tcPr>
          <w:p w14:paraId="3285BDC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E6154">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6715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7.3</w:t>
            </w:r>
          </w:p>
        </w:tc>
        <w:tc>
          <w:tcPr>
            <w:tcW w:w="5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AED9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货到后，中标供应商负责派技术人员到现场进行安装、调试，直至验收合格。</w:t>
            </w:r>
          </w:p>
        </w:tc>
      </w:tr>
      <w:tr w14:paraId="28CC3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1220" w:type="dxa"/>
            <w:vMerge w:val="continue"/>
            <w:tcBorders>
              <w:left w:val="single" w:color="000000" w:sz="4" w:space="0"/>
              <w:right w:val="single" w:color="000000" w:sz="4" w:space="0"/>
            </w:tcBorders>
            <w:shd w:val="clear" w:color="auto" w:fill="auto"/>
            <w:vAlign w:val="center"/>
          </w:tcPr>
          <w:p w14:paraId="678BF837">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70BB9">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D141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7.4</w:t>
            </w:r>
          </w:p>
        </w:tc>
        <w:tc>
          <w:tcPr>
            <w:tcW w:w="5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58E06">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中标供应商能响应故障处理请求和电话咨询，提供7x24小时技术支持，4小时内响应和24小时内提出解决方案，一般应在48小时内派人到现场维修的售后服务。中标供应商应提供维保人员名单、联系电话等。</w:t>
            </w:r>
          </w:p>
        </w:tc>
      </w:tr>
      <w:tr w14:paraId="1B9F1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1220" w:type="dxa"/>
            <w:vMerge w:val="continue"/>
            <w:tcBorders>
              <w:left w:val="single" w:color="000000" w:sz="4" w:space="0"/>
              <w:bottom w:val="single" w:color="000000" w:sz="4" w:space="0"/>
              <w:right w:val="single" w:color="000000" w:sz="4" w:space="0"/>
            </w:tcBorders>
            <w:shd w:val="clear" w:color="auto" w:fill="auto"/>
            <w:vAlign w:val="center"/>
          </w:tcPr>
          <w:p w14:paraId="2A6A1F9B">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35FA">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E3735">
            <w:pPr>
              <w:keepNext w:val="0"/>
              <w:keepLines w:val="0"/>
              <w:pageBreakBefore w:val="0"/>
              <w:widowControl/>
              <w:suppressLineNumbers w:val="0"/>
              <w:kinsoku/>
              <w:wordWrap w:val="0"/>
              <w:overflowPunct/>
              <w:bidi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7.5</w:t>
            </w:r>
          </w:p>
        </w:tc>
        <w:tc>
          <w:tcPr>
            <w:tcW w:w="5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A964E">
            <w:pPr>
              <w:keepNext w:val="0"/>
              <w:keepLines w:val="0"/>
              <w:pageBreakBefore w:val="0"/>
              <w:widowControl/>
              <w:suppressLineNumbers w:val="0"/>
              <w:kinsoku/>
              <w:wordWrap w:val="0"/>
              <w:overflowPunct/>
              <w:bidi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现场培训：仪器在安装调试同时，中标供应商负责免费派工程师对用户就仪器原理和基本操作进行现场培训，培训人员人数不限，培训时间视需求单位需要，原则上不少于2天，确保需求单位用户能正常操作。</w:t>
            </w:r>
          </w:p>
        </w:tc>
      </w:tr>
    </w:tbl>
    <w:p w14:paraId="6109CB9A">
      <w:pPr>
        <w:pStyle w:val="2"/>
        <w:rPr>
          <w:rFonts w:hint="eastAsia"/>
          <w:color w:val="auto"/>
          <w:highlight w:val="none"/>
          <w:lang w:val="zh-CN" w:eastAsia="zh-CN"/>
        </w:rPr>
      </w:pPr>
    </w:p>
    <w:p w14:paraId="59C9601F">
      <w:pPr>
        <w:pStyle w:val="2"/>
        <w:rPr>
          <w:rFonts w:hint="eastAsia"/>
          <w:color w:val="auto"/>
          <w:highlight w:val="none"/>
          <w:lang w:val="zh-CN" w:eastAsia="zh-CN"/>
        </w:rPr>
      </w:pPr>
    </w:p>
    <w:p w14:paraId="32944D8C">
      <w:pPr>
        <w:bidi w:val="0"/>
        <w:rPr>
          <w:rFonts w:hint="eastAsia"/>
          <w:color w:val="auto"/>
          <w:highlight w:val="none"/>
          <w:lang w:val="zh-CN" w:eastAsia="zh-CN"/>
        </w:rPr>
        <w:sectPr>
          <w:headerReference r:id="rId10" w:type="first"/>
          <w:footerReference r:id="rId12" w:type="first"/>
          <w:headerReference r:id="rId9" w:type="default"/>
          <w:footerReference r:id="rId11" w:type="default"/>
          <w:pgSz w:w="11906" w:h="16838"/>
          <w:pgMar w:top="1361" w:right="1418" w:bottom="1361" w:left="1417" w:header="624" w:footer="561" w:gutter="113"/>
          <w:pgBorders>
            <w:top w:val="none" w:sz="0" w:space="0"/>
            <w:left w:val="none" w:sz="0" w:space="0"/>
            <w:bottom w:val="none" w:sz="0" w:space="0"/>
            <w:right w:val="none" w:sz="0" w:space="0"/>
          </w:pgBorders>
          <w:pgNumType w:fmt="decimal"/>
          <w:cols w:space="425" w:num="1"/>
          <w:titlePg/>
          <w:docGrid w:type="linesAndChars" w:linePitch="312" w:charSpace="0"/>
        </w:sectPr>
      </w:pPr>
    </w:p>
    <w:p w14:paraId="7D2FAA0A">
      <w:pPr>
        <w:pageBreakBefore w:val="0"/>
        <w:kinsoku/>
        <w:wordWrap w:val="0"/>
        <w:overflowPunct/>
        <w:bidi w:val="0"/>
        <w:rPr>
          <w:rFonts w:hint="eastAsia" w:ascii="宋体" w:hAnsi="宋体" w:eastAsia="宋体" w:cs="宋体"/>
          <w:color w:val="auto"/>
          <w:sz w:val="24"/>
          <w:szCs w:val="24"/>
          <w:highlight w:val="none"/>
        </w:rPr>
      </w:pPr>
    </w:p>
    <w:p w14:paraId="544679B6">
      <w:pPr>
        <w:pageBreakBefore w:val="0"/>
        <w:kinsoku/>
        <w:wordWrap w:val="0"/>
        <w:overflowPunct/>
        <w:bidi w:val="0"/>
        <w:rPr>
          <w:rFonts w:hint="eastAsia" w:ascii="宋体" w:hAnsi="宋体" w:eastAsia="宋体" w:cs="宋体"/>
          <w:color w:val="auto"/>
          <w:sz w:val="24"/>
          <w:szCs w:val="24"/>
          <w:highlight w:val="none"/>
        </w:rPr>
      </w:pPr>
    </w:p>
    <w:p w14:paraId="75A8CB0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一、总体服务要求</w:t>
      </w:r>
    </w:p>
    <w:p w14:paraId="71D89A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供应商须为原厂授权正规供应商，所供设备、软件均为全新原厂正品，严禁翻新、贴牌、二手产品，全部符合国家、行业标准及本招标文件技术参数要求。</w:t>
      </w:r>
    </w:p>
    <w:p w14:paraId="00DE2E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供应商负责设计、生产、运输、装卸、安装、调试、培训、验收、售后全流程服务，项目不得转包、违法分包。</w:t>
      </w:r>
    </w:p>
    <w:p w14:paraId="25DA8B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所有设备、软件须提供合法合规证明文件，无知识产权纠纷，符合安全、环保、消防要求。</w:t>
      </w:r>
    </w:p>
    <w:p w14:paraId="442F75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供应商须提供7×24 小时技术支持，设立专属项目负责人，全程对接项目实施与售后服务。</w:t>
      </w:r>
    </w:p>
    <w:p w14:paraId="301B1A0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二、交货、安装与调试</w:t>
      </w:r>
    </w:p>
    <w:p w14:paraId="177DC1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交货期：合同签订之日起60日历天内完成交货及安装调试。</w:t>
      </w:r>
      <w:r>
        <w:rPr>
          <w:rFonts w:hint="eastAsia" w:ascii="宋体" w:hAnsi="宋体" w:eastAsia="宋体" w:cs="宋体"/>
          <w:b/>
          <w:bCs/>
          <w:color w:val="auto"/>
          <w:sz w:val="24"/>
          <w:szCs w:val="24"/>
          <w:highlight w:val="none"/>
          <w:lang w:val="en-US" w:eastAsia="zh-CN"/>
        </w:rPr>
        <w:t>供应商应予以特别注意：如出现未能到期供货的情况，需求单位有权单方终止合同的执行，所有的经济损失由逾期供货商单方承担。</w:t>
      </w:r>
    </w:p>
    <w:p w14:paraId="3B91A3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运输、装卸、保险及相关费用由供应商承担，途中损坏、丢失由供应商负责免费更换。</w:t>
      </w:r>
    </w:p>
    <w:p w14:paraId="04450A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供应商免费上门安装、调试、系统对接，含人工、辅材、专用工具、耗材，确保设备正常运行、系统互联互通。</w:t>
      </w:r>
    </w:p>
    <w:p w14:paraId="323D8F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施工遵守现场安全管理规定，做好成品保护，完工后负责清理施工垃圾，恢复场地原貌。</w:t>
      </w:r>
    </w:p>
    <w:p w14:paraId="24E151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安装完成后7 个工作日内完成全系统联调，出具调试报告，确保功能、精度、性能全部达标。</w:t>
      </w:r>
    </w:p>
    <w:p w14:paraId="4EB1170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三、验收要求</w:t>
      </w:r>
    </w:p>
    <w:p w14:paraId="0DC555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分阶段验收：到货查验→安装核验→单机调试→系统联调→最终验收，各阶段须经</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签字确认。</w:t>
      </w:r>
    </w:p>
    <w:p w14:paraId="76D862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验收以本招标文件第二部分技术参数及要求为唯一标准，逐项核对，不满足要求须无条件整改、更换或重新供货。</w:t>
      </w:r>
    </w:p>
    <w:p w14:paraId="6EEEA5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验收资料：产品合格证、第三方检测报告、原厂质保函、软件著作权、安装图纸、操作手册、维修手册、配件清单、资质文件等纸质 + 电子版。</w:t>
      </w:r>
    </w:p>
    <w:p w14:paraId="612E5F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凡参数中明确要求提供检测报告的，中标人须在7个工作日内提交带CNAS或CMA标识的第三方检测报告复印件</w:t>
      </w:r>
      <w:r>
        <w:rPr>
          <w:rFonts w:hint="eastAsia" w:ascii="宋体" w:hAnsi="宋体" w:eastAsia="宋体" w:cs="宋体"/>
          <w:color w:val="auto"/>
          <w:sz w:val="24"/>
          <w:szCs w:val="24"/>
          <w:highlight w:val="none"/>
          <w:lang w:val="en-US" w:eastAsia="zh-CN"/>
        </w:rPr>
        <w:t>，不提供或不达标视为违约。</w:t>
      </w:r>
    </w:p>
    <w:p w14:paraId="3D4325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最终验收：设备连续稳定运行 72 小时无故障，功能、精度、数据安全全部达标，双方签署验收合格证书。</w:t>
      </w:r>
    </w:p>
    <w:p w14:paraId="2837C7D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四、培训服务</w:t>
      </w:r>
      <w:r>
        <w:rPr>
          <w:rFonts w:hint="eastAsia" w:ascii="宋体" w:hAnsi="宋体" w:cs="宋体"/>
          <w:b/>
          <w:bCs/>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商务及其他要求前附表另有要求的，按照商务及其他要求前附表执行</w:t>
      </w:r>
      <w:r>
        <w:rPr>
          <w:rFonts w:hint="eastAsia" w:ascii="宋体" w:hAnsi="宋体" w:cs="宋体"/>
          <w:b/>
          <w:bCs/>
          <w:color w:val="auto"/>
          <w:sz w:val="24"/>
          <w:szCs w:val="24"/>
          <w:highlight w:val="none"/>
          <w:lang w:val="en-US" w:eastAsia="zh-CN"/>
        </w:rPr>
        <w:t>）</w:t>
      </w:r>
    </w:p>
    <w:p w14:paraId="4D3086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验收前提供不少于 2 名操作人员、1 名运维人员免费现场培训，覆盖设备操作、日常维护、故障排查、软件使用、安全规范。</w:t>
      </w:r>
    </w:p>
    <w:p w14:paraId="6D9D6B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针对全自动多功能成像系统</w:t>
      </w:r>
      <w:r>
        <w:rPr>
          <w:rFonts w:hint="eastAsia" w:ascii="宋体" w:hAnsi="宋体" w:cs="宋体"/>
          <w:color w:val="auto"/>
          <w:sz w:val="24"/>
          <w:szCs w:val="24"/>
          <w:highlight w:val="none"/>
          <w:lang w:val="en-US" w:eastAsia="zh-CN"/>
        </w:rPr>
        <w:t>、液相色谱-串联三重四极杆质谱、电感耦合等离子体-质谱仪（ICP-MS）</w:t>
      </w:r>
      <w:r>
        <w:rPr>
          <w:rFonts w:hint="eastAsia" w:ascii="宋体" w:hAnsi="宋体" w:eastAsia="宋体" w:cs="宋体"/>
          <w:color w:val="auto"/>
          <w:sz w:val="24"/>
          <w:szCs w:val="24"/>
          <w:highlight w:val="none"/>
          <w:lang w:val="en-US" w:eastAsia="zh-CN"/>
        </w:rPr>
        <w:t>开展专项实操培训，确保受训人员独立上岗。</w:t>
      </w:r>
    </w:p>
    <w:p w14:paraId="14E350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提供纸质 + 电子培训手册、操作视频、常见故障排查指南。</w:t>
      </w:r>
    </w:p>
    <w:p w14:paraId="70D852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质保期内提供免费复训，满足人员更替、技能提升需求。</w:t>
      </w:r>
    </w:p>
    <w:p w14:paraId="02889A7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五、质保期服务</w:t>
      </w:r>
      <w:r>
        <w:rPr>
          <w:rFonts w:hint="eastAsia" w:ascii="宋体" w:hAnsi="宋体" w:cs="宋体"/>
          <w:b/>
          <w:bCs/>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商务及其他要求前附表另有要求的，按照商务及其他要求前附表执行</w:t>
      </w:r>
      <w:r>
        <w:rPr>
          <w:rFonts w:hint="eastAsia" w:ascii="宋体" w:hAnsi="宋体" w:cs="宋体"/>
          <w:b/>
          <w:bCs/>
          <w:color w:val="auto"/>
          <w:sz w:val="24"/>
          <w:szCs w:val="24"/>
          <w:highlight w:val="none"/>
          <w:lang w:val="en-US" w:eastAsia="zh-CN"/>
        </w:rPr>
        <w:t>）</w:t>
      </w:r>
    </w:p>
    <w:p w14:paraId="49A162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（一）质保期限</w:t>
      </w:r>
    </w:p>
    <w:p w14:paraId="720AD2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产品安装调试经用户验收合格当天起，质保期1年，在质保期内，产品因故障停用，质保期相应顺延。质保期外4年内，能更及时地为用户提供仪器关键零备件、消耗品等。</w:t>
      </w:r>
    </w:p>
    <w:p w14:paraId="19B4D2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管理系统：终身免费升级、BUG 修复、漏洞修补</w:t>
      </w:r>
    </w:p>
    <w:p w14:paraId="3EE8C0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（二）质保期服务内容</w:t>
      </w:r>
    </w:p>
    <w:p w14:paraId="75F79A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质保期内非人为故障，免费维修、免费更换原厂全新配件，不收取任何费用。</w:t>
      </w:r>
    </w:p>
    <w:p w14:paraId="12CF0C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每12 个月上门免费巡检保养，出具巡检报告，提前排查隐患。</w:t>
      </w:r>
    </w:p>
    <w:p w14:paraId="778478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故障响应：2 小时内响应，24小时内提出解决方案，在48小时内派人到现场维修的售后服务；重大故障 48 小时内提供备用设备。</w:t>
      </w:r>
    </w:p>
    <w:p w14:paraId="349B2E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免费提供远程维护、数据备份、系统优化、日志审计等服务。</w:t>
      </w:r>
    </w:p>
    <w:p w14:paraId="2D11FA2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六、质保期后服务</w:t>
      </w:r>
    </w:p>
    <w:p w14:paraId="76BBB6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提供终身技术支持与维修服务，仅收取配件成本费，免收人工费、上门费。</w:t>
      </w:r>
    </w:p>
    <w:p w14:paraId="299654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承诺10 年内稳定供应原厂配件，配件价格备案，不随意涨价。</w:t>
      </w:r>
    </w:p>
    <w:p w14:paraId="76DBB8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软件升级、硬件改造、功能扩展享受优惠报价。</w:t>
      </w:r>
    </w:p>
    <w:p w14:paraId="155E6F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可提供年度维保方案，包含定期巡检、保养、备件更换、系统优化。</w:t>
      </w:r>
    </w:p>
    <w:p w14:paraId="6DA92B7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七、技术资料与备品备件</w:t>
      </w:r>
    </w:p>
    <w:p w14:paraId="6550E1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验收时提供全套纸质 + 电子技术资料：说明书、合格证、检测报告、图纸、软件安装包、授权文件、操作视频、接线图等。</w:t>
      </w:r>
    </w:p>
    <w:p w14:paraId="6D59A1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免费提供标准备品备件包，满足长期稳定运行需求，清单经</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确认。</w:t>
      </w:r>
    </w:p>
    <w:p w14:paraId="45A4812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八、数据安全与系统兼容</w:t>
      </w:r>
    </w:p>
    <w:p w14:paraId="7A978C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管理系统本地化部署，数据存储于</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服务器，确保样本信息安全、不泄露、不丢失。</w:t>
      </w:r>
    </w:p>
    <w:p w14:paraId="4961F4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系统具备自动备份、手动备份、数据恢复功能，提供完善数据安全方案。</w:t>
      </w:r>
    </w:p>
    <w:p w14:paraId="631ED1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免费与超低温冰箱、液氮罐、监控平台无缝对接，开放全部接口，不收取对接费用。</w:t>
      </w:r>
    </w:p>
    <w:p w14:paraId="5556C8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软件具备权限管理、操作日志、审计追踪，满足全流程溯源要求。</w:t>
      </w:r>
    </w:p>
    <w:p w14:paraId="138CA2A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九、质量与合规要求</w:t>
      </w:r>
    </w:p>
    <w:p w14:paraId="78A26E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供应商提供质量承诺书，保证所有设备、软件完全满足技术参数要求。</w:t>
      </w:r>
    </w:p>
    <w:p w14:paraId="7D3DFD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设备材质、制冷剂、结构材料符合环保、安全、消防、防腐要求。</w:t>
      </w:r>
    </w:p>
    <w:p w14:paraId="780F93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提供营业执照、原厂授权书、产品检测报告、软件著作权、3C 认证等资质文件。</w:t>
      </w:r>
    </w:p>
    <w:p w14:paraId="27ED3F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凡参数中明确要求提供检测报告的，中标人须在7个工作日内提交带CNAS或CMA标识的第三方检测报告复印件，不提供或不达标视为违约。</w:t>
      </w:r>
    </w:p>
    <w:p w14:paraId="43382C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供应商应提供原产商质量保证和售后服务承诺书。在质量保证期内设备发生故障，中标供应商应免费提供原厂商售后维修和更换零件服务。质保期后，中标供应商提供设备终身技术支持，包括故障排除和零配件的供应、仪器软件免费升级和培训；设备出现故障需更换配件时，只收取零配件费用，免收其它费用。合同签订后，在1周内中标供应商将仪器操作间的装修要求和水、电、气要求通知需求单位。</w:t>
      </w:r>
    </w:p>
    <w:p w14:paraId="1A45483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十、其他要求</w:t>
      </w:r>
    </w:p>
    <w:p w14:paraId="1F6ECF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付款方式按双方签订合同执行，供应商开具合法有效发票。</w:t>
      </w:r>
    </w:p>
    <w:p w14:paraId="783B00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供应商对项目信息、样品数据、</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资料承担保密义务，未经允许不得向第三方泄露。</w:t>
      </w:r>
    </w:p>
    <w:p w14:paraId="18A65D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提供应急保障方案，确保样本库 7×24 小时安全稳定运行。</w:t>
      </w:r>
    </w:p>
    <w:p w14:paraId="091BF5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验收及使用中发现问题，供应商48 小时内完成整改，直至达标。</w:t>
      </w:r>
    </w:p>
    <w:p w14:paraId="5CF476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未满足技术参数、工期、售后服务要求，按合同承担违约责任，</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有权拒付、索赔或解除合同。</w:t>
      </w:r>
    </w:p>
    <w:p w14:paraId="76737F61">
      <w:pPr>
        <w:pageBreakBefore w:val="0"/>
        <w:kinsoku/>
        <w:wordWrap w:val="0"/>
        <w:overflowPunct/>
        <w:bidi w:val="0"/>
        <w:rPr>
          <w:rFonts w:hint="eastAsia" w:ascii="宋体" w:hAnsi="宋体" w:eastAsia="宋体" w:cs="宋体"/>
          <w:color w:val="auto"/>
          <w:sz w:val="24"/>
          <w:szCs w:val="24"/>
          <w:highlight w:val="none"/>
        </w:rPr>
      </w:pPr>
    </w:p>
    <w:p w14:paraId="65005919">
      <w:pPr>
        <w:pageBreakBefore w:val="0"/>
        <w:kinsoku/>
        <w:wordWrap w:val="0"/>
        <w:overflowPunct/>
        <w:bidi w:val="0"/>
        <w:rPr>
          <w:rFonts w:hint="eastAsia" w:ascii="宋体" w:hAnsi="宋体" w:eastAsia="宋体" w:cs="宋体"/>
          <w:color w:val="auto"/>
          <w:sz w:val="24"/>
          <w:szCs w:val="24"/>
          <w:highlight w:val="none"/>
        </w:rPr>
      </w:pPr>
    </w:p>
    <w:p w14:paraId="0F3D7A1F">
      <w:pPr>
        <w:pStyle w:val="2"/>
        <w:pageBreakBefore w:val="0"/>
        <w:kinsoku/>
        <w:wordWrap w:val="0"/>
        <w:overflowPunct/>
        <w:bidi w:val="0"/>
        <w:rPr>
          <w:rFonts w:hint="eastAsia"/>
          <w:color w:val="auto"/>
          <w:highlight w:val="none"/>
        </w:rPr>
      </w:pPr>
    </w:p>
    <w:p w14:paraId="10D5A856">
      <w:pPr>
        <w:pageBreakBefore w:val="0"/>
        <w:kinsoku/>
        <w:wordWrap w:val="0"/>
        <w:overflowPunct/>
        <w:bidi w:val="0"/>
        <w:rPr>
          <w:rFonts w:hint="eastAsia" w:ascii="宋体" w:hAnsi="宋体" w:eastAsia="宋体" w:cs="宋体"/>
          <w:color w:val="auto"/>
          <w:sz w:val="24"/>
          <w:szCs w:val="24"/>
          <w:highlight w:val="none"/>
        </w:rPr>
      </w:pPr>
    </w:p>
    <w:p w14:paraId="6F7CFCE3">
      <w:pPr>
        <w:pageBreakBefore w:val="0"/>
        <w:kinsoku/>
        <w:wordWrap w:val="0"/>
        <w:overflowPunct/>
        <w:bidi w:val="0"/>
        <w:rPr>
          <w:rFonts w:hint="eastAsia" w:ascii="宋体" w:hAnsi="宋体" w:eastAsia="宋体" w:cs="宋体"/>
          <w:color w:val="auto"/>
          <w:sz w:val="24"/>
          <w:szCs w:val="24"/>
          <w:highlight w:val="none"/>
        </w:rPr>
      </w:pPr>
    </w:p>
    <w:p w14:paraId="0857A34D">
      <w:pPr>
        <w:pageBreakBefore w:val="0"/>
        <w:kinsoku/>
        <w:wordWrap w:val="0"/>
        <w:overflowPunct/>
        <w:bidi w:val="0"/>
        <w:rPr>
          <w:rFonts w:hint="eastAsia" w:ascii="宋体" w:hAnsi="宋体" w:eastAsia="宋体" w:cs="宋体"/>
          <w:color w:val="auto"/>
          <w:sz w:val="24"/>
          <w:szCs w:val="24"/>
          <w:highlight w:val="none"/>
        </w:rPr>
      </w:pPr>
    </w:p>
    <w:p w14:paraId="256D05E1">
      <w:pPr>
        <w:pageBreakBefore w:val="0"/>
        <w:kinsoku/>
        <w:wordWrap w:val="0"/>
        <w:overflowPunct/>
        <w:bidi w:val="0"/>
        <w:rPr>
          <w:rFonts w:hint="eastAsia" w:ascii="宋体" w:hAnsi="宋体" w:eastAsia="宋体" w:cs="宋体"/>
          <w:color w:val="auto"/>
          <w:sz w:val="24"/>
          <w:szCs w:val="24"/>
          <w:highlight w:val="none"/>
        </w:rPr>
      </w:pPr>
    </w:p>
    <w:p w14:paraId="21B454F7">
      <w:pPr>
        <w:pageBreakBefore w:val="0"/>
        <w:kinsoku/>
        <w:wordWrap w:val="0"/>
        <w:overflowPunct/>
        <w:bidi w:val="0"/>
        <w:rPr>
          <w:rFonts w:hint="eastAsia" w:ascii="宋体" w:hAnsi="宋体" w:eastAsia="宋体" w:cs="宋体"/>
          <w:color w:val="auto"/>
          <w:sz w:val="24"/>
          <w:szCs w:val="24"/>
          <w:highlight w:val="none"/>
        </w:rPr>
      </w:pPr>
    </w:p>
    <w:p w14:paraId="4C0547B8">
      <w:pPr>
        <w:pageBreakBefore w:val="0"/>
        <w:kinsoku/>
        <w:wordWrap w:val="0"/>
        <w:overflowPunct/>
        <w:bidi w:val="0"/>
        <w:rPr>
          <w:rFonts w:hint="eastAsia" w:ascii="宋体" w:hAnsi="宋体" w:eastAsia="宋体" w:cs="宋体"/>
          <w:color w:val="auto"/>
          <w:sz w:val="24"/>
          <w:szCs w:val="24"/>
          <w:highlight w:val="none"/>
        </w:rPr>
      </w:pPr>
    </w:p>
    <w:p w14:paraId="2D7D6A5B">
      <w:pPr>
        <w:pageBreakBefore w:val="0"/>
        <w:kinsoku/>
        <w:wordWrap w:val="0"/>
        <w:overflowPunct/>
        <w:bidi w:val="0"/>
        <w:rPr>
          <w:rFonts w:hint="eastAsia" w:ascii="宋体" w:hAnsi="宋体" w:eastAsia="宋体" w:cs="宋体"/>
          <w:color w:val="auto"/>
          <w:sz w:val="24"/>
          <w:szCs w:val="24"/>
          <w:highlight w:val="none"/>
        </w:rPr>
      </w:pPr>
    </w:p>
    <w:p w14:paraId="2BA525FA">
      <w:pPr>
        <w:pageBreakBefore w:val="0"/>
        <w:kinsoku/>
        <w:wordWrap w:val="0"/>
        <w:overflowPunct/>
        <w:bidi w:val="0"/>
        <w:rPr>
          <w:rFonts w:hint="eastAsia" w:ascii="宋体" w:hAnsi="宋体" w:eastAsia="宋体" w:cs="宋体"/>
          <w:color w:val="auto"/>
          <w:sz w:val="24"/>
          <w:szCs w:val="24"/>
          <w:highlight w:val="none"/>
        </w:rPr>
      </w:pPr>
    </w:p>
    <w:p w14:paraId="6F08AD6B">
      <w:pPr>
        <w:pageBreakBefore w:val="0"/>
        <w:kinsoku/>
        <w:wordWrap w:val="0"/>
        <w:overflowPunct/>
        <w:bidi w:val="0"/>
        <w:spacing w:line="2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70BE498">
      <w:pPr>
        <w:pStyle w:val="3"/>
        <w:pageBreakBefore w:val="0"/>
        <w:kinsoku/>
        <w:wordWrap w:val="0"/>
        <w:overflowPunct/>
        <w:bidi w:val="0"/>
        <w:jc w:val="center"/>
        <w:rPr>
          <w:rFonts w:hint="eastAsia" w:ascii="宋体" w:hAnsi="宋体" w:eastAsia="宋体" w:cs="宋体"/>
          <w:color w:val="auto"/>
          <w:highlight w:val="none"/>
        </w:rPr>
      </w:pPr>
      <w:bookmarkStart w:id="270" w:name="_Toc19163"/>
      <w:bookmarkEnd w:id="270"/>
      <w:bookmarkStart w:id="271" w:name="_Toc17654"/>
      <w:bookmarkEnd w:id="271"/>
      <w:bookmarkStart w:id="272" w:name="_Toc24075"/>
      <w:bookmarkStart w:id="273" w:name="_Toc6611"/>
      <w:r>
        <w:rPr>
          <w:rFonts w:hint="eastAsia" w:ascii="宋体" w:hAnsi="宋体" w:eastAsia="宋体" w:cs="宋体"/>
          <w:color w:val="auto"/>
          <w:highlight w:val="none"/>
        </w:rPr>
        <w:t>第七章 投标文件格式</w:t>
      </w:r>
      <w:bookmarkEnd w:id="272"/>
      <w:bookmarkEnd w:id="273"/>
    </w:p>
    <w:p w14:paraId="6E8FEF4D">
      <w:pPr>
        <w:pageBreakBefore w:val="0"/>
        <w:kinsoku/>
        <w:wordWrap w:val="0"/>
        <w:overflowPunct/>
        <w:bidi w:val="0"/>
        <w:rPr>
          <w:rFonts w:hint="eastAsia" w:ascii="宋体" w:hAnsi="宋体" w:eastAsia="宋体" w:cs="宋体"/>
          <w:color w:val="auto"/>
          <w:sz w:val="24"/>
          <w:szCs w:val="24"/>
          <w:highlight w:val="none"/>
        </w:rPr>
        <w:sectPr>
          <w:headerReference r:id="rId13" w:type="default"/>
          <w:footerReference r:id="rId14" w:type="default"/>
          <w:pgSz w:w="11906" w:h="16838"/>
          <w:pgMar w:top="1134" w:right="1134" w:bottom="1440" w:left="1361" w:header="851" w:footer="510" w:gutter="0"/>
          <w:pgBorders>
            <w:top w:val="none" w:sz="0" w:space="0"/>
            <w:left w:val="none" w:sz="0" w:space="0"/>
            <w:bottom w:val="none" w:sz="0" w:space="0"/>
            <w:right w:val="none" w:sz="0" w:space="0"/>
          </w:pgBorders>
          <w:pgNumType w:fmt="decimal"/>
          <w:cols w:space="720" w:num="1"/>
          <w:docGrid w:linePitch="312" w:charSpace="0"/>
        </w:sectPr>
      </w:pPr>
      <w:r>
        <w:rPr>
          <w:rFonts w:hint="eastAsia" w:ascii="宋体" w:hAnsi="宋体" w:eastAsia="宋体" w:cs="宋体"/>
          <w:color w:val="auto"/>
          <w:sz w:val="24"/>
          <w:szCs w:val="24"/>
          <w:highlight w:val="none"/>
        </w:rPr>
        <w:t xml:space="preserve"> </w:t>
      </w:r>
    </w:p>
    <w:p w14:paraId="455FDE91">
      <w:pPr>
        <w:pageBreakBefore w:val="0"/>
        <w:kinsoku/>
        <w:wordWrap w:val="0"/>
        <w:overflowPunct/>
        <w:bidi w:val="0"/>
        <w:rPr>
          <w:rFonts w:hint="eastAsia" w:ascii="宋体" w:hAnsi="宋体" w:eastAsia="宋体" w:cs="宋体"/>
          <w:color w:val="auto"/>
          <w:sz w:val="24"/>
          <w:szCs w:val="24"/>
          <w:highlight w:val="none"/>
        </w:rPr>
      </w:pPr>
    </w:p>
    <w:p w14:paraId="68D2BCA0">
      <w:pPr>
        <w:pageBreakBefore w:val="0"/>
        <w:kinsoku/>
        <w:wordWrap w:val="0"/>
        <w:overflowPunct/>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6224AC8">
      <w:pPr>
        <w:pStyle w:val="48"/>
        <w:pageBreakBefore w:val="0"/>
        <w:kinsoku/>
        <w:wordWrap w:val="0"/>
        <w:overflowPunct/>
        <w:bidi w:val="0"/>
        <w:rPr>
          <w:rFonts w:hint="eastAsia" w:ascii="宋体" w:hAnsi="宋体" w:eastAsia="宋体" w:cs="宋体"/>
          <w:color w:val="auto"/>
          <w:sz w:val="24"/>
          <w:szCs w:val="24"/>
          <w:highlight w:val="none"/>
        </w:rPr>
      </w:pPr>
    </w:p>
    <w:p w14:paraId="0228BBC6">
      <w:pPr>
        <w:pageBreakBefore w:val="0"/>
        <w:kinsoku/>
        <w:wordWrap w:val="0"/>
        <w:overflowPunct/>
        <w:bidi w:val="0"/>
        <w:jc w:val="center"/>
        <w:rPr>
          <w:rFonts w:hint="eastAsia" w:ascii="宋体" w:hAnsi="宋体" w:eastAsia="宋体" w:cs="宋体"/>
          <w:b/>
          <w:bCs/>
          <w:color w:val="auto"/>
          <w:sz w:val="36"/>
          <w:szCs w:val="36"/>
          <w:highlight w:val="none"/>
          <w:u w:val="single"/>
          <w:lang w:eastAsia="zh-CN"/>
        </w:rPr>
      </w:pPr>
      <w:r>
        <w:rPr>
          <w:rFonts w:hint="eastAsia" w:ascii="宋体" w:hAnsi="宋体" w:cs="宋体"/>
          <w:b/>
          <w:bCs/>
          <w:color w:val="auto"/>
          <w:sz w:val="36"/>
          <w:szCs w:val="36"/>
          <w:highlight w:val="none"/>
          <w:u w:val="single"/>
          <w:lang w:eastAsia="zh-CN"/>
        </w:rPr>
        <w:t>芒市海关进境食用水生动物实验室检测能力提升项目实验室仪器设备采购</w:t>
      </w:r>
    </w:p>
    <w:p w14:paraId="2574CB21">
      <w:pPr>
        <w:pageBreakBefore w:val="0"/>
        <w:kinsoku/>
        <w:wordWrap w:val="0"/>
        <w:overflowPunct/>
        <w:bidi w:val="0"/>
        <w:ind w:firstLine="2891" w:firstLineChars="800"/>
        <w:jc w:val="both"/>
        <w:rPr>
          <w:rFonts w:hint="eastAsia" w:ascii="宋体" w:hAnsi="宋体" w:eastAsia="宋体" w:cs="宋体"/>
          <w:b/>
          <w:bCs/>
          <w:color w:val="auto"/>
          <w:sz w:val="36"/>
          <w:szCs w:val="36"/>
          <w:highlight w:val="none"/>
        </w:rPr>
      </w:pPr>
    </w:p>
    <w:p w14:paraId="7F02FA0D">
      <w:pPr>
        <w:pageBreakBefore w:val="0"/>
        <w:kinsoku/>
        <w:wordWrap w:val="0"/>
        <w:overflowPunct/>
        <w:bidi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p>
    <w:p w14:paraId="400C0377">
      <w:pPr>
        <w:pageBreakBefore w:val="0"/>
        <w:kinsoku/>
        <w:wordWrap w:val="0"/>
        <w:overflowPunct/>
        <w:bidi w:val="0"/>
        <w:rPr>
          <w:rFonts w:hint="eastAsia" w:ascii="宋体" w:hAnsi="宋体" w:eastAsia="宋体" w:cs="宋体"/>
          <w:b/>
          <w:bCs/>
          <w:color w:val="auto"/>
          <w:sz w:val="28"/>
          <w:szCs w:val="28"/>
          <w:highlight w:val="none"/>
        </w:rPr>
      </w:pPr>
    </w:p>
    <w:p w14:paraId="32FB7A49">
      <w:pPr>
        <w:pageBreakBefore w:val="0"/>
        <w:kinsoku/>
        <w:wordWrap w:val="0"/>
        <w:overflowPunct/>
        <w:bidi w:val="0"/>
        <w:rPr>
          <w:rFonts w:hint="eastAsia" w:ascii="宋体" w:hAnsi="宋体" w:eastAsia="宋体" w:cs="宋体"/>
          <w:b/>
          <w:bCs/>
          <w:color w:val="auto"/>
          <w:sz w:val="28"/>
          <w:szCs w:val="28"/>
          <w:highlight w:val="none"/>
        </w:rPr>
      </w:pPr>
    </w:p>
    <w:p w14:paraId="15EA1AE9">
      <w:pPr>
        <w:pageBreakBefore w:val="0"/>
        <w:kinsoku/>
        <w:wordWrap w:val="0"/>
        <w:overflowPunct/>
        <w:bidi w:val="0"/>
        <w:rPr>
          <w:rFonts w:hint="eastAsia" w:ascii="宋体" w:hAnsi="宋体" w:eastAsia="宋体" w:cs="宋体"/>
          <w:b/>
          <w:bCs/>
          <w:color w:val="auto"/>
          <w:sz w:val="28"/>
          <w:szCs w:val="28"/>
          <w:highlight w:val="none"/>
        </w:rPr>
      </w:pPr>
    </w:p>
    <w:p w14:paraId="0A3269B6">
      <w:pPr>
        <w:pageBreakBefore w:val="0"/>
        <w:kinsoku/>
        <w:wordWrap w:val="0"/>
        <w:overflowPunct/>
        <w:bidi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p>
    <w:p w14:paraId="765DFB46">
      <w:pPr>
        <w:pageBreakBefore w:val="0"/>
        <w:kinsoku/>
        <w:wordWrap w:val="0"/>
        <w:overflowPunct/>
        <w:bidi w:val="0"/>
        <w:rPr>
          <w:rFonts w:hint="eastAsia" w:ascii="宋体" w:hAnsi="宋体" w:eastAsia="宋体" w:cs="宋体"/>
          <w:color w:val="auto"/>
          <w:sz w:val="28"/>
          <w:szCs w:val="28"/>
          <w:highlight w:val="none"/>
        </w:rPr>
      </w:pPr>
    </w:p>
    <w:p w14:paraId="7264CAF9">
      <w:pPr>
        <w:pageBreakBefore w:val="0"/>
        <w:kinsoku/>
        <w:wordWrap w:val="0"/>
        <w:overflowPunct/>
        <w:bidi w:val="0"/>
        <w:rPr>
          <w:rFonts w:hint="eastAsia" w:ascii="宋体" w:hAnsi="宋体" w:eastAsia="宋体" w:cs="宋体"/>
          <w:color w:val="auto"/>
          <w:sz w:val="28"/>
          <w:szCs w:val="28"/>
          <w:highlight w:val="none"/>
        </w:rPr>
      </w:pPr>
    </w:p>
    <w:p w14:paraId="47EABB7A">
      <w:pPr>
        <w:pageBreakBefore w:val="0"/>
        <w:kinsoku/>
        <w:wordWrap w:val="0"/>
        <w:overflowPunct/>
        <w:bidi w:val="0"/>
        <w:rPr>
          <w:rFonts w:hint="eastAsia" w:ascii="宋体" w:hAnsi="宋体" w:eastAsia="宋体" w:cs="宋体"/>
          <w:b/>
          <w:bCs/>
          <w:color w:val="auto"/>
          <w:sz w:val="48"/>
          <w:szCs w:val="48"/>
          <w:highlight w:val="none"/>
        </w:rPr>
      </w:pPr>
      <w:r>
        <w:rPr>
          <w:rFonts w:hint="eastAsia" w:ascii="宋体" w:hAnsi="宋体" w:eastAsia="宋体" w:cs="宋体"/>
          <w:b/>
          <w:bCs/>
          <w:color w:val="auto"/>
          <w:sz w:val="28"/>
          <w:szCs w:val="28"/>
          <w:highlight w:val="none"/>
        </w:rPr>
        <w:t xml:space="preserve"> </w:t>
      </w:r>
    </w:p>
    <w:p w14:paraId="46818F20">
      <w:pPr>
        <w:pageBreakBefore w:val="0"/>
        <w:kinsoku/>
        <w:wordWrap w:val="0"/>
        <w:overflowPunct/>
        <w:bidi w:val="0"/>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投 标 文 件</w:t>
      </w:r>
    </w:p>
    <w:p w14:paraId="6D33FF5D">
      <w:pPr>
        <w:pageBreakBefore w:val="0"/>
        <w:kinsoku/>
        <w:wordWrap w:val="0"/>
        <w:overflowPunct/>
        <w:bidi w:val="0"/>
        <w:jc w:val="center"/>
        <w:outlineLvl w:val="2"/>
        <w:rPr>
          <w:rFonts w:hint="eastAsia" w:ascii="宋体" w:hAnsi="宋体" w:eastAsia="宋体" w:cs="宋体"/>
          <w:b/>
          <w:bCs/>
          <w:color w:val="auto"/>
          <w:sz w:val="48"/>
          <w:szCs w:val="48"/>
          <w:highlight w:val="none"/>
        </w:rPr>
      </w:pPr>
    </w:p>
    <w:p w14:paraId="3446AAF5">
      <w:pPr>
        <w:pageBreakBefore w:val="0"/>
        <w:kinsoku/>
        <w:wordWrap w:val="0"/>
        <w:overflowPunct/>
        <w:bidi w:val="0"/>
        <w:jc w:val="center"/>
        <w:outlineLvl w:val="2"/>
        <w:rPr>
          <w:rFonts w:hint="eastAsia" w:ascii="宋体" w:hAnsi="宋体" w:eastAsia="宋体" w:cs="宋体"/>
          <w:b/>
          <w:bCs/>
          <w:color w:val="auto"/>
          <w:sz w:val="40"/>
          <w:szCs w:val="40"/>
          <w:highlight w:val="none"/>
        </w:rPr>
      </w:pPr>
      <w:bookmarkStart w:id="274" w:name="_Toc21149"/>
      <w:bookmarkStart w:id="275" w:name="_Toc28684"/>
      <w:r>
        <w:rPr>
          <w:rFonts w:hint="eastAsia" w:ascii="宋体" w:hAnsi="宋体" w:eastAsia="宋体" w:cs="宋体"/>
          <w:b/>
          <w:bCs/>
          <w:color w:val="auto"/>
          <w:sz w:val="48"/>
          <w:szCs w:val="48"/>
          <w:highlight w:val="none"/>
        </w:rPr>
        <w:t>资格审查部分</w:t>
      </w:r>
      <w:bookmarkEnd w:id="274"/>
      <w:bookmarkEnd w:id="275"/>
    </w:p>
    <w:p w14:paraId="42E71D06">
      <w:pPr>
        <w:pageBreakBefore w:val="0"/>
        <w:kinsoku/>
        <w:wordWrap w:val="0"/>
        <w:overflowPunct/>
        <w:bidi w:val="0"/>
        <w:jc w:val="center"/>
        <w:outlineLvl w:val="2"/>
        <w:rPr>
          <w:rFonts w:hint="eastAsia" w:ascii="宋体" w:hAnsi="宋体" w:eastAsia="宋体" w:cs="宋体"/>
          <w:b/>
          <w:bCs/>
          <w:color w:val="auto"/>
          <w:sz w:val="28"/>
          <w:szCs w:val="28"/>
          <w:highlight w:val="none"/>
        </w:rPr>
      </w:pPr>
    </w:p>
    <w:p w14:paraId="4C5A511F">
      <w:pPr>
        <w:pageBreakBefore w:val="0"/>
        <w:kinsoku/>
        <w:wordWrap w:val="0"/>
        <w:overflowPunct/>
        <w:bidi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p>
    <w:p w14:paraId="7172522F">
      <w:pPr>
        <w:pageBreakBefore w:val="0"/>
        <w:kinsoku/>
        <w:wordWrap w:val="0"/>
        <w:overflowPunct/>
        <w:bidi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p>
    <w:p w14:paraId="6F00D2DB">
      <w:pPr>
        <w:pageBreakBefore w:val="0"/>
        <w:kinsoku/>
        <w:wordWrap w:val="0"/>
        <w:overflowPunct/>
        <w:bidi w:val="0"/>
        <w:rPr>
          <w:rFonts w:hint="eastAsia" w:ascii="宋体" w:hAnsi="宋体" w:eastAsia="宋体" w:cs="宋体"/>
          <w:color w:val="auto"/>
          <w:sz w:val="28"/>
          <w:szCs w:val="28"/>
          <w:highlight w:val="none"/>
        </w:rPr>
      </w:pPr>
    </w:p>
    <w:p w14:paraId="0E1495B9">
      <w:pPr>
        <w:pageBreakBefore w:val="0"/>
        <w:kinsoku/>
        <w:wordWrap w:val="0"/>
        <w:overflowPunct/>
        <w:bidi w:val="0"/>
        <w:rPr>
          <w:rFonts w:hint="eastAsia" w:ascii="宋体" w:hAnsi="宋体" w:eastAsia="宋体" w:cs="宋体"/>
          <w:color w:val="auto"/>
          <w:sz w:val="28"/>
          <w:szCs w:val="28"/>
          <w:highlight w:val="none"/>
        </w:rPr>
      </w:pPr>
    </w:p>
    <w:p w14:paraId="3A63F0E4">
      <w:pPr>
        <w:pageBreakBefore w:val="0"/>
        <w:kinsoku/>
        <w:wordWrap w:val="0"/>
        <w:overflowPunct/>
        <w:bidi w:val="0"/>
        <w:rPr>
          <w:rFonts w:hint="eastAsia" w:ascii="宋体" w:hAnsi="宋体" w:eastAsia="宋体" w:cs="宋体"/>
          <w:color w:val="auto"/>
          <w:sz w:val="28"/>
          <w:szCs w:val="28"/>
          <w:highlight w:val="none"/>
        </w:rPr>
      </w:pPr>
    </w:p>
    <w:p w14:paraId="49EB987C">
      <w:pPr>
        <w:pageBreakBefore w:val="0"/>
        <w:kinsoku/>
        <w:wordWrap w:val="0"/>
        <w:overflowPunct/>
        <w:bidi w:val="0"/>
        <w:rPr>
          <w:rFonts w:hint="eastAsia" w:ascii="宋体" w:hAnsi="宋体" w:eastAsia="宋体" w:cs="宋体"/>
          <w:color w:val="auto"/>
          <w:sz w:val="28"/>
          <w:szCs w:val="28"/>
          <w:highlight w:val="none"/>
        </w:rPr>
      </w:pPr>
    </w:p>
    <w:p w14:paraId="32C92BCE">
      <w:pPr>
        <w:pageBreakBefore w:val="0"/>
        <w:kinsoku/>
        <w:wordWrap w:val="0"/>
        <w:overflowPunct/>
        <w:bidi w:val="0"/>
        <w:rPr>
          <w:rFonts w:hint="eastAsia" w:ascii="宋体" w:hAnsi="宋体" w:eastAsia="宋体" w:cs="宋体"/>
          <w:color w:val="auto"/>
          <w:sz w:val="28"/>
          <w:szCs w:val="28"/>
          <w:highlight w:val="none"/>
        </w:rPr>
      </w:pPr>
    </w:p>
    <w:p w14:paraId="5B4B7B99">
      <w:pPr>
        <w:pageBreakBefore w:val="0"/>
        <w:kinsoku/>
        <w:wordWrap w:val="0"/>
        <w:overflowPunct/>
        <w:bidi w:val="0"/>
        <w:rPr>
          <w:rFonts w:hint="eastAsia" w:ascii="宋体" w:hAnsi="宋体" w:eastAsia="宋体" w:cs="宋体"/>
          <w:color w:val="auto"/>
          <w:sz w:val="28"/>
          <w:szCs w:val="28"/>
          <w:highlight w:val="none"/>
        </w:rPr>
      </w:pPr>
    </w:p>
    <w:p w14:paraId="2FD4F202">
      <w:pPr>
        <w:pageBreakBefore w:val="0"/>
        <w:kinsoku/>
        <w:wordWrap w:val="0"/>
        <w:overflowPunct/>
        <w:bidi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p>
    <w:p w14:paraId="0ED599FB">
      <w:pPr>
        <w:pageBreakBefore w:val="0"/>
        <w:kinsoku/>
        <w:wordWrap w:val="0"/>
        <w:overflowPunct/>
        <w:bidi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p>
    <w:p w14:paraId="0A8A9D67">
      <w:pPr>
        <w:pageBreakBefore w:val="0"/>
        <w:kinsoku/>
        <w:wordWrap w:val="0"/>
        <w:overflowPunct/>
        <w:bidi w:val="0"/>
        <w:ind w:firstLine="1124" w:firstLineChars="400"/>
        <w:rPr>
          <w:rFonts w:hint="eastAsia" w:ascii="宋体" w:hAnsi="宋体" w:eastAsia="宋体" w:cs="宋体"/>
          <w:b/>
          <w:color w:val="auto"/>
          <w:sz w:val="28"/>
          <w:szCs w:val="28"/>
          <w:highlight w:val="none"/>
        </w:rPr>
      </w:pPr>
      <w:bookmarkStart w:id="276" w:name="_Toc24434"/>
      <w:bookmarkEnd w:id="276"/>
      <w:r>
        <w:rPr>
          <w:rFonts w:hint="eastAsia" w:ascii="宋体" w:hAnsi="宋体" w:eastAsia="宋体" w:cs="宋体"/>
          <w:b/>
          <w:color w:val="auto"/>
          <w:sz w:val="28"/>
          <w:szCs w:val="28"/>
          <w:highlight w:val="none"/>
        </w:rPr>
        <w:t>投标人：</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(电子签章)</w:t>
      </w:r>
    </w:p>
    <w:p w14:paraId="58CC5C45">
      <w:pPr>
        <w:pageBreakBefore w:val="0"/>
        <w:kinsoku/>
        <w:wordWrap w:val="0"/>
        <w:overflowPunct/>
        <w:bidi w:val="0"/>
        <w:ind w:firstLine="1968" w:firstLineChars="700"/>
        <w:rPr>
          <w:rFonts w:hint="eastAsia" w:ascii="宋体" w:hAnsi="宋体" w:eastAsia="宋体" w:cs="宋体"/>
          <w:b/>
          <w:color w:val="auto"/>
          <w:sz w:val="28"/>
          <w:szCs w:val="28"/>
          <w:highlight w:val="none"/>
        </w:rPr>
      </w:pPr>
    </w:p>
    <w:p w14:paraId="0957DA83">
      <w:pPr>
        <w:pageBreakBefore w:val="0"/>
        <w:kinsoku/>
        <w:wordWrap w:val="0"/>
        <w:overflowPunct/>
        <w:bidi w:val="0"/>
        <w:ind w:firstLine="1124" w:firstLineChars="4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法定代表人(单位负责人)或其委托代理人：</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(电子签章)</w:t>
      </w:r>
    </w:p>
    <w:p w14:paraId="0B32564E">
      <w:pPr>
        <w:pageBreakBefore w:val="0"/>
        <w:kinsoku/>
        <w:wordWrap w:val="0"/>
        <w:overflowPunct/>
        <w:bidi w:val="0"/>
        <w:ind w:firstLine="1968" w:firstLineChars="700"/>
        <w:rPr>
          <w:rFonts w:hint="eastAsia" w:ascii="宋体" w:hAnsi="宋体" w:eastAsia="宋体" w:cs="宋体"/>
          <w:b/>
          <w:color w:val="auto"/>
          <w:sz w:val="28"/>
          <w:szCs w:val="28"/>
          <w:highlight w:val="none"/>
        </w:rPr>
      </w:pPr>
    </w:p>
    <w:p w14:paraId="4AB55341">
      <w:pPr>
        <w:pageBreakBefore w:val="0"/>
        <w:kinsoku/>
        <w:wordWrap w:val="0"/>
        <w:overflowPunct/>
        <w:bidi w:val="0"/>
        <w:ind w:firstLine="1124" w:firstLineChars="400"/>
        <w:rPr>
          <w:rFonts w:hint="eastAsia" w:ascii="宋体" w:hAnsi="宋体" w:eastAsia="宋体" w:cs="宋体"/>
          <w:b/>
          <w:color w:val="auto"/>
          <w:sz w:val="28"/>
          <w:szCs w:val="28"/>
          <w:highlight w:val="none"/>
        </w:rPr>
        <w:sectPr>
          <w:pgSz w:w="11906" w:h="16838"/>
          <w:pgMar w:top="1134" w:right="1134" w:bottom="1440" w:left="1361" w:header="850" w:footer="510"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宋体" w:hAnsi="宋体" w:eastAsia="宋体" w:cs="宋体"/>
          <w:b/>
          <w:color w:val="auto"/>
          <w:sz w:val="28"/>
          <w:szCs w:val="28"/>
          <w:highlight w:val="none"/>
        </w:rPr>
        <w:t>日期：      年     月     日</w:t>
      </w:r>
    </w:p>
    <w:p w14:paraId="1A990348">
      <w:pPr>
        <w:pStyle w:val="13"/>
        <w:pageBreakBefore w:val="0"/>
        <w:kinsoku/>
        <w:wordWrap w:val="0"/>
        <w:overflowPunct/>
        <w:bidi w:val="0"/>
        <w:jc w:val="center"/>
        <w:rPr>
          <w:rFonts w:hint="eastAsia" w:ascii="宋体" w:hAnsi="宋体" w:eastAsia="宋体" w:cs="宋体"/>
          <w:color w:val="auto"/>
          <w:highlight w:val="none"/>
          <w:lang w:val="en-US" w:eastAsia="zh-CN"/>
        </w:rPr>
      </w:pPr>
    </w:p>
    <w:p w14:paraId="7B8DF8BC">
      <w:pPr>
        <w:pStyle w:val="13"/>
        <w:pageBreakBefore w:val="0"/>
        <w:kinsoku/>
        <w:wordWrap w:val="0"/>
        <w:overflowPunct/>
        <w:bidi w:val="0"/>
        <w:jc w:val="center"/>
        <w:rPr>
          <w:rFonts w:hint="eastAsia" w:ascii="宋体" w:hAnsi="宋体" w:eastAsia="宋体" w:cs="宋体"/>
          <w:b/>
          <w:bCs/>
          <w:color w:val="auto"/>
          <w:sz w:val="32"/>
          <w:szCs w:val="40"/>
          <w:highlight w:val="none"/>
          <w:lang w:val="en-US" w:eastAsia="zh-CN"/>
        </w:rPr>
      </w:pPr>
      <w:r>
        <w:rPr>
          <w:rFonts w:hint="eastAsia" w:ascii="宋体" w:hAnsi="宋体" w:eastAsia="宋体" w:cs="宋体"/>
          <w:b/>
          <w:bCs/>
          <w:color w:val="auto"/>
          <w:sz w:val="32"/>
          <w:szCs w:val="40"/>
          <w:highlight w:val="none"/>
          <w:lang w:val="en-US" w:eastAsia="zh-CN"/>
        </w:rPr>
        <w:t>目  录</w:t>
      </w:r>
    </w:p>
    <w:p w14:paraId="20E8FFD5">
      <w:pPr>
        <w:pageBreakBefore w:val="0"/>
        <w:kinsoku/>
        <w:wordWrap w:val="0"/>
        <w:overflowPunct/>
        <w:bidi w:val="0"/>
        <w:ind w:firstLine="2530" w:firstLineChars="1100"/>
        <w:rPr>
          <w:rFonts w:hint="eastAsia" w:ascii="宋体" w:hAnsi="宋体" w:eastAsia="宋体" w:cs="宋体"/>
          <w:color w:val="auto"/>
          <w:sz w:val="24"/>
          <w:szCs w:val="24"/>
          <w:highlight w:val="none"/>
          <w:lang w:val="en-US" w:eastAsia="zh-CN"/>
        </w:rPr>
      </w:pPr>
      <w:r>
        <w:rPr>
          <w:color w:val="auto"/>
          <w:sz w:val="23"/>
          <w:highlight w:val="none"/>
        </w:rPr>
        <w:t>（请根据招标文件格式并结合自身实际编制）</w:t>
      </w:r>
    </w:p>
    <w:p w14:paraId="7FD2385D">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3244A47F">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1C220331">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17E087FE">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563291CC">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1E40CC26">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18C3E9ED">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78C9276A">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3A561CFB">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7845FC9C">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024D0A8A">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4A68C65A">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47795414">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02EB934E">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6F40C66E">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7C2CE22C">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14A4F056">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2DBCAC6C">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26A272EA">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1CF8627D">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2BDFCEA5">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2E17C2E9">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4A7934A6">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40EDD2EA">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6BBB0616">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2A463EBD">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53575A25">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3C68B4DD">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31416EB2">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050C89B8">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5A32E7DA">
      <w:pPr>
        <w:pageBreakBefore w:val="0"/>
        <w:kinsoku/>
        <w:wordWrap w:val="0"/>
        <w:overflowPunct/>
        <w:bidi w:val="0"/>
        <w:jc w:val="center"/>
        <w:rPr>
          <w:rFonts w:hint="eastAsia" w:ascii="宋体" w:hAnsi="宋体" w:eastAsia="宋体" w:cs="宋体"/>
          <w:b/>
          <w:color w:val="auto"/>
          <w:sz w:val="32"/>
          <w:szCs w:val="36"/>
          <w:highlight w:val="none"/>
          <w:lang w:val="en-US" w:eastAsia="zh-CN"/>
        </w:rPr>
      </w:pPr>
    </w:p>
    <w:p w14:paraId="323E602A">
      <w:pPr>
        <w:pageBreakBefore w:val="0"/>
        <w:kinsoku/>
        <w:wordWrap w:val="0"/>
        <w:overflowPunct/>
        <w:bidi w:val="0"/>
        <w:jc w:val="center"/>
        <w:rPr>
          <w:rFonts w:hint="eastAsia" w:ascii="宋体" w:hAnsi="宋体" w:eastAsia="宋体" w:cs="宋体"/>
          <w:b/>
          <w:color w:val="auto"/>
          <w:sz w:val="32"/>
          <w:szCs w:val="36"/>
          <w:highlight w:val="none"/>
        </w:rPr>
      </w:pPr>
      <w:r>
        <w:rPr>
          <w:rFonts w:hint="eastAsia" w:ascii="宋体" w:hAnsi="宋体" w:eastAsia="宋体" w:cs="宋体"/>
          <w:b/>
          <w:color w:val="auto"/>
          <w:sz w:val="32"/>
          <w:szCs w:val="36"/>
          <w:highlight w:val="none"/>
          <w:lang w:val="en-US" w:eastAsia="zh-CN"/>
        </w:rPr>
        <w:t>一、</w:t>
      </w:r>
      <w:r>
        <w:rPr>
          <w:rFonts w:hint="eastAsia" w:ascii="宋体" w:hAnsi="宋体" w:eastAsia="宋体" w:cs="宋体"/>
          <w:b/>
          <w:color w:val="auto"/>
          <w:sz w:val="32"/>
          <w:szCs w:val="36"/>
          <w:highlight w:val="none"/>
        </w:rPr>
        <w:t>符合《中华人民共和国政府采购法》第二十二条规定</w:t>
      </w:r>
    </w:p>
    <w:p w14:paraId="4A34AC2F">
      <w:pPr>
        <w:pStyle w:val="4"/>
        <w:pageBreakBefore w:val="0"/>
        <w:kinsoku/>
        <w:wordWrap w:val="0"/>
        <w:overflowPunct/>
        <w:bidi w:val="0"/>
        <w:adjustRightInd w:val="0"/>
        <w:snapToGrid w:val="0"/>
        <w:spacing w:line="360" w:lineRule="auto"/>
        <w:ind w:firstLine="562" w:firstLineChars="200"/>
        <w:jc w:val="center"/>
        <w:rPr>
          <w:rFonts w:hint="eastAsia" w:ascii="宋体" w:hAnsi="宋体" w:eastAsia="宋体" w:cs="宋体"/>
          <w:b/>
          <w:bCs/>
          <w:color w:val="auto"/>
          <w:sz w:val="24"/>
          <w:szCs w:val="24"/>
          <w:highlight w:val="none"/>
          <w:lang w:val="zh-CN" w:eastAsia="zh-CN"/>
        </w:rPr>
      </w:pPr>
      <w:bookmarkStart w:id="277" w:name="_Toc21884"/>
      <w:bookmarkStart w:id="278" w:name="_Toc22496"/>
      <w:bookmarkStart w:id="279" w:name="_Toc15126"/>
      <w:r>
        <w:rPr>
          <w:rFonts w:hint="eastAsia" w:ascii="宋体" w:hAnsi="宋体" w:eastAsia="宋体" w:cs="宋体"/>
          <w:b/>
          <w:bCs/>
          <w:color w:val="auto"/>
          <w:sz w:val="28"/>
          <w:szCs w:val="28"/>
          <w:highlight w:val="none"/>
          <w:lang w:val="en-US" w:eastAsia="zh-CN"/>
        </w:rPr>
        <w:t>（一）</w:t>
      </w:r>
      <w:r>
        <w:rPr>
          <w:rFonts w:hint="eastAsia" w:ascii="宋体" w:hAnsi="宋体" w:eastAsia="宋体" w:cs="宋体"/>
          <w:b/>
          <w:bCs/>
          <w:color w:val="auto"/>
          <w:sz w:val="28"/>
          <w:szCs w:val="28"/>
          <w:highlight w:val="none"/>
          <w:lang w:val="zh-CN" w:eastAsia="zh-CN"/>
        </w:rPr>
        <w:t>、投标人基本情况表</w:t>
      </w:r>
      <w:bookmarkEnd w:id="277"/>
    </w:p>
    <w:tbl>
      <w:tblPr>
        <w:tblStyle w:val="38"/>
        <w:tblW w:w="9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5"/>
        <w:gridCol w:w="1244"/>
        <w:gridCol w:w="2721"/>
        <w:gridCol w:w="1404"/>
        <w:gridCol w:w="1982"/>
      </w:tblGrid>
      <w:tr w14:paraId="2AB39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2555" w:type="dxa"/>
            <w:tcBorders>
              <w:top w:val="single" w:color="auto" w:sz="4" w:space="0"/>
              <w:left w:val="single" w:color="auto" w:sz="4" w:space="0"/>
              <w:bottom w:val="single" w:color="auto" w:sz="4" w:space="0"/>
              <w:right w:val="single" w:color="auto" w:sz="4" w:space="0"/>
            </w:tcBorders>
            <w:vAlign w:val="center"/>
          </w:tcPr>
          <w:p w14:paraId="3A52A310">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p>
        </w:tc>
        <w:tc>
          <w:tcPr>
            <w:tcW w:w="7351" w:type="dxa"/>
            <w:gridSpan w:val="4"/>
            <w:tcBorders>
              <w:top w:val="single" w:color="auto" w:sz="4" w:space="0"/>
              <w:left w:val="nil"/>
              <w:bottom w:val="single" w:color="auto" w:sz="4" w:space="0"/>
              <w:right w:val="single" w:color="auto" w:sz="4" w:space="0"/>
            </w:tcBorders>
            <w:vAlign w:val="center"/>
          </w:tcPr>
          <w:p w14:paraId="0AC727B1">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r>
      <w:tr w14:paraId="7410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2555" w:type="dxa"/>
            <w:tcBorders>
              <w:top w:val="single" w:color="auto" w:sz="4" w:space="0"/>
              <w:left w:val="single" w:color="auto" w:sz="4" w:space="0"/>
              <w:bottom w:val="single" w:color="auto" w:sz="4" w:space="0"/>
              <w:right w:val="single" w:color="auto" w:sz="4" w:space="0"/>
            </w:tcBorders>
            <w:vAlign w:val="center"/>
          </w:tcPr>
          <w:p w14:paraId="6E72398A">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注册资金</w:t>
            </w:r>
          </w:p>
        </w:tc>
        <w:tc>
          <w:tcPr>
            <w:tcW w:w="3965" w:type="dxa"/>
            <w:gridSpan w:val="2"/>
            <w:tcBorders>
              <w:top w:val="single" w:color="auto" w:sz="4" w:space="0"/>
              <w:left w:val="nil"/>
              <w:bottom w:val="single" w:color="auto" w:sz="4" w:space="0"/>
              <w:right w:val="single" w:color="auto" w:sz="4" w:space="0"/>
            </w:tcBorders>
            <w:vAlign w:val="center"/>
          </w:tcPr>
          <w:p w14:paraId="213AD0F7">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351AFEA2">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1982" w:type="dxa"/>
            <w:tcBorders>
              <w:top w:val="single" w:color="auto" w:sz="4" w:space="0"/>
              <w:left w:val="nil"/>
              <w:bottom w:val="single" w:color="auto" w:sz="4" w:space="0"/>
              <w:right w:val="single" w:color="auto" w:sz="4" w:space="0"/>
            </w:tcBorders>
            <w:vAlign w:val="center"/>
          </w:tcPr>
          <w:p w14:paraId="34BF5254">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r>
      <w:tr w14:paraId="0246B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2555" w:type="dxa"/>
            <w:tcBorders>
              <w:top w:val="single" w:color="auto" w:sz="4" w:space="0"/>
              <w:left w:val="single" w:color="auto" w:sz="4" w:space="0"/>
              <w:bottom w:val="single" w:color="auto" w:sz="4" w:space="0"/>
              <w:right w:val="single" w:color="auto" w:sz="4" w:space="0"/>
            </w:tcBorders>
            <w:vAlign w:val="center"/>
          </w:tcPr>
          <w:p w14:paraId="1DC76E05">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注册地址</w:t>
            </w:r>
          </w:p>
        </w:tc>
        <w:tc>
          <w:tcPr>
            <w:tcW w:w="7351" w:type="dxa"/>
            <w:gridSpan w:val="4"/>
            <w:tcBorders>
              <w:top w:val="single" w:color="auto" w:sz="4" w:space="0"/>
              <w:left w:val="nil"/>
              <w:bottom w:val="single" w:color="auto" w:sz="4" w:space="0"/>
              <w:right w:val="single" w:color="auto" w:sz="4" w:space="0"/>
            </w:tcBorders>
            <w:vAlign w:val="center"/>
          </w:tcPr>
          <w:p w14:paraId="37172FC5">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r>
      <w:tr w14:paraId="0BA0B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2555" w:type="dxa"/>
            <w:tcBorders>
              <w:top w:val="single" w:color="auto" w:sz="4" w:space="0"/>
              <w:left w:val="single" w:color="auto" w:sz="4" w:space="0"/>
              <w:bottom w:val="single" w:color="auto" w:sz="4" w:space="0"/>
              <w:right w:val="single" w:color="auto" w:sz="4" w:space="0"/>
            </w:tcBorders>
            <w:vAlign w:val="center"/>
          </w:tcPr>
          <w:p w14:paraId="568B2D6B">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3965" w:type="dxa"/>
            <w:gridSpan w:val="2"/>
            <w:tcBorders>
              <w:top w:val="single" w:color="auto" w:sz="4" w:space="0"/>
              <w:left w:val="nil"/>
              <w:bottom w:val="single" w:color="auto" w:sz="4" w:space="0"/>
              <w:right w:val="single" w:color="auto" w:sz="4" w:space="0"/>
            </w:tcBorders>
            <w:vAlign w:val="center"/>
          </w:tcPr>
          <w:p w14:paraId="0EF0DB39">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6C063877">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员工总数</w:t>
            </w:r>
          </w:p>
        </w:tc>
        <w:tc>
          <w:tcPr>
            <w:tcW w:w="1982" w:type="dxa"/>
            <w:tcBorders>
              <w:top w:val="single" w:color="auto" w:sz="4" w:space="0"/>
              <w:left w:val="nil"/>
              <w:bottom w:val="single" w:color="auto" w:sz="4" w:space="0"/>
              <w:right w:val="single" w:color="auto" w:sz="4" w:space="0"/>
            </w:tcBorders>
            <w:vAlign w:val="center"/>
          </w:tcPr>
          <w:p w14:paraId="4EC647BC">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r>
      <w:tr w14:paraId="5402A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555" w:type="dxa"/>
            <w:vMerge w:val="restart"/>
            <w:tcBorders>
              <w:top w:val="nil"/>
              <w:left w:val="single" w:color="auto" w:sz="4" w:space="0"/>
              <w:bottom w:val="single" w:color="auto" w:sz="4" w:space="0"/>
              <w:right w:val="single" w:color="auto" w:sz="4" w:space="0"/>
            </w:tcBorders>
            <w:vAlign w:val="center"/>
          </w:tcPr>
          <w:p w14:paraId="3D04B09A">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1244" w:type="dxa"/>
            <w:tcBorders>
              <w:top w:val="single" w:color="auto" w:sz="4" w:space="0"/>
              <w:left w:val="nil"/>
              <w:bottom w:val="single" w:color="auto" w:sz="4" w:space="0"/>
              <w:right w:val="single" w:color="auto" w:sz="4" w:space="0"/>
            </w:tcBorders>
            <w:vAlign w:val="center"/>
          </w:tcPr>
          <w:p w14:paraId="4974EFEE">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2721" w:type="dxa"/>
            <w:tcBorders>
              <w:top w:val="single" w:color="auto" w:sz="4" w:space="0"/>
              <w:left w:val="nil"/>
              <w:bottom w:val="single" w:color="auto" w:sz="4" w:space="0"/>
              <w:right w:val="single" w:color="auto" w:sz="4" w:space="0"/>
            </w:tcBorders>
            <w:vAlign w:val="center"/>
          </w:tcPr>
          <w:p w14:paraId="3291CB37">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058C0D58">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982" w:type="dxa"/>
            <w:tcBorders>
              <w:top w:val="single" w:color="auto" w:sz="4" w:space="0"/>
              <w:left w:val="nil"/>
              <w:bottom w:val="single" w:color="auto" w:sz="4" w:space="0"/>
              <w:right w:val="single" w:color="auto" w:sz="4" w:space="0"/>
            </w:tcBorders>
            <w:vAlign w:val="center"/>
          </w:tcPr>
          <w:p w14:paraId="504D73BB">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r>
      <w:tr w14:paraId="08EBA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555" w:type="dxa"/>
            <w:vMerge w:val="continue"/>
            <w:tcBorders>
              <w:top w:val="nil"/>
              <w:left w:val="single" w:color="auto" w:sz="4" w:space="0"/>
              <w:bottom w:val="single" w:color="auto" w:sz="4" w:space="0"/>
              <w:right w:val="single" w:color="auto" w:sz="4" w:space="0"/>
            </w:tcBorders>
            <w:vAlign w:val="center"/>
          </w:tcPr>
          <w:p w14:paraId="7DBAF8F9">
            <w:pPr>
              <w:pageBreakBefore w:val="0"/>
              <w:widowControl w:val="0"/>
              <w:kinsoku/>
              <w:wordWrap w:val="0"/>
              <w:overflowPunct/>
              <w:bidi w:val="0"/>
              <w:jc w:val="both"/>
              <w:rPr>
                <w:rFonts w:hint="eastAsia" w:ascii="宋体" w:hAnsi="宋体" w:eastAsia="宋体" w:cs="宋体"/>
                <w:color w:val="auto"/>
                <w:kern w:val="2"/>
                <w:sz w:val="24"/>
                <w:szCs w:val="24"/>
                <w:highlight w:val="none"/>
              </w:rPr>
            </w:pPr>
          </w:p>
        </w:tc>
        <w:tc>
          <w:tcPr>
            <w:tcW w:w="1244" w:type="dxa"/>
            <w:tcBorders>
              <w:top w:val="single" w:color="auto" w:sz="4" w:space="0"/>
              <w:left w:val="nil"/>
              <w:bottom w:val="single" w:color="auto" w:sz="4" w:space="0"/>
              <w:right w:val="single" w:color="auto" w:sz="4" w:space="0"/>
            </w:tcBorders>
            <w:vAlign w:val="center"/>
          </w:tcPr>
          <w:p w14:paraId="28C00E02">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网址</w:t>
            </w:r>
          </w:p>
        </w:tc>
        <w:tc>
          <w:tcPr>
            <w:tcW w:w="2721" w:type="dxa"/>
            <w:tcBorders>
              <w:top w:val="single" w:color="auto" w:sz="4" w:space="0"/>
              <w:left w:val="nil"/>
              <w:bottom w:val="single" w:color="auto" w:sz="4" w:space="0"/>
              <w:right w:val="single" w:color="auto" w:sz="4" w:space="0"/>
            </w:tcBorders>
            <w:vAlign w:val="center"/>
          </w:tcPr>
          <w:p w14:paraId="51D769D9">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42902A87">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c>
          <w:tcPr>
            <w:tcW w:w="1982" w:type="dxa"/>
            <w:tcBorders>
              <w:top w:val="single" w:color="auto" w:sz="4" w:space="0"/>
              <w:left w:val="nil"/>
              <w:bottom w:val="single" w:color="auto" w:sz="4" w:space="0"/>
              <w:right w:val="single" w:color="auto" w:sz="4" w:space="0"/>
            </w:tcBorders>
            <w:vAlign w:val="center"/>
          </w:tcPr>
          <w:p w14:paraId="41AEC794">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r>
      <w:tr w14:paraId="2781B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jc w:val="center"/>
        </w:trPr>
        <w:tc>
          <w:tcPr>
            <w:tcW w:w="2555" w:type="dxa"/>
            <w:tcBorders>
              <w:top w:val="single" w:color="auto" w:sz="4" w:space="0"/>
              <w:left w:val="single" w:color="auto" w:sz="4" w:space="0"/>
              <w:bottom w:val="single" w:color="auto" w:sz="4" w:space="0"/>
              <w:right w:val="single" w:color="auto" w:sz="4" w:space="0"/>
            </w:tcBorders>
            <w:vAlign w:val="center"/>
          </w:tcPr>
          <w:p w14:paraId="39A3F8E1">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p w14:paraId="08544E37">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(单位负责人)</w:t>
            </w:r>
          </w:p>
        </w:tc>
        <w:tc>
          <w:tcPr>
            <w:tcW w:w="1244" w:type="dxa"/>
            <w:tcBorders>
              <w:top w:val="single" w:color="auto" w:sz="4" w:space="0"/>
              <w:left w:val="nil"/>
              <w:bottom w:val="single" w:color="auto" w:sz="4" w:space="0"/>
              <w:right w:val="single" w:color="auto" w:sz="4" w:space="0"/>
            </w:tcBorders>
            <w:vAlign w:val="center"/>
          </w:tcPr>
          <w:p w14:paraId="18167667">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2721" w:type="dxa"/>
            <w:tcBorders>
              <w:top w:val="single" w:color="auto" w:sz="4" w:space="0"/>
              <w:left w:val="nil"/>
              <w:bottom w:val="single" w:color="auto" w:sz="4" w:space="0"/>
              <w:right w:val="single" w:color="auto" w:sz="4" w:space="0"/>
            </w:tcBorders>
            <w:vAlign w:val="center"/>
          </w:tcPr>
          <w:p w14:paraId="4D5D0795">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1C056785">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982" w:type="dxa"/>
            <w:tcBorders>
              <w:top w:val="single" w:color="auto" w:sz="4" w:space="0"/>
              <w:left w:val="nil"/>
              <w:bottom w:val="single" w:color="auto" w:sz="4" w:space="0"/>
              <w:right w:val="single" w:color="auto" w:sz="4" w:space="0"/>
            </w:tcBorders>
            <w:vAlign w:val="center"/>
          </w:tcPr>
          <w:p w14:paraId="7D91DCE7">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r>
      <w:tr w14:paraId="642B6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555" w:type="dxa"/>
            <w:tcBorders>
              <w:top w:val="single" w:color="auto" w:sz="4" w:space="0"/>
              <w:left w:val="single" w:color="auto" w:sz="4" w:space="0"/>
              <w:bottom w:val="single" w:color="auto" w:sz="4" w:space="0"/>
              <w:right w:val="single" w:color="auto" w:sz="4" w:space="0"/>
            </w:tcBorders>
            <w:vAlign w:val="center"/>
          </w:tcPr>
          <w:p w14:paraId="19A5149B">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color w:val="auto"/>
                <w:kern w:val="0"/>
                <w:sz w:val="24"/>
                <w:highlight w:val="none"/>
              </w:rPr>
              <w:t>公司取得的相关证照：</w:t>
            </w:r>
          </w:p>
        </w:tc>
        <w:tc>
          <w:tcPr>
            <w:tcW w:w="7351" w:type="dxa"/>
            <w:gridSpan w:val="4"/>
            <w:tcBorders>
              <w:top w:val="single" w:color="auto" w:sz="4" w:space="0"/>
              <w:left w:val="nil"/>
              <w:bottom w:val="single" w:color="auto" w:sz="4" w:space="0"/>
              <w:right w:val="single" w:color="auto" w:sz="4" w:space="0"/>
            </w:tcBorders>
            <w:vAlign w:val="center"/>
          </w:tcPr>
          <w:p w14:paraId="4A2C444E">
            <w:pPr>
              <w:pageBreakBefore w:val="0"/>
              <w:kinsoku/>
              <w:wordWrap w:val="0"/>
              <w:overflowPunct/>
              <w:bidi w:val="0"/>
              <w:spacing w:line="440" w:lineRule="exact"/>
              <w:rPr>
                <w:rFonts w:hint="eastAsia" w:ascii="宋体" w:hAnsi="宋体" w:eastAsia="宋体" w:cs="宋体"/>
                <w:color w:val="auto"/>
                <w:sz w:val="24"/>
                <w:szCs w:val="24"/>
                <w:highlight w:val="none"/>
              </w:rPr>
            </w:pPr>
          </w:p>
        </w:tc>
      </w:tr>
      <w:tr w14:paraId="2572C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2555" w:type="dxa"/>
            <w:tcBorders>
              <w:top w:val="single" w:color="auto" w:sz="4" w:space="0"/>
              <w:left w:val="single" w:color="auto" w:sz="4" w:space="0"/>
              <w:bottom w:val="single" w:color="auto" w:sz="4" w:space="0"/>
              <w:right w:val="single" w:color="auto" w:sz="4" w:space="0"/>
            </w:tcBorders>
            <w:vAlign w:val="center"/>
          </w:tcPr>
          <w:p w14:paraId="0FFFBF79">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基本账户开户银行</w:t>
            </w:r>
          </w:p>
        </w:tc>
        <w:tc>
          <w:tcPr>
            <w:tcW w:w="7351" w:type="dxa"/>
            <w:gridSpan w:val="4"/>
            <w:tcBorders>
              <w:top w:val="single" w:color="auto" w:sz="4" w:space="0"/>
              <w:left w:val="nil"/>
              <w:bottom w:val="single" w:color="auto" w:sz="4" w:space="0"/>
              <w:right w:val="single" w:color="auto" w:sz="4" w:space="0"/>
            </w:tcBorders>
            <w:vAlign w:val="center"/>
          </w:tcPr>
          <w:p w14:paraId="7CB2256E">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r>
      <w:tr w14:paraId="7C7D3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555" w:type="dxa"/>
            <w:tcBorders>
              <w:top w:val="single" w:color="auto" w:sz="4" w:space="0"/>
              <w:left w:val="single" w:color="auto" w:sz="4" w:space="0"/>
              <w:bottom w:val="single" w:color="auto" w:sz="4" w:space="0"/>
              <w:right w:val="single" w:color="auto" w:sz="4" w:space="0"/>
            </w:tcBorders>
            <w:vAlign w:val="center"/>
          </w:tcPr>
          <w:p w14:paraId="090B5CC8">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基本账户银行账号</w:t>
            </w:r>
          </w:p>
        </w:tc>
        <w:tc>
          <w:tcPr>
            <w:tcW w:w="7351" w:type="dxa"/>
            <w:gridSpan w:val="4"/>
            <w:tcBorders>
              <w:top w:val="single" w:color="auto" w:sz="4" w:space="0"/>
              <w:left w:val="nil"/>
              <w:bottom w:val="single" w:color="auto" w:sz="4" w:space="0"/>
              <w:right w:val="single" w:color="auto" w:sz="4" w:space="0"/>
            </w:tcBorders>
            <w:vAlign w:val="center"/>
          </w:tcPr>
          <w:p w14:paraId="3267E98D">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r>
      <w:tr w14:paraId="0ACF4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2555" w:type="dxa"/>
            <w:tcBorders>
              <w:top w:val="single" w:color="auto" w:sz="4" w:space="0"/>
              <w:left w:val="single" w:color="auto" w:sz="4" w:space="0"/>
              <w:bottom w:val="single" w:color="auto" w:sz="4" w:space="0"/>
              <w:right w:val="single" w:color="auto" w:sz="4" w:space="0"/>
            </w:tcBorders>
            <w:vAlign w:val="center"/>
          </w:tcPr>
          <w:p w14:paraId="73902585">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投标人关联企业情况(包括但不限于与投标人法定代表人(单位负责人)为同一人或者存在控股、管理关系的不同单位)</w:t>
            </w:r>
          </w:p>
        </w:tc>
        <w:tc>
          <w:tcPr>
            <w:tcW w:w="7351" w:type="dxa"/>
            <w:gridSpan w:val="4"/>
            <w:tcBorders>
              <w:top w:val="single" w:color="auto" w:sz="4" w:space="0"/>
              <w:left w:val="nil"/>
              <w:bottom w:val="single" w:color="auto" w:sz="4" w:space="0"/>
              <w:right w:val="single" w:color="auto" w:sz="4" w:space="0"/>
            </w:tcBorders>
            <w:vAlign w:val="center"/>
          </w:tcPr>
          <w:p w14:paraId="738DBDA8">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r>
      <w:tr w14:paraId="42436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2555" w:type="dxa"/>
            <w:tcBorders>
              <w:top w:val="single" w:color="auto" w:sz="4" w:space="0"/>
              <w:left w:val="single" w:color="auto" w:sz="4" w:space="0"/>
              <w:bottom w:val="single" w:color="auto" w:sz="4" w:space="0"/>
              <w:right w:val="single" w:color="auto" w:sz="4" w:space="0"/>
            </w:tcBorders>
            <w:vAlign w:val="center"/>
          </w:tcPr>
          <w:p w14:paraId="2504C012">
            <w:pPr>
              <w:pageBreakBefore w:val="0"/>
              <w:kinsoku/>
              <w:wordWrap w:val="0"/>
              <w:overflowPunct/>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7351" w:type="dxa"/>
            <w:gridSpan w:val="4"/>
            <w:tcBorders>
              <w:top w:val="single" w:color="auto" w:sz="4" w:space="0"/>
              <w:left w:val="nil"/>
              <w:bottom w:val="single" w:color="auto" w:sz="4" w:space="0"/>
              <w:right w:val="single" w:color="auto" w:sz="4" w:space="0"/>
            </w:tcBorders>
            <w:vAlign w:val="center"/>
          </w:tcPr>
          <w:p w14:paraId="11935B10">
            <w:pPr>
              <w:pageBreakBefore w:val="0"/>
              <w:kinsoku/>
              <w:wordWrap w:val="0"/>
              <w:overflowPunct/>
              <w:bidi w:val="0"/>
              <w:spacing w:line="440" w:lineRule="exact"/>
              <w:jc w:val="center"/>
              <w:rPr>
                <w:rFonts w:hint="eastAsia" w:ascii="宋体" w:hAnsi="宋体" w:eastAsia="宋体" w:cs="宋体"/>
                <w:color w:val="auto"/>
                <w:sz w:val="24"/>
                <w:szCs w:val="24"/>
                <w:highlight w:val="none"/>
              </w:rPr>
            </w:pPr>
          </w:p>
        </w:tc>
      </w:tr>
    </w:tbl>
    <w:p w14:paraId="7F917C43">
      <w:pPr>
        <w:pageBreakBefore w:val="0"/>
        <w:kinsoku/>
        <w:wordWrap w:val="0"/>
        <w:overflowPunct/>
        <w:bidi w:val="0"/>
        <w:spacing w:line="240" w:lineRule="exact"/>
        <w:rPr>
          <w:rFonts w:hint="eastAsia" w:ascii="宋体" w:hAnsi="宋体" w:eastAsia="宋体" w:cs="宋体"/>
          <w:color w:val="auto"/>
          <w:sz w:val="24"/>
          <w:szCs w:val="24"/>
          <w:highlight w:val="none"/>
          <w:lang w:val="en-US" w:eastAsia="zh-CN"/>
        </w:rPr>
      </w:pPr>
    </w:p>
    <w:p w14:paraId="46AFB15E">
      <w:pPr>
        <w:pageBreakBefore w:val="0"/>
        <w:kinsoku/>
        <w:wordWrap w:val="0"/>
        <w:overflowPunct/>
        <w:bidi w:val="0"/>
        <w:spacing w:line="360" w:lineRule="auto"/>
        <w:ind w:firstLine="422" w:firstLineChars="20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注：1.投标人应根据招标文件第二章“投标人须知前附表1.4.1”中1.1的要求后附相关证明材料；</w:t>
      </w:r>
    </w:p>
    <w:p w14:paraId="02D57FF5">
      <w:pPr>
        <w:pageBreakBefore w:val="0"/>
        <w:kinsoku/>
        <w:wordWrap w:val="0"/>
        <w:overflowPunct/>
        <w:bidi w:val="0"/>
        <w:spacing w:line="360" w:lineRule="auto"/>
        <w:rPr>
          <w:rFonts w:hint="eastAsia" w:ascii="宋体" w:hAnsi="宋体" w:eastAsia="宋体" w:cs="宋体"/>
          <w:b/>
          <w:bCs/>
          <w:color w:val="auto"/>
          <w:sz w:val="21"/>
          <w:szCs w:val="21"/>
          <w:highlight w:val="none"/>
          <w:lang w:val="en-US" w:eastAsia="zh-CN"/>
        </w:rPr>
        <w:sectPr>
          <w:pgSz w:w="11906" w:h="16838"/>
          <w:pgMar w:top="1134" w:right="1134" w:bottom="1440" w:left="1361" w:header="850" w:footer="510" w:gutter="0"/>
          <w:pgBorders>
            <w:top w:val="none" w:sz="0" w:space="0"/>
            <w:left w:val="none" w:sz="0" w:space="0"/>
            <w:bottom w:val="none" w:sz="0" w:space="0"/>
            <w:right w:val="none" w:sz="0" w:space="0"/>
          </w:pgBorders>
          <w:pgNumType w:fmt="decimal"/>
          <w:cols w:space="0" w:num="1"/>
          <w:rtlGutter w:val="0"/>
          <w:docGrid w:linePitch="312" w:charSpace="0"/>
        </w:sectPr>
      </w:pPr>
    </w:p>
    <w:p w14:paraId="32F41523">
      <w:pPr>
        <w:pStyle w:val="4"/>
        <w:pageBreakBefore w:val="0"/>
        <w:kinsoku/>
        <w:wordWrap w:val="0"/>
        <w:overflowPunct/>
        <w:bidi w:val="0"/>
        <w:spacing w:before="43"/>
        <w:ind w:firstLine="0" w:firstLineChars="0"/>
        <w:jc w:val="center"/>
        <w:rPr>
          <w:rFonts w:hint="eastAsia" w:ascii="宋体" w:hAnsi="宋体" w:eastAsia="宋体" w:cs="宋体"/>
          <w:color w:val="auto"/>
          <w:sz w:val="28"/>
          <w:szCs w:val="32"/>
          <w:highlight w:val="none"/>
          <w:lang w:eastAsia="zh-CN"/>
        </w:rPr>
      </w:pPr>
      <w:bookmarkStart w:id="280" w:name="_Toc13596"/>
      <w:bookmarkStart w:id="281" w:name="_Toc27946"/>
      <w:r>
        <w:rPr>
          <w:rFonts w:hint="eastAsia" w:ascii="宋体" w:hAnsi="宋体" w:eastAsia="宋体" w:cs="宋体"/>
          <w:color w:val="auto"/>
          <w:sz w:val="28"/>
          <w:szCs w:val="32"/>
          <w:highlight w:val="none"/>
          <w:lang w:val="en-US" w:eastAsia="zh-CN"/>
        </w:rPr>
        <w:t>（二）</w:t>
      </w:r>
      <w:r>
        <w:rPr>
          <w:rFonts w:hint="eastAsia" w:ascii="宋体" w:hAnsi="宋体" w:eastAsia="宋体" w:cs="宋体"/>
          <w:color w:val="auto"/>
          <w:sz w:val="28"/>
          <w:szCs w:val="32"/>
          <w:highlight w:val="none"/>
          <w:lang w:eastAsia="zh-CN"/>
        </w:rPr>
        <w:t>具有良好的商业信誉和健全的财务会计制度；</w:t>
      </w:r>
      <w:bookmarkEnd w:id="280"/>
    </w:p>
    <w:p w14:paraId="43E6C6DF">
      <w:pPr>
        <w:pStyle w:val="4"/>
        <w:pageBreakBefore w:val="0"/>
        <w:kinsoku/>
        <w:wordWrap w:val="0"/>
        <w:overflowPunct/>
        <w:bidi w:val="0"/>
        <w:spacing w:before="43"/>
        <w:ind w:firstLine="0" w:firstLineChars="0"/>
        <w:jc w:val="center"/>
        <w:rPr>
          <w:rFonts w:hint="eastAsia" w:ascii="宋体" w:hAnsi="宋体" w:eastAsia="宋体" w:cs="宋体"/>
          <w:color w:val="auto"/>
          <w:sz w:val="28"/>
          <w:highlight w:val="none"/>
        </w:rPr>
      </w:pPr>
      <w:bookmarkStart w:id="282" w:name="_Toc19890"/>
      <w:r>
        <w:rPr>
          <w:rFonts w:hint="eastAsia" w:ascii="宋体" w:hAnsi="宋体" w:eastAsia="宋体" w:cs="宋体"/>
          <w:color w:val="auto"/>
          <w:sz w:val="28"/>
          <w:szCs w:val="32"/>
          <w:highlight w:val="none"/>
        </w:rPr>
        <w:t>近年财务状况表</w:t>
      </w:r>
      <w:bookmarkEnd w:id="278"/>
      <w:bookmarkEnd w:id="279"/>
      <w:bookmarkEnd w:id="281"/>
      <w:bookmarkEnd w:id="282"/>
    </w:p>
    <w:tbl>
      <w:tblPr>
        <w:tblStyle w:val="38"/>
        <w:tblpPr w:leftFromText="180" w:rightFromText="180" w:vertAnchor="text" w:horzAnchor="margin" w:tblpY="214"/>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442"/>
        <w:gridCol w:w="1776"/>
        <w:gridCol w:w="4884"/>
      </w:tblGrid>
      <w:tr w14:paraId="238F3E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7" w:hRule="atLeast"/>
        </w:trPr>
        <w:tc>
          <w:tcPr>
            <w:tcW w:w="2442" w:type="dxa"/>
            <w:tcBorders>
              <w:top w:val="double" w:color="auto" w:sz="4" w:space="0"/>
            </w:tcBorders>
            <w:vAlign w:val="center"/>
          </w:tcPr>
          <w:p w14:paraId="19F62F2F">
            <w:pPr>
              <w:pageBreakBefore w:val="0"/>
              <w:kinsoku/>
              <w:wordWrap w:val="0"/>
              <w:overflowPunct/>
              <w:bidi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项目或指标</w:t>
            </w:r>
          </w:p>
        </w:tc>
        <w:tc>
          <w:tcPr>
            <w:tcW w:w="1776" w:type="dxa"/>
            <w:tcBorders>
              <w:top w:val="double" w:color="auto" w:sz="4" w:space="0"/>
            </w:tcBorders>
            <w:vAlign w:val="center"/>
          </w:tcPr>
          <w:p w14:paraId="0F95DB72">
            <w:pPr>
              <w:pageBreakBefore w:val="0"/>
              <w:kinsoku/>
              <w:wordWrap w:val="0"/>
              <w:overflowPunct/>
              <w:bidi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单位</w:t>
            </w:r>
          </w:p>
        </w:tc>
        <w:tc>
          <w:tcPr>
            <w:tcW w:w="4884" w:type="dxa"/>
            <w:tcBorders>
              <w:top w:val="double" w:color="auto" w:sz="4" w:space="0"/>
            </w:tcBorders>
            <w:vAlign w:val="center"/>
          </w:tcPr>
          <w:p w14:paraId="0C448CA2">
            <w:pPr>
              <w:pageBreakBefore w:val="0"/>
              <w:kinsoku/>
              <w:wordWrap w:val="0"/>
              <w:overflowPunct/>
              <w:bidi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p>
        </w:tc>
      </w:tr>
      <w:tr w14:paraId="08C9C6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5" w:hRule="atLeast"/>
        </w:trPr>
        <w:tc>
          <w:tcPr>
            <w:tcW w:w="2442" w:type="dxa"/>
          </w:tcPr>
          <w:p w14:paraId="3E91E1FA">
            <w:pPr>
              <w:pageBreakBefore w:val="0"/>
              <w:kinsoku/>
              <w:wordWrap w:val="0"/>
              <w:overflowPunct/>
              <w:bidi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一、注册资金</w:t>
            </w:r>
          </w:p>
        </w:tc>
        <w:tc>
          <w:tcPr>
            <w:tcW w:w="1776" w:type="dxa"/>
            <w:vAlign w:val="center"/>
          </w:tcPr>
          <w:p w14:paraId="39728630">
            <w:pPr>
              <w:pageBreakBefore w:val="0"/>
              <w:kinsoku/>
              <w:wordWrap w:val="0"/>
              <w:overflowPunct/>
              <w:bidi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万元</w:t>
            </w:r>
          </w:p>
        </w:tc>
        <w:tc>
          <w:tcPr>
            <w:tcW w:w="4884" w:type="dxa"/>
          </w:tcPr>
          <w:p w14:paraId="16461BFF">
            <w:pPr>
              <w:pageBreakBefore w:val="0"/>
              <w:kinsoku/>
              <w:wordWrap w:val="0"/>
              <w:overflowPunct/>
              <w:bidi w:val="0"/>
              <w:spacing w:line="360" w:lineRule="auto"/>
              <w:rPr>
                <w:rFonts w:hint="eastAsia" w:ascii="宋体" w:hAnsi="宋体" w:eastAsia="宋体" w:cs="宋体"/>
                <w:color w:val="auto"/>
                <w:sz w:val="24"/>
                <w:highlight w:val="none"/>
              </w:rPr>
            </w:pPr>
          </w:p>
        </w:tc>
      </w:tr>
      <w:tr w14:paraId="579F25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5" w:hRule="atLeast"/>
        </w:trPr>
        <w:tc>
          <w:tcPr>
            <w:tcW w:w="2442" w:type="dxa"/>
          </w:tcPr>
          <w:p w14:paraId="408A2353">
            <w:pPr>
              <w:pageBreakBefore w:val="0"/>
              <w:kinsoku/>
              <w:wordWrap w:val="0"/>
              <w:overflowPunct/>
              <w:bidi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二、净资产</w:t>
            </w:r>
          </w:p>
        </w:tc>
        <w:tc>
          <w:tcPr>
            <w:tcW w:w="1776" w:type="dxa"/>
            <w:vAlign w:val="center"/>
          </w:tcPr>
          <w:p w14:paraId="337F993F">
            <w:pPr>
              <w:pageBreakBefore w:val="0"/>
              <w:kinsoku/>
              <w:wordWrap w:val="0"/>
              <w:overflowPunct/>
              <w:bidi w:val="0"/>
              <w:spacing w:line="360" w:lineRule="auto"/>
              <w:jc w:val="center"/>
              <w:rPr>
                <w:rFonts w:hint="eastAsia" w:ascii="宋体" w:hAnsi="宋体" w:eastAsia="宋体" w:cs="宋体"/>
                <w:color w:val="auto"/>
                <w:highlight w:val="none"/>
              </w:rPr>
            </w:pPr>
            <w:r>
              <w:rPr>
                <w:rFonts w:hint="eastAsia" w:ascii="宋体" w:hAnsi="宋体" w:eastAsia="宋体" w:cs="宋体"/>
                <w:color w:val="auto"/>
                <w:sz w:val="24"/>
                <w:highlight w:val="none"/>
              </w:rPr>
              <w:t>万元</w:t>
            </w:r>
          </w:p>
        </w:tc>
        <w:tc>
          <w:tcPr>
            <w:tcW w:w="4884" w:type="dxa"/>
          </w:tcPr>
          <w:p w14:paraId="6DD27EFC">
            <w:pPr>
              <w:pageBreakBefore w:val="0"/>
              <w:kinsoku/>
              <w:wordWrap w:val="0"/>
              <w:overflowPunct/>
              <w:bidi w:val="0"/>
              <w:spacing w:line="360" w:lineRule="auto"/>
              <w:rPr>
                <w:rFonts w:hint="eastAsia" w:ascii="宋体" w:hAnsi="宋体" w:eastAsia="宋体" w:cs="宋体"/>
                <w:color w:val="auto"/>
                <w:sz w:val="24"/>
                <w:highlight w:val="none"/>
              </w:rPr>
            </w:pPr>
          </w:p>
        </w:tc>
      </w:tr>
      <w:tr w14:paraId="2D9833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5" w:hRule="atLeast"/>
        </w:trPr>
        <w:tc>
          <w:tcPr>
            <w:tcW w:w="2442" w:type="dxa"/>
          </w:tcPr>
          <w:p w14:paraId="1E78D824">
            <w:pPr>
              <w:pageBreakBefore w:val="0"/>
              <w:kinsoku/>
              <w:wordWrap w:val="0"/>
              <w:overflowPunct/>
              <w:bidi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三、总资产</w:t>
            </w:r>
          </w:p>
        </w:tc>
        <w:tc>
          <w:tcPr>
            <w:tcW w:w="1776" w:type="dxa"/>
            <w:vAlign w:val="center"/>
          </w:tcPr>
          <w:p w14:paraId="35DFCA6C">
            <w:pPr>
              <w:pageBreakBefore w:val="0"/>
              <w:kinsoku/>
              <w:wordWrap w:val="0"/>
              <w:overflowPunct/>
              <w:bidi w:val="0"/>
              <w:spacing w:line="360" w:lineRule="auto"/>
              <w:jc w:val="center"/>
              <w:rPr>
                <w:rFonts w:hint="eastAsia" w:ascii="宋体" w:hAnsi="宋体" w:eastAsia="宋体" w:cs="宋体"/>
                <w:color w:val="auto"/>
                <w:highlight w:val="none"/>
              </w:rPr>
            </w:pPr>
            <w:r>
              <w:rPr>
                <w:rFonts w:hint="eastAsia" w:ascii="宋体" w:hAnsi="宋体" w:eastAsia="宋体" w:cs="宋体"/>
                <w:color w:val="auto"/>
                <w:sz w:val="24"/>
                <w:highlight w:val="none"/>
              </w:rPr>
              <w:t>万元</w:t>
            </w:r>
          </w:p>
        </w:tc>
        <w:tc>
          <w:tcPr>
            <w:tcW w:w="4884" w:type="dxa"/>
          </w:tcPr>
          <w:p w14:paraId="3357F481">
            <w:pPr>
              <w:pageBreakBefore w:val="0"/>
              <w:kinsoku/>
              <w:wordWrap w:val="0"/>
              <w:overflowPunct/>
              <w:bidi w:val="0"/>
              <w:spacing w:line="360" w:lineRule="auto"/>
              <w:rPr>
                <w:rFonts w:hint="eastAsia" w:ascii="宋体" w:hAnsi="宋体" w:eastAsia="宋体" w:cs="宋体"/>
                <w:color w:val="auto"/>
                <w:sz w:val="24"/>
                <w:highlight w:val="none"/>
              </w:rPr>
            </w:pPr>
          </w:p>
        </w:tc>
      </w:tr>
      <w:tr w14:paraId="163DF8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5" w:hRule="atLeast"/>
        </w:trPr>
        <w:tc>
          <w:tcPr>
            <w:tcW w:w="2442" w:type="dxa"/>
          </w:tcPr>
          <w:p w14:paraId="3129F08A">
            <w:pPr>
              <w:pageBreakBefore w:val="0"/>
              <w:kinsoku/>
              <w:wordWrap w:val="0"/>
              <w:overflowPunct/>
              <w:bidi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四、固定资产</w:t>
            </w:r>
          </w:p>
        </w:tc>
        <w:tc>
          <w:tcPr>
            <w:tcW w:w="1776" w:type="dxa"/>
            <w:vAlign w:val="center"/>
          </w:tcPr>
          <w:p w14:paraId="63B14C29">
            <w:pPr>
              <w:pageBreakBefore w:val="0"/>
              <w:kinsoku/>
              <w:wordWrap w:val="0"/>
              <w:overflowPunct/>
              <w:bidi w:val="0"/>
              <w:spacing w:line="360" w:lineRule="auto"/>
              <w:jc w:val="center"/>
              <w:rPr>
                <w:rFonts w:hint="eastAsia" w:ascii="宋体" w:hAnsi="宋体" w:eastAsia="宋体" w:cs="宋体"/>
                <w:color w:val="auto"/>
                <w:highlight w:val="none"/>
              </w:rPr>
            </w:pPr>
            <w:r>
              <w:rPr>
                <w:rFonts w:hint="eastAsia" w:ascii="宋体" w:hAnsi="宋体" w:eastAsia="宋体" w:cs="宋体"/>
                <w:color w:val="auto"/>
                <w:sz w:val="24"/>
                <w:highlight w:val="none"/>
              </w:rPr>
              <w:t>万元</w:t>
            </w:r>
          </w:p>
        </w:tc>
        <w:tc>
          <w:tcPr>
            <w:tcW w:w="4884" w:type="dxa"/>
          </w:tcPr>
          <w:p w14:paraId="09CC9316">
            <w:pPr>
              <w:pageBreakBefore w:val="0"/>
              <w:kinsoku/>
              <w:wordWrap w:val="0"/>
              <w:overflowPunct/>
              <w:bidi w:val="0"/>
              <w:spacing w:line="360" w:lineRule="auto"/>
              <w:rPr>
                <w:rFonts w:hint="eastAsia" w:ascii="宋体" w:hAnsi="宋体" w:eastAsia="宋体" w:cs="宋体"/>
                <w:color w:val="auto"/>
                <w:sz w:val="24"/>
                <w:highlight w:val="none"/>
              </w:rPr>
            </w:pPr>
          </w:p>
        </w:tc>
      </w:tr>
      <w:tr w14:paraId="3CDA22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5" w:hRule="atLeast"/>
        </w:trPr>
        <w:tc>
          <w:tcPr>
            <w:tcW w:w="2442" w:type="dxa"/>
          </w:tcPr>
          <w:p w14:paraId="7469D0BE">
            <w:pPr>
              <w:pageBreakBefore w:val="0"/>
              <w:kinsoku/>
              <w:wordWrap w:val="0"/>
              <w:overflowPunct/>
              <w:bidi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五、流动资产</w:t>
            </w:r>
          </w:p>
        </w:tc>
        <w:tc>
          <w:tcPr>
            <w:tcW w:w="1776" w:type="dxa"/>
            <w:vAlign w:val="center"/>
          </w:tcPr>
          <w:p w14:paraId="1DCEF1DB">
            <w:pPr>
              <w:pageBreakBefore w:val="0"/>
              <w:kinsoku/>
              <w:wordWrap w:val="0"/>
              <w:overflowPunct/>
              <w:bidi w:val="0"/>
              <w:spacing w:line="360" w:lineRule="auto"/>
              <w:jc w:val="center"/>
              <w:rPr>
                <w:rFonts w:hint="eastAsia" w:ascii="宋体" w:hAnsi="宋体" w:eastAsia="宋体" w:cs="宋体"/>
                <w:color w:val="auto"/>
                <w:highlight w:val="none"/>
              </w:rPr>
            </w:pPr>
            <w:r>
              <w:rPr>
                <w:rFonts w:hint="eastAsia" w:ascii="宋体" w:hAnsi="宋体" w:eastAsia="宋体" w:cs="宋体"/>
                <w:color w:val="auto"/>
                <w:sz w:val="24"/>
                <w:highlight w:val="none"/>
              </w:rPr>
              <w:t>万元</w:t>
            </w:r>
          </w:p>
        </w:tc>
        <w:tc>
          <w:tcPr>
            <w:tcW w:w="4884" w:type="dxa"/>
          </w:tcPr>
          <w:p w14:paraId="38DF41CA">
            <w:pPr>
              <w:pageBreakBefore w:val="0"/>
              <w:kinsoku/>
              <w:wordWrap w:val="0"/>
              <w:overflowPunct/>
              <w:bidi w:val="0"/>
              <w:spacing w:line="360" w:lineRule="auto"/>
              <w:rPr>
                <w:rFonts w:hint="eastAsia" w:ascii="宋体" w:hAnsi="宋体" w:eastAsia="宋体" w:cs="宋体"/>
                <w:color w:val="auto"/>
                <w:sz w:val="24"/>
                <w:highlight w:val="none"/>
              </w:rPr>
            </w:pPr>
          </w:p>
        </w:tc>
      </w:tr>
      <w:tr w14:paraId="22B41D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5" w:hRule="atLeast"/>
        </w:trPr>
        <w:tc>
          <w:tcPr>
            <w:tcW w:w="2442" w:type="dxa"/>
          </w:tcPr>
          <w:p w14:paraId="5201369B">
            <w:pPr>
              <w:pageBreakBefore w:val="0"/>
              <w:kinsoku/>
              <w:wordWrap w:val="0"/>
              <w:overflowPunct/>
              <w:bidi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六、流动负债</w:t>
            </w:r>
          </w:p>
        </w:tc>
        <w:tc>
          <w:tcPr>
            <w:tcW w:w="1776" w:type="dxa"/>
            <w:vAlign w:val="center"/>
          </w:tcPr>
          <w:p w14:paraId="031F1394">
            <w:pPr>
              <w:pageBreakBefore w:val="0"/>
              <w:kinsoku/>
              <w:wordWrap w:val="0"/>
              <w:overflowPunct/>
              <w:bidi w:val="0"/>
              <w:spacing w:line="360" w:lineRule="auto"/>
              <w:jc w:val="center"/>
              <w:rPr>
                <w:rFonts w:hint="eastAsia" w:ascii="宋体" w:hAnsi="宋体" w:eastAsia="宋体" w:cs="宋体"/>
                <w:color w:val="auto"/>
                <w:highlight w:val="none"/>
              </w:rPr>
            </w:pPr>
            <w:r>
              <w:rPr>
                <w:rFonts w:hint="eastAsia" w:ascii="宋体" w:hAnsi="宋体" w:eastAsia="宋体" w:cs="宋体"/>
                <w:color w:val="auto"/>
                <w:sz w:val="24"/>
                <w:highlight w:val="none"/>
              </w:rPr>
              <w:t>万元</w:t>
            </w:r>
          </w:p>
        </w:tc>
        <w:tc>
          <w:tcPr>
            <w:tcW w:w="4884" w:type="dxa"/>
          </w:tcPr>
          <w:p w14:paraId="2DA246CF">
            <w:pPr>
              <w:pageBreakBefore w:val="0"/>
              <w:kinsoku/>
              <w:wordWrap w:val="0"/>
              <w:overflowPunct/>
              <w:bidi w:val="0"/>
              <w:spacing w:line="360" w:lineRule="auto"/>
              <w:rPr>
                <w:rFonts w:hint="eastAsia" w:ascii="宋体" w:hAnsi="宋体" w:eastAsia="宋体" w:cs="宋体"/>
                <w:color w:val="auto"/>
                <w:sz w:val="24"/>
                <w:highlight w:val="none"/>
              </w:rPr>
            </w:pPr>
          </w:p>
        </w:tc>
      </w:tr>
      <w:tr w14:paraId="2CB5AA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5" w:hRule="atLeast"/>
        </w:trPr>
        <w:tc>
          <w:tcPr>
            <w:tcW w:w="2442" w:type="dxa"/>
          </w:tcPr>
          <w:p w14:paraId="2C85C1BA">
            <w:pPr>
              <w:pageBreakBefore w:val="0"/>
              <w:kinsoku/>
              <w:wordWrap w:val="0"/>
              <w:overflowPunct/>
              <w:bidi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七、负债合计</w:t>
            </w:r>
          </w:p>
        </w:tc>
        <w:tc>
          <w:tcPr>
            <w:tcW w:w="1776" w:type="dxa"/>
            <w:vAlign w:val="center"/>
          </w:tcPr>
          <w:p w14:paraId="605EC020">
            <w:pPr>
              <w:pageBreakBefore w:val="0"/>
              <w:kinsoku/>
              <w:wordWrap w:val="0"/>
              <w:overflowPunct/>
              <w:bidi w:val="0"/>
              <w:spacing w:line="360" w:lineRule="auto"/>
              <w:jc w:val="center"/>
              <w:rPr>
                <w:rFonts w:hint="eastAsia" w:ascii="宋体" w:hAnsi="宋体" w:eastAsia="宋体" w:cs="宋体"/>
                <w:color w:val="auto"/>
                <w:highlight w:val="none"/>
              </w:rPr>
            </w:pPr>
            <w:r>
              <w:rPr>
                <w:rFonts w:hint="eastAsia" w:ascii="宋体" w:hAnsi="宋体" w:eastAsia="宋体" w:cs="宋体"/>
                <w:color w:val="auto"/>
                <w:sz w:val="24"/>
                <w:highlight w:val="none"/>
              </w:rPr>
              <w:t>万元</w:t>
            </w:r>
          </w:p>
        </w:tc>
        <w:tc>
          <w:tcPr>
            <w:tcW w:w="4884" w:type="dxa"/>
          </w:tcPr>
          <w:p w14:paraId="5F471338">
            <w:pPr>
              <w:pageBreakBefore w:val="0"/>
              <w:kinsoku/>
              <w:wordWrap w:val="0"/>
              <w:overflowPunct/>
              <w:bidi w:val="0"/>
              <w:spacing w:line="360" w:lineRule="auto"/>
              <w:rPr>
                <w:rFonts w:hint="eastAsia" w:ascii="宋体" w:hAnsi="宋体" w:eastAsia="宋体" w:cs="宋体"/>
                <w:color w:val="auto"/>
                <w:sz w:val="24"/>
                <w:highlight w:val="none"/>
              </w:rPr>
            </w:pPr>
          </w:p>
        </w:tc>
      </w:tr>
      <w:tr w14:paraId="5179CC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5" w:hRule="atLeast"/>
        </w:trPr>
        <w:tc>
          <w:tcPr>
            <w:tcW w:w="2442" w:type="dxa"/>
          </w:tcPr>
          <w:p w14:paraId="66109A35">
            <w:pPr>
              <w:pageBreakBefore w:val="0"/>
              <w:kinsoku/>
              <w:wordWrap w:val="0"/>
              <w:overflowPunct/>
              <w:bidi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八、营业收入</w:t>
            </w:r>
          </w:p>
        </w:tc>
        <w:tc>
          <w:tcPr>
            <w:tcW w:w="1776" w:type="dxa"/>
            <w:vAlign w:val="center"/>
          </w:tcPr>
          <w:p w14:paraId="47F4FAE6">
            <w:pPr>
              <w:pageBreakBefore w:val="0"/>
              <w:kinsoku/>
              <w:wordWrap w:val="0"/>
              <w:overflowPunct/>
              <w:bidi w:val="0"/>
              <w:spacing w:line="360" w:lineRule="auto"/>
              <w:jc w:val="center"/>
              <w:rPr>
                <w:rFonts w:hint="eastAsia" w:ascii="宋体" w:hAnsi="宋体" w:eastAsia="宋体" w:cs="宋体"/>
                <w:color w:val="auto"/>
                <w:highlight w:val="none"/>
              </w:rPr>
            </w:pPr>
            <w:r>
              <w:rPr>
                <w:rFonts w:hint="eastAsia" w:ascii="宋体" w:hAnsi="宋体" w:eastAsia="宋体" w:cs="宋体"/>
                <w:color w:val="auto"/>
                <w:sz w:val="24"/>
                <w:highlight w:val="none"/>
              </w:rPr>
              <w:t>万元</w:t>
            </w:r>
          </w:p>
        </w:tc>
        <w:tc>
          <w:tcPr>
            <w:tcW w:w="4884" w:type="dxa"/>
          </w:tcPr>
          <w:p w14:paraId="1F6D0C86">
            <w:pPr>
              <w:pageBreakBefore w:val="0"/>
              <w:kinsoku/>
              <w:wordWrap w:val="0"/>
              <w:overflowPunct/>
              <w:bidi w:val="0"/>
              <w:spacing w:line="360" w:lineRule="auto"/>
              <w:rPr>
                <w:rFonts w:hint="eastAsia" w:ascii="宋体" w:hAnsi="宋体" w:eastAsia="宋体" w:cs="宋体"/>
                <w:color w:val="auto"/>
                <w:sz w:val="24"/>
                <w:highlight w:val="none"/>
              </w:rPr>
            </w:pPr>
          </w:p>
        </w:tc>
      </w:tr>
      <w:tr w14:paraId="6DE6E3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5" w:hRule="atLeast"/>
        </w:trPr>
        <w:tc>
          <w:tcPr>
            <w:tcW w:w="2442" w:type="dxa"/>
          </w:tcPr>
          <w:p w14:paraId="6A284A8D">
            <w:pPr>
              <w:pageBreakBefore w:val="0"/>
              <w:kinsoku/>
              <w:wordWrap w:val="0"/>
              <w:overflowPunct/>
              <w:bidi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九、净利润</w:t>
            </w:r>
          </w:p>
        </w:tc>
        <w:tc>
          <w:tcPr>
            <w:tcW w:w="1776" w:type="dxa"/>
            <w:vAlign w:val="center"/>
          </w:tcPr>
          <w:p w14:paraId="50D0AE38">
            <w:pPr>
              <w:pageBreakBefore w:val="0"/>
              <w:kinsoku/>
              <w:wordWrap w:val="0"/>
              <w:overflowPunct/>
              <w:bidi w:val="0"/>
              <w:spacing w:line="360" w:lineRule="auto"/>
              <w:jc w:val="center"/>
              <w:rPr>
                <w:rFonts w:hint="eastAsia" w:ascii="宋体" w:hAnsi="宋体" w:eastAsia="宋体" w:cs="宋体"/>
                <w:color w:val="auto"/>
                <w:highlight w:val="none"/>
              </w:rPr>
            </w:pPr>
            <w:r>
              <w:rPr>
                <w:rFonts w:hint="eastAsia" w:ascii="宋体" w:hAnsi="宋体" w:eastAsia="宋体" w:cs="宋体"/>
                <w:color w:val="auto"/>
                <w:sz w:val="24"/>
                <w:highlight w:val="none"/>
              </w:rPr>
              <w:t>万元</w:t>
            </w:r>
          </w:p>
        </w:tc>
        <w:tc>
          <w:tcPr>
            <w:tcW w:w="4884" w:type="dxa"/>
          </w:tcPr>
          <w:p w14:paraId="10E291E4">
            <w:pPr>
              <w:pageBreakBefore w:val="0"/>
              <w:kinsoku/>
              <w:wordWrap w:val="0"/>
              <w:overflowPunct/>
              <w:bidi w:val="0"/>
              <w:spacing w:line="360" w:lineRule="auto"/>
              <w:rPr>
                <w:rFonts w:hint="eastAsia" w:ascii="宋体" w:hAnsi="宋体" w:eastAsia="宋体" w:cs="宋体"/>
                <w:color w:val="auto"/>
                <w:sz w:val="24"/>
                <w:highlight w:val="none"/>
              </w:rPr>
            </w:pPr>
          </w:p>
        </w:tc>
      </w:tr>
      <w:tr w14:paraId="0600A3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5" w:hRule="atLeast"/>
        </w:trPr>
        <w:tc>
          <w:tcPr>
            <w:tcW w:w="2442" w:type="dxa"/>
          </w:tcPr>
          <w:p w14:paraId="0BA94F79">
            <w:pPr>
              <w:pageBreakBefore w:val="0"/>
              <w:kinsoku/>
              <w:wordWrap w:val="0"/>
              <w:overflowPunct/>
              <w:bidi w:val="0"/>
              <w:spacing w:line="360" w:lineRule="auto"/>
              <w:rPr>
                <w:rFonts w:hint="eastAsia" w:ascii="宋体" w:hAnsi="宋体" w:eastAsia="宋体" w:cs="宋体"/>
                <w:color w:val="auto"/>
                <w:sz w:val="24"/>
                <w:highlight w:val="none"/>
              </w:rPr>
            </w:pPr>
          </w:p>
        </w:tc>
        <w:tc>
          <w:tcPr>
            <w:tcW w:w="1776" w:type="dxa"/>
          </w:tcPr>
          <w:p w14:paraId="098D9DD2">
            <w:pPr>
              <w:pageBreakBefore w:val="0"/>
              <w:kinsoku/>
              <w:wordWrap w:val="0"/>
              <w:overflowPunct/>
              <w:bidi w:val="0"/>
              <w:spacing w:line="360" w:lineRule="auto"/>
              <w:rPr>
                <w:rFonts w:hint="eastAsia" w:ascii="宋体" w:hAnsi="宋体" w:eastAsia="宋体" w:cs="宋体"/>
                <w:color w:val="auto"/>
                <w:sz w:val="24"/>
                <w:highlight w:val="none"/>
              </w:rPr>
            </w:pPr>
          </w:p>
        </w:tc>
        <w:tc>
          <w:tcPr>
            <w:tcW w:w="4884" w:type="dxa"/>
          </w:tcPr>
          <w:p w14:paraId="0365D984">
            <w:pPr>
              <w:pageBreakBefore w:val="0"/>
              <w:kinsoku/>
              <w:wordWrap w:val="0"/>
              <w:overflowPunct/>
              <w:bidi w:val="0"/>
              <w:spacing w:line="360" w:lineRule="auto"/>
              <w:rPr>
                <w:rFonts w:hint="eastAsia" w:ascii="宋体" w:hAnsi="宋体" w:eastAsia="宋体" w:cs="宋体"/>
                <w:color w:val="auto"/>
                <w:sz w:val="24"/>
                <w:highlight w:val="none"/>
              </w:rPr>
            </w:pPr>
          </w:p>
        </w:tc>
      </w:tr>
      <w:tr w14:paraId="0994E0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5" w:hRule="atLeast"/>
        </w:trPr>
        <w:tc>
          <w:tcPr>
            <w:tcW w:w="2442" w:type="dxa"/>
            <w:tcBorders>
              <w:bottom w:val="double" w:color="auto" w:sz="4" w:space="0"/>
            </w:tcBorders>
          </w:tcPr>
          <w:p w14:paraId="789C0347">
            <w:pPr>
              <w:pageBreakBefore w:val="0"/>
              <w:kinsoku/>
              <w:wordWrap w:val="0"/>
              <w:overflowPunct/>
              <w:bidi w:val="0"/>
              <w:spacing w:line="360" w:lineRule="auto"/>
              <w:rPr>
                <w:rFonts w:hint="eastAsia" w:ascii="宋体" w:hAnsi="宋体" w:eastAsia="宋体" w:cs="宋体"/>
                <w:color w:val="auto"/>
                <w:sz w:val="24"/>
                <w:highlight w:val="none"/>
              </w:rPr>
            </w:pPr>
          </w:p>
        </w:tc>
        <w:tc>
          <w:tcPr>
            <w:tcW w:w="1776" w:type="dxa"/>
            <w:tcBorders>
              <w:bottom w:val="double" w:color="auto" w:sz="4" w:space="0"/>
            </w:tcBorders>
          </w:tcPr>
          <w:p w14:paraId="305A7E34">
            <w:pPr>
              <w:pageBreakBefore w:val="0"/>
              <w:kinsoku/>
              <w:wordWrap w:val="0"/>
              <w:overflowPunct/>
              <w:bidi w:val="0"/>
              <w:spacing w:line="360" w:lineRule="auto"/>
              <w:rPr>
                <w:rFonts w:hint="eastAsia" w:ascii="宋体" w:hAnsi="宋体" w:eastAsia="宋体" w:cs="宋体"/>
                <w:color w:val="auto"/>
                <w:sz w:val="24"/>
                <w:highlight w:val="none"/>
              </w:rPr>
            </w:pPr>
          </w:p>
        </w:tc>
        <w:tc>
          <w:tcPr>
            <w:tcW w:w="4884" w:type="dxa"/>
            <w:tcBorders>
              <w:bottom w:val="double" w:color="auto" w:sz="4" w:space="0"/>
            </w:tcBorders>
          </w:tcPr>
          <w:p w14:paraId="2FF95E8E">
            <w:pPr>
              <w:pageBreakBefore w:val="0"/>
              <w:kinsoku/>
              <w:wordWrap w:val="0"/>
              <w:overflowPunct/>
              <w:bidi w:val="0"/>
              <w:spacing w:line="360" w:lineRule="auto"/>
              <w:rPr>
                <w:rFonts w:hint="eastAsia" w:ascii="宋体" w:hAnsi="宋体" w:eastAsia="宋体" w:cs="宋体"/>
                <w:color w:val="auto"/>
                <w:sz w:val="24"/>
                <w:highlight w:val="none"/>
              </w:rPr>
            </w:pPr>
          </w:p>
        </w:tc>
      </w:tr>
    </w:tbl>
    <w:p w14:paraId="38D21B34">
      <w:pPr>
        <w:pStyle w:val="13"/>
        <w:pageBreakBefore w:val="0"/>
        <w:kinsoku/>
        <w:wordWrap w:val="0"/>
        <w:overflowPunct/>
        <w:bidi w:val="0"/>
        <w:ind w:left="660"/>
        <w:rPr>
          <w:rFonts w:hint="eastAsia" w:ascii="宋体" w:hAnsi="宋体" w:eastAsia="宋体" w:cs="宋体"/>
          <w:color w:val="auto"/>
          <w:highlight w:val="none"/>
        </w:rPr>
      </w:pPr>
    </w:p>
    <w:p w14:paraId="083BE3D5">
      <w:pPr>
        <w:pStyle w:val="13"/>
        <w:pageBreakBefore w:val="0"/>
        <w:kinsoku/>
        <w:wordWrap w:val="0"/>
        <w:overflowPunct/>
        <w:bidi w:val="0"/>
        <w:ind w:left="660"/>
        <w:rPr>
          <w:rFonts w:hint="eastAsia" w:ascii="宋体" w:hAnsi="宋体" w:eastAsia="宋体" w:cs="宋体"/>
          <w:color w:val="auto"/>
          <w:highlight w:val="none"/>
        </w:rPr>
      </w:pPr>
      <w:r>
        <w:rPr>
          <w:rFonts w:hint="eastAsia" w:ascii="宋体" w:hAnsi="宋体" w:eastAsia="宋体" w:cs="宋体"/>
          <w:color w:val="auto"/>
          <w:highlight w:val="none"/>
        </w:rPr>
        <w:t>注：</w:t>
      </w:r>
    </w:p>
    <w:p w14:paraId="7680A13E">
      <w:pPr>
        <w:pageBreakBefore w:val="0"/>
        <w:numPr>
          <w:ilvl w:val="0"/>
          <w:numId w:val="5"/>
        </w:numPr>
        <w:kinsoku/>
        <w:wordWrap w:val="0"/>
        <w:overflowPunct/>
        <w:bidi w:val="0"/>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投标人</w:t>
      </w:r>
      <w:r>
        <w:rPr>
          <w:rFonts w:hint="eastAsia" w:ascii="宋体" w:hAnsi="宋体" w:eastAsia="宋体" w:cs="宋体"/>
          <w:color w:val="auto"/>
          <w:sz w:val="24"/>
          <w:szCs w:val="28"/>
          <w:highlight w:val="none"/>
        </w:rPr>
        <w:t>应根据</w:t>
      </w:r>
      <w:r>
        <w:rPr>
          <w:rFonts w:hint="eastAsia" w:ascii="宋体" w:hAnsi="宋体" w:eastAsia="宋体" w:cs="宋体"/>
          <w:color w:val="auto"/>
          <w:sz w:val="24"/>
          <w:szCs w:val="28"/>
          <w:highlight w:val="none"/>
          <w:lang w:val="en-US" w:eastAsia="zh-CN"/>
        </w:rPr>
        <w:t>招标</w:t>
      </w:r>
      <w:r>
        <w:rPr>
          <w:rFonts w:hint="eastAsia" w:ascii="宋体" w:hAnsi="宋体" w:eastAsia="宋体" w:cs="宋体"/>
          <w:color w:val="auto"/>
          <w:sz w:val="24"/>
          <w:szCs w:val="28"/>
          <w:highlight w:val="none"/>
        </w:rPr>
        <w:t>文件第二章“</w:t>
      </w:r>
      <w:r>
        <w:rPr>
          <w:rFonts w:hint="eastAsia" w:ascii="宋体" w:hAnsi="宋体" w:eastAsia="宋体" w:cs="宋体"/>
          <w:color w:val="auto"/>
          <w:sz w:val="24"/>
          <w:szCs w:val="28"/>
          <w:highlight w:val="none"/>
          <w:lang w:val="en-US" w:eastAsia="zh-CN"/>
        </w:rPr>
        <w:t>投标人</w:t>
      </w:r>
      <w:r>
        <w:rPr>
          <w:rFonts w:hint="eastAsia" w:ascii="宋体" w:hAnsi="宋体" w:eastAsia="宋体" w:cs="宋体"/>
          <w:color w:val="auto"/>
          <w:sz w:val="24"/>
          <w:szCs w:val="28"/>
          <w:highlight w:val="none"/>
        </w:rPr>
        <w:t>须知前附表</w:t>
      </w:r>
      <w:r>
        <w:rPr>
          <w:rFonts w:hint="eastAsia" w:ascii="宋体" w:hAnsi="宋体" w:eastAsia="宋体" w:cs="宋体"/>
          <w:color w:val="auto"/>
          <w:sz w:val="24"/>
          <w:szCs w:val="28"/>
          <w:highlight w:val="none"/>
          <w:lang w:val="en-US" w:eastAsia="zh-CN"/>
        </w:rPr>
        <w:t>1.4.1</w:t>
      </w: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lang w:val="en-US" w:eastAsia="zh-CN"/>
        </w:rPr>
        <w:t>中1.2</w:t>
      </w:r>
      <w:r>
        <w:rPr>
          <w:rFonts w:hint="eastAsia" w:ascii="宋体" w:hAnsi="宋体" w:eastAsia="宋体" w:cs="宋体"/>
          <w:color w:val="auto"/>
          <w:sz w:val="24"/>
          <w:szCs w:val="28"/>
          <w:highlight w:val="none"/>
        </w:rPr>
        <w:t>的要求后附相关证明</w:t>
      </w:r>
      <w:r>
        <w:rPr>
          <w:rFonts w:hint="eastAsia" w:ascii="宋体" w:hAnsi="宋体" w:eastAsia="宋体" w:cs="宋体"/>
          <w:color w:val="auto"/>
          <w:sz w:val="24"/>
          <w:szCs w:val="28"/>
          <w:highlight w:val="none"/>
          <w:lang w:val="en-US" w:eastAsia="zh-CN"/>
        </w:rPr>
        <w:t>材料；</w:t>
      </w:r>
    </w:p>
    <w:p w14:paraId="30A33DB9">
      <w:pPr>
        <w:pageBreakBefore w:val="0"/>
        <w:numPr>
          <w:ilvl w:val="0"/>
          <w:numId w:val="5"/>
        </w:numPr>
        <w:kinsoku/>
        <w:wordWrap w:val="0"/>
        <w:overflowPunct/>
        <w:bidi w:val="0"/>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本表所列数据必须与本表各附件中的数据相一致。</w:t>
      </w:r>
    </w:p>
    <w:p w14:paraId="6ABA5715">
      <w:pPr>
        <w:pageBreakBefore w:val="0"/>
        <w:numPr>
          <w:ilvl w:val="0"/>
          <w:numId w:val="5"/>
        </w:numPr>
        <w:kinsoku/>
        <w:wordWrap w:val="0"/>
        <w:overflowPunct/>
        <w:bidi w:val="0"/>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保留小数点二位，第三位四舍五入。</w:t>
      </w:r>
    </w:p>
    <w:p w14:paraId="010E360B">
      <w:pPr>
        <w:pageBreakBefore w:val="0"/>
        <w:kinsoku/>
        <w:wordWrap w:val="0"/>
        <w:overflowPunct/>
        <w:bidi w:val="0"/>
        <w:rPr>
          <w:rFonts w:hint="eastAsia" w:ascii="宋体" w:hAnsi="宋体" w:eastAsia="宋体" w:cs="宋体"/>
          <w:color w:val="auto"/>
          <w:sz w:val="32"/>
          <w:szCs w:val="36"/>
          <w:highlight w:val="none"/>
          <w:lang w:val="en-US" w:eastAsia="zh-CN"/>
        </w:rPr>
      </w:pPr>
      <w:r>
        <w:rPr>
          <w:rFonts w:hint="eastAsia" w:ascii="宋体" w:hAnsi="宋体" w:eastAsia="宋体" w:cs="宋体"/>
          <w:color w:val="auto"/>
          <w:sz w:val="32"/>
          <w:szCs w:val="36"/>
          <w:highlight w:val="none"/>
          <w:lang w:val="en-US" w:eastAsia="zh-CN"/>
        </w:rPr>
        <w:br w:type="page"/>
      </w:r>
    </w:p>
    <w:p w14:paraId="65362CAA">
      <w:pPr>
        <w:pStyle w:val="4"/>
        <w:pageBreakBefore w:val="0"/>
        <w:kinsoku/>
        <w:wordWrap w:val="0"/>
        <w:overflowPunct/>
        <w:bidi w:val="0"/>
        <w:spacing w:before="43"/>
        <w:ind w:firstLine="0" w:firstLineChars="0"/>
        <w:jc w:val="center"/>
        <w:rPr>
          <w:rFonts w:hint="eastAsia" w:ascii="宋体" w:hAnsi="宋体" w:eastAsia="宋体" w:cs="宋体"/>
          <w:color w:val="auto"/>
          <w:sz w:val="28"/>
          <w:szCs w:val="32"/>
          <w:highlight w:val="none"/>
          <w:lang w:eastAsia="zh-CN"/>
        </w:rPr>
      </w:pPr>
      <w:bookmarkStart w:id="283" w:name="_Toc528"/>
      <w:bookmarkStart w:id="284" w:name="_Toc19713"/>
      <w:r>
        <w:rPr>
          <w:rFonts w:hint="eastAsia" w:ascii="宋体" w:hAnsi="宋体" w:eastAsia="宋体" w:cs="宋体"/>
          <w:color w:val="auto"/>
          <w:sz w:val="28"/>
          <w:szCs w:val="32"/>
          <w:highlight w:val="none"/>
          <w:lang w:val="en-US" w:eastAsia="zh-CN"/>
        </w:rPr>
        <w:t>（三）</w:t>
      </w:r>
      <w:r>
        <w:rPr>
          <w:rFonts w:hint="eastAsia" w:ascii="宋体" w:hAnsi="宋体" w:eastAsia="宋体" w:cs="宋体"/>
          <w:color w:val="auto"/>
          <w:sz w:val="28"/>
          <w:szCs w:val="32"/>
          <w:highlight w:val="none"/>
          <w:lang w:eastAsia="zh-CN"/>
        </w:rPr>
        <w:t>具有履行合同所必需的设备和专业技术能力</w:t>
      </w:r>
      <w:bookmarkEnd w:id="283"/>
      <w:bookmarkEnd w:id="284"/>
    </w:p>
    <w:p w14:paraId="376BF626">
      <w:pPr>
        <w:pageBreakBefore w:val="0"/>
        <w:numPr>
          <w:ilvl w:val="0"/>
          <w:numId w:val="0"/>
        </w:numPr>
        <w:kinsoku/>
        <w:wordWrap w:val="0"/>
        <w:overflowPunct/>
        <w:bidi w:val="0"/>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投标人应根据招标文件第二章“投标人须知前附表1.4.1”中1.</w:t>
      </w:r>
      <w:r>
        <w:rPr>
          <w:rFonts w:hint="eastAsia" w:ascii="宋体" w:hAnsi="宋体" w:eastAsia="宋体" w:cs="宋体"/>
          <w:color w:val="auto"/>
          <w:sz w:val="24"/>
          <w:szCs w:val="28"/>
          <w:highlight w:val="none"/>
          <w:lang w:val="en-US" w:eastAsia="zh-CN"/>
        </w:rPr>
        <w:t>3</w:t>
      </w:r>
      <w:r>
        <w:rPr>
          <w:rFonts w:hint="eastAsia" w:ascii="宋体" w:hAnsi="宋体" w:eastAsia="宋体" w:cs="宋体"/>
          <w:color w:val="auto"/>
          <w:sz w:val="24"/>
          <w:szCs w:val="28"/>
          <w:highlight w:val="none"/>
        </w:rPr>
        <w:t>的要求后附相关证明材料；</w:t>
      </w:r>
    </w:p>
    <w:p w14:paraId="442F305B">
      <w:pPr>
        <w:pageBreakBefore w:val="0"/>
        <w:numPr>
          <w:ilvl w:val="0"/>
          <w:numId w:val="0"/>
        </w:numPr>
        <w:kinsoku/>
        <w:wordWrap w:val="0"/>
        <w:overflowPunct/>
        <w:bidi w:val="0"/>
        <w:spacing w:line="360" w:lineRule="auto"/>
        <w:ind w:firstLine="480" w:firstLineChars="200"/>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格式自拟</w:t>
      </w:r>
    </w:p>
    <w:p w14:paraId="6A7B5364">
      <w:pPr>
        <w:pStyle w:val="4"/>
        <w:pageBreakBefore w:val="0"/>
        <w:kinsoku/>
        <w:wordWrap w:val="0"/>
        <w:overflowPunct/>
        <w:bidi w:val="0"/>
        <w:spacing w:before="43"/>
        <w:ind w:firstLine="0" w:firstLineChars="0"/>
        <w:jc w:val="center"/>
        <w:rPr>
          <w:rFonts w:hint="eastAsia" w:ascii="宋体" w:hAnsi="宋体" w:eastAsia="宋体" w:cs="宋体"/>
          <w:color w:val="auto"/>
          <w:sz w:val="32"/>
          <w:szCs w:val="36"/>
          <w:highlight w:val="none"/>
          <w:lang w:val="en-US" w:eastAsia="zh-CN"/>
        </w:rPr>
      </w:pPr>
    </w:p>
    <w:p w14:paraId="1B6109FF">
      <w:pPr>
        <w:pStyle w:val="4"/>
        <w:pageBreakBefore w:val="0"/>
        <w:kinsoku/>
        <w:wordWrap w:val="0"/>
        <w:overflowPunct/>
        <w:bidi w:val="0"/>
        <w:spacing w:before="43"/>
        <w:ind w:firstLine="0" w:firstLineChars="0"/>
        <w:jc w:val="center"/>
        <w:rPr>
          <w:rFonts w:hint="eastAsia" w:ascii="宋体" w:hAnsi="宋体" w:eastAsia="宋体" w:cs="宋体"/>
          <w:color w:val="auto"/>
          <w:sz w:val="32"/>
          <w:szCs w:val="36"/>
          <w:highlight w:val="none"/>
          <w:lang w:val="en-US" w:eastAsia="zh-CN"/>
        </w:rPr>
      </w:pPr>
      <w:bookmarkStart w:id="285" w:name="_Toc26001"/>
      <w:bookmarkStart w:id="286" w:name="_Toc11595"/>
      <w:r>
        <w:rPr>
          <w:rFonts w:hint="eastAsia" w:ascii="宋体" w:hAnsi="宋体" w:eastAsia="宋体" w:cs="宋体"/>
          <w:color w:val="auto"/>
          <w:sz w:val="28"/>
          <w:szCs w:val="32"/>
          <w:highlight w:val="none"/>
          <w:lang w:val="en-US" w:eastAsia="zh-CN"/>
        </w:rPr>
        <w:t>（四）</w:t>
      </w:r>
      <w:r>
        <w:rPr>
          <w:rFonts w:hint="eastAsia" w:ascii="宋体" w:hAnsi="宋体" w:eastAsia="宋体" w:cs="宋体"/>
          <w:color w:val="auto"/>
          <w:sz w:val="28"/>
          <w:szCs w:val="32"/>
          <w:highlight w:val="none"/>
          <w:lang w:eastAsia="zh-CN"/>
        </w:rPr>
        <w:t>有依法缴纳税收和社会保障资金的良好记录</w:t>
      </w:r>
      <w:bookmarkEnd w:id="285"/>
      <w:bookmarkEnd w:id="286"/>
    </w:p>
    <w:p w14:paraId="0D1E4153">
      <w:pPr>
        <w:pageBreakBefore w:val="0"/>
        <w:numPr>
          <w:ilvl w:val="0"/>
          <w:numId w:val="0"/>
        </w:numPr>
        <w:kinsoku/>
        <w:wordWrap w:val="0"/>
        <w:overflowPunct/>
        <w:bidi w:val="0"/>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投标人应根据招标文件第二章“投标人须知前附表1.4.1”中1.</w:t>
      </w:r>
      <w:r>
        <w:rPr>
          <w:rFonts w:hint="eastAsia" w:ascii="宋体" w:hAnsi="宋体" w:eastAsia="宋体" w:cs="宋体"/>
          <w:color w:val="auto"/>
          <w:sz w:val="24"/>
          <w:szCs w:val="28"/>
          <w:highlight w:val="none"/>
          <w:lang w:val="en-US" w:eastAsia="zh-CN"/>
        </w:rPr>
        <w:t>4</w:t>
      </w:r>
      <w:r>
        <w:rPr>
          <w:rFonts w:hint="eastAsia" w:ascii="宋体" w:hAnsi="宋体" w:eastAsia="宋体" w:cs="宋体"/>
          <w:color w:val="auto"/>
          <w:sz w:val="24"/>
          <w:szCs w:val="28"/>
          <w:highlight w:val="none"/>
        </w:rPr>
        <w:t>的要求后附相关证明材料；</w:t>
      </w:r>
    </w:p>
    <w:p w14:paraId="02E4882C">
      <w:pPr>
        <w:pageBreakBefore w:val="0"/>
        <w:numPr>
          <w:ilvl w:val="0"/>
          <w:numId w:val="0"/>
        </w:numPr>
        <w:kinsoku/>
        <w:wordWrap w:val="0"/>
        <w:overflowPunct/>
        <w:bidi w:val="0"/>
        <w:spacing w:line="360" w:lineRule="auto"/>
        <w:ind w:firstLine="480" w:firstLineChars="200"/>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格式自拟</w:t>
      </w:r>
    </w:p>
    <w:p w14:paraId="1AF46911">
      <w:pPr>
        <w:pStyle w:val="13"/>
        <w:pageBreakBefore w:val="0"/>
        <w:kinsoku/>
        <w:wordWrap w:val="0"/>
        <w:overflowPunct/>
        <w:bidi w:val="0"/>
        <w:rPr>
          <w:rFonts w:hint="eastAsia" w:ascii="宋体" w:hAnsi="宋体" w:eastAsia="宋体" w:cs="宋体"/>
          <w:color w:val="auto"/>
          <w:sz w:val="24"/>
          <w:szCs w:val="28"/>
          <w:highlight w:val="none"/>
          <w:lang w:val="en-US" w:eastAsia="zh-CN"/>
        </w:rPr>
      </w:pPr>
    </w:p>
    <w:p w14:paraId="5BA6B3F3">
      <w:pPr>
        <w:pStyle w:val="13"/>
        <w:pageBreakBefore w:val="0"/>
        <w:kinsoku/>
        <w:wordWrap w:val="0"/>
        <w:overflowPunct/>
        <w:bidi w:val="0"/>
        <w:jc w:val="center"/>
        <w:rPr>
          <w:rFonts w:hint="eastAsia" w:ascii="宋体" w:hAnsi="宋体" w:eastAsia="宋体" w:cs="宋体"/>
          <w:b/>
          <w:bCs w:val="0"/>
          <w:color w:val="auto"/>
          <w:kern w:val="2"/>
          <w:sz w:val="32"/>
          <w:szCs w:val="36"/>
          <w:highlight w:val="none"/>
          <w:lang w:val="en-US" w:eastAsia="zh-CN" w:bidi="ar-SA"/>
        </w:rPr>
      </w:pPr>
    </w:p>
    <w:p w14:paraId="5B7AD138">
      <w:pPr>
        <w:pStyle w:val="13"/>
        <w:pageBreakBefore w:val="0"/>
        <w:kinsoku/>
        <w:wordWrap w:val="0"/>
        <w:overflowPunct/>
        <w:bidi w:val="0"/>
        <w:jc w:val="center"/>
        <w:rPr>
          <w:rFonts w:hint="eastAsia" w:ascii="宋体" w:hAnsi="宋体" w:eastAsia="宋体" w:cs="宋体"/>
          <w:color w:val="auto"/>
          <w:sz w:val="24"/>
          <w:szCs w:val="28"/>
          <w:highlight w:val="none"/>
          <w:lang w:val="en-US" w:eastAsia="zh-CN"/>
        </w:rPr>
      </w:pPr>
      <w:r>
        <w:rPr>
          <w:rFonts w:hint="eastAsia" w:ascii="宋体" w:hAnsi="宋体" w:eastAsia="宋体" w:cs="宋体"/>
          <w:b/>
          <w:bCs w:val="0"/>
          <w:color w:val="auto"/>
          <w:kern w:val="2"/>
          <w:sz w:val="28"/>
          <w:szCs w:val="32"/>
          <w:highlight w:val="none"/>
          <w:lang w:val="en-US" w:eastAsia="zh-CN" w:bidi="ar-SA"/>
        </w:rPr>
        <w:t>（五）参加政府采购活动前三年内，在经营活动中没有重大违法记录</w:t>
      </w:r>
    </w:p>
    <w:p w14:paraId="4CFC8056">
      <w:pPr>
        <w:pageBreakBefore w:val="0"/>
        <w:kinsoku/>
        <w:wordWrap w:val="0"/>
        <w:overflowPunct/>
        <w:bidi w:val="0"/>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投标人应根据招标文件第二章“投标人须知前附表1.4.1”中1.</w:t>
      </w:r>
      <w:r>
        <w:rPr>
          <w:rFonts w:hint="eastAsia" w:ascii="宋体" w:hAnsi="宋体" w:eastAsia="宋体" w:cs="宋体"/>
          <w:color w:val="auto"/>
          <w:sz w:val="24"/>
          <w:szCs w:val="28"/>
          <w:highlight w:val="none"/>
          <w:lang w:val="en-US" w:eastAsia="zh-CN"/>
        </w:rPr>
        <w:t>5</w:t>
      </w:r>
      <w:r>
        <w:rPr>
          <w:rFonts w:hint="eastAsia" w:ascii="宋体" w:hAnsi="宋体" w:eastAsia="宋体" w:cs="宋体"/>
          <w:color w:val="auto"/>
          <w:sz w:val="24"/>
          <w:szCs w:val="28"/>
          <w:highlight w:val="none"/>
        </w:rPr>
        <w:t>的要求后附相关证明材料；</w:t>
      </w:r>
    </w:p>
    <w:p w14:paraId="01881949">
      <w:pPr>
        <w:pageBreakBefore w:val="0"/>
        <w:kinsoku/>
        <w:wordWrap w:val="0"/>
        <w:overflowPunct/>
        <w:bidi w:val="0"/>
        <w:spacing w:line="360" w:lineRule="auto"/>
        <w:ind w:firstLine="480" w:firstLineChars="200"/>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格式自拟</w:t>
      </w:r>
    </w:p>
    <w:p w14:paraId="13ED1D64">
      <w:pPr>
        <w:pStyle w:val="13"/>
        <w:pageBreakBefore w:val="0"/>
        <w:kinsoku/>
        <w:wordWrap w:val="0"/>
        <w:overflowPunct/>
        <w:bidi w:val="0"/>
        <w:jc w:val="center"/>
        <w:rPr>
          <w:rFonts w:hint="eastAsia" w:ascii="宋体" w:hAnsi="宋体" w:eastAsia="宋体" w:cs="宋体"/>
          <w:b/>
          <w:bCs w:val="0"/>
          <w:color w:val="auto"/>
          <w:kern w:val="2"/>
          <w:sz w:val="32"/>
          <w:szCs w:val="36"/>
          <w:highlight w:val="none"/>
          <w:lang w:val="en-US" w:eastAsia="zh-CN" w:bidi="ar-SA"/>
        </w:rPr>
      </w:pPr>
    </w:p>
    <w:p w14:paraId="4AC48B0A">
      <w:pPr>
        <w:pStyle w:val="13"/>
        <w:pageBreakBefore w:val="0"/>
        <w:kinsoku/>
        <w:wordWrap w:val="0"/>
        <w:overflowPunct/>
        <w:bidi w:val="0"/>
        <w:jc w:val="center"/>
        <w:rPr>
          <w:rFonts w:hint="eastAsia" w:ascii="宋体" w:hAnsi="宋体" w:eastAsia="宋体" w:cs="宋体"/>
          <w:b/>
          <w:bCs w:val="0"/>
          <w:color w:val="auto"/>
          <w:kern w:val="2"/>
          <w:sz w:val="32"/>
          <w:szCs w:val="36"/>
          <w:highlight w:val="none"/>
          <w:lang w:val="en-US" w:eastAsia="zh-CN" w:bidi="ar-SA"/>
        </w:rPr>
      </w:pPr>
    </w:p>
    <w:p w14:paraId="284ED0A4">
      <w:pPr>
        <w:pStyle w:val="13"/>
        <w:pageBreakBefore w:val="0"/>
        <w:numPr>
          <w:ilvl w:val="0"/>
          <w:numId w:val="6"/>
        </w:numPr>
        <w:kinsoku/>
        <w:wordWrap w:val="0"/>
        <w:overflowPunct/>
        <w:bidi w:val="0"/>
        <w:ind w:left="0" w:leftChars="0" w:firstLine="562" w:firstLineChars="200"/>
        <w:jc w:val="center"/>
        <w:rPr>
          <w:rFonts w:hint="eastAsia" w:ascii="宋体" w:hAnsi="宋体" w:eastAsia="宋体" w:cs="宋体"/>
          <w:b/>
          <w:bCs w:val="0"/>
          <w:color w:val="auto"/>
          <w:kern w:val="2"/>
          <w:sz w:val="28"/>
          <w:szCs w:val="32"/>
          <w:highlight w:val="none"/>
          <w:lang w:val="en-US" w:eastAsia="zh-CN" w:bidi="ar-SA"/>
        </w:rPr>
      </w:pPr>
      <w:r>
        <w:rPr>
          <w:rFonts w:hint="eastAsia" w:ascii="宋体" w:hAnsi="宋体" w:eastAsia="宋体" w:cs="宋体"/>
          <w:b/>
          <w:bCs w:val="0"/>
          <w:color w:val="auto"/>
          <w:kern w:val="2"/>
          <w:sz w:val="28"/>
          <w:szCs w:val="32"/>
          <w:highlight w:val="none"/>
          <w:lang w:val="en-US" w:eastAsia="zh-CN" w:bidi="ar-SA"/>
        </w:rPr>
        <w:t>法律、行政法规规定的其他条件</w:t>
      </w:r>
    </w:p>
    <w:p w14:paraId="10675278">
      <w:pPr>
        <w:pStyle w:val="13"/>
        <w:pageBreakBefore w:val="0"/>
        <w:numPr>
          <w:ilvl w:val="0"/>
          <w:numId w:val="0"/>
        </w:numPr>
        <w:kinsoku/>
        <w:wordWrap w:val="0"/>
        <w:overflowPunct/>
        <w:bidi w:val="0"/>
        <w:ind w:firstLine="562" w:firstLineChars="200"/>
        <w:jc w:val="both"/>
        <w:rPr>
          <w:rFonts w:hint="eastAsia" w:ascii="宋体" w:hAnsi="宋体" w:eastAsia="宋体" w:cs="宋体"/>
          <w:b/>
          <w:bCs w:val="0"/>
          <w:color w:val="auto"/>
          <w:kern w:val="2"/>
          <w:sz w:val="32"/>
          <w:szCs w:val="36"/>
          <w:highlight w:val="none"/>
          <w:lang w:val="en-US" w:eastAsia="zh-CN" w:bidi="ar-SA"/>
        </w:rPr>
      </w:pPr>
      <w:r>
        <w:rPr>
          <w:rFonts w:hint="eastAsia" w:ascii="宋体" w:hAnsi="宋体" w:eastAsia="宋体" w:cs="宋体"/>
          <w:b/>
          <w:bCs w:val="0"/>
          <w:color w:val="auto"/>
          <w:kern w:val="2"/>
          <w:sz w:val="28"/>
          <w:szCs w:val="32"/>
          <w:highlight w:val="none"/>
          <w:lang w:val="en-US" w:eastAsia="zh-CN" w:bidi="ar-SA"/>
        </w:rPr>
        <w:t>单位负责人为同一人或者存在直接控股、管理关系的不同供应商，不得参加同一合同项下的政府采购活动；</w:t>
      </w:r>
    </w:p>
    <w:p w14:paraId="0661A4F8">
      <w:pPr>
        <w:pageBreakBefore w:val="0"/>
        <w:kinsoku/>
        <w:wordWrap w:val="0"/>
        <w:overflowPunct/>
        <w:bidi w:val="0"/>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投标人应根据招标文件第二章“投标人须知前附表1.4.1”中1.</w:t>
      </w:r>
      <w:r>
        <w:rPr>
          <w:rFonts w:hint="eastAsia" w:ascii="宋体" w:hAnsi="宋体" w:eastAsia="宋体" w:cs="宋体"/>
          <w:color w:val="auto"/>
          <w:sz w:val="24"/>
          <w:szCs w:val="28"/>
          <w:highlight w:val="none"/>
          <w:lang w:val="en-US" w:eastAsia="zh-CN"/>
        </w:rPr>
        <w:t>6</w:t>
      </w:r>
      <w:r>
        <w:rPr>
          <w:rFonts w:hint="eastAsia" w:ascii="宋体" w:hAnsi="宋体" w:eastAsia="宋体" w:cs="宋体"/>
          <w:color w:val="auto"/>
          <w:sz w:val="24"/>
          <w:szCs w:val="28"/>
          <w:highlight w:val="none"/>
        </w:rPr>
        <w:t>的要求后附相关证明材料；</w:t>
      </w:r>
    </w:p>
    <w:p w14:paraId="7CBAAC09">
      <w:pPr>
        <w:pageBreakBefore w:val="0"/>
        <w:kinsoku/>
        <w:wordWrap w:val="0"/>
        <w:overflowPunct/>
        <w:bidi w:val="0"/>
        <w:spacing w:line="360" w:lineRule="auto"/>
        <w:ind w:firstLine="480" w:firstLineChars="200"/>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格式自拟</w:t>
      </w:r>
    </w:p>
    <w:p w14:paraId="74E683BB">
      <w:pPr>
        <w:pageBreakBefore w:val="0"/>
        <w:kinsoku/>
        <w:wordWrap w:val="0"/>
        <w:overflowPunct/>
        <w:bidi w:val="0"/>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br w:type="page"/>
      </w:r>
    </w:p>
    <w:p w14:paraId="1BC02D5F">
      <w:pPr>
        <w:pStyle w:val="3"/>
        <w:pageBreakBefore w:val="0"/>
        <w:numPr>
          <w:ilvl w:val="0"/>
          <w:numId w:val="7"/>
        </w:numPr>
        <w:kinsoku/>
        <w:wordWrap w:val="0"/>
        <w:overflowPunct/>
        <w:bidi w:val="0"/>
        <w:jc w:val="center"/>
        <w:rPr>
          <w:rFonts w:hint="default" w:ascii="宋体" w:hAnsi="宋体" w:eastAsia="宋体" w:cs="宋体"/>
          <w:color w:val="auto"/>
          <w:sz w:val="24"/>
          <w:szCs w:val="24"/>
          <w:highlight w:val="none"/>
          <w:lang w:val="en-US" w:eastAsia="zh-CN"/>
        </w:rPr>
        <w:sectPr>
          <w:pgSz w:w="11906" w:h="16838"/>
          <w:pgMar w:top="1134" w:right="1134" w:bottom="1440" w:left="1361" w:header="850" w:footer="510" w:gutter="0"/>
          <w:pgBorders>
            <w:top w:val="none" w:sz="0" w:space="0"/>
            <w:left w:val="none" w:sz="0" w:space="0"/>
            <w:bottom w:val="none" w:sz="0" w:space="0"/>
            <w:right w:val="none" w:sz="0" w:space="0"/>
          </w:pgBorders>
          <w:pgNumType w:fmt="decimal"/>
          <w:cols w:space="0" w:num="1"/>
          <w:rtlGutter w:val="0"/>
          <w:docGrid w:linePitch="312" w:charSpace="0"/>
        </w:sectPr>
      </w:pPr>
      <w:bookmarkStart w:id="287" w:name="_Toc17238"/>
      <w:r>
        <w:rPr>
          <w:rFonts w:hint="eastAsia" w:ascii="宋体" w:hAnsi="宋体" w:eastAsia="宋体" w:cs="宋体"/>
          <w:b/>
          <w:bCs/>
          <w:color w:val="auto"/>
          <w:sz w:val="24"/>
          <w:szCs w:val="24"/>
          <w:highlight w:val="none"/>
          <w:lang w:val="zh-CN" w:eastAsia="zh-CN" w:bidi="ar-SA"/>
        </w:rPr>
        <w:t>满足本项目的特定资格要求的资料（</w:t>
      </w:r>
      <w:r>
        <w:rPr>
          <w:rFonts w:hint="eastAsia" w:ascii="宋体" w:hAnsi="宋体" w:eastAsia="宋体" w:cs="宋体"/>
          <w:b/>
          <w:bCs/>
          <w:color w:val="auto"/>
          <w:sz w:val="24"/>
          <w:szCs w:val="24"/>
          <w:highlight w:val="none"/>
          <w:lang w:val="en-US" w:eastAsia="zh-CN" w:bidi="ar-SA"/>
        </w:rPr>
        <w:t>无）</w:t>
      </w:r>
      <w:bookmarkEnd w:id="287"/>
    </w:p>
    <w:p w14:paraId="57CFA8D5">
      <w:pPr>
        <w:pStyle w:val="3"/>
        <w:pageBreakBefore w:val="0"/>
        <w:kinsoku/>
        <w:wordWrap w:val="0"/>
        <w:overflowPunct/>
        <w:bidi w:val="0"/>
        <w:jc w:val="center"/>
        <w:rPr>
          <w:rFonts w:hint="eastAsia" w:ascii="宋体" w:hAnsi="宋体" w:eastAsia="宋体" w:cs="宋体"/>
          <w:b/>
          <w:bCs/>
          <w:color w:val="auto"/>
          <w:sz w:val="24"/>
          <w:szCs w:val="24"/>
          <w:highlight w:val="none"/>
          <w:lang w:val="zh-CN" w:eastAsia="zh-CN" w:bidi="ar-SA"/>
        </w:rPr>
      </w:pPr>
      <w:bookmarkStart w:id="288" w:name="_Toc13014"/>
      <w:bookmarkStart w:id="289" w:name="_Toc10328"/>
      <w:r>
        <w:rPr>
          <w:rFonts w:hint="eastAsia" w:ascii="宋体" w:hAnsi="宋体" w:eastAsia="宋体" w:cs="宋体"/>
          <w:b/>
          <w:bCs/>
          <w:color w:val="auto"/>
          <w:sz w:val="24"/>
          <w:szCs w:val="24"/>
          <w:highlight w:val="none"/>
          <w:lang w:val="en-US" w:eastAsia="zh-CN" w:bidi="ar-SA"/>
        </w:rPr>
        <w:t>三、</w:t>
      </w:r>
      <w:r>
        <w:rPr>
          <w:rFonts w:hint="eastAsia" w:ascii="宋体" w:hAnsi="宋体" w:eastAsia="宋体" w:cs="宋体"/>
          <w:b/>
          <w:bCs/>
          <w:color w:val="auto"/>
          <w:sz w:val="24"/>
          <w:szCs w:val="24"/>
          <w:highlight w:val="none"/>
          <w:lang w:val="zh-CN" w:eastAsia="zh-CN" w:bidi="ar-SA"/>
        </w:rPr>
        <w:t>需落实政府采购政策的材料</w:t>
      </w:r>
      <w:bookmarkEnd w:id="288"/>
    </w:p>
    <w:p w14:paraId="3174F791">
      <w:pPr>
        <w:pStyle w:val="3"/>
        <w:numPr>
          <w:ilvl w:val="0"/>
          <w:numId w:val="0"/>
        </w:numPr>
        <w:spacing w:before="0"/>
        <w:jc w:val="center"/>
        <w:rPr>
          <w:rFonts w:hint="eastAsia" w:ascii="宋体" w:hAnsi="宋体" w:eastAsia="宋体" w:cs="宋体"/>
          <w:color w:val="auto"/>
          <w:szCs w:val="28"/>
          <w:highlight w:val="none"/>
        </w:rPr>
      </w:pPr>
      <w:r>
        <w:rPr>
          <w:rFonts w:hint="eastAsia" w:ascii="宋体" w:hAnsi="宋体" w:eastAsia="宋体" w:cs="宋体"/>
          <w:b/>
          <w:bCs/>
          <w:color w:val="auto"/>
          <w:kern w:val="0"/>
          <w:sz w:val="24"/>
          <w:szCs w:val="24"/>
          <w:highlight w:val="none"/>
          <w:lang w:val="en-US" w:eastAsia="zh-CN" w:bidi="ar"/>
        </w:rPr>
        <w:t>（一）</w:t>
      </w:r>
      <w:bookmarkStart w:id="290" w:name="_Toc16576"/>
      <w:bookmarkStart w:id="291" w:name="_Toc2312"/>
      <w:r>
        <w:rPr>
          <w:rFonts w:hint="eastAsia" w:ascii="宋体" w:hAnsi="宋体" w:eastAsia="宋体" w:cs="宋体"/>
          <w:color w:val="auto"/>
          <w:szCs w:val="28"/>
          <w:highlight w:val="none"/>
        </w:rPr>
        <w:t>中小企业声明函（</w:t>
      </w:r>
      <w:r>
        <w:rPr>
          <w:rFonts w:hint="eastAsia" w:ascii="宋体" w:hAnsi="宋体" w:eastAsia="宋体" w:cs="宋体"/>
          <w:color w:val="auto"/>
          <w:szCs w:val="28"/>
          <w:highlight w:val="none"/>
          <w:lang w:val="en-US" w:eastAsia="zh-CN"/>
        </w:rPr>
        <w:t>货物</w:t>
      </w:r>
      <w:r>
        <w:rPr>
          <w:rFonts w:hint="eastAsia" w:ascii="宋体" w:hAnsi="宋体" w:eastAsia="宋体" w:cs="宋体"/>
          <w:color w:val="auto"/>
          <w:szCs w:val="28"/>
          <w:highlight w:val="none"/>
        </w:rPr>
        <w:t>）</w:t>
      </w:r>
      <w:bookmarkEnd w:id="290"/>
      <w:bookmarkEnd w:id="291"/>
    </w:p>
    <w:p w14:paraId="23F3109D">
      <w:pPr>
        <w:pStyle w:val="93"/>
        <w:spacing w:line="346" w:lineRule="exact"/>
        <w:ind w:firstLine="440"/>
        <w:rPr>
          <w:rFonts w:hint="eastAsia" w:ascii="宋体" w:hAnsi="宋体" w:eastAsia="宋体" w:cs="宋体"/>
          <w:color w:val="auto"/>
          <w:sz w:val="24"/>
          <w:szCs w:val="24"/>
          <w:highlight w:val="none"/>
        </w:rPr>
      </w:pPr>
    </w:p>
    <w:p w14:paraId="483DEBDF">
      <w:pPr>
        <w:spacing w:line="360" w:lineRule="auto"/>
        <w:ind w:firstLine="480" w:firstLineChars="200"/>
        <w:rPr>
          <w:rFonts w:hint="eastAsia" w:ascii="宋体" w:hAnsi="宋体" w:eastAsia="宋体" w:cs="宋体"/>
          <w:color w:val="auto"/>
          <w:sz w:val="24"/>
          <w:highlight w:val="none"/>
          <w:lang w:val="zh-TW" w:eastAsia="zh-TW" w:bidi="zh-TW"/>
        </w:rPr>
      </w:pPr>
      <w:r>
        <w:rPr>
          <w:rFonts w:hint="eastAsia" w:ascii="宋体" w:hAnsi="宋体" w:eastAsia="宋体" w:cs="宋体"/>
          <w:color w:val="auto"/>
          <w:sz w:val="24"/>
          <w:highlight w:val="none"/>
          <w:lang w:val="zh-TW" w:eastAsia="zh-TW" w:bidi="zh-TW"/>
        </w:rPr>
        <w:t>本公司（联合体）郑重声明，根据《政府釆购促进中小企业发展管理办法》（财库</w:t>
      </w:r>
      <w:r>
        <w:rPr>
          <w:rFonts w:hint="eastAsia" w:ascii="宋体" w:hAnsi="宋体" w:eastAsia="宋体" w:cs="宋体"/>
          <w:color w:val="auto"/>
          <w:sz w:val="24"/>
          <w:highlight w:val="none"/>
          <w:lang w:val="zh-TW" w:eastAsia="zh-CN" w:bidi="zh-TW"/>
        </w:rPr>
        <w:t>〔2020〕46号</w:t>
      </w:r>
      <w:r>
        <w:rPr>
          <w:rFonts w:hint="eastAsia" w:ascii="宋体" w:hAnsi="宋体" w:eastAsia="宋体" w:cs="宋体"/>
          <w:color w:val="auto"/>
          <w:sz w:val="24"/>
          <w:highlight w:val="none"/>
          <w:lang w:val="zh-TW" w:eastAsia="zh-TW" w:bidi="zh-TW"/>
        </w:rPr>
        <w:t>）的规定，本公司（联合体）参加</w:t>
      </w:r>
      <w:r>
        <w:rPr>
          <w:rFonts w:hint="eastAsia" w:ascii="宋体" w:hAnsi="宋体" w:eastAsia="宋体" w:cs="宋体"/>
          <w:color w:val="auto"/>
          <w:sz w:val="24"/>
          <w:highlight w:val="none"/>
          <w:u w:val="single"/>
          <w:lang w:val="zh-TW" w:eastAsia="zh-TW" w:bidi="zh-TW"/>
        </w:rPr>
        <w:t>（单位名称）</w:t>
      </w:r>
      <w:r>
        <w:rPr>
          <w:rFonts w:hint="eastAsia" w:ascii="宋体" w:hAnsi="宋体" w:eastAsia="宋体" w:cs="宋体"/>
          <w:color w:val="auto"/>
          <w:sz w:val="24"/>
          <w:highlight w:val="none"/>
          <w:lang w:val="zh-TW" w:eastAsia="zh-TW" w:bidi="zh-TW"/>
        </w:rPr>
        <w:t>的</w:t>
      </w:r>
      <w:r>
        <w:rPr>
          <w:rFonts w:hint="eastAsia" w:ascii="宋体" w:hAnsi="宋体" w:eastAsia="宋体" w:cs="宋体"/>
          <w:color w:val="auto"/>
          <w:sz w:val="24"/>
          <w:highlight w:val="none"/>
          <w:u w:val="single"/>
          <w:lang w:val="zh-TW" w:eastAsia="zh-TW" w:bidi="zh-TW"/>
        </w:rPr>
        <w:t>（项目名称）</w:t>
      </w:r>
      <w:r>
        <w:rPr>
          <w:rFonts w:hint="eastAsia" w:ascii="宋体" w:hAnsi="宋体" w:eastAsia="宋体" w:cs="宋体"/>
          <w:color w:val="auto"/>
          <w:sz w:val="24"/>
          <w:highlight w:val="none"/>
          <w:lang w:val="zh-TW" w:eastAsia="zh-TW" w:bidi="zh-TW"/>
        </w:rPr>
        <w:t>采购活动</w:t>
      </w:r>
      <w:r>
        <w:rPr>
          <w:rFonts w:hint="eastAsia" w:ascii="宋体" w:hAnsi="宋体" w:eastAsia="宋体" w:cs="宋体"/>
          <w:color w:val="auto"/>
          <w:sz w:val="24"/>
          <w:highlight w:val="none"/>
          <w:lang w:val="zh-TW" w:bidi="zh-TW"/>
        </w:rPr>
        <w:t>，</w:t>
      </w:r>
      <w:r>
        <w:rPr>
          <w:rFonts w:hint="eastAsia" w:ascii="宋体" w:hAnsi="宋体" w:eastAsia="宋体" w:cs="宋体"/>
          <w:color w:val="auto"/>
          <w:sz w:val="24"/>
          <w:highlight w:val="none"/>
          <w:lang w:val="zh-TW" w:eastAsia="zh-TW" w:bidi="zh-TW"/>
        </w:rPr>
        <w:t>提供的货物全部由符合政策要求的中小企业制造。相关企业（含联合体中的中小企业、签订分包意向协议的中小企业）的具体情况如下：</w:t>
      </w:r>
    </w:p>
    <w:p w14:paraId="58B178F7">
      <w:pPr>
        <w:numPr>
          <w:ilvl w:val="0"/>
          <w:numId w:val="0"/>
        </w:numPr>
        <w:tabs>
          <w:tab w:val="left" w:pos="830"/>
          <w:tab w:val="left" w:pos="4408"/>
        </w:tabs>
        <w:spacing w:line="360" w:lineRule="auto"/>
        <w:ind w:firstLine="440" w:firstLineChars="0"/>
        <w:rPr>
          <w:rFonts w:hint="eastAsia" w:ascii="宋体" w:hAnsi="宋体" w:eastAsia="宋体" w:cs="宋体"/>
          <w:color w:val="auto"/>
          <w:sz w:val="24"/>
          <w:highlight w:val="none"/>
          <w:lang w:val="zh-TW" w:eastAsia="zh-CN" w:bidi="zh-TW"/>
        </w:rPr>
      </w:pPr>
      <w:bookmarkStart w:id="292" w:name="bookmark24"/>
      <w:bookmarkEnd w:id="292"/>
      <w:r>
        <w:rPr>
          <w:rFonts w:hint="eastAsia" w:ascii="宋体" w:hAnsi="宋体" w:eastAsia="宋体" w:cs="宋体"/>
          <w:b/>
          <w:bCs/>
          <w:i w:val="0"/>
          <w:iCs w:val="0"/>
          <w:smallCaps w:val="0"/>
          <w:strike w:val="0"/>
          <w:color w:val="auto"/>
          <w:spacing w:val="0"/>
          <w:w w:val="100"/>
          <w:kern w:val="2"/>
          <w:position w:val="0"/>
          <w:sz w:val="20"/>
          <w:szCs w:val="20"/>
          <w:highlight w:val="none"/>
          <w:u w:val="none"/>
          <w:shd w:val="clear" w:color="auto" w:fill="auto"/>
          <w:lang w:val="en-US" w:eastAsia="en-US" w:bidi="en-US"/>
        </w:rPr>
        <w:t>1.</w:t>
      </w:r>
      <w:r>
        <w:rPr>
          <w:rFonts w:hint="eastAsia" w:ascii="宋体" w:hAnsi="宋体" w:eastAsia="宋体" w:cs="宋体"/>
          <w:color w:val="auto"/>
          <w:sz w:val="24"/>
          <w:highlight w:val="none"/>
          <w:u w:val="single"/>
          <w:lang w:val="zh-TW" w:eastAsia="zh-TW" w:bidi="zh-TW"/>
        </w:rPr>
        <w:t>（标的名称）</w:t>
      </w:r>
      <w:r>
        <w:rPr>
          <w:rFonts w:hint="eastAsia" w:ascii="宋体" w:hAnsi="宋体" w:eastAsia="宋体" w:cs="宋体"/>
          <w:color w:val="auto"/>
          <w:sz w:val="24"/>
          <w:highlight w:val="none"/>
          <w:u w:val="none"/>
          <w:lang w:val="zh-TW" w:eastAsia="zh-CN" w:bidi="zh-TW"/>
        </w:rPr>
        <w:t>，</w:t>
      </w:r>
      <w:r>
        <w:rPr>
          <w:rFonts w:hint="eastAsia" w:ascii="宋体" w:hAnsi="宋体" w:eastAsia="宋体" w:cs="宋体"/>
          <w:color w:val="auto"/>
          <w:sz w:val="24"/>
          <w:highlight w:val="none"/>
          <w:lang w:val="zh-TW" w:eastAsia="zh-TW" w:bidi="zh-TW"/>
        </w:rPr>
        <w:t>属于</w:t>
      </w:r>
      <w:r>
        <w:rPr>
          <w:rFonts w:hint="eastAsia" w:ascii="宋体" w:hAnsi="宋体" w:eastAsia="宋体" w:cs="宋体"/>
          <w:color w:val="auto"/>
          <w:sz w:val="24"/>
          <w:highlight w:val="none"/>
          <w:u w:val="single"/>
          <w:lang w:val="zh-TW" w:bidi="zh-TW"/>
        </w:rPr>
        <w:t xml:space="preserve"> </w:t>
      </w:r>
      <w:r>
        <w:rPr>
          <w:rFonts w:hint="eastAsia" w:ascii="宋体" w:hAnsi="宋体" w:eastAsia="宋体" w:cs="宋体"/>
          <w:b/>
          <w:color w:val="auto"/>
          <w:sz w:val="24"/>
          <w:highlight w:val="none"/>
          <w:u w:val="single"/>
          <w:lang w:bidi="zh-TW"/>
        </w:rPr>
        <w:t xml:space="preserve"> </w:t>
      </w:r>
      <w:r>
        <w:rPr>
          <w:rFonts w:hint="eastAsia" w:ascii="宋体" w:hAnsi="宋体" w:eastAsia="宋体" w:cs="宋体"/>
          <w:color w:val="auto"/>
          <w:sz w:val="24"/>
          <w:highlight w:val="none"/>
          <w:u w:val="single"/>
        </w:rPr>
        <w:t>（采购文件中明确的所属行业）</w:t>
      </w:r>
      <w:r>
        <w:rPr>
          <w:rFonts w:hint="eastAsia" w:ascii="宋体" w:hAnsi="宋体" w:eastAsia="宋体" w:cs="宋体"/>
          <w:b/>
          <w:color w:val="auto"/>
          <w:sz w:val="24"/>
          <w:highlight w:val="none"/>
          <w:u w:val="single"/>
          <w:lang w:bidi="zh-TW"/>
        </w:rPr>
        <w:t xml:space="preserve">    </w:t>
      </w:r>
      <w:r>
        <w:rPr>
          <w:rFonts w:hint="eastAsia" w:ascii="宋体" w:hAnsi="宋体" w:eastAsia="宋体" w:cs="宋体"/>
          <w:color w:val="auto"/>
          <w:sz w:val="24"/>
          <w:highlight w:val="none"/>
          <w:u w:val="single"/>
          <w:lang w:val="zh-TW" w:bidi="zh-TW"/>
        </w:rPr>
        <w:t xml:space="preserve"> </w:t>
      </w:r>
      <w:r>
        <w:rPr>
          <w:rFonts w:hint="eastAsia" w:ascii="宋体" w:hAnsi="宋体" w:eastAsia="宋体" w:cs="宋体"/>
          <w:color w:val="auto"/>
          <w:sz w:val="24"/>
          <w:highlight w:val="none"/>
          <w:lang w:val="zh-TW" w:eastAsia="zh-TW" w:bidi="zh-TW"/>
        </w:rPr>
        <w:t>行业</w:t>
      </w:r>
      <w:r>
        <w:rPr>
          <w:rFonts w:hint="eastAsia" w:ascii="宋体" w:hAnsi="宋体" w:eastAsia="宋体" w:cs="宋体"/>
          <w:color w:val="auto"/>
          <w:sz w:val="24"/>
          <w:highlight w:val="none"/>
          <w:lang w:val="zh-TW" w:bidi="zh-TW"/>
        </w:rPr>
        <w:t>；</w:t>
      </w:r>
      <w:r>
        <w:rPr>
          <w:rFonts w:hint="eastAsia" w:ascii="宋体" w:hAnsi="宋体" w:eastAsia="宋体" w:cs="宋体"/>
          <w:color w:val="auto"/>
          <w:sz w:val="24"/>
          <w:highlight w:val="none"/>
          <w:lang w:val="zh-TW" w:eastAsia="zh-TW" w:bidi="zh-TW"/>
        </w:rPr>
        <w:t>制造商为</w:t>
      </w:r>
      <w:r>
        <w:rPr>
          <w:rFonts w:hint="eastAsia" w:ascii="宋体" w:hAnsi="宋体" w:eastAsia="宋体" w:cs="宋体"/>
          <w:color w:val="auto"/>
          <w:sz w:val="24"/>
          <w:highlight w:val="none"/>
          <w:u w:val="single"/>
          <w:lang w:val="zh-TW" w:eastAsia="zh-TW" w:bidi="zh-TW"/>
        </w:rPr>
        <w:t>（企业名称）</w:t>
      </w:r>
      <w:r>
        <w:rPr>
          <w:rFonts w:hint="eastAsia" w:ascii="宋体" w:hAnsi="宋体" w:eastAsia="宋体" w:cs="宋体"/>
          <w:color w:val="auto"/>
          <w:sz w:val="24"/>
          <w:highlight w:val="none"/>
          <w:lang w:val="zh-TW" w:bidi="zh-TW"/>
        </w:rPr>
        <w:t>，</w:t>
      </w:r>
      <w:r>
        <w:rPr>
          <w:rFonts w:hint="eastAsia" w:ascii="宋体" w:hAnsi="宋体" w:eastAsia="宋体" w:cs="宋体"/>
          <w:color w:val="auto"/>
          <w:sz w:val="24"/>
          <w:highlight w:val="none"/>
          <w:lang w:val="zh-TW" w:eastAsia="zh-TW" w:bidi="zh-TW"/>
        </w:rPr>
        <w:t>从业人员</w:t>
      </w:r>
      <w:r>
        <w:rPr>
          <w:rFonts w:hint="eastAsia" w:ascii="宋体" w:hAnsi="宋体" w:eastAsia="宋体" w:cs="宋体"/>
          <w:color w:val="auto"/>
          <w:sz w:val="24"/>
          <w:highlight w:val="none"/>
          <w:u w:val="single"/>
          <w:lang w:val="zh-TW" w:eastAsia="zh-TW" w:bidi="zh-TW"/>
        </w:rPr>
        <w:t xml:space="preserve"> </w:t>
      </w:r>
      <w:r>
        <w:rPr>
          <w:rFonts w:hint="eastAsia" w:ascii="宋体" w:hAnsi="宋体" w:eastAsia="宋体" w:cs="宋体"/>
          <w:color w:val="auto"/>
          <w:sz w:val="24"/>
          <w:highlight w:val="none"/>
          <w:u w:val="single"/>
          <w:lang w:val="en-US" w:eastAsia="zh-CN" w:bidi="zh-TW"/>
        </w:rPr>
        <w:t xml:space="preserve"> </w:t>
      </w:r>
      <w:r>
        <w:rPr>
          <w:rFonts w:hint="eastAsia" w:ascii="宋体" w:hAnsi="宋体" w:eastAsia="宋体" w:cs="宋体"/>
          <w:color w:val="auto"/>
          <w:sz w:val="24"/>
          <w:highlight w:val="none"/>
          <w:u w:val="single"/>
          <w:lang w:val="zh-TW" w:eastAsia="zh-TW" w:bidi="zh-TW"/>
        </w:rPr>
        <w:t xml:space="preserve"> </w:t>
      </w:r>
      <w:r>
        <w:rPr>
          <w:rFonts w:hint="eastAsia" w:ascii="宋体" w:hAnsi="宋体" w:eastAsia="宋体" w:cs="宋体"/>
          <w:color w:val="auto"/>
          <w:sz w:val="24"/>
          <w:highlight w:val="none"/>
          <w:lang w:val="zh-TW" w:eastAsia="zh-TW" w:bidi="zh-TW"/>
        </w:rPr>
        <w:t>人，营业收入为</w:t>
      </w:r>
      <w:r>
        <w:rPr>
          <w:rFonts w:hint="eastAsia" w:ascii="宋体" w:hAnsi="宋体" w:eastAsia="宋体" w:cs="宋体"/>
          <w:color w:val="auto"/>
          <w:sz w:val="24"/>
          <w:highlight w:val="none"/>
          <w:u w:val="single"/>
          <w:lang w:val="zh-TW" w:bidi="zh-TW"/>
        </w:rPr>
        <w:t xml:space="preserve">   </w:t>
      </w:r>
      <w:r>
        <w:rPr>
          <w:rFonts w:hint="eastAsia" w:ascii="宋体" w:hAnsi="宋体" w:eastAsia="宋体" w:cs="宋体"/>
          <w:color w:val="auto"/>
          <w:sz w:val="24"/>
          <w:highlight w:val="none"/>
          <w:lang w:val="zh-TW" w:eastAsia="zh-TW" w:bidi="zh-TW"/>
        </w:rPr>
        <w:t>万元，资产总额为</w:t>
      </w:r>
      <w:r>
        <w:rPr>
          <w:rFonts w:hint="eastAsia" w:ascii="宋体" w:hAnsi="宋体" w:eastAsia="宋体" w:cs="宋体"/>
          <w:color w:val="auto"/>
          <w:sz w:val="24"/>
          <w:highlight w:val="none"/>
          <w:u w:val="single"/>
          <w:lang w:val="zh-TW" w:bidi="zh-TW"/>
        </w:rPr>
        <w:t xml:space="preserve">   </w:t>
      </w:r>
      <w:r>
        <w:rPr>
          <w:rFonts w:hint="eastAsia" w:ascii="宋体" w:hAnsi="宋体" w:eastAsia="宋体" w:cs="宋体"/>
          <w:color w:val="auto"/>
          <w:sz w:val="24"/>
          <w:highlight w:val="none"/>
          <w:lang w:val="zh-TW" w:eastAsia="zh-TW" w:bidi="zh-TW"/>
        </w:rPr>
        <w:t>万元</w:t>
      </w:r>
      <w:r>
        <w:rPr>
          <w:rFonts w:hint="eastAsia" w:ascii="宋体" w:hAnsi="宋体" w:eastAsia="宋体" w:cs="宋体"/>
          <w:color w:val="auto"/>
          <w:sz w:val="24"/>
          <w:highlight w:val="none"/>
          <w:lang w:bidi="en-US"/>
        </w:rPr>
        <w:t>，</w:t>
      </w:r>
      <w:r>
        <w:rPr>
          <w:rFonts w:hint="eastAsia" w:ascii="宋体" w:hAnsi="宋体" w:eastAsia="宋体" w:cs="宋体"/>
          <w:color w:val="auto"/>
          <w:sz w:val="24"/>
          <w:highlight w:val="none"/>
          <w:lang w:val="zh-TW" w:eastAsia="zh-TW" w:bidi="zh-TW"/>
        </w:rPr>
        <w:t>属于</w:t>
      </w:r>
      <w:r>
        <w:rPr>
          <w:rFonts w:hint="eastAsia" w:ascii="宋体" w:hAnsi="宋体" w:eastAsia="宋体" w:cs="宋体"/>
          <w:color w:val="auto"/>
          <w:sz w:val="24"/>
          <w:highlight w:val="none"/>
          <w:u w:val="single"/>
          <w:lang w:val="zh-TW" w:eastAsia="zh-TW" w:bidi="zh-TW"/>
        </w:rPr>
        <w:t>（中型企业、小型企业、微型企业）</w:t>
      </w:r>
      <w:r>
        <w:rPr>
          <w:rFonts w:hint="eastAsia" w:ascii="宋体" w:hAnsi="宋体" w:eastAsia="宋体" w:cs="宋体"/>
          <w:color w:val="auto"/>
          <w:sz w:val="24"/>
          <w:highlight w:val="none"/>
          <w:lang w:val="zh-TW" w:eastAsia="zh-CN" w:bidi="zh-TW"/>
        </w:rPr>
        <w:t>。</w:t>
      </w:r>
    </w:p>
    <w:p w14:paraId="178823F7">
      <w:pPr>
        <w:numPr>
          <w:ilvl w:val="0"/>
          <w:numId w:val="0"/>
        </w:numPr>
        <w:tabs>
          <w:tab w:val="left" w:pos="830"/>
          <w:tab w:val="left" w:pos="4188"/>
        </w:tabs>
        <w:spacing w:line="360" w:lineRule="auto"/>
        <w:ind w:firstLine="440" w:firstLineChars="0"/>
        <w:rPr>
          <w:rFonts w:hint="eastAsia" w:ascii="宋体" w:hAnsi="宋体" w:eastAsia="宋体" w:cs="宋体"/>
          <w:color w:val="auto"/>
          <w:sz w:val="24"/>
          <w:highlight w:val="none"/>
          <w:lang w:val="zh-TW" w:eastAsia="zh-CN" w:bidi="zh-TW"/>
        </w:rPr>
      </w:pPr>
      <w:bookmarkStart w:id="293" w:name="bookmark25"/>
      <w:bookmarkEnd w:id="293"/>
      <w:r>
        <w:rPr>
          <w:rFonts w:hint="eastAsia" w:ascii="宋体" w:hAnsi="宋体" w:eastAsia="宋体" w:cs="宋体"/>
          <w:b/>
          <w:bCs/>
          <w:i w:val="0"/>
          <w:iCs w:val="0"/>
          <w:smallCaps w:val="0"/>
          <w:strike w:val="0"/>
          <w:color w:val="auto"/>
          <w:spacing w:val="0"/>
          <w:w w:val="100"/>
          <w:kern w:val="2"/>
          <w:position w:val="0"/>
          <w:sz w:val="20"/>
          <w:szCs w:val="20"/>
          <w:highlight w:val="none"/>
          <w:u w:val="none"/>
          <w:shd w:val="clear" w:color="auto" w:fill="auto"/>
          <w:lang w:val="en-US" w:eastAsia="en-US" w:bidi="en-US"/>
        </w:rPr>
        <w:t>2.</w:t>
      </w:r>
      <w:r>
        <w:rPr>
          <w:rFonts w:hint="eastAsia" w:ascii="宋体" w:hAnsi="宋体" w:eastAsia="宋体" w:cs="宋体"/>
          <w:color w:val="auto"/>
          <w:sz w:val="24"/>
          <w:highlight w:val="none"/>
          <w:u w:val="single"/>
          <w:lang w:val="zh-TW" w:eastAsia="zh-TW" w:bidi="zh-TW"/>
        </w:rPr>
        <w:t>（标的名称）</w:t>
      </w:r>
      <w:r>
        <w:rPr>
          <w:rFonts w:hint="eastAsia" w:ascii="宋体" w:hAnsi="宋体" w:eastAsia="宋体" w:cs="宋体"/>
          <w:color w:val="auto"/>
          <w:sz w:val="24"/>
          <w:highlight w:val="none"/>
          <w:u w:val="none"/>
          <w:lang w:val="zh-TW" w:eastAsia="zh-CN" w:bidi="zh-TW"/>
        </w:rPr>
        <w:t>，</w:t>
      </w:r>
      <w:r>
        <w:rPr>
          <w:rFonts w:hint="eastAsia" w:ascii="宋体" w:hAnsi="宋体" w:eastAsia="宋体" w:cs="宋体"/>
          <w:color w:val="auto"/>
          <w:sz w:val="24"/>
          <w:highlight w:val="none"/>
          <w:lang w:val="zh-TW" w:eastAsia="zh-TW" w:bidi="zh-TW"/>
        </w:rPr>
        <w:t>属于</w:t>
      </w:r>
      <w:r>
        <w:rPr>
          <w:rFonts w:hint="eastAsia" w:ascii="宋体" w:hAnsi="宋体" w:eastAsia="宋体" w:cs="宋体"/>
          <w:color w:val="auto"/>
          <w:sz w:val="24"/>
          <w:highlight w:val="none"/>
          <w:u w:val="single"/>
        </w:rPr>
        <w:t>（采购文件中明确的所属行业）</w:t>
      </w:r>
      <w:r>
        <w:rPr>
          <w:rFonts w:hint="eastAsia" w:ascii="宋体" w:hAnsi="宋体" w:eastAsia="宋体" w:cs="宋体"/>
          <w:b/>
          <w:color w:val="auto"/>
          <w:sz w:val="24"/>
          <w:highlight w:val="none"/>
          <w:u w:val="single"/>
          <w:lang w:bidi="zh-TW"/>
        </w:rPr>
        <w:t xml:space="preserve">    </w:t>
      </w:r>
      <w:r>
        <w:rPr>
          <w:rFonts w:hint="eastAsia" w:ascii="宋体" w:hAnsi="宋体" w:eastAsia="宋体" w:cs="宋体"/>
          <w:color w:val="auto"/>
          <w:sz w:val="24"/>
          <w:highlight w:val="none"/>
          <w:u w:val="single"/>
          <w:lang w:val="zh-TW" w:bidi="zh-TW"/>
        </w:rPr>
        <w:t xml:space="preserve"> </w:t>
      </w:r>
      <w:r>
        <w:rPr>
          <w:rFonts w:hint="eastAsia" w:ascii="宋体" w:hAnsi="宋体" w:eastAsia="宋体" w:cs="宋体"/>
          <w:color w:val="auto"/>
          <w:sz w:val="24"/>
          <w:highlight w:val="none"/>
          <w:lang w:val="zh-TW" w:eastAsia="zh-TW" w:bidi="zh-TW"/>
        </w:rPr>
        <w:t>行业</w:t>
      </w:r>
      <w:r>
        <w:rPr>
          <w:rFonts w:hint="eastAsia" w:ascii="宋体" w:hAnsi="宋体" w:eastAsia="宋体" w:cs="宋体"/>
          <w:color w:val="auto"/>
          <w:sz w:val="24"/>
          <w:highlight w:val="none"/>
          <w:lang w:val="zh-CN" w:bidi="zh-CN"/>
        </w:rPr>
        <w:t>；</w:t>
      </w:r>
      <w:r>
        <w:rPr>
          <w:rFonts w:hint="eastAsia" w:ascii="宋体" w:hAnsi="宋体" w:eastAsia="宋体" w:cs="宋体"/>
          <w:color w:val="auto"/>
          <w:sz w:val="24"/>
          <w:highlight w:val="none"/>
          <w:lang w:val="zh-TW" w:eastAsia="zh-TW" w:bidi="zh-TW"/>
        </w:rPr>
        <w:t>制造商为</w:t>
      </w:r>
      <w:r>
        <w:rPr>
          <w:rFonts w:hint="eastAsia" w:ascii="宋体" w:hAnsi="宋体" w:eastAsia="宋体" w:cs="宋体"/>
          <w:color w:val="auto"/>
          <w:sz w:val="24"/>
          <w:highlight w:val="none"/>
          <w:u w:val="single"/>
          <w:lang w:val="zh-TW" w:eastAsia="zh-TW" w:bidi="zh-TW"/>
        </w:rPr>
        <w:t>（企业名称）</w:t>
      </w:r>
      <w:r>
        <w:rPr>
          <w:rFonts w:hint="eastAsia" w:ascii="宋体" w:hAnsi="宋体" w:eastAsia="宋体" w:cs="宋体"/>
          <w:color w:val="auto"/>
          <w:sz w:val="24"/>
          <w:highlight w:val="none"/>
          <w:lang w:val="zh-TW" w:bidi="zh-TW"/>
        </w:rPr>
        <w:t>，</w:t>
      </w:r>
      <w:r>
        <w:rPr>
          <w:rFonts w:hint="eastAsia" w:ascii="宋体" w:hAnsi="宋体" w:eastAsia="宋体" w:cs="宋体"/>
          <w:color w:val="auto"/>
          <w:sz w:val="24"/>
          <w:highlight w:val="none"/>
          <w:lang w:val="zh-TW" w:eastAsia="zh-TW" w:bidi="zh-TW"/>
        </w:rPr>
        <w:t>从业人员</w:t>
      </w:r>
      <w:r>
        <w:rPr>
          <w:rFonts w:hint="eastAsia" w:ascii="宋体" w:hAnsi="宋体" w:eastAsia="宋体" w:cs="宋体"/>
          <w:color w:val="auto"/>
          <w:sz w:val="24"/>
          <w:highlight w:val="none"/>
          <w:u w:val="single"/>
          <w:lang w:val="zh-TW" w:bidi="zh-TW"/>
        </w:rPr>
        <w:t xml:space="preserve"> </w:t>
      </w:r>
      <w:r>
        <w:rPr>
          <w:rFonts w:hint="eastAsia" w:ascii="宋体" w:hAnsi="宋体" w:eastAsia="宋体" w:cs="宋体"/>
          <w:color w:val="auto"/>
          <w:sz w:val="24"/>
          <w:highlight w:val="none"/>
          <w:u w:val="single"/>
          <w:lang w:val="zh-TW" w:eastAsia="zh-TW" w:bidi="zh-TW"/>
        </w:rPr>
        <w:t xml:space="preserve">   </w:t>
      </w:r>
      <w:r>
        <w:rPr>
          <w:rFonts w:hint="eastAsia" w:ascii="宋体" w:hAnsi="宋体" w:eastAsia="宋体" w:cs="宋体"/>
          <w:color w:val="auto"/>
          <w:sz w:val="24"/>
          <w:highlight w:val="none"/>
          <w:lang w:val="zh-TW" w:eastAsia="zh-TW" w:bidi="zh-TW"/>
        </w:rPr>
        <w:t>人，营业收入为</w:t>
      </w:r>
      <w:r>
        <w:rPr>
          <w:rFonts w:hint="eastAsia" w:ascii="宋体" w:hAnsi="宋体" w:eastAsia="宋体" w:cs="宋体"/>
          <w:color w:val="auto"/>
          <w:sz w:val="24"/>
          <w:highlight w:val="none"/>
          <w:u w:val="single"/>
          <w:lang w:val="zh-TW" w:bidi="zh-TW"/>
        </w:rPr>
        <w:t xml:space="preserve">   </w:t>
      </w:r>
      <w:r>
        <w:rPr>
          <w:rFonts w:hint="eastAsia" w:ascii="宋体" w:hAnsi="宋体" w:eastAsia="宋体" w:cs="宋体"/>
          <w:color w:val="auto"/>
          <w:sz w:val="24"/>
          <w:highlight w:val="none"/>
          <w:lang w:val="zh-TW" w:eastAsia="zh-TW" w:bidi="zh-TW"/>
        </w:rPr>
        <w:t>万元，资产总额为</w:t>
      </w:r>
      <w:r>
        <w:rPr>
          <w:rFonts w:hint="eastAsia" w:ascii="宋体" w:hAnsi="宋体" w:eastAsia="宋体" w:cs="宋体"/>
          <w:color w:val="auto"/>
          <w:sz w:val="24"/>
          <w:highlight w:val="none"/>
          <w:u w:val="single"/>
          <w:lang w:val="zh-TW" w:bidi="zh-TW"/>
        </w:rPr>
        <w:t xml:space="preserve">   </w:t>
      </w:r>
      <w:r>
        <w:rPr>
          <w:rFonts w:hint="eastAsia" w:ascii="宋体" w:hAnsi="宋体" w:eastAsia="宋体" w:cs="宋体"/>
          <w:color w:val="auto"/>
          <w:sz w:val="24"/>
          <w:highlight w:val="none"/>
          <w:lang w:val="zh-TW" w:eastAsia="zh-TW" w:bidi="zh-TW"/>
        </w:rPr>
        <w:t>万元，属于</w:t>
      </w:r>
      <w:r>
        <w:rPr>
          <w:rFonts w:hint="eastAsia" w:ascii="宋体" w:hAnsi="宋体" w:eastAsia="宋体" w:cs="宋体"/>
          <w:color w:val="auto"/>
          <w:sz w:val="24"/>
          <w:highlight w:val="none"/>
          <w:u w:val="single"/>
          <w:lang w:val="zh-TW" w:eastAsia="zh-TW" w:bidi="zh-TW"/>
        </w:rPr>
        <w:t>（中型企业、小型企业、微型企业）</w:t>
      </w:r>
      <w:r>
        <w:rPr>
          <w:rFonts w:hint="eastAsia" w:ascii="宋体" w:hAnsi="宋体" w:eastAsia="宋体" w:cs="宋体"/>
          <w:color w:val="auto"/>
          <w:sz w:val="24"/>
          <w:highlight w:val="none"/>
          <w:lang w:val="zh-TW" w:eastAsia="zh-CN" w:bidi="zh-TW"/>
        </w:rPr>
        <w:t>。</w:t>
      </w:r>
    </w:p>
    <w:p w14:paraId="10E8F4F5">
      <w:pPr>
        <w:pStyle w:val="37"/>
        <w:spacing w:line="480" w:lineRule="auto"/>
        <w:ind w:left="0" w:leftChars="0" w:firstLine="720" w:firstLineChars="300"/>
        <w:rPr>
          <w:rFonts w:hint="eastAsia" w:ascii="宋体" w:hAnsi="宋体" w:eastAsia="宋体" w:cs="宋体"/>
          <w:color w:val="auto"/>
          <w:highlight w:val="none"/>
          <w:lang w:val="zh-TW" w:bidi="zh-TW"/>
        </w:rPr>
      </w:pPr>
      <w:r>
        <w:rPr>
          <w:rFonts w:hint="eastAsia" w:ascii="宋体" w:hAnsi="宋体" w:eastAsia="宋体" w:cs="宋体"/>
          <w:color w:val="auto"/>
          <w:kern w:val="0"/>
          <w:sz w:val="24"/>
          <w:highlight w:val="none"/>
        </w:rPr>
        <w:t>……</w:t>
      </w:r>
    </w:p>
    <w:p w14:paraId="5A3896F3">
      <w:pPr>
        <w:spacing w:line="360" w:lineRule="auto"/>
        <w:ind w:firstLine="480" w:firstLineChars="200"/>
        <w:rPr>
          <w:rFonts w:hint="eastAsia" w:ascii="宋体" w:hAnsi="宋体" w:eastAsia="宋体" w:cs="宋体"/>
          <w:color w:val="auto"/>
          <w:sz w:val="24"/>
          <w:highlight w:val="none"/>
          <w:lang w:val="zh-TW" w:eastAsia="zh-TW" w:bidi="zh-TW"/>
        </w:rPr>
      </w:pPr>
      <w:r>
        <w:rPr>
          <w:rFonts w:hint="eastAsia" w:ascii="宋体" w:hAnsi="宋体" w:eastAsia="宋体" w:cs="宋体"/>
          <w:color w:val="auto"/>
          <w:sz w:val="24"/>
          <w:highlight w:val="none"/>
          <w:lang w:val="zh-TW" w:eastAsia="zh-TW" w:bidi="zh-TW"/>
        </w:rPr>
        <w:t>以上企业，不属于大企业的分支机构，不存在控股股东为大企业的情形，也不存在与大企业的负责人为同一人的情形。</w:t>
      </w:r>
    </w:p>
    <w:p w14:paraId="137104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本企业对上述声明内容的真实性负责。如有虚假，将依法承担相应责任。</w:t>
      </w:r>
    </w:p>
    <w:p w14:paraId="135F0617">
      <w:pPr>
        <w:spacing w:line="360" w:lineRule="auto"/>
        <w:ind w:left="479" w:leftChars="228"/>
        <w:rPr>
          <w:rFonts w:hint="eastAsia" w:ascii="宋体" w:hAnsi="宋体" w:eastAsia="宋体" w:cs="宋体"/>
          <w:color w:val="auto"/>
          <w:sz w:val="24"/>
          <w:highlight w:val="none"/>
        </w:rPr>
      </w:pPr>
    </w:p>
    <w:p w14:paraId="4D5B1817">
      <w:pPr>
        <w:pStyle w:val="93"/>
        <w:spacing w:line="36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企业名称（盖章）：</w:t>
      </w:r>
    </w:p>
    <w:p w14:paraId="4946D3A6">
      <w:pPr>
        <w:shd w:val="clear" w:color="auto" w:fill="FFFFFF"/>
        <w:spacing w:line="480" w:lineRule="auto"/>
        <w:ind w:right="960" w:firstLine="629"/>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lang w:eastAsia="zh-CN"/>
        </w:rPr>
        <w:t>：</w:t>
      </w:r>
    </w:p>
    <w:p w14:paraId="5B8D71F3">
      <w:pPr>
        <w:tabs>
          <w:tab w:val="left" w:pos="3261"/>
        </w:tabs>
        <w:spacing w:line="360" w:lineRule="auto"/>
        <w:ind w:right="566" w:firstLine="660"/>
        <w:rPr>
          <w:rFonts w:hint="eastAsia" w:ascii="宋体" w:hAnsi="宋体" w:eastAsia="宋体" w:cs="宋体"/>
          <w:color w:val="auto"/>
          <w:spacing w:val="6"/>
          <w:sz w:val="24"/>
          <w:highlight w:val="none"/>
        </w:rPr>
      </w:pPr>
    </w:p>
    <w:p w14:paraId="509C83F5">
      <w:pPr>
        <w:tabs>
          <w:tab w:val="left" w:pos="3261"/>
        </w:tabs>
        <w:spacing w:line="360" w:lineRule="auto"/>
        <w:ind w:right="566" w:firstLine="50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说明：</w:t>
      </w:r>
    </w:p>
    <w:p w14:paraId="0763A611">
      <w:pPr>
        <w:keepNext w:val="0"/>
        <w:keepLines w:val="0"/>
        <w:pageBreakBefore w:val="0"/>
        <w:widowControl w:val="0"/>
        <w:numPr>
          <w:ilvl w:val="0"/>
          <w:numId w:val="8"/>
        </w:numPr>
        <w:tabs>
          <w:tab w:val="left" w:pos="3261"/>
        </w:tabs>
        <w:kinsoku/>
        <w:wordWrap/>
        <w:overflowPunct/>
        <w:topLinePunct w:val="0"/>
        <w:autoSpaceDE/>
        <w:autoSpaceDN/>
        <w:bidi w:val="0"/>
        <w:adjustRightInd/>
        <w:snapToGrid/>
        <w:spacing w:line="400" w:lineRule="exact"/>
        <w:ind w:right="114" w:rightChars="0" w:firstLine="505"/>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从业人员、营业收入、资产总额填报上一年度数据，无上一年度数据的新成立企业可不填报。</w:t>
      </w:r>
    </w:p>
    <w:p w14:paraId="28469047">
      <w:pPr>
        <w:keepNext w:val="0"/>
        <w:keepLines w:val="0"/>
        <w:pageBreakBefore w:val="0"/>
        <w:widowControl w:val="0"/>
        <w:numPr>
          <w:ilvl w:val="0"/>
          <w:numId w:val="8"/>
        </w:numPr>
        <w:tabs>
          <w:tab w:val="left" w:pos="3261"/>
        </w:tabs>
        <w:kinsoku/>
        <w:wordWrap/>
        <w:overflowPunct/>
        <w:topLinePunct w:val="0"/>
        <w:autoSpaceDE/>
        <w:autoSpaceDN/>
        <w:bidi w:val="0"/>
        <w:adjustRightInd/>
        <w:snapToGrid/>
        <w:spacing w:line="400" w:lineRule="exact"/>
        <w:ind w:right="114" w:rightChars="0" w:firstLine="505"/>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投标人应依据本公司（或单位）的财务报表、社保缴纳情况或劳动合同或工资支付记录等证明材料真实填写此表。</w:t>
      </w:r>
    </w:p>
    <w:p w14:paraId="25762D29">
      <w:pPr>
        <w:keepNext w:val="0"/>
        <w:keepLines w:val="0"/>
        <w:pageBreakBefore w:val="0"/>
        <w:widowControl/>
        <w:suppressLineNumbers w:val="0"/>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val="0"/>
          <w:color w:val="auto"/>
          <w:sz w:val="24"/>
          <w:highlight w:val="none"/>
          <w:lang w:val="en-US" w:eastAsia="zh-CN"/>
        </w:rPr>
        <w:t>（3）投标人应对承诺内容的真实性负责，如内容填写虚假，</w:t>
      </w:r>
      <w:r>
        <w:rPr>
          <w:rFonts w:hint="eastAsia" w:ascii="宋体" w:hAnsi="宋体" w:cs="宋体"/>
          <w:b/>
          <w:bCs w:val="0"/>
          <w:color w:val="auto"/>
          <w:sz w:val="24"/>
          <w:highlight w:val="none"/>
          <w:lang w:val="en-US" w:eastAsia="zh-CN"/>
        </w:rPr>
        <w:t>采购人</w:t>
      </w:r>
      <w:r>
        <w:rPr>
          <w:rFonts w:hint="eastAsia" w:ascii="宋体" w:hAnsi="宋体" w:eastAsia="宋体" w:cs="宋体"/>
          <w:b/>
          <w:bCs w:val="0"/>
          <w:color w:val="auto"/>
          <w:sz w:val="24"/>
          <w:highlight w:val="none"/>
          <w:lang w:val="en-US" w:eastAsia="zh-CN"/>
        </w:rPr>
        <w:t>有权扣除投标人缴纳的投标保证金（若缴纳）并承担给</w:t>
      </w:r>
      <w:r>
        <w:rPr>
          <w:rFonts w:hint="eastAsia" w:ascii="宋体" w:hAnsi="宋体" w:cs="宋体"/>
          <w:b/>
          <w:bCs w:val="0"/>
          <w:color w:val="auto"/>
          <w:sz w:val="24"/>
          <w:highlight w:val="none"/>
          <w:lang w:val="en-US" w:eastAsia="zh-CN"/>
        </w:rPr>
        <w:t>采购人</w:t>
      </w:r>
      <w:r>
        <w:rPr>
          <w:rFonts w:hint="eastAsia" w:ascii="宋体" w:hAnsi="宋体" w:eastAsia="宋体" w:cs="宋体"/>
          <w:b/>
          <w:bCs w:val="0"/>
          <w:color w:val="auto"/>
          <w:sz w:val="24"/>
          <w:highlight w:val="none"/>
          <w:lang w:val="en-US" w:eastAsia="zh-CN"/>
        </w:rPr>
        <w:t>及代理机构造成的一切损失。</w:t>
      </w:r>
    </w:p>
    <w:p w14:paraId="1BF2276D">
      <w:pPr>
        <w:pageBreakBefore w:val="0"/>
        <w:kinsoku/>
        <w:wordWrap w:val="0"/>
        <w:overflowPunct/>
        <w:bidi w:val="0"/>
        <w:rPr>
          <w:rFonts w:hint="eastAsia" w:ascii="宋体" w:hAnsi="宋体" w:eastAsia="宋体" w:cs="宋体"/>
          <w:color w:val="auto"/>
          <w:kern w:val="0"/>
          <w:sz w:val="24"/>
          <w:szCs w:val="24"/>
          <w:highlight w:val="none"/>
          <w:lang w:val="en-US" w:eastAsia="zh-CN" w:bidi="ar"/>
        </w:rPr>
      </w:pPr>
    </w:p>
    <w:p w14:paraId="7EC8063E">
      <w:pPr>
        <w:pageBreakBefore w:val="0"/>
        <w:numPr>
          <w:ilvl w:val="0"/>
          <w:numId w:val="9"/>
        </w:numPr>
        <w:shd w:val="clear" w:color="auto" w:fill="FFFFFF"/>
        <w:kinsoku/>
        <w:wordWrap w:val="0"/>
        <w:overflowPunct/>
        <w:bidi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残疾人福利性单位声明函</w:t>
      </w:r>
    </w:p>
    <w:p w14:paraId="74E884D3">
      <w:pPr>
        <w:pStyle w:val="13"/>
        <w:pageBreakBefore w:val="0"/>
        <w:numPr>
          <w:ilvl w:val="0"/>
          <w:numId w:val="0"/>
        </w:numPr>
        <w:kinsoku/>
        <w:wordWrap w:val="0"/>
        <w:overflowPunct/>
        <w:bidi w:val="0"/>
        <w:rPr>
          <w:rFonts w:hint="eastAsia" w:ascii="宋体" w:hAnsi="宋体" w:eastAsia="宋体" w:cs="宋体"/>
          <w:color w:val="auto"/>
          <w:highlight w:val="none"/>
        </w:rPr>
      </w:pPr>
    </w:p>
    <w:p w14:paraId="4345B3FC">
      <w:pPr>
        <w:pageBreakBefore w:val="0"/>
        <w:kinsoku/>
        <w:wordWrap w:val="0"/>
        <w:overflowPunct/>
        <w:autoSpaceDE w:val="0"/>
        <w:autoSpaceDN w:val="0"/>
        <w:bidi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8A71E04">
      <w:pPr>
        <w:pageBreakBefore w:val="0"/>
        <w:kinsoku/>
        <w:wordWrap w:val="0"/>
        <w:overflowPunct/>
        <w:autoSpaceDE w:val="0"/>
        <w:autoSpaceDN w:val="0"/>
        <w:bidi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本单位对上述声明的真实性负责。如有虚假，将依法承担相应责任。</w:t>
      </w:r>
    </w:p>
    <w:p w14:paraId="0F5C16E1">
      <w:pPr>
        <w:pageBreakBefore w:val="0"/>
        <w:kinsoku/>
        <w:wordWrap w:val="0"/>
        <w:overflowPunct/>
        <w:autoSpaceDE w:val="0"/>
        <w:autoSpaceDN w:val="0"/>
        <w:bidi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单位名称（盖章）：</w:t>
      </w:r>
    </w:p>
    <w:p w14:paraId="37DB0BF7">
      <w:pPr>
        <w:pageBreakBefore w:val="0"/>
        <w:kinsoku/>
        <w:wordWrap w:val="0"/>
        <w:overflowPunct/>
        <w:autoSpaceDE w:val="0"/>
        <w:autoSpaceDN w:val="0"/>
        <w:bidi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  期：</w:t>
      </w:r>
    </w:p>
    <w:p w14:paraId="6B2EEC81">
      <w:pPr>
        <w:pageBreakBefore w:val="0"/>
        <w:kinsoku/>
        <w:wordWrap w:val="0"/>
        <w:overflowPunct/>
        <w:bidi w:val="0"/>
        <w:rPr>
          <w:rFonts w:hint="eastAsia" w:ascii="宋体" w:hAnsi="宋体" w:eastAsia="宋体" w:cs="宋体"/>
          <w:color w:val="auto"/>
          <w:sz w:val="24"/>
          <w:szCs w:val="24"/>
          <w:highlight w:val="none"/>
        </w:rPr>
      </w:pPr>
    </w:p>
    <w:p w14:paraId="04EAD93E">
      <w:pPr>
        <w:pageBreakBefore w:val="0"/>
        <w:kinsoku/>
        <w:wordWrap w:val="0"/>
        <w:overflowPunct/>
        <w:bidi w:val="0"/>
        <w:rPr>
          <w:rFonts w:hint="eastAsia" w:ascii="宋体" w:hAnsi="宋体" w:eastAsia="宋体" w:cs="宋体"/>
          <w:color w:val="auto"/>
          <w:sz w:val="24"/>
          <w:szCs w:val="24"/>
          <w:highlight w:val="none"/>
        </w:rPr>
      </w:pPr>
    </w:p>
    <w:p w14:paraId="32BC7AC3">
      <w:pPr>
        <w:pageBreakBefore w:val="0"/>
        <w:kinsoku/>
        <w:wordWrap w:val="0"/>
        <w:overflowPunct/>
        <w:bidi w:val="0"/>
        <w:rPr>
          <w:rFonts w:hint="eastAsia" w:ascii="宋体" w:hAnsi="宋体" w:eastAsia="宋体" w:cs="宋体"/>
          <w:color w:val="auto"/>
          <w:sz w:val="24"/>
          <w:szCs w:val="24"/>
          <w:highlight w:val="none"/>
        </w:rPr>
      </w:pPr>
    </w:p>
    <w:p w14:paraId="50A83967">
      <w:pPr>
        <w:pageBreakBefore w:val="0"/>
        <w:kinsoku/>
        <w:wordWrap w:val="0"/>
        <w:overflowPunct/>
        <w:bidi w:val="0"/>
        <w:jc w:val="center"/>
        <w:rPr>
          <w:rFonts w:hint="eastAsia" w:ascii="宋体" w:hAnsi="宋体" w:eastAsia="宋体" w:cs="宋体"/>
          <w:b/>
          <w:color w:val="auto"/>
          <w:sz w:val="24"/>
          <w:szCs w:val="24"/>
          <w:highlight w:val="none"/>
        </w:rPr>
      </w:pPr>
    </w:p>
    <w:p w14:paraId="66A8F885">
      <w:pPr>
        <w:pageBreakBefore w:val="0"/>
        <w:kinsoku/>
        <w:wordWrap w:val="0"/>
        <w:overflowPunct/>
        <w:autoSpaceDE w:val="0"/>
        <w:autoSpaceDN w:val="0"/>
        <w:bidi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注：（1）残疾人福利性单位在参加政府采购活动时，应当提供《残疾人福利性单位声明函》，并对声明的真实性负责；</w:t>
      </w:r>
    </w:p>
    <w:p w14:paraId="0281F776">
      <w:pPr>
        <w:pageBreakBefore w:val="0"/>
        <w:kinsoku/>
        <w:wordWrap w:val="0"/>
        <w:overflowPunct/>
        <w:autoSpaceDE w:val="0"/>
        <w:autoSpaceDN w:val="0"/>
        <w:bidi w:val="0"/>
        <w:adjustRightInd w:val="0"/>
        <w:spacing w:line="360" w:lineRule="auto"/>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（2）如不是残疾人福利性单位，则无需提供或填写</w:t>
      </w:r>
      <w:r>
        <w:rPr>
          <w:rFonts w:hint="eastAsia" w:ascii="宋体" w:hAnsi="宋体" w:eastAsia="宋体" w:cs="宋体"/>
          <w:color w:val="auto"/>
          <w:kern w:val="0"/>
          <w:sz w:val="24"/>
          <w:szCs w:val="24"/>
          <w:highlight w:val="none"/>
          <w:lang w:eastAsia="zh-CN"/>
        </w:rPr>
        <w:t>。</w:t>
      </w:r>
    </w:p>
    <w:p w14:paraId="0C748474">
      <w:pPr>
        <w:pageBreakBefore w:val="0"/>
        <w:kinsoku/>
        <w:wordWrap w:val="0"/>
        <w:overflowPunct/>
        <w:bidi w:val="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br w:type="page"/>
      </w:r>
    </w:p>
    <w:p w14:paraId="120AA2FC">
      <w:pPr>
        <w:pageBreakBefore w:val="0"/>
        <w:shd w:val="clear" w:color="auto" w:fill="FFFFFF"/>
        <w:kinsoku/>
        <w:wordWrap w:val="0"/>
        <w:overflowPunct/>
        <w:bidi w:val="0"/>
        <w:spacing w:line="360" w:lineRule="auto"/>
        <w:jc w:val="center"/>
        <w:rPr>
          <w:rFonts w:hint="eastAsia" w:ascii="宋体" w:hAnsi="宋体" w:eastAsia="宋体" w:cs="宋体"/>
          <w:b/>
          <w:bCs/>
          <w:color w:val="auto"/>
          <w:sz w:val="24"/>
          <w:szCs w:val="24"/>
          <w:highlight w:val="none"/>
          <w:lang w:eastAsia="zh-CN"/>
        </w:rPr>
      </w:pPr>
      <w:bookmarkStart w:id="294" w:name="_Toc3811"/>
    </w:p>
    <w:p w14:paraId="2D806BE4">
      <w:pPr>
        <w:pageBreakBefore w:val="0"/>
        <w:numPr>
          <w:ilvl w:val="0"/>
          <w:numId w:val="9"/>
        </w:numPr>
        <w:shd w:val="clear" w:color="auto" w:fill="FFFFFF"/>
        <w:kinsoku/>
        <w:wordWrap w:val="0"/>
        <w:overflowPunct/>
        <w:bidi w:val="0"/>
        <w:spacing w:line="360" w:lineRule="auto"/>
        <w:ind w:left="0" w:leftChars="0" w:firstLine="0" w:firstLineChars="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监狱企业证明</w:t>
      </w:r>
      <w:bookmarkEnd w:id="294"/>
    </w:p>
    <w:p w14:paraId="2F997D4B">
      <w:pPr>
        <w:pStyle w:val="13"/>
        <w:pageBreakBefore w:val="0"/>
        <w:numPr>
          <w:ilvl w:val="0"/>
          <w:numId w:val="0"/>
        </w:numPr>
        <w:kinsoku/>
        <w:wordWrap w:val="0"/>
        <w:overflowPunct/>
        <w:bidi w:val="0"/>
        <w:ind w:leftChars="0"/>
        <w:rPr>
          <w:rFonts w:hint="eastAsia" w:ascii="宋体" w:hAnsi="宋体" w:eastAsia="宋体" w:cs="宋体"/>
          <w:color w:val="auto"/>
          <w:highlight w:val="none"/>
          <w:lang w:eastAsia="zh-CN"/>
        </w:rPr>
      </w:pPr>
    </w:p>
    <w:p w14:paraId="3EAA5E3D">
      <w:pPr>
        <w:pageBreakBefore w:val="0"/>
        <w:kinsoku/>
        <w:wordWrap w:val="0"/>
        <w:overflowPunct/>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BF1F276">
      <w:pPr>
        <w:pageBreakBefore w:val="0"/>
        <w:kinsoku/>
        <w:wordWrap w:val="0"/>
        <w:overflowPunct/>
        <w:bidi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3CA4A125">
      <w:pPr>
        <w:pageBreakBefore w:val="0"/>
        <w:kinsoku/>
        <w:wordWrap w:val="0"/>
        <w:overflowPunct/>
        <w:bidi w:val="0"/>
        <w:rPr>
          <w:rFonts w:hint="eastAsia" w:ascii="宋体" w:hAnsi="宋体" w:eastAsia="宋体" w:cs="宋体"/>
          <w:color w:val="auto"/>
          <w:sz w:val="24"/>
          <w:szCs w:val="24"/>
          <w:highlight w:val="none"/>
        </w:rPr>
      </w:pPr>
    </w:p>
    <w:p w14:paraId="5CC2CA19">
      <w:pPr>
        <w:pageBreakBefore w:val="0"/>
        <w:kinsoku/>
        <w:wordWrap w:val="0"/>
        <w:overflowPunct/>
        <w:autoSpaceDE w:val="0"/>
        <w:autoSpaceDN w:val="0"/>
        <w:bidi w:val="0"/>
        <w:adjustRightInd w:val="0"/>
        <w:jc w:val="left"/>
        <w:rPr>
          <w:rFonts w:hint="eastAsia" w:ascii="宋体" w:hAnsi="宋体" w:eastAsia="宋体" w:cs="宋体"/>
          <w:color w:val="auto"/>
          <w:kern w:val="0"/>
          <w:sz w:val="24"/>
          <w:szCs w:val="24"/>
          <w:highlight w:val="none"/>
        </w:rPr>
      </w:pPr>
    </w:p>
    <w:p w14:paraId="32765B39">
      <w:pPr>
        <w:pageBreakBefore w:val="0"/>
        <w:kinsoku/>
        <w:wordWrap w:val="0"/>
        <w:overflowPunct/>
        <w:autoSpaceDE w:val="0"/>
        <w:autoSpaceDN w:val="0"/>
        <w:bidi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注：如不是监狱企业，则无需提供或填写，若是监狱企业同时提供证明文件或材料。</w:t>
      </w:r>
    </w:p>
    <w:p w14:paraId="1AA5694E">
      <w:pPr>
        <w:pageBreakBefore w:val="0"/>
        <w:kinsoku/>
        <w:wordWrap w:val="0"/>
        <w:overflowPunct/>
        <w:bidi w:val="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r>
    </w:p>
    <w:p w14:paraId="4E59E4CA">
      <w:pPr>
        <w:pageBreakBefore w:val="0"/>
        <w:numPr>
          <w:ilvl w:val="0"/>
          <w:numId w:val="9"/>
        </w:numPr>
        <w:shd w:val="clear" w:color="auto" w:fill="FFFFFF"/>
        <w:kinsoku/>
        <w:wordWrap w:val="0"/>
        <w:overflowPunct/>
        <w:bidi w:val="0"/>
        <w:spacing w:line="360" w:lineRule="auto"/>
        <w:ind w:left="0" w:leftChars="0" w:firstLine="0" w:firstLineChars="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节能、环境标志产品</w:t>
      </w:r>
    </w:p>
    <w:p w14:paraId="128A473A">
      <w:pPr>
        <w:pStyle w:val="18"/>
        <w:wordWrap w:val="0"/>
        <w:adjustRightInd w:val="0"/>
        <w:snapToGrid w:val="0"/>
        <w:spacing w:after="0" w:line="360" w:lineRule="auto"/>
        <w:jc w:val="center"/>
        <w:rPr>
          <w:rFonts w:hAnsi="宋体" w:cs="宋体"/>
          <w:b/>
          <w:color w:val="auto"/>
          <w:szCs w:val="21"/>
          <w:highlight w:val="none"/>
        </w:rPr>
      </w:pPr>
      <w:r>
        <w:rPr>
          <w:rFonts w:hint="eastAsia" w:hAnsi="宋体" w:cs="宋体"/>
          <w:b/>
          <w:color w:val="auto"/>
          <w:szCs w:val="21"/>
          <w:highlight w:val="none"/>
        </w:rPr>
        <w:t>（本表可不填写或删除）</w:t>
      </w:r>
    </w:p>
    <w:p w14:paraId="62857808">
      <w:pPr>
        <w:pStyle w:val="18"/>
        <w:wordWrap w:val="0"/>
        <w:adjustRightInd w:val="0"/>
        <w:snapToGrid w:val="0"/>
        <w:spacing w:after="0" w:line="360" w:lineRule="auto"/>
        <w:rPr>
          <w:rFonts w:hAnsi="宋体" w:cs="宋体"/>
          <w:b/>
          <w:color w:val="auto"/>
          <w:szCs w:val="21"/>
          <w:highlight w:val="none"/>
        </w:rPr>
      </w:pPr>
      <w:r>
        <w:rPr>
          <w:rFonts w:hint="eastAsia" w:hAnsi="宋体" w:cs="宋体"/>
          <w:b/>
          <w:color w:val="auto"/>
          <w:szCs w:val="21"/>
          <w:highlight w:val="none"/>
        </w:rPr>
        <w:t>项目名称：</w:t>
      </w:r>
    </w:p>
    <w:p w14:paraId="053C2AA5">
      <w:pPr>
        <w:pStyle w:val="18"/>
        <w:wordWrap w:val="0"/>
        <w:adjustRightInd w:val="0"/>
        <w:snapToGrid w:val="0"/>
        <w:spacing w:after="0" w:line="360" w:lineRule="auto"/>
        <w:rPr>
          <w:rFonts w:hAnsi="宋体" w:cs="宋体"/>
          <w:b/>
          <w:color w:val="auto"/>
          <w:szCs w:val="21"/>
          <w:highlight w:val="none"/>
        </w:rPr>
      </w:pPr>
      <w:r>
        <w:rPr>
          <w:rFonts w:hint="eastAsia" w:hAnsi="宋体" w:cs="宋体"/>
          <w:b/>
          <w:color w:val="auto"/>
          <w:szCs w:val="21"/>
          <w:highlight w:val="none"/>
        </w:rPr>
        <w:t>项目编号：</w:t>
      </w:r>
    </w:p>
    <w:tbl>
      <w:tblPr>
        <w:tblStyle w:val="38"/>
        <w:tblW w:w="85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2398"/>
        <w:gridCol w:w="1575"/>
        <w:gridCol w:w="1887"/>
        <w:gridCol w:w="1913"/>
      </w:tblGrid>
      <w:tr w14:paraId="7E7B7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02" w:type="dxa"/>
            <w:vAlign w:val="center"/>
          </w:tcPr>
          <w:p w14:paraId="26B6512D">
            <w:pPr>
              <w:wordWrap w:val="0"/>
              <w:adjustRightInd w:val="0"/>
              <w:snapToGrid w:val="0"/>
              <w:spacing w:after="0" w:line="360" w:lineRule="auto"/>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2398" w:type="dxa"/>
            <w:vAlign w:val="center"/>
          </w:tcPr>
          <w:p w14:paraId="40F2E8EB">
            <w:pPr>
              <w:wordWrap w:val="0"/>
              <w:adjustRightInd w:val="0"/>
              <w:snapToGrid w:val="0"/>
              <w:spacing w:after="0" w:line="360" w:lineRule="auto"/>
              <w:jc w:val="center"/>
              <w:rPr>
                <w:rFonts w:ascii="宋体" w:hAnsi="宋体" w:cs="宋体"/>
                <w:b/>
                <w:color w:val="auto"/>
                <w:szCs w:val="21"/>
                <w:highlight w:val="none"/>
              </w:rPr>
            </w:pPr>
            <w:r>
              <w:rPr>
                <w:rFonts w:hint="eastAsia" w:ascii="宋体" w:hAnsi="宋体" w:cs="宋体"/>
                <w:b/>
                <w:color w:val="auto"/>
                <w:szCs w:val="21"/>
                <w:highlight w:val="none"/>
                <w:lang w:bidi="ar"/>
              </w:rPr>
              <w:t>产品（项目）名称</w:t>
            </w:r>
          </w:p>
        </w:tc>
        <w:tc>
          <w:tcPr>
            <w:tcW w:w="1575" w:type="dxa"/>
            <w:vAlign w:val="center"/>
          </w:tcPr>
          <w:p w14:paraId="1A76CDC5">
            <w:pPr>
              <w:wordWrap w:val="0"/>
              <w:adjustRightInd w:val="0"/>
              <w:snapToGrid w:val="0"/>
              <w:spacing w:after="0" w:line="360" w:lineRule="auto"/>
              <w:jc w:val="center"/>
              <w:rPr>
                <w:rFonts w:ascii="宋体" w:hAnsi="宋体" w:cs="宋体"/>
                <w:b/>
                <w:color w:val="auto"/>
                <w:szCs w:val="21"/>
                <w:highlight w:val="none"/>
              </w:rPr>
            </w:pPr>
            <w:r>
              <w:rPr>
                <w:rFonts w:hint="eastAsia" w:ascii="宋体" w:hAnsi="宋体" w:cs="宋体"/>
                <w:b/>
                <w:color w:val="auto"/>
                <w:szCs w:val="21"/>
                <w:highlight w:val="none"/>
              </w:rPr>
              <w:t>是否属于</w:t>
            </w:r>
          </w:p>
          <w:p w14:paraId="5B35FA84">
            <w:pPr>
              <w:wordWrap w:val="0"/>
              <w:adjustRightInd w:val="0"/>
              <w:snapToGrid w:val="0"/>
              <w:spacing w:after="0" w:line="360" w:lineRule="auto"/>
              <w:jc w:val="center"/>
              <w:rPr>
                <w:rFonts w:ascii="宋体" w:hAnsi="宋体" w:cs="宋体"/>
                <w:b/>
                <w:color w:val="auto"/>
                <w:szCs w:val="21"/>
                <w:highlight w:val="none"/>
              </w:rPr>
            </w:pPr>
            <w:r>
              <w:rPr>
                <w:rFonts w:hint="eastAsia" w:ascii="宋体" w:hAnsi="宋体" w:cs="宋体"/>
                <w:b/>
                <w:color w:val="auto"/>
                <w:szCs w:val="21"/>
                <w:highlight w:val="none"/>
              </w:rPr>
              <w:t>强制节能产品</w:t>
            </w:r>
          </w:p>
        </w:tc>
        <w:tc>
          <w:tcPr>
            <w:tcW w:w="1887" w:type="dxa"/>
            <w:vAlign w:val="center"/>
          </w:tcPr>
          <w:p w14:paraId="0B057F8B">
            <w:pPr>
              <w:wordWrap w:val="0"/>
              <w:adjustRightInd w:val="0"/>
              <w:snapToGrid w:val="0"/>
              <w:spacing w:after="0" w:line="360" w:lineRule="auto"/>
              <w:jc w:val="center"/>
              <w:rPr>
                <w:rFonts w:ascii="宋体" w:hAnsi="宋体" w:cs="宋体"/>
                <w:b/>
                <w:color w:val="auto"/>
                <w:szCs w:val="21"/>
                <w:highlight w:val="none"/>
              </w:rPr>
            </w:pPr>
            <w:r>
              <w:rPr>
                <w:rFonts w:hint="eastAsia" w:ascii="宋体" w:hAnsi="宋体" w:cs="宋体"/>
                <w:b/>
                <w:color w:val="auto"/>
                <w:szCs w:val="21"/>
                <w:highlight w:val="none"/>
              </w:rPr>
              <w:t>是否属于</w:t>
            </w:r>
          </w:p>
          <w:p w14:paraId="403DEFDC">
            <w:pPr>
              <w:wordWrap w:val="0"/>
              <w:adjustRightInd w:val="0"/>
              <w:snapToGrid w:val="0"/>
              <w:spacing w:after="0" w:line="360" w:lineRule="auto"/>
              <w:jc w:val="center"/>
              <w:rPr>
                <w:rFonts w:ascii="宋体" w:hAnsi="宋体" w:cs="宋体"/>
                <w:b/>
                <w:color w:val="auto"/>
                <w:szCs w:val="21"/>
                <w:highlight w:val="none"/>
              </w:rPr>
            </w:pPr>
            <w:r>
              <w:rPr>
                <w:rFonts w:hint="eastAsia" w:ascii="宋体" w:hAnsi="宋体" w:cs="宋体"/>
                <w:b/>
                <w:color w:val="auto"/>
                <w:szCs w:val="21"/>
                <w:highlight w:val="none"/>
              </w:rPr>
              <w:t>节能产品</w:t>
            </w:r>
          </w:p>
        </w:tc>
        <w:tc>
          <w:tcPr>
            <w:tcW w:w="1913" w:type="dxa"/>
            <w:vAlign w:val="center"/>
          </w:tcPr>
          <w:p w14:paraId="02CDE8EF">
            <w:pPr>
              <w:wordWrap w:val="0"/>
              <w:adjustRightInd w:val="0"/>
              <w:snapToGrid w:val="0"/>
              <w:spacing w:after="0" w:line="360" w:lineRule="auto"/>
              <w:jc w:val="center"/>
              <w:rPr>
                <w:rFonts w:ascii="宋体" w:hAnsi="宋体" w:cs="宋体"/>
                <w:b/>
                <w:color w:val="auto"/>
                <w:szCs w:val="21"/>
                <w:highlight w:val="none"/>
              </w:rPr>
            </w:pPr>
            <w:r>
              <w:rPr>
                <w:rFonts w:hint="eastAsia" w:ascii="宋体" w:hAnsi="宋体" w:cs="宋体"/>
                <w:b/>
                <w:color w:val="auto"/>
                <w:szCs w:val="21"/>
                <w:highlight w:val="none"/>
              </w:rPr>
              <w:t>是否属于</w:t>
            </w:r>
          </w:p>
          <w:p w14:paraId="594C0E6C">
            <w:pPr>
              <w:wordWrap w:val="0"/>
              <w:adjustRightInd w:val="0"/>
              <w:snapToGrid w:val="0"/>
              <w:spacing w:after="0" w:line="360" w:lineRule="auto"/>
              <w:jc w:val="center"/>
              <w:rPr>
                <w:rFonts w:ascii="宋体" w:hAnsi="宋体" w:cs="宋体"/>
                <w:b/>
                <w:color w:val="auto"/>
                <w:szCs w:val="21"/>
                <w:highlight w:val="none"/>
              </w:rPr>
            </w:pPr>
            <w:r>
              <w:rPr>
                <w:rFonts w:hint="eastAsia" w:ascii="宋体" w:hAnsi="宋体" w:cs="宋体"/>
                <w:b/>
                <w:color w:val="auto"/>
                <w:szCs w:val="21"/>
                <w:highlight w:val="none"/>
              </w:rPr>
              <w:t>环境标志产品</w:t>
            </w:r>
          </w:p>
        </w:tc>
      </w:tr>
      <w:tr w14:paraId="31BA4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02" w:type="dxa"/>
          </w:tcPr>
          <w:p w14:paraId="4CFDFB48">
            <w:pPr>
              <w:wordWrap w:val="0"/>
              <w:adjustRightInd w:val="0"/>
              <w:snapToGrid w:val="0"/>
              <w:spacing w:after="0" w:line="360" w:lineRule="auto"/>
              <w:rPr>
                <w:rFonts w:ascii="宋体" w:hAnsi="宋体" w:cs="宋体"/>
                <w:bCs/>
                <w:color w:val="auto"/>
                <w:szCs w:val="21"/>
                <w:highlight w:val="none"/>
              </w:rPr>
            </w:pPr>
          </w:p>
        </w:tc>
        <w:tc>
          <w:tcPr>
            <w:tcW w:w="2398" w:type="dxa"/>
          </w:tcPr>
          <w:p w14:paraId="34998A72">
            <w:pPr>
              <w:wordWrap w:val="0"/>
              <w:adjustRightInd w:val="0"/>
              <w:snapToGrid w:val="0"/>
              <w:spacing w:after="0" w:line="360" w:lineRule="auto"/>
              <w:rPr>
                <w:rFonts w:ascii="宋体" w:hAnsi="宋体" w:cs="宋体"/>
                <w:bCs/>
                <w:color w:val="auto"/>
                <w:szCs w:val="21"/>
                <w:highlight w:val="none"/>
              </w:rPr>
            </w:pPr>
          </w:p>
        </w:tc>
        <w:tc>
          <w:tcPr>
            <w:tcW w:w="1575" w:type="dxa"/>
          </w:tcPr>
          <w:p w14:paraId="4A8B5551">
            <w:pPr>
              <w:wordWrap w:val="0"/>
              <w:adjustRightInd w:val="0"/>
              <w:snapToGrid w:val="0"/>
              <w:spacing w:after="0" w:line="360" w:lineRule="auto"/>
              <w:rPr>
                <w:rFonts w:ascii="宋体" w:hAnsi="宋体" w:cs="宋体"/>
                <w:bCs/>
                <w:color w:val="auto"/>
                <w:szCs w:val="21"/>
                <w:highlight w:val="none"/>
              </w:rPr>
            </w:pPr>
          </w:p>
        </w:tc>
        <w:tc>
          <w:tcPr>
            <w:tcW w:w="1887" w:type="dxa"/>
          </w:tcPr>
          <w:p w14:paraId="0F6DB998">
            <w:pPr>
              <w:wordWrap w:val="0"/>
              <w:adjustRightInd w:val="0"/>
              <w:snapToGrid w:val="0"/>
              <w:spacing w:after="0" w:line="360" w:lineRule="auto"/>
              <w:rPr>
                <w:rFonts w:ascii="宋体" w:hAnsi="宋体" w:cs="宋体"/>
                <w:bCs/>
                <w:color w:val="auto"/>
                <w:szCs w:val="21"/>
                <w:highlight w:val="none"/>
              </w:rPr>
            </w:pPr>
          </w:p>
        </w:tc>
        <w:tc>
          <w:tcPr>
            <w:tcW w:w="1913" w:type="dxa"/>
          </w:tcPr>
          <w:p w14:paraId="5D877212">
            <w:pPr>
              <w:wordWrap w:val="0"/>
              <w:adjustRightInd w:val="0"/>
              <w:snapToGrid w:val="0"/>
              <w:spacing w:after="0" w:line="360" w:lineRule="auto"/>
              <w:rPr>
                <w:rFonts w:ascii="宋体" w:hAnsi="宋体" w:cs="宋体"/>
                <w:bCs/>
                <w:color w:val="auto"/>
                <w:szCs w:val="21"/>
                <w:highlight w:val="none"/>
              </w:rPr>
            </w:pPr>
          </w:p>
        </w:tc>
      </w:tr>
      <w:tr w14:paraId="0399B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02" w:type="dxa"/>
          </w:tcPr>
          <w:p w14:paraId="5BF01886">
            <w:pPr>
              <w:wordWrap w:val="0"/>
              <w:adjustRightInd w:val="0"/>
              <w:snapToGrid w:val="0"/>
              <w:spacing w:after="0" w:line="360" w:lineRule="auto"/>
              <w:rPr>
                <w:rFonts w:ascii="宋体" w:hAnsi="宋体" w:cs="宋体"/>
                <w:bCs/>
                <w:color w:val="auto"/>
                <w:szCs w:val="21"/>
                <w:highlight w:val="none"/>
              </w:rPr>
            </w:pPr>
          </w:p>
        </w:tc>
        <w:tc>
          <w:tcPr>
            <w:tcW w:w="2398" w:type="dxa"/>
          </w:tcPr>
          <w:p w14:paraId="05BD8C20">
            <w:pPr>
              <w:wordWrap w:val="0"/>
              <w:adjustRightInd w:val="0"/>
              <w:snapToGrid w:val="0"/>
              <w:spacing w:after="0" w:line="360" w:lineRule="auto"/>
              <w:rPr>
                <w:rFonts w:ascii="宋体" w:hAnsi="宋体" w:cs="宋体"/>
                <w:bCs/>
                <w:color w:val="auto"/>
                <w:szCs w:val="21"/>
                <w:highlight w:val="none"/>
              </w:rPr>
            </w:pPr>
          </w:p>
        </w:tc>
        <w:tc>
          <w:tcPr>
            <w:tcW w:w="1575" w:type="dxa"/>
          </w:tcPr>
          <w:p w14:paraId="77C43696">
            <w:pPr>
              <w:wordWrap w:val="0"/>
              <w:adjustRightInd w:val="0"/>
              <w:snapToGrid w:val="0"/>
              <w:spacing w:after="0" w:line="360" w:lineRule="auto"/>
              <w:rPr>
                <w:rFonts w:ascii="宋体" w:hAnsi="宋体" w:cs="宋体"/>
                <w:bCs/>
                <w:color w:val="auto"/>
                <w:szCs w:val="21"/>
                <w:highlight w:val="none"/>
              </w:rPr>
            </w:pPr>
          </w:p>
        </w:tc>
        <w:tc>
          <w:tcPr>
            <w:tcW w:w="1887" w:type="dxa"/>
          </w:tcPr>
          <w:p w14:paraId="1BCBA79E">
            <w:pPr>
              <w:wordWrap w:val="0"/>
              <w:adjustRightInd w:val="0"/>
              <w:snapToGrid w:val="0"/>
              <w:spacing w:after="0" w:line="360" w:lineRule="auto"/>
              <w:rPr>
                <w:rFonts w:ascii="宋体" w:hAnsi="宋体" w:cs="宋体"/>
                <w:bCs/>
                <w:color w:val="auto"/>
                <w:szCs w:val="21"/>
                <w:highlight w:val="none"/>
              </w:rPr>
            </w:pPr>
          </w:p>
        </w:tc>
        <w:tc>
          <w:tcPr>
            <w:tcW w:w="1913" w:type="dxa"/>
          </w:tcPr>
          <w:p w14:paraId="5D93A181">
            <w:pPr>
              <w:wordWrap w:val="0"/>
              <w:adjustRightInd w:val="0"/>
              <w:snapToGrid w:val="0"/>
              <w:spacing w:after="0" w:line="360" w:lineRule="auto"/>
              <w:rPr>
                <w:rFonts w:ascii="宋体" w:hAnsi="宋体" w:cs="宋体"/>
                <w:bCs/>
                <w:color w:val="auto"/>
                <w:szCs w:val="21"/>
                <w:highlight w:val="none"/>
              </w:rPr>
            </w:pPr>
          </w:p>
        </w:tc>
      </w:tr>
      <w:tr w14:paraId="3E94D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02" w:type="dxa"/>
          </w:tcPr>
          <w:p w14:paraId="16B467E2">
            <w:pPr>
              <w:wordWrap w:val="0"/>
              <w:adjustRightInd w:val="0"/>
              <w:snapToGrid w:val="0"/>
              <w:spacing w:after="0" w:line="360" w:lineRule="auto"/>
              <w:rPr>
                <w:rFonts w:ascii="宋体" w:hAnsi="宋体" w:cs="宋体"/>
                <w:bCs/>
                <w:color w:val="auto"/>
                <w:szCs w:val="21"/>
                <w:highlight w:val="none"/>
              </w:rPr>
            </w:pPr>
          </w:p>
        </w:tc>
        <w:tc>
          <w:tcPr>
            <w:tcW w:w="2398" w:type="dxa"/>
          </w:tcPr>
          <w:p w14:paraId="1A49BC42">
            <w:pPr>
              <w:wordWrap w:val="0"/>
              <w:adjustRightInd w:val="0"/>
              <w:snapToGrid w:val="0"/>
              <w:spacing w:after="0" w:line="360" w:lineRule="auto"/>
              <w:rPr>
                <w:rFonts w:ascii="宋体" w:hAnsi="宋体" w:cs="宋体"/>
                <w:bCs/>
                <w:color w:val="auto"/>
                <w:szCs w:val="21"/>
                <w:highlight w:val="none"/>
              </w:rPr>
            </w:pPr>
          </w:p>
        </w:tc>
        <w:tc>
          <w:tcPr>
            <w:tcW w:w="1575" w:type="dxa"/>
          </w:tcPr>
          <w:p w14:paraId="42054DC0">
            <w:pPr>
              <w:wordWrap w:val="0"/>
              <w:adjustRightInd w:val="0"/>
              <w:snapToGrid w:val="0"/>
              <w:spacing w:after="0" w:line="360" w:lineRule="auto"/>
              <w:rPr>
                <w:rFonts w:ascii="宋体" w:hAnsi="宋体" w:cs="宋体"/>
                <w:bCs/>
                <w:color w:val="auto"/>
                <w:szCs w:val="21"/>
                <w:highlight w:val="none"/>
              </w:rPr>
            </w:pPr>
          </w:p>
        </w:tc>
        <w:tc>
          <w:tcPr>
            <w:tcW w:w="1887" w:type="dxa"/>
          </w:tcPr>
          <w:p w14:paraId="0393B16B">
            <w:pPr>
              <w:wordWrap w:val="0"/>
              <w:adjustRightInd w:val="0"/>
              <w:snapToGrid w:val="0"/>
              <w:spacing w:after="0" w:line="360" w:lineRule="auto"/>
              <w:rPr>
                <w:rFonts w:ascii="宋体" w:hAnsi="宋体" w:cs="宋体"/>
                <w:bCs/>
                <w:color w:val="auto"/>
                <w:szCs w:val="21"/>
                <w:highlight w:val="none"/>
              </w:rPr>
            </w:pPr>
          </w:p>
        </w:tc>
        <w:tc>
          <w:tcPr>
            <w:tcW w:w="1913" w:type="dxa"/>
          </w:tcPr>
          <w:p w14:paraId="534D9F38">
            <w:pPr>
              <w:wordWrap w:val="0"/>
              <w:adjustRightInd w:val="0"/>
              <w:snapToGrid w:val="0"/>
              <w:spacing w:after="0" w:line="360" w:lineRule="auto"/>
              <w:rPr>
                <w:rFonts w:ascii="宋体" w:hAnsi="宋体" w:cs="宋体"/>
                <w:bCs/>
                <w:color w:val="auto"/>
                <w:szCs w:val="21"/>
                <w:highlight w:val="none"/>
              </w:rPr>
            </w:pPr>
          </w:p>
        </w:tc>
      </w:tr>
    </w:tbl>
    <w:p w14:paraId="11F26247">
      <w:pPr>
        <w:wordWrap w:val="0"/>
        <w:adjustRightInd w:val="0"/>
        <w:snapToGrid w:val="0"/>
        <w:spacing w:after="0" w:line="360" w:lineRule="auto"/>
        <w:ind w:firstLine="2" w:firstLineChars="1"/>
        <w:rPr>
          <w:rFonts w:ascii="宋体" w:hAnsi="宋体" w:cs="宋体"/>
          <w:color w:val="auto"/>
          <w:szCs w:val="21"/>
          <w:highlight w:val="none"/>
        </w:rPr>
      </w:pPr>
      <w:bookmarkStart w:id="295" w:name="_Toc29851"/>
      <w:r>
        <w:rPr>
          <w:rFonts w:hint="eastAsia" w:ascii="宋体" w:hAnsi="宋体" w:cs="宋体"/>
          <w:color w:val="auto"/>
          <w:szCs w:val="21"/>
          <w:highlight w:val="none"/>
        </w:rPr>
        <w:t>注</w:t>
      </w:r>
      <w:bookmarkEnd w:id="295"/>
      <w:r>
        <w:rPr>
          <w:rFonts w:hint="eastAsia" w:ascii="宋体" w:hAnsi="宋体" w:cs="宋体"/>
          <w:color w:val="auto"/>
          <w:szCs w:val="21"/>
          <w:highlight w:val="none"/>
        </w:rPr>
        <w:t>：</w:t>
      </w:r>
    </w:p>
    <w:p w14:paraId="7A731865">
      <w:pPr>
        <w:wordWrap w:val="0"/>
        <w:adjustRightInd w:val="0"/>
        <w:snapToGrid w:val="0"/>
        <w:spacing w:after="0" w:line="360" w:lineRule="auto"/>
        <w:ind w:firstLine="2" w:firstLineChars="1"/>
        <w:rPr>
          <w:rFonts w:ascii="宋体" w:hAnsi="宋体" w:cs="宋体"/>
          <w:color w:val="auto"/>
          <w:szCs w:val="21"/>
          <w:highlight w:val="none"/>
        </w:rPr>
      </w:pPr>
      <w:bookmarkStart w:id="296" w:name="_Toc4700"/>
      <w:bookmarkStart w:id="297" w:name="_Toc1604"/>
      <w:r>
        <w:rPr>
          <w:rFonts w:hint="eastAsia" w:ascii="宋体" w:hAnsi="宋体" w:cs="宋体"/>
          <w:color w:val="auto"/>
          <w:szCs w:val="21"/>
          <w:highlight w:val="none"/>
        </w:rPr>
        <w:t>1.产品属于《节能产品政府采购品目清单》中以“★”标注的政府强制采购产品，投标人须在投标文件中提供产品经国家确定的参与实施政府采购节能产品认证机构出具的、处于有效期之内的节能产品认证证书，若投标人在投标文件中未提供或未按要求提供产品经国家确定的参与实施政府采购节能产品认证机构出具的、处于有效期之内的节能产品认证证书，其投标文件按无效处理</w:t>
      </w:r>
      <w:bookmarkEnd w:id="296"/>
      <w:r>
        <w:rPr>
          <w:rFonts w:hint="eastAsia" w:ascii="宋体" w:hAnsi="宋体" w:cs="宋体"/>
          <w:color w:val="auto"/>
          <w:szCs w:val="21"/>
          <w:highlight w:val="none"/>
        </w:rPr>
        <w:t>。</w:t>
      </w:r>
    </w:p>
    <w:p w14:paraId="17E86C1E">
      <w:pPr>
        <w:wordWrap w:val="0"/>
        <w:adjustRightInd w:val="0"/>
        <w:snapToGrid w:val="0"/>
        <w:spacing w:after="0" w:line="360" w:lineRule="auto"/>
        <w:ind w:firstLine="2" w:firstLineChars="1"/>
        <w:rPr>
          <w:rFonts w:ascii="宋体" w:hAnsi="宋体" w:cs="宋体"/>
          <w:color w:val="auto"/>
          <w:szCs w:val="21"/>
          <w:highlight w:val="none"/>
        </w:rPr>
      </w:pPr>
      <w:bookmarkStart w:id="298" w:name="_Toc22205"/>
      <w:r>
        <w:rPr>
          <w:rFonts w:hint="eastAsia" w:ascii="宋体" w:hAnsi="宋体" w:cs="宋体"/>
          <w:color w:val="auto"/>
          <w:szCs w:val="21"/>
          <w:highlight w:val="none"/>
        </w:rPr>
        <w:t>2.产品属于《节能产品政府采购品目清单》中非政府强制采购产品，投标人</w:t>
      </w:r>
      <w:r>
        <w:rPr>
          <w:rFonts w:hint="eastAsia" w:ascii="宋体" w:hAnsi="宋体" w:cs="宋体"/>
          <w:color w:val="auto"/>
          <w:szCs w:val="21"/>
          <w:highlight w:val="none"/>
          <w:lang w:val="en-US" w:eastAsia="zh-CN"/>
        </w:rPr>
        <w:t>可以根据情况</w:t>
      </w:r>
      <w:r>
        <w:rPr>
          <w:rFonts w:hint="eastAsia" w:ascii="宋体" w:hAnsi="宋体" w:cs="宋体"/>
          <w:color w:val="auto"/>
          <w:szCs w:val="21"/>
          <w:highlight w:val="none"/>
        </w:rPr>
        <w:t>在投标文件中提供产品经国家确定的参与实施政府采购节能产品认证机构出具的处于有效期之内的节能产品认证证书</w:t>
      </w:r>
      <w:bookmarkEnd w:id="298"/>
      <w:r>
        <w:rPr>
          <w:rFonts w:hint="eastAsia" w:ascii="宋体" w:hAnsi="宋体" w:cs="宋体"/>
          <w:color w:val="auto"/>
          <w:szCs w:val="21"/>
          <w:highlight w:val="none"/>
        </w:rPr>
        <w:t>。</w:t>
      </w:r>
    </w:p>
    <w:p w14:paraId="39A300C6">
      <w:pPr>
        <w:wordWrap w:val="0"/>
        <w:adjustRightInd w:val="0"/>
        <w:snapToGrid w:val="0"/>
        <w:spacing w:after="0" w:line="360" w:lineRule="auto"/>
        <w:ind w:firstLine="2" w:firstLineChars="1"/>
        <w:rPr>
          <w:rFonts w:ascii="宋体" w:hAnsi="宋体" w:cs="宋体"/>
          <w:color w:val="auto"/>
          <w:szCs w:val="21"/>
          <w:highlight w:val="none"/>
        </w:rPr>
      </w:pPr>
      <w:bookmarkStart w:id="299" w:name="_Toc23959"/>
      <w:r>
        <w:rPr>
          <w:rFonts w:hint="eastAsia" w:ascii="宋体" w:hAnsi="宋体" w:cs="宋体"/>
          <w:color w:val="auto"/>
          <w:szCs w:val="21"/>
          <w:highlight w:val="none"/>
        </w:rPr>
        <w:t>3.产品属于《环境标志产品政府采购品目清单》中环境标志产品，投标人</w:t>
      </w:r>
      <w:r>
        <w:rPr>
          <w:rFonts w:hint="eastAsia" w:ascii="宋体" w:hAnsi="宋体" w:cs="宋体"/>
          <w:color w:val="auto"/>
          <w:szCs w:val="21"/>
          <w:highlight w:val="none"/>
          <w:lang w:val="en-US" w:eastAsia="zh-CN"/>
        </w:rPr>
        <w:t>可以根据情况</w:t>
      </w:r>
      <w:r>
        <w:rPr>
          <w:rFonts w:hint="eastAsia" w:ascii="宋体" w:hAnsi="宋体" w:cs="宋体"/>
          <w:color w:val="auto"/>
          <w:szCs w:val="21"/>
          <w:highlight w:val="none"/>
        </w:rPr>
        <w:t>在投标文件中提供产品经国家确定的参与实施政府采购环境标志产品认证机构出具的处于有效期之内的环境标志产品认证证书</w:t>
      </w:r>
      <w:bookmarkEnd w:id="299"/>
      <w:r>
        <w:rPr>
          <w:rFonts w:hint="eastAsia" w:ascii="宋体" w:hAnsi="宋体" w:cs="宋体"/>
          <w:color w:val="auto"/>
          <w:szCs w:val="21"/>
          <w:highlight w:val="none"/>
        </w:rPr>
        <w:t>。</w:t>
      </w:r>
    </w:p>
    <w:p w14:paraId="761BBADD">
      <w:pPr>
        <w:wordWrap w:val="0"/>
        <w:adjustRightInd w:val="0"/>
        <w:snapToGrid w:val="0"/>
        <w:spacing w:after="0" w:line="360" w:lineRule="auto"/>
        <w:ind w:firstLine="2" w:firstLineChars="1"/>
        <w:rPr>
          <w:rFonts w:ascii="宋体" w:hAnsi="宋体" w:cs="宋体"/>
          <w:color w:val="auto"/>
          <w:szCs w:val="21"/>
          <w:highlight w:val="none"/>
        </w:rPr>
      </w:pPr>
      <w:r>
        <w:rPr>
          <w:rFonts w:hint="eastAsia" w:ascii="宋体" w:hAnsi="宋体" w:cs="宋体"/>
          <w:color w:val="auto"/>
          <w:szCs w:val="21"/>
          <w:highlight w:val="none"/>
        </w:rPr>
        <w:t>4.投标人可根据实际情况拓展本表。</w:t>
      </w:r>
      <w:bookmarkEnd w:id="297"/>
    </w:p>
    <w:p w14:paraId="1743A1AA">
      <w:pPr>
        <w:pStyle w:val="2"/>
        <w:rPr>
          <w:rFonts w:hint="eastAsia"/>
          <w:color w:val="auto"/>
          <w:highlight w:val="none"/>
          <w:lang w:val="en-US" w:eastAsia="zh-CN"/>
        </w:rPr>
      </w:pPr>
    </w:p>
    <w:p w14:paraId="020AAE66">
      <w:pPr>
        <w:pStyle w:val="2"/>
        <w:rPr>
          <w:rFonts w:hint="eastAsia"/>
          <w:color w:val="auto"/>
          <w:highlight w:val="none"/>
          <w:lang w:val="en-US" w:eastAsia="zh-CN"/>
        </w:rPr>
      </w:pPr>
    </w:p>
    <w:p w14:paraId="44701A73">
      <w:pPr>
        <w:rPr>
          <w:rFonts w:hint="eastAsia" w:ascii="宋体" w:hAnsi="宋体" w:eastAsia="宋体" w:cs="宋体"/>
          <w:b/>
          <w:bCs/>
          <w:color w:val="auto"/>
          <w:sz w:val="24"/>
          <w:szCs w:val="24"/>
          <w:highlight w:val="none"/>
          <w:lang w:val="en-US" w:eastAsia="zh-CN"/>
        </w:rPr>
      </w:pPr>
      <w:bookmarkStart w:id="300" w:name="_Toc3165"/>
      <w:r>
        <w:rPr>
          <w:rFonts w:hint="eastAsia" w:ascii="宋体" w:hAnsi="宋体" w:eastAsia="宋体" w:cs="宋体"/>
          <w:b/>
          <w:bCs/>
          <w:color w:val="auto"/>
          <w:sz w:val="24"/>
          <w:szCs w:val="24"/>
          <w:highlight w:val="none"/>
          <w:lang w:val="en-US" w:eastAsia="zh-CN"/>
        </w:rPr>
        <w:br w:type="page"/>
      </w:r>
    </w:p>
    <w:p w14:paraId="4C51C660">
      <w:pPr>
        <w:pStyle w:val="4"/>
        <w:pageBreakBefore w:val="0"/>
        <w:kinsoku/>
        <w:wordWrap w:val="0"/>
        <w:overflowPunct/>
        <w:bidi w:val="0"/>
        <w:adjustRightInd w:val="0"/>
        <w:snapToGrid w:val="0"/>
        <w:spacing w:line="360" w:lineRule="auto"/>
        <w:ind w:firstLine="482" w:firstLineChars="20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en-US" w:eastAsia="zh-CN"/>
        </w:rPr>
        <w:t>联合体协议书（</w:t>
      </w:r>
      <w:r>
        <w:rPr>
          <w:rFonts w:hint="eastAsia" w:ascii="宋体" w:hAnsi="宋体" w:cs="宋体"/>
          <w:b/>
          <w:bCs/>
          <w:color w:val="auto"/>
          <w:sz w:val="24"/>
          <w:szCs w:val="24"/>
          <w:highlight w:val="none"/>
          <w:lang w:val="en-US" w:eastAsia="zh-CN"/>
        </w:rPr>
        <w:t>本项目不适用</w:t>
      </w:r>
      <w:r>
        <w:rPr>
          <w:rFonts w:hint="eastAsia" w:ascii="宋体" w:hAnsi="宋体" w:eastAsia="宋体" w:cs="宋体"/>
          <w:b/>
          <w:bCs/>
          <w:color w:val="auto"/>
          <w:sz w:val="24"/>
          <w:szCs w:val="24"/>
          <w:highlight w:val="none"/>
          <w:lang w:val="en-US" w:eastAsia="zh-CN"/>
        </w:rPr>
        <w:t>）</w:t>
      </w:r>
      <w:bookmarkEnd w:id="300"/>
    </w:p>
    <w:p w14:paraId="14D07B9C">
      <w:pPr>
        <w:pageBreakBefore w:val="0"/>
        <w:kinsoku/>
        <w:wordWrap w:val="0"/>
        <w:overflowPunct/>
        <w:bidi w:val="0"/>
        <w:ind w:firstLine="2409" w:firstLineChars="1000"/>
        <w:rPr>
          <w:rFonts w:hint="eastAsia" w:ascii="宋体" w:hAnsi="宋体" w:eastAsia="宋体" w:cs="宋体"/>
          <w:b/>
          <w:bCs/>
          <w:color w:val="auto"/>
          <w:sz w:val="24"/>
          <w:szCs w:val="24"/>
          <w:highlight w:val="none"/>
          <w:lang w:val="en-US" w:eastAsia="zh-CN" w:bidi="ar-SA"/>
        </w:rPr>
      </w:pPr>
    </w:p>
    <w:p w14:paraId="6AB53A1C">
      <w:pPr>
        <w:pageBreakBefore w:val="0"/>
        <w:kinsoku/>
        <w:wordWrap w:val="0"/>
        <w:overflowPunct/>
        <w:topLinePunct/>
        <w:bidi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（所有成员单位名称）自愿组成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（联合体名称）联合体，共同参加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（项目名称）投标。现就联合体投标事宜订立如下协议。</w:t>
      </w:r>
    </w:p>
    <w:p w14:paraId="7D73F9B1">
      <w:pPr>
        <w:pageBreakBefore w:val="0"/>
        <w:kinsoku/>
        <w:wordWrap w:val="0"/>
        <w:overflowPunct/>
        <w:topLinePunct/>
        <w:bidi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（某成员单位名称）为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（联合体名称）牵头人。</w:t>
      </w:r>
    </w:p>
    <w:p w14:paraId="3FA176F4">
      <w:pPr>
        <w:pageBreakBefore w:val="0"/>
        <w:kinsoku/>
        <w:wordWrap w:val="0"/>
        <w:overflowPunct/>
        <w:topLinePunct/>
        <w:bidi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7F37681A">
      <w:pPr>
        <w:pageBreakBefore w:val="0"/>
        <w:kinsoku/>
        <w:wordWrap w:val="0"/>
        <w:overflowPunct/>
        <w:topLinePunct/>
        <w:bidi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3、联合体将严格按照招标文件的各项要求，递交投标文件，履行合同，并对外承担连带责任。</w:t>
      </w:r>
    </w:p>
    <w:p w14:paraId="6CFAE80F">
      <w:pPr>
        <w:pageBreakBefore w:val="0"/>
        <w:kinsoku/>
        <w:wordWrap w:val="0"/>
        <w:overflowPunct/>
        <w:topLinePunct/>
        <w:bidi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4、联合体各成员单位内部的职责分工如下：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5FDCD463">
      <w:pPr>
        <w:pageBreakBefore w:val="0"/>
        <w:kinsoku/>
        <w:wordWrap w:val="0"/>
        <w:overflowPunct/>
        <w:topLinePunct/>
        <w:bidi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5、本协议书自签署之日起生效，合同履行完毕后自动失效。 </w:t>
      </w:r>
    </w:p>
    <w:p w14:paraId="1D245365">
      <w:pPr>
        <w:pageBreakBefore w:val="0"/>
        <w:kinsoku/>
        <w:wordWrap w:val="0"/>
        <w:overflowPunct/>
        <w:topLinePunct/>
        <w:bidi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6、本协议书一式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份，联合体成员和</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各执一份。</w:t>
      </w:r>
    </w:p>
    <w:p w14:paraId="73039EF3">
      <w:pPr>
        <w:pageBreakBefore w:val="0"/>
        <w:kinsoku/>
        <w:wordWrap w:val="0"/>
        <w:overflowPunct/>
        <w:topLinePunct/>
        <w:bidi w:val="0"/>
        <w:spacing w:line="440" w:lineRule="exact"/>
        <w:rPr>
          <w:rFonts w:hint="eastAsia" w:ascii="宋体" w:hAnsi="宋体" w:eastAsia="宋体" w:cs="宋体"/>
          <w:color w:val="auto"/>
          <w:sz w:val="24"/>
          <w:szCs w:val="24"/>
          <w:highlight w:val="none"/>
        </w:rPr>
      </w:pPr>
    </w:p>
    <w:p w14:paraId="5B663502">
      <w:pPr>
        <w:pageBreakBefore w:val="0"/>
        <w:kinsoku/>
        <w:wordWrap w:val="0"/>
        <w:overflowPunct/>
        <w:topLinePunct/>
        <w:bidi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注：本协议书由委托代理人签字的，应附法定代表人签字的授权委托书。</w:t>
      </w:r>
    </w:p>
    <w:p w14:paraId="27644490">
      <w:pPr>
        <w:pageBreakBefore w:val="0"/>
        <w:kinsoku/>
        <w:wordWrap w:val="0"/>
        <w:overflowPunct/>
        <w:topLinePunct/>
        <w:bidi w:val="0"/>
        <w:spacing w:line="440" w:lineRule="exact"/>
        <w:rPr>
          <w:rFonts w:hint="eastAsia" w:ascii="宋体" w:hAnsi="宋体" w:eastAsia="宋体" w:cs="宋体"/>
          <w:color w:val="auto"/>
          <w:sz w:val="24"/>
          <w:szCs w:val="24"/>
          <w:highlight w:val="none"/>
        </w:rPr>
      </w:pPr>
    </w:p>
    <w:p w14:paraId="20737905">
      <w:pPr>
        <w:pageBreakBefore w:val="0"/>
        <w:kinsoku/>
        <w:wordWrap w:val="0"/>
        <w:overflowPunct/>
        <w:topLinePunct/>
        <w:bidi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牵头人名称：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5EBF1260">
      <w:pPr>
        <w:pageBreakBefore w:val="0"/>
        <w:kinsoku/>
        <w:wordWrap w:val="0"/>
        <w:overflowPunct/>
        <w:topLinePunct/>
        <w:bidi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3D6A2CBA">
      <w:pPr>
        <w:pageBreakBefore w:val="0"/>
        <w:kinsoku/>
        <w:wordWrap w:val="0"/>
        <w:overflowPunct/>
        <w:topLinePunct/>
        <w:bidi w:val="0"/>
        <w:spacing w:line="440" w:lineRule="exact"/>
        <w:rPr>
          <w:rFonts w:hint="eastAsia" w:ascii="宋体" w:hAnsi="宋体" w:eastAsia="宋体" w:cs="宋体"/>
          <w:color w:val="auto"/>
          <w:sz w:val="24"/>
          <w:szCs w:val="24"/>
          <w:highlight w:val="none"/>
        </w:rPr>
      </w:pPr>
    </w:p>
    <w:p w14:paraId="0CD11ABE">
      <w:pPr>
        <w:pageBreakBefore w:val="0"/>
        <w:kinsoku/>
        <w:wordWrap w:val="0"/>
        <w:overflowPunct/>
        <w:topLinePunct/>
        <w:bidi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成员一名称：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1C162E1D">
      <w:pPr>
        <w:pageBreakBefore w:val="0"/>
        <w:kinsoku/>
        <w:wordWrap w:val="0"/>
        <w:overflowPunct/>
        <w:topLinePunct/>
        <w:bidi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7BC84EF9">
      <w:pPr>
        <w:pageBreakBefore w:val="0"/>
        <w:kinsoku/>
        <w:wordWrap w:val="0"/>
        <w:overflowPunct/>
        <w:topLinePunct/>
        <w:bidi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96DDFC7">
      <w:pPr>
        <w:pageBreakBefore w:val="0"/>
        <w:kinsoku/>
        <w:wordWrap w:val="0"/>
        <w:overflowPunct/>
        <w:topLinePunct/>
        <w:bidi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222329D4">
      <w:pPr>
        <w:pageBreakBefore w:val="0"/>
        <w:kinsoku/>
        <w:wordWrap w:val="0"/>
        <w:overflowPunct/>
        <w:topLinePunct/>
        <w:bidi w:val="0"/>
        <w:spacing w:line="440" w:lineRule="exact"/>
        <w:rPr>
          <w:rFonts w:hint="eastAsia" w:ascii="宋体" w:hAnsi="宋体" w:eastAsia="宋体" w:cs="宋体"/>
          <w:color w:val="auto"/>
          <w:sz w:val="24"/>
          <w:szCs w:val="24"/>
          <w:highlight w:val="none"/>
        </w:rPr>
      </w:pPr>
    </w:p>
    <w:p w14:paraId="78F5FEFA">
      <w:pPr>
        <w:pageBreakBefore w:val="0"/>
        <w:kinsoku/>
        <w:wordWrap w:val="0"/>
        <w:overflowPunct/>
        <w:bidi w:val="0"/>
        <w:ind w:firstLine="3290" w:firstLineChars="13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DA3D64A">
      <w:pPr>
        <w:pStyle w:val="33"/>
        <w:pageBreakBefore w:val="0"/>
        <w:kinsoku/>
        <w:wordWrap w:val="0"/>
        <w:overflowPunct/>
        <w:bidi w:val="0"/>
        <w:rPr>
          <w:rFonts w:hint="eastAsia" w:ascii="宋体" w:hAnsi="宋体" w:eastAsia="宋体" w:cs="宋体"/>
          <w:color w:val="auto"/>
          <w:sz w:val="24"/>
          <w:szCs w:val="24"/>
          <w:highlight w:val="none"/>
        </w:rPr>
        <w:sectPr>
          <w:pgSz w:w="11906" w:h="16838"/>
          <w:pgMar w:top="1134" w:right="1134" w:bottom="1440" w:left="1361" w:header="850" w:footer="510" w:gutter="0"/>
          <w:pgBorders>
            <w:top w:val="none" w:sz="0" w:space="0"/>
            <w:left w:val="none" w:sz="0" w:space="0"/>
            <w:bottom w:val="none" w:sz="0" w:space="0"/>
            <w:right w:val="none" w:sz="0" w:space="0"/>
          </w:pgBorders>
          <w:pgNumType w:fmt="decimal"/>
          <w:cols w:space="0" w:num="1"/>
          <w:rtlGutter w:val="0"/>
          <w:docGrid w:linePitch="312" w:charSpace="0"/>
        </w:sectPr>
      </w:pPr>
    </w:p>
    <w:p w14:paraId="5D4DE284">
      <w:pPr>
        <w:pStyle w:val="4"/>
        <w:pageBreakBefore w:val="0"/>
        <w:widowControl/>
        <w:kinsoku/>
        <w:wordWrap w:val="0"/>
        <w:overflowPunct/>
        <w:autoSpaceDE w:val="0"/>
        <w:bidi w:val="0"/>
        <w:spacing w:before="0" w:after="0" w:line="360" w:lineRule="auto"/>
        <w:ind w:firstLine="482" w:firstLineChars="200"/>
        <w:rPr>
          <w:rFonts w:hint="eastAsia" w:ascii="宋体" w:hAnsi="宋体" w:eastAsia="宋体" w:cs="宋体"/>
          <w:color w:val="auto"/>
          <w:sz w:val="24"/>
          <w:szCs w:val="24"/>
          <w:highlight w:val="none"/>
          <w:lang w:val="en-US" w:eastAsia="zh-CN"/>
        </w:rPr>
      </w:pPr>
    </w:p>
    <w:p w14:paraId="72339C44">
      <w:pPr>
        <w:pStyle w:val="4"/>
        <w:pageBreakBefore w:val="0"/>
        <w:widowControl/>
        <w:kinsoku/>
        <w:wordWrap w:val="0"/>
        <w:overflowPunct/>
        <w:autoSpaceDE w:val="0"/>
        <w:bidi w:val="0"/>
        <w:spacing w:before="0" w:after="0" w:line="360" w:lineRule="auto"/>
        <w:jc w:val="center"/>
        <w:rPr>
          <w:rFonts w:hint="eastAsia" w:ascii="宋体" w:hAnsi="宋体" w:eastAsia="宋体" w:cs="宋体"/>
          <w:color w:val="auto"/>
          <w:sz w:val="24"/>
          <w:szCs w:val="24"/>
          <w:highlight w:val="none"/>
          <w:lang w:val="en-US" w:eastAsia="zh-CN"/>
        </w:rPr>
      </w:pPr>
      <w:bookmarkStart w:id="301" w:name="_Toc99"/>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lang w:eastAsia="zh-CN"/>
        </w:rPr>
        <w:t>法定代表人（</w:t>
      </w:r>
      <w:r>
        <w:rPr>
          <w:rFonts w:hint="eastAsia" w:ascii="宋体" w:hAnsi="宋体" w:eastAsia="宋体" w:cs="宋体"/>
          <w:color w:val="auto"/>
          <w:sz w:val="24"/>
          <w:szCs w:val="24"/>
          <w:highlight w:val="none"/>
          <w:lang w:val="en-US" w:eastAsia="zh-CN"/>
        </w:rPr>
        <w:t>负责人</w:t>
      </w:r>
      <w:r>
        <w:rPr>
          <w:rFonts w:hint="eastAsia" w:ascii="宋体" w:hAnsi="宋体" w:eastAsia="宋体" w:cs="宋体"/>
          <w:color w:val="auto"/>
          <w:sz w:val="24"/>
          <w:szCs w:val="24"/>
          <w:highlight w:val="none"/>
          <w:lang w:eastAsia="zh-CN"/>
        </w:rPr>
        <w:t>）身份证明或附有法定代表人身份证明的授权委托书</w:t>
      </w:r>
      <w:bookmarkEnd w:id="301"/>
    </w:p>
    <w:p w14:paraId="48BE00AC">
      <w:pPr>
        <w:pageBreakBefore w:val="0"/>
        <w:kinsoku/>
        <w:wordWrap w:val="0"/>
        <w:overflowPunct/>
        <w:bidi w:val="0"/>
        <w:spacing w:line="360" w:lineRule="auto"/>
        <w:jc w:val="center"/>
        <w:rPr>
          <w:rFonts w:hint="eastAsia" w:ascii="宋体" w:hAnsi="宋体" w:eastAsia="宋体" w:cs="宋体"/>
          <w:b/>
          <w:bCs/>
          <w:color w:val="auto"/>
          <w:sz w:val="24"/>
          <w:szCs w:val="24"/>
          <w:highlight w:val="none"/>
          <w:lang w:val="zh-CN" w:eastAsia="zh-CN" w:bidi="ar-SA"/>
        </w:rPr>
      </w:pPr>
      <w:bookmarkStart w:id="302" w:name="_Toc8958"/>
      <w:r>
        <w:rPr>
          <w:rFonts w:hint="eastAsia" w:ascii="宋体" w:hAnsi="宋体" w:eastAsia="宋体" w:cs="宋体"/>
          <w:b/>
          <w:bCs/>
          <w:color w:val="auto"/>
          <w:sz w:val="24"/>
          <w:szCs w:val="24"/>
          <w:highlight w:val="none"/>
          <w:lang w:val="zh-CN" w:eastAsia="zh-CN" w:bidi="ar-SA"/>
        </w:rPr>
        <w:t>（</w:t>
      </w:r>
      <w:r>
        <w:rPr>
          <w:rFonts w:hint="eastAsia" w:ascii="宋体" w:hAnsi="宋体" w:eastAsia="宋体" w:cs="宋体"/>
          <w:b/>
          <w:bCs/>
          <w:color w:val="auto"/>
          <w:sz w:val="24"/>
          <w:szCs w:val="24"/>
          <w:highlight w:val="none"/>
          <w:lang w:val="en-US" w:eastAsia="zh-CN" w:bidi="ar-SA"/>
        </w:rPr>
        <w:t>一</w:t>
      </w:r>
      <w:r>
        <w:rPr>
          <w:rFonts w:hint="eastAsia" w:ascii="宋体" w:hAnsi="宋体" w:eastAsia="宋体" w:cs="宋体"/>
          <w:b/>
          <w:bCs/>
          <w:color w:val="auto"/>
          <w:sz w:val="24"/>
          <w:szCs w:val="24"/>
          <w:highlight w:val="none"/>
          <w:lang w:val="zh-CN" w:eastAsia="zh-CN" w:bidi="ar-SA"/>
        </w:rPr>
        <w:t>）法定代表人身份证明</w:t>
      </w:r>
      <w:bookmarkEnd w:id="302"/>
    </w:p>
    <w:p w14:paraId="51D78B7F">
      <w:pPr>
        <w:pageBreakBefore w:val="0"/>
        <w:kinsoku/>
        <w:wordWrap w:val="0"/>
        <w:overflowPunct/>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649D0CA">
      <w:pPr>
        <w:pageBreakBefore w:val="0"/>
        <w:kinsoku/>
        <w:wordWrap w:val="0"/>
        <w:overflowPunct/>
        <w:autoSpaceDE w:val="0"/>
        <w:autoSpaceDN w:val="0"/>
        <w:bidi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4FFB671">
      <w:pPr>
        <w:pageBreakBefore w:val="0"/>
        <w:kinsoku/>
        <w:wordWrap w:val="0"/>
        <w:overflowPunct/>
        <w:autoSpaceDE w:val="0"/>
        <w:autoSpaceDN w:val="0"/>
        <w:bidi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2F5D6B23">
      <w:pPr>
        <w:pageBreakBefore w:val="0"/>
        <w:kinsoku/>
        <w:wordWrap w:val="0"/>
        <w:overflowPunct/>
        <w:autoSpaceDE w:val="0"/>
        <w:autoSpaceDN w:val="0"/>
        <w:bidi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26DDD7BA">
      <w:pPr>
        <w:pageBreakBefore w:val="0"/>
        <w:kinsoku/>
        <w:wordWrap w:val="0"/>
        <w:overflowPunct/>
        <w:autoSpaceDE w:val="0"/>
        <w:autoSpaceDN w:val="0"/>
        <w:bidi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D4FC2AE">
      <w:pPr>
        <w:pageBreakBefore w:val="0"/>
        <w:kinsoku/>
        <w:wordWrap w:val="0"/>
        <w:overflowPunct/>
        <w:autoSpaceDE w:val="0"/>
        <w:autoSpaceDN w:val="0"/>
        <w:bidi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p>
    <w:p w14:paraId="1D516C85">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p>
    <w:p w14:paraId="75EBA2FC">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1C55DE4A">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(投标人名称)的法定代表人(单位负责人)。</w:t>
      </w:r>
    </w:p>
    <w:p w14:paraId="6BBBE652">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27376B72">
      <w:pPr>
        <w:pageBreakBefore w:val="0"/>
        <w:kinsoku/>
        <w:wordWrap w:val="0"/>
        <w:overflowPunct/>
        <w:bidi w:val="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22579B0">
      <w:pPr>
        <w:pageBreakBefore w:val="0"/>
        <w:kinsoku/>
        <w:wordWrap w:val="0"/>
        <w:overflowPunct/>
        <w:bidi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附：法定代表人(单位负责人)身份证扫描件。</w:t>
      </w:r>
    </w:p>
    <w:p w14:paraId="71649A60">
      <w:pPr>
        <w:pageBreakBefore w:val="0"/>
        <w:kinsoku/>
        <w:wordWrap w:val="0"/>
        <w:overflowPunct/>
        <w:bidi w:val="0"/>
        <w:spacing w:line="360" w:lineRule="auto"/>
        <w:ind w:left="4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p>
    <w:p w14:paraId="105B445B">
      <w:pPr>
        <w:pageBreakBefore w:val="0"/>
        <w:kinsoku/>
        <w:wordWrap w:val="0"/>
        <w:overflowPunct/>
        <w:bidi w:val="0"/>
        <w:spacing w:line="360" w:lineRule="auto"/>
        <w:ind w:left="4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投标人：</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(电子签章)</w:t>
      </w:r>
    </w:p>
    <w:p w14:paraId="5C1F7C48">
      <w:pPr>
        <w:pageBreakBefore w:val="0"/>
        <w:kinsoku/>
        <w:wordWrap w:val="0"/>
        <w:overflowPunct/>
        <w:bidi w:val="0"/>
        <w:spacing w:line="2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p>
    <w:p w14:paraId="34645880">
      <w:pPr>
        <w:pageBreakBefore w:val="0"/>
        <w:kinsoku/>
        <w:wordWrap w:val="0"/>
        <w:overflowPunct/>
        <w:bidi w:val="0"/>
        <w:spacing w:line="2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p>
    <w:p w14:paraId="6FB5BBFC">
      <w:pPr>
        <w:pageBreakBefore w:val="0"/>
        <w:kinsoku/>
        <w:wordWrap w:val="0"/>
        <w:overflowPunct/>
        <w:bidi w:val="0"/>
        <w:spacing w:line="2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p>
    <w:p w14:paraId="0BFF59E1">
      <w:pPr>
        <w:pageBreakBefore w:val="0"/>
        <w:kinsoku/>
        <w:wordWrap w:val="0"/>
        <w:overflowPunct/>
        <w:bidi w:val="0"/>
        <w:ind w:right="48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p>
    <w:p w14:paraId="3B718A69">
      <w:pPr>
        <w:pageBreakBefore w:val="0"/>
        <w:kinsoku/>
        <w:wordWrap w:val="0"/>
        <w:overflowPunct/>
        <w:bidi w:val="0"/>
        <w:ind w:right="48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日  期：</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日</w:t>
      </w:r>
    </w:p>
    <w:p w14:paraId="1913BF9B">
      <w:pPr>
        <w:pageBreakBefore w:val="0"/>
        <w:kinsoku/>
        <w:wordWrap w:val="0"/>
        <w:overflowPunct/>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14:paraId="381CF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4813" w:type="dxa"/>
            <w:vAlign w:val="center"/>
          </w:tcPr>
          <w:p w14:paraId="45A4FB1A">
            <w:pPr>
              <w:pageBreakBefore w:val="0"/>
              <w:widowControl w:val="0"/>
              <w:kinsoku/>
              <w:wordWrap w:val="0"/>
              <w:overflowPunct/>
              <w:bidi w:val="0"/>
              <w:spacing w:before="240" w:beforeLines="100" w:after="240" w:afterLines="100"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法定代表人(单位负责人)身份证正面</w:t>
            </w:r>
          </w:p>
        </w:tc>
        <w:tc>
          <w:tcPr>
            <w:tcW w:w="4814" w:type="dxa"/>
            <w:vAlign w:val="center"/>
          </w:tcPr>
          <w:p w14:paraId="7F65DEF8">
            <w:pPr>
              <w:pageBreakBefore w:val="0"/>
              <w:widowControl w:val="0"/>
              <w:kinsoku/>
              <w:wordWrap w:val="0"/>
              <w:overflowPunct/>
              <w:bidi w:val="0"/>
              <w:spacing w:before="240" w:beforeLines="100" w:after="240" w:afterLines="100"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法定代表人(单位负责人)身份证反面</w:t>
            </w:r>
          </w:p>
        </w:tc>
      </w:tr>
    </w:tbl>
    <w:p w14:paraId="11F73226">
      <w:pPr>
        <w:pStyle w:val="4"/>
        <w:pageBreakBefore w:val="0"/>
        <w:widowControl/>
        <w:numPr>
          <w:ilvl w:val="0"/>
          <w:numId w:val="0"/>
        </w:numPr>
        <w:kinsoku/>
        <w:wordWrap w:val="0"/>
        <w:overflowPunct/>
        <w:autoSpaceDE w:val="0"/>
        <w:bidi w:val="0"/>
        <w:spacing w:before="0" w:after="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303" w:name="_Toc30828"/>
      <w:bookmarkStart w:id="304" w:name="_Toc31179"/>
      <w:bookmarkStart w:id="305" w:name="_Toc26730"/>
      <w:bookmarkStart w:id="306" w:name="_Toc14557"/>
      <w:bookmarkStart w:id="307" w:name="_Toc27989"/>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授权委托书</w:t>
      </w:r>
      <w:bookmarkEnd w:id="303"/>
      <w:bookmarkEnd w:id="304"/>
      <w:bookmarkEnd w:id="305"/>
      <w:bookmarkEnd w:id="306"/>
      <w:bookmarkEnd w:id="307"/>
    </w:p>
    <w:p w14:paraId="51ACD728">
      <w:pPr>
        <w:pStyle w:val="4"/>
        <w:pageBreakBefore w:val="0"/>
        <w:widowControl/>
        <w:numPr>
          <w:ilvl w:val="0"/>
          <w:numId w:val="0"/>
        </w:numPr>
        <w:kinsoku/>
        <w:wordWrap w:val="0"/>
        <w:overflowPunct/>
        <w:autoSpaceDE w:val="0"/>
        <w:bidi w:val="0"/>
        <w:spacing w:before="0" w:after="0" w:line="360" w:lineRule="auto"/>
        <w:jc w:val="center"/>
        <w:rPr>
          <w:rFonts w:hint="eastAsia" w:ascii="宋体" w:hAnsi="宋体" w:eastAsia="宋体" w:cs="宋体"/>
          <w:color w:val="auto"/>
          <w:sz w:val="24"/>
          <w:szCs w:val="24"/>
          <w:highlight w:val="none"/>
        </w:rPr>
      </w:pPr>
      <w:bookmarkStart w:id="308" w:name="_Toc32511"/>
      <w:bookmarkStart w:id="309" w:name="_Toc23057"/>
      <w:bookmarkStart w:id="310" w:name="_Toc21045"/>
      <w:bookmarkStart w:id="311" w:name="_Toc13070"/>
      <w:bookmarkStart w:id="312" w:name="_Toc27222"/>
      <w:bookmarkStart w:id="313" w:name="_Toc24049"/>
      <w:r>
        <w:rPr>
          <w:rFonts w:hint="eastAsia" w:ascii="宋体" w:hAnsi="宋体" w:eastAsia="宋体" w:cs="宋体"/>
          <w:color w:val="auto"/>
          <w:sz w:val="24"/>
          <w:szCs w:val="24"/>
          <w:highlight w:val="none"/>
        </w:rPr>
        <w:t>（若未发生授权情况，则无需提供此授权）</w:t>
      </w:r>
      <w:bookmarkEnd w:id="308"/>
      <w:bookmarkEnd w:id="309"/>
      <w:bookmarkEnd w:id="310"/>
      <w:bookmarkEnd w:id="311"/>
      <w:bookmarkEnd w:id="312"/>
      <w:bookmarkEnd w:id="313"/>
    </w:p>
    <w:p w14:paraId="2892D679">
      <w:pPr>
        <w:pageBreakBefore w:val="0"/>
        <w:kinsoku/>
        <w:wordWrap w:val="0"/>
        <w:overflowPunct/>
        <w:bidi w:val="0"/>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2BE114B">
      <w:pPr>
        <w:pageBreakBefore w:val="0"/>
        <w:kinsoku/>
        <w:wordWrap w:val="0"/>
        <w:overflowPunct/>
        <w:bidi w:val="0"/>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9F8D3CB">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(投标人名称)的法定代表人(单位负责人)，现委托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(姓名)为我方代理人。代理人根据授权，以我方名义签署、澄清、说明、补正、递交、撤回、修改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（项目名称）投标文件、签订合同和处理有关事宜，其法律后果由我方承担。</w:t>
      </w:r>
    </w:p>
    <w:p w14:paraId="718A7D79">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01FCAE81">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p>
    <w:p w14:paraId="6F7D91D7">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附：委托代理人身份证扫描件</w:t>
      </w:r>
    </w:p>
    <w:p w14:paraId="7D634A4F">
      <w:pPr>
        <w:pageBreakBefore w:val="0"/>
        <w:kinsoku/>
        <w:wordWrap w:val="0"/>
        <w:overflowPunct/>
        <w:bidi w:val="0"/>
        <w:spacing w:before="468" w:line="360" w:lineRule="auto"/>
        <w:ind w:firstLine="3360" w:firstLineChars="14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 标 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(电子签章)</w:t>
      </w:r>
    </w:p>
    <w:p w14:paraId="27A637DD">
      <w:pPr>
        <w:pageBreakBefore w:val="0"/>
        <w:kinsoku/>
        <w:wordWrap w:val="0"/>
        <w:overflowPunct/>
        <w:bidi w:val="0"/>
        <w:spacing w:before="468" w:line="360" w:lineRule="auto"/>
        <w:ind w:firstLine="3360" w:firstLineChars="14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法定代表人(单位负责人)：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(电子签章)</w:t>
      </w:r>
    </w:p>
    <w:p w14:paraId="6BC4AC47">
      <w:pPr>
        <w:pageBreakBefore w:val="0"/>
        <w:kinsoku/>
        <w:wordWrap w:val="0"/>
        <w:overflowPunct/>
        <w:autoSpaceDE w:val="0"/>
        <w:autoSpaceDN w:val="0"/>
        <w:bidi w:val="0"/>
        <w:adjustRightInd w:val="0"/>
        <w:spacing w:line="360" w:lineRule="auto"/>
        <w:ind w:firstLine="3360" w:firstLineChars="1400"/>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身份证号码：</w:t>
      </w:r>
      <w:r>
        <w:rPr>
          <w:rFonts w:hint="eastAsia" w:ascii="宋体" w:hAnsi="宋体" w:eastAsia="宋体" w:cs="宋体"/>
          <w:b w:val="0"/>
          <w:bCs/>
          <w:color w:val="auto"/>
          <w:sz w:val="24"/>
          <w:szCs w:val="24"/>
          <w:highlight w:val="none"/>
          <w:u w:val="single"/>
        </w:rPr>
        <w:t xml:space="preserve">                            </w:t>
      </w:r>
    </w:p>
    <w:p w14:paraId="12EB80E2">
      <w:pPr>
        <w:pageBreakBefore w:val="0"/>
        <w:kinsoku/>
        <w:wordWrap w:val="0"/>
        <w:overflowPunct/>
        <w:bidi w:val="0"/>
        <w:spacing w:before="468" w:line="360" w:lineRule="auto"/>
        <w:ind w:firstLine="3360" w:firstLineChars="14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委托代理人：</w:t>
      </w:r>
      <w:r>
        <w:rPr>
          <w:rFonts w:hint="eastAsia" w:ascii="宋体" w:hAnsi="宋体" w:eastAsia="宋体" w:cs="宋体"/>
          <w:b w:val="0"/>
          <w:bCs/>
          <w:color w:val="auto"/>
          <w:sz w:val="24"/>
          <w:szCs w:val="24"/>
          <w:highlight w:val="none"/>
          <w:u w:val="single"/>
        </w:rPr>
        <w:t xml:space="preserve">                       （签字）</w:t>
      </w:r>
    </w:p>
    <w:p w14:paraId="14A1C43F">
      <w:pPr>
        <w:pageBreakBefore w:val="0"/>
        <w:kinsoku/>
        <w:wordWrap w:val="0"/>
        <w:overflowPunct/>
        <w:autoSpaceDE w:val="0"/>
        <w:autoSpaceDN w:val="0"/>
        <w:bidi w:val="0"/>
        <w:adjustRightInd w:val="0"/>
        <w:spacing w:line="360" w:lineRule="auto"/>
        <w:ind w:firstLine="3360" w:firstLineChars="14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身份证号码：</w:t>
      </w:r>
      <w:r>
        <w:rPr>
          <w:rFonts w:hint="eastAsia" w:ascii="宋体" w:hAnsi="宋体" w:eastAsia="宋体" w:cs="宋体"/>
          <w:b w:val="0"/>
          <w:bCs/>
          <w:color w:val="auto"/>
          <w:sz w:val="24"/>
          <w:szCs w:val="24"/>
          <w:highlight w:val="none"/>
          <w:u w:val="single"/>
        </w:rPr>
        <w:t xml:space="preserve">                            </w:t>
      </w:r>
    </w:p>
    <w:p w14:paraId="79101F08">
      <w:pPr>
        <w:pageBreakBefore w:val="0"/>
        <w:kinsoku/>
        <w:wordWrap w:val="0"/>
        <w:overflowPunct/>
        <w:bidi w:val="0"/>
        <w:spacing w:before="468" w:line="360" w:lineRule="auto"/>
        <w:ind w:firstLine="3360" w:firstLineChars="14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日期：</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日</w:t>
      </w:r>
    </w:p>
    <w:p w14:paraId="5A9172E7">
      <w:pPr>
        <w:pageBreakBefore w:val="0"/>
        <w:kinsoku/>
        <w:wordWrap w:val="0"/>
        <w:overflowPunct/>
        <w:bidi w:val="0"/>
        <w:ind w:right="480"/>
        <w:rPr>
          <w:rFonts w:hint="eastAsia" w:ascii="宋体" w:hAnsi="宋体" w:eastAsia="宋体" w:cs="宋体"/>
          <w:color w:val="auto"/>
          <w:sz w:val="24"/>
          <w:szCs w:val="24"/>
          <w:highlight w:val="none"/>
          <w:lang w:val="en-US" w:eastAsia="zh-CN"/>
        </w:rPr>
      </w:pP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14:paraId="1FB09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6" w:hRule="atLeast"/>
        </w:trPr>
        <w:tc>
          <w:tcPr>
            <w:tcW w:w="4813" w:type="dxa"/>
            <w:vAlign w:val="center"/>
          </w:tcPr>
          <w:p w14:paraId="77B7D062">
            <w:pPr>
              <w:pageBreakBefore w:val="0"/>
              <w:widowControl w:val="0"/>
              <w:kinsoku/>
              <w:wordWrap w:val="0"/>
              <w:overflowPunct/>
              <w:bidi w:val="0"/>
              <w:spacing w:before="240" w:beforeLines="100" w:after="240" w:afterLines="100"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代理人身份证正面</w:t>
            </w:r>
          </w:p>
        </w:tc>
        <w:tc>
          <w:tcPr>
            <w:tcW w:w="4814" w:type="dxa"/>
            <w:vAlign w:val="center"/>
          </w:tcPr>
          <w:p w14:paraId="5FB3515D">
            <w:pPr>
              <w:pageBreakBefore w:val="0"/>
              <w:widowControl w:val="0"/>
              <w:kinsoku/>
              <w:wordWrap w:val="0"/>
              <w:overflowPunct/>
              <w:bidi w:val="0"/>
              <w:spacing w:before="240" w:beforeLines="100" w:after="240" w:afterLines="100"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代理人身份证反面</w:t>
            </w:r>
          </w:p>
        </w:tc>
      </w:tr>
    </w:tbl>
    <w:p w14:paraId="60D3C057">
      <w:pPr>
        <w:pageBreakBefore w:val="0"/>
        <w:kinsoku/>
        <w:wordWrap w:val="0"/>
        <w:overflowPunct/>
        <w:bidi w:val="0"/>
        <w:rPr>
          <w:rFonts w:hint="eastAsia" w:ascii="宋体" w:hAnsi="宋体" w:eastAsia="宋体" w:cs="宋体"/>
          <w:color w:val="auto"/>
          <w:sz w:val="24"/>
          <w:szCs w:val="24"/>
          <w:highlight w:val="none"/>
        </w:rPr>
      </w:pPr>
    </w:p>
    <w:p w14:paraId="274FFDF2">
      <w:pPr>
        <w:pageBreakBefore w:val="0"/>
        <w:kinsoku/>
        <w:wordWrap w:val="0"/>
        <w:overflowPunct/>
        <w:bidi w:val="0"/>
        <w:rPr>
          <w:rFonts w:hint="eastAsia" w:ascii="宋体" w:hAnsi="宋体" w:eastAsia="宋体" w:cs="宋体"/>
          <w:color w:val="auto"/>
          <w:sz w:val="24"/>
          <w:szCs w:val="24"/>
          <w:highlight w:val="none"/>
        </w:rPr>
      </w:pPr>
    </w:p>
    <w:bookmarkEnd w:id="289"/>
    <w:p w14:paraId="55D8006B">
      <w:pPr>
        <w:pStyle w:val="4"/>
        <w:pageBreakBefore w:val="0"/>
        <w:kinsoku/>
        <w:wordWrap w:val="0"/>
        <w:overflowPunct/>
        <w:bidi w:val="0"/>
        <w:adjustRightInd w:val="0"/>
        <w:snapToGrid w:val="0"/>
        <w:spacing w:line="360" w:lineRule="auto"/>
        <w:ind w:firstLine="482" w:firstLineChars="20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br w:type="page"/>
      </w:r>
      <w:bookmarkStart w:id="314" w:name="_Toc29133"/>
      <w:bookmarkEnd w:id="314"/>
    </w:p>
    <w:p w14:paraId="6FC8E46D">
      <w:pPr>
        <w:pStyle w:val="4"/>
        <w:pageBreakBefore w:val="0"/>
        <w:kinsoku/>
        <w:wordWrap w:val="0"/>
        <w:overflowPunct/>
        <w:bidi w:val="0"/>
        <w:rPr>
          <w:rFonts w:hint="eastAsia" w:ascii="宋体" w:hAnsi="宋体" w:eastAsia="宋体" w:cs="宋体"/>
          <w:color w:val="auto"/>
          <w:sz w:val="24"/>
          <w:szCs w:val="24"/>
          <w:highlight w:val="none"/>
          <w:lang w:val="en-US"/>
        </w:rPr>
      </w:pPr>
      <w:bookmarkStart w:id="315" w:name="_Toc1186"/>
      <w:r>
        <w:rPr>
          <w:rFonts w:hint="eastAsia" w:ascii="宋体" w:hAnsi="宋体" w:eastAsia="宋体" w:cs="宋体"/>
          <w:b/>
          <w:bCs/>
          <w:color w:val="auto"/>
          <w:sz w:val="24"/>
          <w:szCs w:val="24"/>
          <w:highlight w:val="none"/>
          <w:lang w:val="en-US" w:eastAsia="zh-CN" w:bidi="ar-SA"/>
        </w:rPr>
        <w:t>六、</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lang w:val="en-US"/>
        </w:rPr>
        <w:t>要求</w:t>
      </w:r>
      <w:bookmarkEnd w:id="315"/>
    </w:p>
    <w:p w14:paraId="00448F84">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1、补遗书（如有）</w:t>
      </w:r>
    </w:p>
    <w:p w14:paraId="1CCED442">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招标文件要求及投标人认为需要提交的其他资格证明材料。</w:t>
      </w:r>
    </w:p>
    <w:p w14:paraId="315C4B37">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公共资源交易投标人信用承诺书</w:t>
      </w:r>
    </w:p>
    <w:p w14:paraId="44B2E9AF">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p>
    <w:p w14:paraId="4F5D014B">
      <w:pPr>
        <w:pageBreakBefore w:val="0"/>
        <w:kinsoku/>
        <w:wordWrap w:val="0"/>
        <w:overflowPunct/>
        <w:bidi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公共资源交易投标人信用承诺书</w:t>
      </w:r>
    </w:p>
    <w:p w14:paraId="5E67C544">
      <w:pPr>
        <w:pageBreakBefore w:val="0"/>
        <w:kinsoku/>
        <w:wordWrap w:val="0"/>
        <w:overflowPunct/>
        <w:bidi w:val="0"/>
        <w:spacing w:line="360" w:lineRule="auto"/>
        <w:jc w:val="center"/>
        <w:rPr>
          <w:rFonts w:hint="eastAsia" w:ascii="宋体" w:hAnsi="宋体" w:eastAsia="宋体" w:cs="宋体"/>
          <w:color w:val="auto"/>
          <w:sz w:val="24"/>
          <w:szCs w:val="24"/>
          <w:highlight w:val="none"/>
        </w:rPr>
      </w:pPr>
    </w:p>
    <w:p w14:paraId="27F946A7">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为营造我州公开、公平、公正、诚实守信的公共资源交易环境，树立诚信守法的投标人形象，本人代表本单位作出以下承诺：</w:t>
      </w:r>
    </w:p>
    <w:p w14:paraId="6D3EB5AA">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单位对所提交的单位基本信息、负责人、项目负责人、技术负责人、从业资质和资格、业绩、财务状况、信誉等所有资料，均合法、真实、准确、有效，无任何伪造、修改、虚假成份，并对所提供资料的真实性负责；</w:t>
      </w:r>
    </w:p>
    <w:p w14:paraId="2F85CF8B">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二、严格依照国家和省、州关于招标投标的法律、法规、规章、规范性文件，开展公共资源招标投标活动；积极履行社会责任，促进廉政建设；</w:t>
      </w:r>
    </w:p>
    <w:p w14:paraId="4078082B">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三、严格遵守即时信息公示规定，及时维护和更新按规定需在政府相关网站登记的企（事）业信息或其他公示信息；</w:t>
      </w:r>
    </w:p>
    <w:p w14:paraId="7F899766">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四、自我约束、自我管理，守合同、重信用，不参与围标串标、弄虚作假、骗取中标、干扰评标、违约毁约等行为，自觉维护公共资源招标投标的良好秩序；</w:t>
      </w:r>
    </w:p>
    <w:p w14:paraId="207CC87F">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五、自觉接受政府、行业组织、社会公众、新闻舆论的监督；</w:t>
      </w:r>
    </w:p>
    <w:p w14:paraId="1CFD7092">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本单位自愿接受招标投标综合监督管理机构和有关行政监督部门的依法检查。如发生违法违规或不良行为，自愿接受招标投标综合监督管理机构和有关行政监督部门依法给予的行政处罚（处理），并依法承担赔偿责任和刑事责任；</w:t>
      </w:r>
    </w:p>
    <w:p w14:paraId="5B5C33A2">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七、本人已认真阅读了上述承诺，并向本单位员工作了宣传教育。</w:t>
      </w:r>
    </w:p>
    <w:p w14:paraId="4AE99E1D">
      <w:pPr>
        <w:pageBreakBefore w:val="0"/>
        <w:kinsoku/>
        <w:wordWrap w:val="0"/>
        <w:overflowPunct/>
        <w:bidi w:val="0"/>
        <w:spacing w:line="360" w:lineRule="auto"/>
        <w:ind w:firstLine="480" w:firstLineChars="200"/>
        <w:rPr>
          <w:rFonts w:hint="eastAsia" w:ascii="宋体" w:hAnsi="宋体" w:eastAsia="宋体" w:cs="宋体"/>
          <w:color w:val="auto"/>
          <w:sz w:val="24"/>
          <w:szCs w:val="24"/>
          <w:highlight w:val="none"/>
        </w:rPr>
      </w:pPr>
    </w:p>
    <w:p w14:paraId="009B0A6C">
      <w:pPr>
        <w:pageBreakBefore w:val="0"/>
        <w:kinsoku/>
        <w:wordWrap w:val="0"/>
        <w:overflowPunct/>
        <w:bidi w:val="0"/>
        <w:spacing w:line="360" w:lineRule="auto"/>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法定代表人签名：</w:t>
      </w:r>
    </w:p>
    <w:p w14:paraId="4414AA5C">
      <w:pPr>
        <w:pageBreakBefore w:val="0"/>
        <w:kinsoku/>
        <w:wordWrap w:val="0"/>
        <w:overflowPunct/>
        <w:bidi w:val="0"/>
        <w:spacing w:line="360" w:lineRule="auto"/>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单位名称（盖章）：</w:t>
      </w:r>
    </w:p>
    <w:p w14:paraId="1AA482C9">
      <w:pPr>
        <w:pageBreakBefore w:val="0"/>
        <w:kinsoku/>
        <w:wordWrap w:val="0"/>
        <w:overflowPunct/>
        <w:bidi w:val="0"/>
        <w:spacing w:line="360" w:lineRule="auto"/>
        <w:ind w:firstLine="480" w:firstLineChars="200"/>
        <w:jc w:val="center"/>
        <w:rPr>
          <w:rFonts w:hint="eastAsia" w:ascii="宋体" w:hAnsi="宋体" w:eastAsia="宋体" w:cs="宋体"/>
          <w:color w:val="auto"/>
          <w:sz w:val="24"/>
          <w:szCs w:val="24"/>
          <w:highlight w:val="none"/>
        </w:rPr>
        <w:sectPr>
          <w:footerReference r:id="rId15" w:type="default"/>
          <w:pgSz w:w="11906" w:h="16838"/>
          <w:pgMar w:top="1134" w:right="1134" w:bottom="1440" w:left="1361" w:header="850" w:footer="510" w:gutter="0"/>
          <w:pgBorders>
            <w:top w:val="none" w:sz="0" w:space="0"/>
            <w:left w:val="none" w:sz="0" w:space="0"/>
            <w:bottom w:val="none" w:sz="0" w:space="0"/>
            <w:right w:val="none" w:sz="0" w:space="0"/>
          </w:pgBorders>
          <w:pgNumType w:fmt="decimal"/>
          <w:cols w:space="0" w:num="1"/>
          <w:rtlGutter w:val="0"/>
          <w:docGrid w:linePitch="317" w:charSpace="0"/>
        </w:sectPr>
      </w:pPr>
      <w:r>
        <w:rPr>
          <w:rFonts w:hint="eastAsia" w:ascii="宋体" w:hAnsi="宋体" w:eastAsia="宋体" w:cs="宋体"/>
          <w:color w:val="auto"/>
          <w:sz w:val="24"/>
          <w:szCs w:val="24"/>
          <w:highlight w:val="none"/>
        </w:rPr>
        <w:t>年    月    日</w:t>
      </w:r>
    </w:p>
    <w:p w14:paraId="4296B3B7">
      <w:pPr>
        <w:pageBreakBefore w:val="0"/>
        <w:kinsoku/>
        <w:wordWrap w:val="0"/>
        <w:overflowPunct/>
        <w:bidi w:val="0"/>
        <w:jc w:val="center"/>
        <w:rPr>
          <w:rFonts w:hint="eastAsia" w:ascii="宋体" w:hAnsi="宋体" w:eastAsia="宋体" w:cs="宋体"/>
          <w:b/>
          <w:bCs/>
          <w:color w:val="auto"/>
          <w:sz w:val="36"/>
          <w:szCs w:val="36"/>
          <w:highlight w:val="none"/>
          <w:u w:val="single"/>
          <w:lang w:eastAsia="zh-CN"/>
        </w:rPr>
      </w:pPr>
    </w:p>
    <w:p w14:paraId="0DDD1970">
      <w:pPr>
        <w:pageBreakBefore w:val="0"/>
        <w:kinsoku/>
        <w:wordWrap w:val="0"/>
        <w:overflowPunct/>
        <w:bidi w:val="0"/>
        <w:jc w:val="center"/>
        <w:rPr>
          <w:rFonts w:hint="eastAsia" w:ascii="宋体" w:hAnsi="宋体" w:eastAsia="宋体" w:cs="宋体"/>
          <w:b/>
          <w:bCs/>
          <w:color w:val="auto"/>
          <w:sz w:val="36"/>
          <w:szCs w:val="36"/>
          <w:highlight w:val="none"/>
          <w:u w:val="single"/>
          <w:lang w:eastAsia="zh-CN"/>
        </w:rPr>
      </w:pPr>
      <w:r>
        <w:rPr>
          <w:rFonts w:hint="eastAsia" w:ascii="宋体" w:hAnsi="宋体" w:cs="宋体"/>
          <w:b/>
          <w:bCs/>
          <w:color w:val="auto"/>
          <w:sz w:val="36"/>
          <w:szCs w:val="36"/>
          <w:highlight w:val="none"/>
          <w:u w:val="single"/>
          <w:lang w:eastAsia="zh-CN"/>
        </w:rPr>
        <w:t>芒市海关进境食用水生动物实验室检测能力提升项目实验室仪器设备采购</w:t>
      </w:r>
    </w:p>
    <w:p w14:paraId="3EB979D8">
      <w:pPr>
        <w:pageBreakBefore w:val="0"/>
        <w:kinsoku/>
        <w:wordWrap w:val="0"/>
        <w:overflowPunct/>
        <w:bidi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3861D116">
      <w:pPr>
        <w:pageBreakBefore w:val="0"/>
        <w:kinsoku/>
        <w:wordWrap w:val="0"/>
        <w:overflowPunct/>
        <w:bidi w:val="0"/>
        <w:jc w:val="center"/>
        <w:rPr>
          <w:rFonts w:hint="eastAsia" w:ascii="宋体" w:hAnsi="宋体" w:eastAsia="宋体" w:cs="宋体"/>
          <w:b/>
          <w:bCs/>
          <w:color w:val="auto"/>
          <w:sz w:val="24"/>
          <w:szCs w:val="24"/>
          <w:highlight w:val="none"/>
        </w:rPr>
      </w:pPr>
    </w:p>
    <w:p w14:paraId="75B2F4FB">
      <w:pPr>
        <w:pageBreakBefore w:val="0"/>
        <w:kinsoku/>
        <w:wordWrap w:val="0"/>
        <w:overflowPunct/>
        <w:bidi w:val="0"/>
        <w:jc w:val="center"/>
        <w:rPr>
          <w:rFonts w:hint="eastAsia" w:ascii="宋体" w:hAnsi="宋体" w:eastAsia="宋体" w:cs="宋体"/>
          <w:b/>
          <w:bCs/>
          <w:color w:val="auto"/>
          <w:sz w:val="24"/>
          <w:szCs w:val="24"/>
          <w:highlight w:val="none"/>
        </w:rPr>
      </w:pPr>
    </w:p>
    <w:p w14:paraId="1B50607F">
      <w:pPr>
        <w:pageBreakBefore w:val="0"/>
        <w:kinsoku/>
        <w:wordWrap w:val="0"/>
        <w:overflowPunct/>
        <w:bidi w:val="0"/>
        <w:jc w:val="center"/>
        <w:rPr>
          <w:rFonts w:hint="eastAsia" w:ascii="宋体" w:hAnsi="宋体" w:eastAsia="宋体" w:cs="宋体"/>
          <w:b/>
          <w:bCs/>
          <w:color w:val="auto"/>
          <w:sz w:val="24"/>
          <w:szCs w:val="24"/>
          <w:highlight w:val="none"/>
        </w:rPr>
      </w:pPr>
    </w:p>
    <w:p w14:paraId="494B3643">
      <w:pPr>
        <w:pageBreakBefore w:val="0"/>
        <w:kinsoku/>
        <w:wordWrap w:val="0"/>
        <w:overflowPunct/>
        <w:bidi w:val="0"/>
        <w:jc w:val="center"/>
        <w:rPr>
          <w:rFonts w:hint="eastAsia" w:ascii="宋体" w:hAnsi="宋体" w:eastAsia="宋体" w:cs="宋体"/>
          <w:b/>
          <w:bCs/>
          <w:color w:val="auto"/>
          <w:sz w:val="24"/>
          <w:szCs w:val="24"/>
          <w:highlight w:val="none"/>
        </w:rPr>
      </w:pPr>
    </w:p>
    <w:p w14:paraId="5673569B">
      <w:pPr>
        <w:pageBreakBefore w:val="0"/>
        <w:kinsoku/>
        <w:wordWrap w:val="0"/>
        <w:overflowPunct/>
        <w:bidi w:val="0"/>
        <w:jc w:val="center"/>
        <w:rPr>
          <w:rFonts w:hint="eastAsia" w:ascii="宋体" w:hAnsi="宋体" w:eastAsia="宋体" w:cs="宋体"/>
          <w:b/>
          <w:bCs/>
          <w:color w:val="auto"/>
          <w:sz w:val="24"/>
          <w:szCs w:val="24"/>
          <w:highlight w:val="none"/>
        </w:rPr>
      </w:pPr>
    </w:p>
    <w:p w14:paraId="5332F8B0">
      <w:pPr>
        <w:pageBreakBefore w:val="0"/>
        <w:kinsoku/>
        <w:wordWrap w:val="0"/>
        <w:overflowPunct/>
        <w:bidi w:val="0"/>
        <w:jc w:val="center"/>
        <w:rPr>
          <w:rFonts w:hint="eastAsia" w:ascii="宋体" w:hAnsi="宋体" w:eastAsia="宋体" w:cs="宋体"/>
          <w:b/>
          <w:bCs/>
          <w:color w:val="auto"/>
          <w:sz w:val="24"/>
          <w:szCs w:val="24"/>
          <w:highlight w:val="none"/>
        </w:rPr>
      </w:pPr>
    </w:p>
    <w:p w14:paraId="50061E3F">
      <w:pPr>
        <w:pageBreakBefore w:val="0"/>
        <w:kinsoku/>
        <w:wordWrap w:val="0"/>
        <w:overflowPunct/>
        <w:bidi w:val="0"/>
        <w:jc w:val="center"/>
        <w:rPr>
          <w:rFonts w:hint="eastAsia" w:ascii="宋体" w:hAnsi="宋体" w:eastAsia="宋体" w:cs="宋体"/>
          <w:b/>
          <w:bCs/>
          <w:color w:val="auto"/>
          <w:sz w:val="24"/>
          <w:szCs w:val="24"/>
          <w:highlight w:val="none"/>
        </w:rPr>
      </w:pPr>
    </w:p>
    <w:p w14:paraId="1C2B4153">
      <w:pPr>
        <w:pageBreakBefore w:val="0"/>
        <w:kinsoku/>
        <w:wordWrap w:val="0"/>
        <w:overflowPunct/>
        <w:bidi w:val="0"/>
        <w:jc w:val="center"/>
        <w:rPr>
          <w:rFonts w:hint="eastAsia" w:ascii="宋体" w:hAnsi="宋体" w:eastAsia="宋体" w:cs="宋体"/>
          <w:b/>
          <w:bCs/>
          <w:color w:val="auto"/>
          <w:sz w:val="24"/>
          <w:szCs w:val="24"/>
          <w:highlight w:val="none"/>
        </w:rPr>
      </w:pPr>
    </w:p>
    <w:p w14:paraId="6E859884">
      <w:pPr>
        <w:pageBreakBefore w:val="0"/>
        <w:kinsoku/>
        <w:wordWrap w:val="0"/>
        <w:overflowPunct/>
        <w:bidi w:val="0"/>
        <w:jc w:val="center"/>
        <w:rPr>
          <w:rFonts w:hint="eastAsia" w:ascii="宋体" w:hAnsi="宋体" w:eastAsia="宋体" w:cs="宋体"/>
          <w:b/>
          <w:bCs/>
          <w:color w:val="auto"/>
          <w:sz w:val="24"/>
          <w:szCs w:val="24"/>
          <w:highlight w:val="none"/>
        </w:rPr>
      </w:pPr>
    </w:p>
    <w:p w14:paraId="4C57A5D1">
      <w:pPr>
        <w:pageBreakBefore w:val="0"/>
        <w:kinsoku/>
        <w:wordWrap w:val="0"/>
        <w:overflowPunct/>
        <w:bidi w:val="0"/>
        <w:jc w:val="center"/>
        <w:rPr>
          <w:rFonts w:hint="eastAsia" w:ascii="宋体" w:hAnsi="宋体" w:eastAsia="宋体" w:cs="宋体"/>
          <w:b/>
          <w:bCs/>
          <w:color w:val="auto"/>
          <w:sz w:val="24"/>
          <w:szCs w:val="24"/>
          <w:highlight w:val="none"/>
        </w:rPr>
      </w:pPr>
    </w:p>
    <w:p w14:paraId="73A53648">
      <w:pPr>
        <w:pageBreakBefore w:val="0"/>
        <w:kinsoku/>
        <w:wordWrap w:val="0"/>
        <w:overflowPunct/>
        <w:bidi w:val="0"/>
        <w:jc w:val="center"/>
        <w:rPr>
          <w:rFonts w:hint="eastAsia" w:ascii="宋体" w:hAnsi="宋体" w:eastAsia="宋体" w:cs="宋体"/>
          <w:b/>
          <w:bCs/>
          <w:color w:val="auto"/>
          <w:sz w:val="24"/>
          <w:szCs w:val="24"/>
          <w:highlight w:val="none"/>
        </w:rPr>
      </w:pPr>
    </w:p>
    <w:p w14:paraId="55A98646">
      <w:pPr>
        <w:pageBreakBefore w:val="0"/>
        <w:kinsoku/>
        <w:wordWrap w:val="0"/>
        <w:overflowPunct/>
        <w:bidi w:val="0"/>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投 标 文 件</w:t>
      </w:r>
    </w:p>
    <w:p w14:paraId="55EE0F78">
      <w:pPr>
        <w:pageBreakBefore w:val="0"/>
        <w:kinsoku/>
        <w:wordWrap w:val="0"/>
        <w:overflowPunct/>
        <w:bidi w:val="0"/>
        <w:jc w:val="center"/>
        <w:outlineLvl w:val="2"/>
        <w:rPr>
          <w:rFonts w:hint="eastAsia" w:ascii="宋体" w:hAnsi="宋体" w:eastAsia="宋体" w:cs="宋体"/>
          <w:b/>
          <w:bCs/>
          <w:color w:val="auto"/>
          <w:sz w:val="40"/>
          <w:szCs w:val="40"/>
          <w:highlight w:val="none"/>
        </w:rPr>
      </w:pPr>
    </w:p>
    <w:p w14:paraId="488FC35B">
      <w:pPr>
        <w:pageBreakBefore w:val="0"/>
        <w:kinsoku/>
        <w:wordWrap w:val="0"/>
        <w:overflowPunct/>
        <w:bidi w:val="0"/>
        <w:jc w:val="center"/>
        <w:outlineLvl w:val="2"/>
        <w:rPr>
          <w:rFonts w:hint="eastAsia" w:ascii="宋体" w:hAnsi="宋体" w:eastAsia="宋体" w:cs="宋体"/>
          <w:b/>
          <w:bCs/>
          <w:color w:val="auto"/>
          <w:sz w:val="40"/>
          <w:szCs w:val="40"/>
          <w:highlight w:val="none"/>
        </w:rPr>
      </w:pPr>
      <w:bookmarkStart w:id="316" w:name="_Toc23987"/>
      <w:r>
        <w:rPr>
          <w:rFonts w:hint="eastAsia" w:ascii="宋体" w:hAnsi="宋体" w:eastAsia="宋体" w:cs="宋体"/>
          <w:b/>
          <w:bCs/>
          <w:color w:val="auto"/>
          <w:sz w:val="40"/>
          <w:szCs w:val="40"/>
          <w:highlight w:val="none"/>
          <w:lang w:val="en-US" w:eastAsia="zh-CN"/>
        </w:rPr>
        <w:t>报价</w:t>
      </w:r>
      <w:r>
        <w:rPr>
          <w:rFonts w:hint="eastAsia" w:ascii="宋体" w:hAnsi="宋体" w:eastAsia="宋体" w:cs="宋体"/>
          <w:b/>
          <w:bCs/>
          <w:color w:val="auto"/>
          <w:sz w:val="40"/>
          <w:szCs w:val="40"/>
          <w:highlight w:val="none"/>
        </w:rPr>
        <w:t>部分</w:t>
      </w:r>
      <w:bookmarkEnd w:id="316"/>
    </w:p>
    <w:p w14:paraId="32E25B8E">
      <w:pPr>
        <w:pageBreakBefore w:val="0"/>
        <w:kinsoku/>
        <w:wordWrap w:val="0"/>
        <w:overflowPunct/>
        <w:bidi w:val="0"/>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 xml:space="preserve"> </w:t>
      </w:r>
    </w:p>
    <w:p w14:paraId="0110B097">
      <w:pPr>
        <w:pageBreakBefore w:val="0"/>
        <w:kinsoku/>
        <w:wordWrap w:val="0"/>
        <w:overflowPunct/>
        <w:bidi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238DE078">
      <w:pPr>
        <w:pageBreakBefore w:val="0"/>
        <w:kinsoku/>
        <w:wordWrap w:val="0"/>
        <w:overflowPunct/>
        <w:bidi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1600C32B">
      <w:pPr>
        <w:pStyle w:val="13"/>
        <w:pageBreakBefore w:val="0"/>
        <w:kinsoku/>
        <w:wordWrap w:val="0"/>
        <w:overflowPunct/>
        <w:bidi w:val="0"/>
        <w:rPr>
          <w:rFonts w:hint="eastAsia" w:ascii="宋体" w:hAnsi="宋体" w:eastAsia="宋体" w:cs="宋体"/>
          <w:b/>
          <w:bCs/>
          <w:color w:val="auto"/>
          <w:sz w:val="24"/>
          <w:szCs w:val="24"/>
          <w:highlight w:val="none"/>
        </w:rPr>
      </w:pPr>
    </w:p>
    <w:p w14:paraId="1DC300D1">
      <w:pPr>
        <w:pageBreakBefore w:val="0"/>
        <w:kinsoku/>
        <w:wordWrap w:val="0"/>
        <w:overflowPunct/>
        <w:bidi w:val="0"/>
        <w:rPr>
          <w:rFonts w:hint="eastAsia" w:ascii="宋体" w:hAnsi="宋体" w:eastAsia="宋体" w:cs="宋体"/>
          <w:b/>
          <w:bCs/>
          <w:color w:val="auto"/>
          <w:sz w:val="24"/>
          <w:szCs w:val="24"/>
          <w:highlight w:val="none"/>
        </w:rPr>
      </w:pPr>
    </w:p>
    <w:p w14:paraId="16E83D5A">
      <w:pPr>
        <w:pageBreakBefore w:val="0"/>
        <w:kinsoku/>
        <w:wordWrap w:val="0"/>
        <w:overflowPunct/>
        <w:bidi w:val="0"/>
        <w:rPr>
          <w:rFonts w:hint="eastAsia" w:ascii="宋体" w:hAnsi="宋体" w:eastAsia="宋体" w:cs="宋体"/>
          <w:b/>
          <w:bCs/>
          <w:color w:val="auto"/>
          <w:sz w:val="24"/>
          <w:szCs w:val="24"/>
          <w:highlight w:val="none"/>
        </w:rPr>
      </w:pPr>
    </w:p>
    <w:p w14:paraId="74340438">
      <w:pPr>
        <w:pageBreakBefore w:val="0"/>
        <w:kinsoku/>
        <w:wordWrap w:val="0"/>
        <w:overflowPunct/>
        <w:bidi w:val="0"/>
        <w:rPr>
          <w:rFonts w:hint="eastAsia" w:ascii="宋体" w:hAnsi="宋体" w:eastAsia="宋体" w:cs="宋体"/>
          <w:b/>
          <w:bCs/>
          <w:color w:val="auto"/>
          <w:sz w:val="24"/>
          <w:szCs w:val="24"/>
          <w:highlight w:val="none"/>
        </w:rPr>
      </w:pPr>
    </w:p>
    <w:p w14:paraId="66DE236E">
      <w:pPr>
        <w:pStyle w:val="13"/>
        <w:pageBreakBefore w:val="0"/>
        <w:kinsoku/>
        <w:wordWrap w:val="0"/>
        <w:overflowPunct/>
        <w:bidi w:val="0"/>
        <w:rPr>
          <w:rFonts w:hint="eastAsia" w:ascii="宋体" w:hAnsi="宋体" w:eastAsia="宋体" w:cs="宋体"/>
          <w:color w:val="auto"/>
          <w:sz w:val="24"/>
          <w:szCs w:val="24"/>
          <w:highlight w:val="none"/>
        </w:rPr>
      </w:pPr>
    </w:p>
    <w:p w14:paraId="1CDCA0B1">
      <w:pPr>
        <w:pageBreakBefore w:val="0"/>
        <w:kinsoku/>
        <w:wordWrap w:val="0"/>
        <w:overflowPunct/>
        <w:bidi w:val="0"/>
        <w:rPr>
          <w:rFonts w:hint="eastAsia" w:ascii="宋体" w:hAnsi="宋体" w:eastAsia="宋体" w:cs="宋体"/>
          <w:color w:val="auto"/>
          <w:highlight w:val="none"/>
        </w:rPr>
      </w:pPr>
    </w:p>
    <w:p w14:paraId="4E4BAEA2">
      <w:pPr>
        <w:pageBreakBefore w:val="0"/>
        <w:kinsoku/>
        <w:wordWrap w:val="0"/>
        <w:overflowPunct/>
        <w:bidi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1CB6FC91">
      <w:pPr>
        <w:pageBreakBefore w:val="0"/>
        <w:kinsoku/>
        <w:wordWrap w:val="0"/>
        <w:overflowPunct/>
        <w:bidi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4"/>
          <w:szCs w:val="24"/>
          <w:highlight w:val="none"/>
        </w:rPr>
        <w:t xml:space="preserve"> </w:t>
      </w:r>
    </w:p>
    <w:p w14:paraId="0B174102">
      <w:pPr>
        <w:pageBreakBefore w:val="0"/>
        <w:kinsoku/>
        <w:wordWrap w:val="0"/>
        <w:overflowPunct/>
        <w:bidi w:val="0"/>
        <w:spacing w:line="480" w:lineRule="auto"/>
        <w:ind w:firstLine="1124" w:firstLineChars="4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投标人：</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(电子签章)</w:t>
      </w:r>
    </w:p>
    <w:p w14:paraId="50A5BCFB">
      <w:pPr>
        <w:pageBreakBefore w:val="0"/>
        <w:kinsoku/>
        <w:wordWrap w:val="0"/>
        <w:overflowPunct/>
        <w:bidi w:val="0"/>
        <w:spacing w:line="480" w:lineRule="auto"/>
        <w:ind w:firstLine="1124" w:firstLineChars="4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法定代表人(单位负责人)或其委托代理人：</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(电子签章)</w:t>
      </w:r>
    </w:p>
    <w:p w14:paraId="2AF0377F">
      <w:pPr>
        <w:pageBreakBefore w:val="0"/>
        <w:kinsoku/>
        <w:wordWrap w:val="0"/>
        <w:overflowPunct/>
        <w:bidi w:val="0"/>
        <w:spacing w:line="480" w:lineRule="auto"/>
        <w:ind w:firstLine="1124" w:firstLineChars="400"/>
        <w:rPr>
          <w:rFonts w:hint="eastAsia" w:ascii="宋体" w:hAnsi="宋体" w:eastAsia="宋体" w:cs="宋体"/>
          <w:b/>
          <w:color w:val="auto"/>
          <w:sz w:val="28"/>
          <w:szCs w:val="28"/>
          <w:highlight w:val="none"/>
        </w:rPr>
        <w:sectPr>
          <w:footerReference r:id="rId16" w:type="default"/>
          <w:pgSz w:w="11906" w:h="16838"/>
          <w:pgMar w:top="1134" w:right="1134" w:bottom="1440" w:left="1361" w:header="850" w:footer="510" w:gutter="0"/>
          <w:pgBorders>
            <w:top w:val="none" w:sz="0" w:space="0"/>
            <w:left w:val="none" w:sz="0" w:space="0"/>
            <w:bottom w:val="none" w:sz="0" w:space="0"/>
            <w:right w:val="none" w:sz="0" w:space="0"/>
          </w:pgBorders>
          <w:pgNumType w:fmt="decimal"/>
          <w:cols w:space="0" w:num="1"/>
          <w:rtlGutter w:val="0"/>
          <w:docGrid w:linePitch="317" w:charSpace="0"/>
        </w:sectPr>
      </w:pPr>
      <w:r>
        <w:rPr>
          <w:rFonts w:hint="eastAsia" w:ascii="宋体" w:hAnsi="宋体" w:eastAsia="宋体" w:cs="宋体"/>
          <w:b/>
          <w:color w:val="auto"/>
          <w:sz w:val="28"/>
          <w:szCs w:val="28"/>
          <w:highlight w:val="none"/>
        </w:rPr>
        <w:t>日期：</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
          <w:color w:val="auto"/>
          <w:sz w:val="28"/>
          <w:szCs w:val="28"/>
          <w:highlight w:val="none"/>
        </w:rPr>
        <w:t>年</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
          <w:color w:val="auto"/>
          <w:sz w:val="28"/>
          <w:szCs w:val="28"/>
          <w:highlight w:val="none"/>
        </w:rPr>
        <w:t>月</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
          <w:color w:val="auto"/>
          <w:sz w:val="28"/>
          <w:szCs w:val="28"/>
          <w:highlight w:val="none"/>
        </w:rPr>
        <w:t>日</w:t>
      </w:r>
    </w:p>
    <w:p w14:paraId="6D868F04">
      <w:pPr>
        <w:pStyle w:val="13"/>
        <w:pageBreakBefore w:val="0"/>
        <w:kinsoku/>
        <w:wordWrap w:val="0"/>
        <w:overflowPunct/>
        <w:bidi w:val="0"/>
        <w:rPr>
          <w:rFonts w:hint="eastAsia" w:ascii="宋体" w:hAnsi="宋体" w:eastAsia="宋体" w:cs="宋体"/>
          <w:color w:val="auto"/>
          <w:highlight w:val="none"/>
        </w:rPr>
      </w:pPr>
    </w:p>
    <w:p w14:paraId="7EAB3ED4">
      <w:pPr>
        <w:pStyle w:val="13"/>
        <w:pageBreakBefore w:val="0"/>
        <w:kinsoku/>
        <w:wordWrap w:val="0"/>
        <w:overflowPunct/>
        <w:bidi w:val="0"/>
        <w:jc w:val="center"/>
        <w:rPr>
          <w:rFonts w:hint="eastAsia" w:ascii="宋体" w:hAnsi="宋体" w:eastAsia="宋体" w:cs="宋体"/>
          <w:b/>
          <w:bCs/>
          <w:color w:val="auto"/>
          <w:sz w:val="32"/>
          <w:szCs w:val="40"/>
          <w:highlight w:val="none"/>
          <w:lang w:val="en-US" w:eastAsia="zh-CN"/>
        </w:rPr>
      </w:pPr>
      <w:r>
        <w:rPr>
          <w:rFonts w:hint="eastAsia" w:ascii="宋体" w:hAnsi="宋体" w:eastAsia="宋体" w:cs="宋体"/>
          <w:b/>
          <w:bCs/>
          <w:color w:val="auto"/>
          <w:sz w:val="32"/>
          <w:szCs w:val="40"/>
          <w:highlight w:val="none"/>
          <w:lang w:val="en-US" w:eastAsia="zh-CN"/>
        </w:rPr>
        <w:t>目  录</w:t>
      </w:r>
    </w:p>
    <w:p w14:paraId="61E2CB44">
      <w:pPr>
        <w:pStyle w:val="13"/>
        <w:pageBreakBefore w:val="0"/>
        <w:kinsoku/>
        <w:wordWrap w:val="0"/>
        <w:overflowPunct/>
        <w:bidi w:val="0"/>
        <w:jc w:val="center"/>
        <w:rPr>
          <w:rFonts w:hint="eastAsia" w:ascii="宋体" w:hAnsi="宋体" w:eastAsia="宋体" w:cs="宋体"/>
          <w:b/>
          <w:bCs/>
          <w:color w:val="auto"/>
          <w:sz w:val="32"/>
          <w:szCs w:val="40"/>
          <w:highlight w:val="none"/>
          <w:lang w:val="en-US" w:eastAsia="zh-CN"/>
        </w:rPr>
      </w:pPr>
    </w:p>
    <w:p w14:paraId="0A35C60A">
      <w:pPr>
        <w:pStyle w:val="4"/>
        <w:keepNext/>
        <w:keepLines/>
        <w:pageBreakBefore w:val="0"/>
        <w:widowControl/>
        <w:kinsoku/>
        <w:wordWrap w:val="0"/>
        <w:overflowPunct/>
        <w:topLinePunct w:val="0"/>
        <w:autoSpaceDE w:val="0"/>
        <w:autoSpaceDN/>
        <w:bidi w:val="0"/>
        <w:adjustRightInd w:val="0"/>
        <w:snapToGrid w:val="0"/>
        <w:spacing w:before="0" w:after="0" w:line="360" w:lineRule="auto"/>
        <w:ind w:firstLine="560" w:firstLineChars="200"/>
        <w:jc w:val="left"/>
        <w:textAlignment w:val="auto"/>
        <w:rPr>
          <w:rFonts w:hint="eastAsia" w:ascii="宋体" w:hAnsi="宋体" w:eastAsia="宋体" w:cs="宋体"/>
          <w:b w:val="0"/>
          <w:bCs w:val="0"/>
          <w:color w:val="auto"/>
          <w:sz w:val="28"/>
          <w:szCs w:val="28"/>
          <w:highlight w:val="none"/>
        </w:rPr>
      </w:pPr>
      <w:bookmarkStart w:id="317" w:name="_Toc12905"/>
      <w:r>
        <w:rPr>
          <w:rFonts w:hint="eastAsia" w:ascii="宋体" w:hAnsi="宋体" w:eastAsia="宋体" w:cs="宋体"/>
          <w:b w:val="0"/>
          <w:bCs w:val="0"/>
          <w:color w:val="auto"/>
          <w:sz w:val="28"/>
          <w:szCs w:val="28"/>
          <w:highlight w:val="none"/>
        </w:rPr>
        <w:t>一、开标一览表</w:t>
      </w:r>
      <w:bookmarkEnd w:id="317"/>
    </w:p>
    <w:p w14:paraId="3615AA98">
      <w:pPr>
        <w:pStyle w:val="4"/>
        <w:keepNext/>
        <w:keepLines/>
        <w:pageBreakBefore w:val="0"/>
        <w:widowControl/>
        <w:kinsoku/>
        <w:wordWrap w:val="0"/>
        <w:overflowPunct/>
        <w:topLinePunct w:val="0"/>
        <w:autoSpaceDE w:val="0"/>
        <w:autoSpaceDN/>
        <w:bidi w:val="0"/>
        <w:adjustRightInd w:val="0"/>
        <w:snapToGrid w:val="0"/>
        <w:spacing w:before="0" w:after="0" w:line="360" w:lineRule="auto"/>
        <w:ind w:firstLine="560" w:firstLineChars="200"/>
        <w:jc w:val="left"/>
        <w:textAlignment w:val="auto"/>
        <w:rPr>
          <w:rFonts w:hint="eastAsia" w:ascii="宋体" w:hAnsi="宋体" w:eastAsia="宋体" w:cs="宋体"/>
          <w:b w:val="0"/>
          <w:bCs w:val="0"/>
          <w:color w:val="auto"/>
          <w:sz w:val="28"/>
          <w:szCs w:val="28"/>
          <w:highlight w:val="none"/>
        </w:rPr>
      </w:pPr>
      <w:bookmarkStart w:id="318" w:name="_Toc16825"/>
      <w:r>
        <w:rPr>
          <w:rFonts w:hint="eastAsia" w:ascii="宋体" w:hAnsi="宋体" w:eastAsia="宋体" w:cs="宋体"/>
          <w:b w:val="0"/>
          <w:bCs w:val="0"/>
          <w:color w:val="auto"/>
          <w:sz w:val="28"/>
          <w:szCs w:val="28"/>
          <w:highlight w:val="none"/>
          <w:lang w:val="en-US" w:eastAsia="zh-CN"/>
        </w:rPr>
        <w:t>二</w:t>
      </w:r>
      <w:r>
        <w:rPr>
          <w:rFonts w:hint="eastAsia" w:ascii="宋体" w:hAnsi="宋体" w:eastAsia="宋体" w:cs="宋体"/>
          <w:b w:val="0"/>
          <w:bCs w:val="0"/>
          <w:color w:val="auto"/>
          <w:sz w:val="28"/>
          <w:szCs w:val="28"/>
          <w:highlight w:val="none"/>
        </w:rPr>
        <w:t>、报价表</w:t>
      </w:r>
      <w:bookmarkEnd w:id="318"/>
    </w:p>
    <w:p w14:paraId="3DFAD6FA">
      <w:pPr>
        <w:pStyle w:val="4"/>
        <w:keepNext/>
        <w:keepLines/>
        <w:pageBreakBefore w:val="0"/>
        <w:widowControl w:val="0"/>
        <w:kinsoku/>
        <w:wordWrap w:val="0"/>
        <w:overflowPunct/>
        <w:topLinePunct w:val="0"/>
        <w:autoSpaceDE/>
        <w:autoSpaceDN/>
        <w:bidi w:val="0"/>
        <w:adjustRightInd w:val="0"/>
        <w:snapToGrid w:val="0"/>
        <w:spacing w:before="0" w:after="0" w:line="360" w:lineRule="auto"/>
        <w:ind w:firstLine="560" w:firstLineChars="200"/>
        <w:jc w:val="left"/>
        <w:textAlignment w:val="auto"/>
        <w:rPr>
          <w:rFonts w:hint="eastAsia" w:ascii="宋体" w:hAnsi="宋体" w:eastAsia="宋体" w:cs="宋体"/>
          <w:b w:val="0"/>
          <w:bCs w:val="0"/>
          <w:color w:val="auto"/>
          <w:sz w:val="28"/>
          <w:szCs w:val="28"/>
          <w:highlight w:val="none"/>
          <w:lang w:val="en-US"/>
        </w:rPr>
      </w:pPr>
      <w:bookmarkStart w:id="319" w:name="_Toc9185"/>
      <w:r>
        <w:rPr>
          <w:rFonts w:hint="eastAsia" w:ascii="宋体" w:hAnsi="宋体" w:eastAsia="宋体" w:cs="宋体"/>
          <w:b w:val="0"/>
          <w:bCs w:val="0"/>
          <w:color w:val="auto"/>
          <w:sz w:val="28"/>
          <w:szCs w:val="28"/>
          <w:highlight w:val="none"/>
          <w:lang w:val="en-US" w:eastAsia="zh-CN"/>
        </w:rPr>
        <w:t>三</w:t>
      </w:r>
      <w:r>
        <w:rPr>
          <w:rFonts w:hint="eastAsia" w:ascii="宋体" w:hAnsi="宋体" w:eastAsia="宋体" w:cs="宋体"/>
          <w:b w:val="0"/>
          <w:bCs w:val="0"/>
          <w:color w:val="auto"/>
          <w:sz w:val="28"/>
          <w:szCs w:val="28"/>
          <w:highlight w:val="none"/>
        </w:rPr>
        <w:t>、其他</w:t>
      </w:r>
      <w:r>
        <w:rPr>
          <w:rFonts w:hint="eastAsia" w:ascii="宋体" w:hAnsi="宋体" w:eastAsia="宋体" w:cs="宋体"/>
          <w:b w:val="0"/>
          <w:bCs w:val="0"/>
          <w:color w:val="auto"/>
          <w:sz w:val="28"/>
          <w:szCs w:val="28"/>
          <w:highlight w:val="none"/>
          <w:lang w:val="en-US"/>
        </w:rPr>
        <w:t>要求</w:t>
      </w:r>
      <w:bookmarkEnd w:id="319"/>
    </w:p>
    <w:p w14:paraId="7513F8BC">
      <w:pPr>
        <w:pStyle w:val="13"/>
        <w:pageBreakBefore w:val="0"/>
        <w:kinsoku/>
        <w:wordWrap w:val="0"/>
        <w:overflowPunct/>
        <w:topLinePunct w:val="0"/>
        <w:autoSpaceDN/>
        <w:bidi w:val="0"/>
        <w:adjustRightInd w:val="0"/>
        <w:snapToGrid w:val="0"/>
        <w:jc w:val="center"/>
        <w:textAlignment w:val="auto"/>
        <w:rPr>
          <w:rFonts w:hint="eastAsia" w:ascii="宋体" w:hAnsi="宋体" w:eastAsia="宋体" w:cs="宋体"/>
          <w:b/>
          <w:bCs/>
          <w:color w:val="auto"/>
          <w:sz w:val="32"/>
          <w:szCs w:val="40"/>
          <w:highlight w:val="none"/>
          <w:lang w:val="en-US" w:eastAsia="zh-CN"/>
        </w:rPr>
        <w:sectPr>
          <w:pgSz w:w="11906" w:h="16838"/>
          <w:pgMar w:top="1134" w:right="1134" w:bottom="1440" w:left="1361" w:header="850" w:footer="510" w:gutter="0"/>
          <w:pgBorders>
            <w:top w:val="none" w:sz="0" w:space="0"/>
            <w:left w:val="none" w:sz="0" w:space="0"/>
            <w:bottom w:val="none" w:sz="0" w:space="0"/>
            <w:right w:val="none" w:sz="0" w:space="0"/>
          </w:pgBorders>
          <w:pgNumType w:fmt="decimal"/>
          <w:cols w:space="0" w:num="1"/>
          <w:rtlGutter w:val="0"/>
          <w:docGrid w:linePitch="317" w:charSpace="0"/>
        </w:sectPr>
      </w:pPr>
    </w:p>
    <w:p w14:paraId="233DD9CA">
      <w:pPr>
        <w:pStyle w:val="4"/>
        <w:pageBreakBefore w:val="0"/>
        <w:widowControl/>
        <w:kinsoku/>
        <w:wordWrap w:val="0"/>
        <w:overflowPunct/>
        <w:autoSpaceDE w:val="0"/>
        <w:bidi w:val="0"/>
        <w:spacing w:before="0" w:after="0" w:line="240" w:lineRule="auto"/>
        <w:rPr>
          <w:rFonts w:hint="eastAsia" w:ascii="宋体" w:hAnsi="宋体" w:eastAsia="宋体" w:cs="宋体"/>
          <w:color w:val="auto"/>
          <w:sz w:val="24"/>
          <w:szCs w:val="24"/>
          <w:highlight w:val="none"/>
        </w:rPr>
      </w:pPr>
      <w:bookmarkStart w:id="320" w:name="_Toc25559"/>
      <w:r>
        <w:rPr>
          <w:rFonts w:hint="eastAsia" w:ascii="宋体" w:hAnsi="宋体" w:eastAsia="宋体" w:cs="宋体"/>
          <w:color w:val="auto"/>
          <w:sz w:val="24"/>
          <w:szCs w:val="24"/>
          <w:highlight w:val="none"/>
        </w:rPr>
        <w:t>一、开标一览表</w:t>
      </w:r>
      <w:bookmarkEnd w:id="320"/>
    </w:p>
    <w:p w14:paraId="5A0477A5">
      <w:pPr>
        <w:pageBreakBefore w:val="0"/>
        <w:kinsoku/>
        <w:wordWrap w:val="0"/>
        <w:overflowPunct/>
        <w:bidi w:val="0"/>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03A6B98">
      <w:pPr>
        <w:pageBreakBefore w:val="0"/>
        <w:kinsoku/>
        <w:wordWrap w:val="0"/>
        <w:overflowPunct/>
        <w:bidi w:val="0"/>
        <w:spacing w:line="480" w:lineRule="exact"/>
        <w:ind w:left="1400" w:hanging="1200" w:hanging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205A192">
      <w:pPr>
        <w:pageBreakBefore w:val="0"/>
        <w:kinsoku/>
        <w:wordWrap w:val="0"/>
        <w:overflowPunct/>
        <w:bidi w:val="0"/>
        <w:spacing w:line="480" w:lineRule="exact"/>
        <w:ind w:left="1200" w:hanging="1200" w:hangingChars="5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p>
    <w:p w14:paraId="6035906F">
      <w:pPr>
        <w:pageBreakBefore w:val="0"/>
        <w:kinsoku/>
        <w:wordWrap w:val="0"/>
        <w:overflowPunct/>
        <w:bidi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bl>
      <w:tblPr>
        <w:tblStyle w:val="38"/>
        <w:tblW w:w="11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5"/>
        <w:gridCol w:w="2186"/>
        <w:gridCol w:w="1671"/>
        <w:gridCol w:w="1909"/>
        <w:gridCol w:w="2506"/>
      </w:tblGrid>
      <w:tr w14:paraId="5E712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3165" w:type="dxa"/>
            <w:vAlign w:val="center"/>
          </w:tcPr>
          <w:p w14:paraId="5F4E6549">
            <w:pPr>
              <w:pStyle w:val="8"/>
              <w:pageBreakBefore w:val="0"/>
              <w:kinsoku/>
              <w:wordWrap w:val="0"/>
              <w:overflowPunct/>
              <w:bidi w:val="0"/>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投标总价（元）</w:t>
            </w:r>
          </w:p>
        </w:tc>
        <w:tc>
          <w:tcPr>
            <w:tcW w:w="2186" w:type="dxa"/>
            <w:vAlign w:val="center"/>
          </w:tcPr>
          <w:p w14:paraId="0B3E4E6B">
            <w:pPr>
              <w:pStyle w:val="8"/>
              <w:pageBreakBefore w:val="0"/>
              <w:kinsoku/>
              <w:wordWrap w:val="0"/>
              <w:overflowPunct/>
              <w:bidi w:val="0"/>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
              </w:rPr>
              <w:t>合同履行期限</w:t>
            </w:r>
          </w:p>
        </w:tc>
        <w:tc>
          <w:tcPr>
            <w:tcW w:w="1671" w:type="dxa"/>
            <w:vAlign w:val="center"/>
          </w:tcPr>
          <w:p w14:paraId="31A279D2">
            <w:pPr>
              <w:pStyle w:val="8"/>
              <w:pageBreakBefore w:val="0"/>
              <w:kinsoku/>
              <w:wordWrap w:val="0"/>
              <w:overflowPunct/>
              <w:bidi w:val="0"/>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质保期</w:t>
            </w:r>
          </w:p>
        </w:tc>
        <w:tc>
          <w:tcPr>
            <w:tcW w:w="1909" w:type="dxa"/>
            <w:vAlign w:val="center"/>
          </w:tcPr>
          <w:p w14:paraId="30056B71">
            <w:pPr>
              <w:pStyle w:val="8"/>
              <w:pageBreakBefore w:val="0"/>
              <w:kinsoku/>
              <w:wordWrap w:val="0"/>
              <w:overflowPunct/>
              <w:bidi w:val="0"/>
              <w:ind w:left="0" w:leftChars="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投标保证金形式</w:t>
            </w:r>
          </w:p>
        </w:tc>
        <w:tc>
          <w:tcPr>
            <w:tcW w:w="2506" w:type="dxa"/>
            <w:vAlign w:val="center"/>
          </w:tcPr>
          <w:p w14:paraId="2EDD6CF8">
            <w:pPr>
              <w:pStyle w:val="8"/>
              <w:pageBreakBefore w:val="0"/>
              <w:kinsoku/>
              <w:wordWrap w:val="0"/>
              <w:overflowPunct/>
              <w:bidi w:val="0"/>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559FA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3165" w:type="dxa"/>
            <w:tcBorders>
              <w:bottom w:val="single" w:color="auto" w:sz="4" w:space="0"/>
            </w:tcBorders>
          </w:tcPr>
          <w:p w14:paraId="706FF367">
            <w:pPr>
              <w:pStyle w:val="8"/>
              <w:pageBreakBefore w:val="0"/>
              <w:kinsoku/>
              <w:wordWrap w:val="0"/>
              <w:overflowPunct/>
              <w:bidi w:val="0"/>
              <w:ind w:firstLine="0"/>
              <w:rPr>
                <w:rFonts w:hint="eastAsia" w:ascii="宋体" w:hAnsi="宋体" w:eastAsia="宋体" w:cs="宋体"/>
                <w:color w:val="auto"/>
                <w:sz w:val="24"/>
                <w:szCs w:val="24"/>
                <w:highlight w:val="none"/>
              </w:rPr>
            </w:pPr>
          </w:p>
          <w:p w14:paraId="6471CC0B">
            <w:pPr>
              <w:pStyle w:val="8"/>
              <w:pageBreakBefore w:val="0"/>
              <w:kinsoku/>
              <w:wordWrap w:val="0"/>
              <w:overflowPunct/>
              <w:bidi w:val="0"/>
              <w:spacing w:line="360" w:lineRule="auto"/>
              <w:ind w:left="0" w:leftChars="0"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14:paraId="047C6068">
            <w:pPr>
              <w:pStyle w:val="8"/>
              <w:pageBreakBefore w:val="0"/>
              <w:kinsoku/>
              <w:wordWrap w:val="0"/>
              <w:overflowPunct/>
              <w:bidi w:val="0"/>
              <w:spacing w:line="360" w:lineRule="auto"/>
              <w:ind w:left="0" w:leftChars="0" w:firstLine="0" w:firstLineChars="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大写：人民币</w:t>
            </w:r>
            <w:r>
              <w:rPr>
                <w:rFonts w:hint="eastAsia" w:ascii="宋体" w:hAnsi="宋体" w:eastAsia="宋体" w:cs="宋体"/>
                <w:color w:val="auto"/>
                <w:sz w:val="24"/>
                <w:szCs w:val="24"/>
                <w:highlight w:val="none"/>
                <w:u w:val="single"/>
              </w:rPr>
              <w:t xml:space="preserve">             </w:t>
            </w:r>
          </w:p>
        </w:tc>
        <w:tc>
          <w:tcPr>
            <w:tcW w:w="2186" w:type="dxa"/>
            <w:tcBorders>
              <w:bottom w:val="single" w:color="auto" w:sz="4" w:space="0"/>
            </w:tcBorders>
          </w:tcPr>
          <w:p w14:paraId="3E7A4EFE">
            <w:pPr>
              <w:pStyle w:val="8"/>
              <w:pageBreakBefore w:val="0"/>
              <w:kinsoku/>
              <w:wordWrap w:val="0"/>
              <w:overflowPunct/>
              <w:bidi w:val="0"/>
              <w:ind w:firstLine="0"/>
              <w:rPr>
                <w:rFonts w:hint="eastAsia" w:ascii="宋体" w:hAnsi="宋体" w:eastAsia="宋体" w:cs="宋体"/>
                <w:color w:val="auto"/>
                <w:sz w:val="24"/>
                <w:szCs w:val="24"/>
                <w:highlight w:val="none"/>
              </w:rPr>
            </w:pPr>
          </w:p>
        </w:tc>
        <w:tc>
          <w:tcPr>
            <w:tcW w:w="1671" w:type="dxa"/>
            <w:tcBorders>
              <w:bottom w:val="single" w:color="auto" w:sz="4" w:space="0"/>
            </w:tcBorders>
          </w:tcPr>
          <w:p w14:paraId="2D2773EC">
            <w:pPr>
              <w:pStyle w:val="8"/>
              <w:pageBreakBefore w:val="0"/>
              <w:kinsoku/>
              <w:wordWrap w:val="0"/>
              <w:overflowPunct/>
              <w:bidi w:val="0"/>
              <w:ind w:firstLine="0"/>
              <w:rPr>
                <w:rFonts w:hint="eastAsia" w:ascii="宋体" w:hAnsi="宋体" w:eastAsia="宋体" w:cs="宋体"/>
                <w:color w:val="auto"/>
                <w:sz w:val="24"/>
                <w:szCs w:val="24"/>
                <w:highlight w:val="none"/>
              </w:rPr>
            </w:pPr>
          </w:p>
        </w:tc>
        <w:tc>
          <w:tcPr>
            <w:tcW w:w="1909" w:type="dxa"/>
            <w:tcBorders>
              <w:bottom w:val="single" w:color="auto" w:sz="4" w:space="0"/>
            </w:tcBorders>
          </w:tcPr>
          <w:p w14:paraId="6186B9E1">
            <w:pPr>
              <w:pStyle w:val="8"/>
              <w:pageBreakBefore w:val="0"/>
              <w:kinsoku/>
              <w:wordWrap w:val="0"/>
              <w:overflowPunct/>
              <w:bidi w:val="0"/>
              <w:ind w:firstLine="0"/>
              <w:rPr>
                <w:rFonts w:hint="eastAsia" w:ascii="宋体" w:hAnsi="宋体" w:eastAsia="宋体" w:cs="宋体"/>
                <w:color w:val="auto"/>
                <w:sz w:val="24"/>
                <w:szCs w:val="24"/>
                <w:highlight w:val="none"/>
              </w:rPr>
            </w:pPr>
          </w:p>
        </w:tc>
        <w:tc>
          <w:tcPr>
            <w:tcW w:w="2506" w:type="dxa"/>
            <w:tcBorders>
              <w:bottom w:val="single" w:color="auto" w:sz="4" w:space="0"/>
            </w:tcBorders>
          </w:tcPr>
          <w:p w14:paraId="14952ACB">
            <w:pPr>
              <w:pStyle w:val="8"/>
              <w:pageBreakBefore w:val="0"/>
              <w:kinsoku/>
              <w:wordWrap w:val="0"/>
              <w:overflowPunct/>
              <w:bidi w:val="0"/>
              <w:ind w:firstLine="0"/>
              <w:rPr>
                <w:rFonts w:hint="eastAsia" w:ascii="宋体" w:hAnsi="宋体" w:eastAsia="宋体" w:cs="宋体"/>
                <w:color w:val="auto"/>
                <w:sz w:val="24"/>
                <w:szCs w:val="24"/>
                <w:highlight w:val="none"/>
              </w:rPr>
            </w:pPr>
          </w:p>
        </w:tc>
      </w:tr>
    </w:tbl>
    <w:p w14:paraId="0371D59A">
      <w:pPr>
        <w:pageBreakBefore w:val="0"/>
        <w:kinsoku/>
        <w:wordWrap w:val="0"/>
        <w:overflowPunct/>
        <w:bidi w:val="0"/>
        <w:spacing w:line="420" w:lineRule="exact"/>
        <w:ind w:right="-309" w:rightChars="-1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26C09951">
      <w:pPr>
        <w:pageBreakBefore w:val="0"/>
        <w:kinsoku/>
        <w:wordWrap w:val="0"/>
        <w:overflowPunct/>
        <w:bidi w:val="0"/>
        <w:spacing w:line="6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96980AB">
      <w:pPr>
        <w:pStyle w:val="13"/>
        <w:pageBreakBefore w:val="0"/>
        <w:kinsoku/>
        <w:wordWrap w:val="0"/>
        <w:overflowPunct/>
        <w:bidi w:val="0"/>
        <w:spacing w:line="360" w:lineRule="auto"/>
        <w:rPr>
          <w:rFonts w:hint="eastAsia" w:ascii="宋体" w:hAnsi="宋体" w:eastAsia="宋体" w:cs="宋体"/>
          <w:b w:val="0"/>
          <w:bCs w:val="0"/>
          <w:color w:val="auto"/>
          <w:sz w:val="24"/>
          <w:szCs w:val="24"/>
          <w:highlight w:val="none"/>
        </w:rPr>
      </w:pPr>
    </w:p>
    <w:p w14:paraId="65BE79A8">
      <w:pPr>
        <w:pageBreakBefore w:val="0"/>
        <w:kinsoku/>
        <w:wordWrap w:val="0"/>
        <w:overflowPunct/>
        <w:bidi w:val="0"/>
        <w:spacing w:line="360" w:lineRule="auto"/>
        <w:ind w:firstLine="1680" w:firstLineChars="7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投标人：</w:t>
      </w:r>
      <w:r>
        <w:rPr>
          <w:rFonts w:hint="eastAsia" w:ascii="宋体" w:hAnsi="宋体" w:eastAsia="宋体" w:cs="宋体"/>
          <w:b w:val="0"/>
          <w:bCs w:val="0"/>
          <w:color w:val="auto"/>
          <w:sz w:val="24"/>
          <w:szCs w:val="24"/>
          <w:highlight w:val="none"/>
          <w:u w:val="single"/>
        </w:rPr>
        <w:tab/>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(电子签章)</w:t>
      </w:r>
    </w:p>
    <w:p w14:paraId="36FD1DA1">
      <w:pPr>
        <w:pageBreakBefore w:val="0"/>
        <w:kinsoku/>
        <w:wordWrap w:val="0"/>
        <w:overflowPunct/>
        <w:bidi w:val="0"/>
        <w:spacing w:line="360" w:lineRule="auto"/>
        <w:ind w:firstLine="1680" w:firstLineChars="7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法定代表人(单位负责人)或其委托代理人：</w:t>
      </w:r>
      <w:r>
        <w:rPr>
          <w:rFonts w:hint="eastAsia" w:ascii="宋体" w:hAnsi="宋体" w:eastAsia="宋体" w:cs="宋体"/>
          <w:b w:val="0"/>
          <w:bCs w:val="0"/>
          <w:color w:val="auto"/>
          <w:sz w:val="24"/>
          <w:szCs w:val="24"/>
          <w:highlight w:val="none"/>
          <w:u w:val="single"/>
        </w:rPr>
        <w:tab/>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(电子签章)</w:t>
      </w:r>
    </w:p>
    <w:p w14:paraId="4E55E9E2">
      <w:pPr>
        <w:pageBreakBefore w:val="0"/>
        <w:kinsoku/>
        <w:wordWrap w:val="0"/>
        <w:overflowPunct/>
        <w:bidi w:val="0"/>
        <w:spacing w:line="360" w:lineRule="auto"/>
        <w:ind w:firstLine="480" w:firstLineChars="200"/>
        <w:jc w:val="center"/>
        <w:rPr>
          <w:rFonts w:hint="eastAsia" w:ascii="宋体" w:hAnsi="宋体" w:eastAsia="宋体" w:cs="宋体"/>
          <w:color w:val="auto"/>
          <w:sz w:val="24"/>
          <w:szCs w:val="24"/>
          <w:highlight w:val="none"/>
        </w:rPr>
        <w:sectPr>
          <w:pgSz w:w="11906" w:h="16838"/>
          <w:pgMar w:top="1134" w:right="1134" w:bottom="1440" w:left="1361" w:header="850" w:footer="510" w:gutter="0"/>
          <w:pgBorders>
            <w:top w:val="none" w:sz="0" w:space="0"/>
            <w:left w:val="none" w:sz="0" w:space="0"/>
            <w:bottom w:val="none" w:sz="0" w:space="0"/>
            <w:right w:val="none" w:sz="0" w:space="0"/>
          </w:pgBorders>
          <w:pgNumType w:fmt="decimal"/>
          <w:cols w:space="0" w:num="1"/>
          <w:rtlGutter w:val="0"/>
          <w:docGrid w:linePitch="317" w:charSpace="0"/>
        </w:sectPr>
      </w:pPr>
      <w:r>
        <w:rPr>
          <w:rFonts w:hint="eastAsia" w:ascii="宋体" w:hAnsi="宋体" w:eastAsia="宋体" w:cs="宋体"/>
          <w:b w:val="0"/>
          <w:bCs w:val="0"/>
          <w:color w:val="auto"/>
          <w:sz w:val="24"/>
          <w:szCs w:val="24"/>
          <w:highlight w:val="none"/>
        </w:rPr>
        <w:t>日期：</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w:t>
      </w:r>
    </w:p>
    <w:p w14:paraId="29DB86C4">
      <w:pPr>
        <w:pStyle w:val="4"/>
        <w:pageBreakBefore w:val="0"/>
        <w:widowControl/>
        <w:kinsoku/>
        <w:wordWrap w:val="0"/>
        <w:overflowPunct/>
        <w:autoSpaceDE w:val="0"/>
        <w:bidi w:val="0"/>
        <w:spacing w:before="0" w:after="0" w:line="240" w:lineRule="auto"/>
        <w:rPr>
          <w:rFonts w:hint="eastAsia" w:ascii="宋体" w:hAnsi="宋体" w:eastAsia="宋体" w:cs="宋体"/>
          <w:color w:val="auto"/>
          <w:sz w:val="24"/>
          <w:szCs w:val="24"/>
          <w:highlight w:val="none"/>
        </w:rPr>
      </w:pPr>
      <w:bookmarkStart w:id="321" w:name="_Toc27801"/>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、报价表</w:t>
      </w:r>
      <w:bookmarkEnd w:id="321"/>
    </w:p>
    <w:p w14:paraId="41E9D0FE">
      <w:pPr>
        <w:pStyle w:val="18"/>
        <w:pageBreakBefore w:val="0"/>
        <w:kinsoku/>
        <w:wordWrap w:val="0"/>
        <w:overflowPunct/>
        <w:bidi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bl>
      <w:tblPr>
        <w:tblStyle w:val="38"/>
        <w:tblW w:w="9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1"/>
        <w:gridCol w:w="966"/>
        <w:gridCol w:w="1108"/>
        <w:gridCol w:w="1108"/>
        <w:gridCol w:w="1108"/>
        <w:gridCol w:w="1034"/>
        <w:gridCol w:w="1334"/>
        <w:gridCol w:w="1359"/>
      </w:tblGrid>
      <w:tr w14:paraId="7BDE1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371" w:type="dxa"/>
            <w:shd w:val="clear" w:color="000000" w:fill="FFFFFF"/>
            <w:noWrap/>
            <w:vAlign w:val="center"/>
          </w:tcPr>
          <w:p w14:paraId="743C32E9">
            <w:pPr>
              <w:pageBreakBefore w:val="0"/>
              <w:widowControl/>
              <w:kinsoku/>
              <w:wordWrap w:val="0"/>
              <w:overflowPunct/>
              <w:bidi w:val="0"/>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产品</w:t>
            </w:r>
            <w:r>
              <w:rPr>
                <w:rFonts w:hint="eastAsia" w:ascii="宋体" w:hAnsi="宋体" w:eastAsia="宋体" w:cs="宋体"/>
                <w:bCs/>
                <w:color w:val="auto"/>
                <w:kern w:val="0"/>
                <w:sz w:val="24"/>
                <w:szCs w:val="24"/>
                <w:highlight w:val="none"/>
              </w:rPr>
              <w:t>名称</w:t>
            </w:r>
          </w:p>
        </w:tc>
        <w:tc>
          <w:tcPr>
            <w:tcW w:w="966" w:type="dxa"/>
            <w:shd w:val="clear" w:color="000000" w:fill="FFFFFF"/>
            <w:vAlign w:val="center"/>
          </w:tcPr>
          <w:p w14:paraId="22BFB68F">
            <w:pPr>
              <w:pageBreakBefore w:val="0"/>
              <w:widowControl/>
              <w:kinsoku/>
              <w:wordWrap w:val="0"/>
              <w:overflowPunct/>
              <w:bidi w:val="0"/>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品牌</w:t>
            </w:r>
          </w:p>
        </w:tc>
        <w:tc>
          <w:tcPr>
            <w:tcW w:w="1108" w:type="dxa"/>
            <w:shd w:val="clear" w:color="000000" w:fill="FFFFFF"/>
            <w:vAlign w:val="center"/>
          </w:tcPr>
          <w:p w14:paraId="13E30C9F">
            <w:pPr>
              <w:pageBreakBefore w:val="0"/>
              <w:widowControl/>
              <w:kinsoku/>
              <w:wordWrap w:val="0"/>
              <w:overflowPunct/>
              <w:bidi w:val="0"/>
              <w:jc w:val="center"/>
              <w:rPr>
                <w:rFonts w:hint="eastAsia" w:ascii="宋体" w:hAnsi="宋体" w:eastAsia="宋体" w:cs="宋体"/>
                <w:bCs/>
                <w:color w:val="auto"/>
                <w:kern w:val="0"/>
                <w:sz w:val="24"/>
                <w:szCs w:val="24"/>
                <w:highlight w:val="none"/>
                <w:lang w:val="en-US" w:eastAsia="zh-CN"/>
              </w:rPr>
            </w:pPr>
            <w:bookmarkStart w:id="322" w:name="OLE_LINK32"/>
            <w:bookmarkStart w:id="323" w:name="OLE_LINK31"/>
            <w:r>
              <w:rPr>
                <w:rFonts w:hint="eastAsia" w:ascii="宋体" w:hAnsi="宋体" w:eastAsia="宋体" w:cs="宋体"/>
                <w:bCs/>
                <w:color w:val="auto"/>
                <w:kern w:val="0"/>
                <w:sz w:val="24"/>
                <w:szCs w:val="24"/>
                <w:highlight w:val="none"/>
                <w:lang w:val="en-US" w:eastAsia="zh-CN"/>
              </w:rPr>
              <w:t>制造商</w:t>
            </w:r>
          </w:p>
        </w:tc>
        <w:tc>
          <w:tcPr>
            <w:tcW w:w="1108" w:type="dxa"/>
            <w:shd w:val="clear" w:color="000000" w:fill="FFFFFF"/>
            <w:vAlign w:val="center"/>
          </w:tcPr>
          <w:p w14:paraId="38258FEB">
            <w:pPr>
              <w:pageBreakBefore w:val="0"/>
              <w:widowControl/>
              <w:kinsoku/>
              <w:wordWrap w:val="0"/>
              <w:overflowPunct/>
              <w:bidi w:val="0"/>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规格</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型号</w:t>
            </w:r>
            <w:bookmarkEnd w:id="322"/>
            <w:bookmarkEnd w:id="323"/>
          </w:p>
        </w:tc>
        <w:tc>
          <w:tcPr>
            <w:tcW w:w="1108" w:type="dxa"/>
            <w:shd w:val="clear" w:color="000000" w:fill="FFFFFF"/>
            <w:vAlign w:val="center"/>
          </w:tcPr>
          <w:p w14:paraId="21409685">
            <w:pPr>
              <w:pageBreakBefore w:val="0"/>
              <w:widowControl/>
              <w:kinsoku/>
              <w:wordWrap w:val="0"/>
              <w:overflowPunct/>
              <w:bidi w:val="0"/>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数量</w:t>
            </w:r>
          </w:p>
        </w:tc>
        <w:tc>
          <w:tcPr>
            <w:tcW w:w="1034" w:type="dxa"/>
            <w:shd w:val="clear" w:color="000000" w:fill="FFFFFF"/>
            <w:vAlign w:val="center"/>
          </w:tcPr>
          <w:p w14:paraId="5C934EAE">
            <w:pPr>
              <w:pageBreakBefore w:val="0"/>
              <w:widowControl/>
              <w:kinsoku/>
              <w:wordWrap w:val="0"/>
              <w:overflowPunct/>
              <w:bidi w:val="0"/>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国别</w:t>
            </w:r>
          </w:p>
        </w:tc>
        <w:tc>
          <w:tcPr>
            <w:tcW w:w="1334" w:type="dxa"/>
            <w:shd w:val="clear" w:color="000000" w:fill="FFFFFF"/>
            <w:vAlign w:val="center"/>
          </w:tcPr>
          <w:p w14:paraId="08EC9091">
            <w:pPr>
              <w:pageBreakBefore w:val="0"/>
              <w:widowControl/>
              <w:kinsoku/>
              <w:wordWrap w:val="0"/>
              <w:overflowPunct/>
              <w:bidi w:val="0"/>
              <w:jc w:val="center"/>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投标单价（元）</w:t>
            </w:r>
          </w:p>
        </w:tc>
        <w:tc>
          <w:tcPr>
            <w:tcW w:w="1359" w:type="dxa"/>
            <w:shd w:val="clear" w:color="000000" w:fill="FFFFFF"/>
            <w:vAlign w:val="center"/>
          </w:tcPr>
          <w:p w14:paraId="6AF5AF7B">
            <w:pPr>
              <w:pageBreakBefore w:val="0"/>
              <w:widowControl/>
              <w:kinsoku/>
              <w:wordWrap w:val="0"/>
              <w:overflowPunct/>
              <w:bidi w:val="0"/>
              <w:jc w:val="center"/>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投标合价（元）</w:t>
            </w:r>
          </w:p>
        </w:tc>
      </w:tr>
      <w:tr w14:paraId="08EF2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1371" w:type="dxa"/>
            <w:shd w:val="clear" w:color="000000" w:fill="FFFFFF"/>
            <w:noWrap/>
            <w:vAlign w:val="center"/>
          </w:tcPr>
          <w:p w14:paraId="61A7A01E">
            <w:pPr>
              <w:keepNext w:val="0"/>
              <w:keepLines w:val="0"/>
              <w:pageBreakBefore w:val="0"/>
              <w:widowControl/>
              <w:suppressLineNumbers w:val="0"/>
              <w:kinsoku/>
              <w:wordWrap w:val="0"/>
              <w:overflowPunct/>
              <w:bidi w:val="0"/>
              <w:jc w:val="left"/>
              <w:textAlignment w:val="center"/>
              <w:rPr>
                <w:rFonts w:hint="eastAsia" w:ascii="宋体" w:hAnsi="宋体" w:eastAsia="宋体" w:cs="宋体"/>
                <w:bCs/>
                <w:color w:val="auto"/>
                <w:kern w:val="0"/>
                <w:sz w:val="24"/>
                <w:szCs w:val="24"/>
                <w:highlight w:val="none"/>
              </w:rPr>
            </w:pPr>
          </w:p>
        </w:tc>
        <w:tc>
          <w:tcPr>
            <w:tcW w:w="966" w:type="dxa"/>
          </w:tcPr>
          <w:p w14:paraId="393591EA">
            <w:pPr>
              <w:pageBreakBefore w:val="0"/>
              <w:widowControl/>
              <w:kinsoku/>
              <w:wordWrap w:val="0"/>
              <w:overflowPunct/>
              <w:bidi w:val="0"/>
              <w:jc w:val="center"/>
              <w:rPr>
                <w:rFonts w:hint="eastAsia" w:ascii="宋体" w:hAnsi="宋体" w:eastAsia="宋体" w:cs="宋体"/>
                <w:bCs/>
                <w:color w:val="auto"/>
                <w:kern w:val="0"/>
                <w:sz w:val="24"/>
                <w:szCs w:val="24"/>
                <w:highlight w:val="none"/>
              </w:rPr>
            </w:pPr>
          </w:p>
        </w:tc>
        <w:tc>
          <w:tcPr>
            <w:tcW w:w="1108" w:type="dxa"/>
          </w:tcPr>
          <w:p w14:paraId="6B669207">
            <w:pPr>
              <w:pageBreakBefore w:val="0"/>
              <w:widowControl/>
              <w:kinsoku/>
              <w:wordWrap w:val="0"/>
              <w:overflowPunct/>
              <w:bidi w:val="0"/>
              <w:jc w:val="center"/>
              <w:rPr>
                <w:rFonts w:hint="eastAsia" w:ascii="宋体" w:hAnsi="宋体" w:eastAsia="宋体" w:cs="宋体"/>
                <w:color w:val="auto"/>
                <w:kern w:val="0"/>
                <w:sz w:val="24"/>
                <w:szCs w:val="24"/>
                <w:highlight w:val="none"/>
              </w:rPr>
            </w:pPr>
          </w:p>
        </w:tc>
        <w:tc>
          <w:tcPr>
            <w:tcW w:w="1108" w:type="dxa"/>
          </w:tcPr>
          <w:p w14:paraId="04C3B429">
            <w:pPr>
              <w:pageBreakBefore w:val="0"/>
              <w:widowControl/>
              <w:kinsoku/>
              <w:wordWrap w:val="0"/>
              <w:overflowPunct/>
              <w:bidi w:val="0"/>
              <w:jc w:val="center"/>
              <w:rPr>
                <w:rFonts w:hint="eastAsia" w:ascii="宋体" w:hAnsi="宋体" w:eastAsia="宋体" w:cs="宋体"/>
                <w:color w:val="auto"/>
                <w:kern w:val="0"/>
                <w:sz w:val="24"/>
                <w:szCs w:val="24"/>
                <w:highlight w:val="none"/>
              </w:rPr>
            </w:pPr>
          </w:p>
        </w:tc>
        <w:tc>
          <w:tcPr>
            <w:tcW w:w="1108" w:type="dxa"/>
            <w:vAlign w:val="center"/>
          </w:tcPr>
          <w:p w14:paraId="592E0E26">
            <w:pPr>
              <w:pageBreakBefore w:val="0"/>
              <w:widowControl/>
              <w:kinsoku/>
              <w:wordWrap w:val="0"/>
              <w:overflowPunct/>
              <w:bidi w:val="0"/>
              <w:jc w:val="center"/>
              <w:textAlignment w:val="center"/>
              <w:rPr>
                <w:rFonts w:hint="eastAsia" w:ascii="宋体" w:hAnsi="宋体" w:eastAsia="宋体" w:cs="宋体"/>
                <w:color w:val="auto"/>
                <w:kern w:val="0"/>
                <w:sz w:val="24"/>
                <w:szCs w:val="24"/>
                <w:highlight w:val="none"/>
              </w:rPr>
            </w:pPr>
          </w:p>
        </w:tc>
        <w:tc>
          <w:tcPr>
            <w:tcW w:w="1034" w:type="dxa"/>
            <w:vAlign w:val="center"/>
          </w:tcPr>
          <w:p w14:paraId="7DA40F46">
            <w:pPr>
              <w:pageBreakBefore w:val="0"/>
              <w:widowControl/>
              <w:kinsoku/>
              <w:wordWrap w:val="0"/>
              <w:overflowPunct/>
              <w:bidi w:val="0"/>
              <w:jc w:val="center"/>
              <w:textAlignment w:val="center"/>
              <w:rPr>
                <w:rFonts w:hint="eastAsia" w:ascii="宋体" w:hAnsi="宋体" w:eastAsia="宋体" w:cs="宋体"/>
                <w:color w:val="auto"/>
                <w:kern w:val="0"/>
                <w:sz w:val="24"/>
                <w:szCs w:val="24"/>
                <w:highlight w:val="none"/>
              </w:rPr>
            </w:pPr>
          </w:p>
        </w:tc>
        <w:tc>
          <w:tcPr>
            <w:tcW w:w="1334" w:type="dxa"/>
            <w:vAlign w:val="center"/>
          </w:tcPr>
          <w:p w14:paraId="3B4D3B76">
            <w:pPr>
              <w:pageBreakBefore w:val="0"/>
              <w:widowControl/>
              <w:kinsoku/>
              <w:wordWrap w:val="0"/>
              <w:overflowPunct/>
              <w:bidi w:val="0"/>
              <w:jc w:val="center"/>
              <w:rPr>
                <w:rFonts w:hint="eastAsia" w:ascii="宋体" w:hAnsi="宋体" w:eastAsia="宋体" w:cs="宋体"/>
                <w:color w:val="auto"/>
                <w:kern w:val="0"/>
                <w:sz w:val="24"/>
                <w:szCs w:val="24"/>
                <w:highlight w:val="none"/>
              </w:rPr>
            </w:pPr>
          </w:p>
        </w:tc>
        <w:tc>
          <w:tcPr>
            <w:tcW w:w="1359" w:type="dxa"/>
            <w:vAlign w:val="center"/>
          </w:tcPr>
          <w:p w14:paraId="23488E05">
            <w:pPr>
              <w:pageBreakBefore w:val="0"/>
              <w:widowControl/>
              <w:kinsoku/>
              <w:wordWrap w:val="0"/>
              <w:overflowPunct/>
              <w:bidi w:val="0"/>
              <w:jc w:val="center"/>
              <w:rPr>
                <w:rFonts w:hint="eastAsia" w:ascii="宋体" w:hAnsi="宋体" w:eastAsia="宋体" w:cs="宋体"/>
                <w:color w:val="auto"/>
                <w:kern w:val="0"/>
                <w:sz w:val="24"/>
                <w:szCs w:val="24"/>
                <w:highlight w:val="none"/>
              </w:rPr>
            </w:pPr>
          </w:p>
        </w:tc>
      </w:tr>
      <w:tr w14:paraId="0393B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1371" w:type="dxa"/>
            <w:shd w:val="clear" w:color="000000" w:fill="FFFFFF"/>
            <w:noWrap/>
            <w:vAlign w:val="center"/>
          </w:tcPr>
          <w:p w14:paraId="2B7AC774">
            <w:pPr>
              <w:keepNext w:val="0"/>
              <w:keepLines w:val="0"/>
              <w:pageBreakBefore w:val="0"/>
              <w:widowControl/>
              <w:suppressLineNumbers w:val="0"/>
              <w:kinsoku/>
              <w:wordWrap w:val="0"/>
              <w:overflowPunct/>
              <w:bidi w:val="0"/>
              <w:jc w:val="left"/>
              <w:textAlignment w:val="center"/>
              <w:rPr>
                <w:rFonts w:hint="eastAsia" w:ascii="宋体" w:hAnsi="宋体" w:eastAsia="宋体" w:cs="宋体"/>
                <w:bCs/>
                <w:color w:val="auto"/>
                <w:kern w:val="0"/>
                <w:sz w:val="24"/>
                <w:szCs w:val="24"/>
                <w:highlight w:val="none"/>
              </w:rPr>
            </w:pPr>
          </w:p>
        </w:tc>
        <w:tc>
          <w:tcPr>
            <w:tcW w:w="966" w:type="dxa"/>
          </w:tcPr>
          <w:p w14:paraId="362E3C0E">
            <w:pPr>
              <w:pageBreakBefore w:val="0"/>
              <w:widowControl/>
              <w:kinsoku/>
              <w:wordWrap w:val="0"/>
              <w:overflowPunct/>
              <w:bidi w:val="0"/>
              <w:jc w:val="center"/>
              <w:rPr>
                <w:rFonts w:hint="eastAsia" w:ascii="宋体" w:hAnsi="宋体" w:eastAsia="宋体" w:cs="宋体"/>
                <w:bCs/>
                <w:color w:val="auto"/>
                <w:kern w:val="0"/>
                <w:sz w:val="24"/>
                <w:szCs w:val="24"/>
                <w:highlight w:val="none"/>
              </w:rPr>
            </w:pPr>
          </w:p>
        </w:tc>
        <w:tc>
          <w:tcPr>
            <w:tcW w:w="1108" w:type="dxa"/>
          </w:tcPr>
          <w:p w14:paraId="6D7A0D6F">
            <w:pPr>
              <w:pageBreakBefore w:val="0"/>
              <w:widowControl/>
              <w:kinsoku/>
              <w:wordWrap w:val="0"/>
              <w:overflowPunct/>
              <w:bidi w:val="0"/>
              <w:jc w:val="center"/>
              <w:rPr>
                <w:rFonts w:hint="eastAsia" w:ascii="宋体" w:hAnsi="宋体" w:eastAsia="宋体" w:cs="宋体"/>
                <w:color w:val="auto"/>
                <w:kern w:val="0"/>
                <w:sz w:val="24"/>
                <w:szCs w:val="24"/>
                <w:highlight w:val="none"/>
              </w:rPr>
            </w:pPr>
          </w:p>
        </w:tc>
        <w:tc>
          <w:tcPr>
            <w:tcW w:w="1108" w:type="dxa"/>
          </w:tcPr>
          <w:p w14:paraId="5F424644">
            <w:pPr>
              <w:pageBreakBefore w:val="0"/>
              <w:widowControl/>
              <w:kinsoku/>
              <w:wordWrap w:val="0"/>
              <w:overflowPunct/>
              <w:bidi w:val="0"/>
              <w:jc w:val="center"/>
              <w:rPr>
                <w:rFonts w:hint="eastAsia" w:ascii="宋体" w:hAnsi="宋体" w:eastAsia="宋体" w:cs="宋体"/>
                <w:color w:val="auto"/>
                <w:kern w:val="0"/>
                <w:sz w:val="24"/>
                <w:szCs w:val="24"/>
                <w:highlight w:val="none"/>
              </w:rPr>
            </w:pPr>
          </w:p>
        </w:tc>
        <w:tc>
          <w:tcPr>
            <w:tcW w:w="1108" w:type="dxa"/>
            <w:vAlign w:val="center"/>
          </w:tcPr>
          <w:p w14:paraId="59469DDB">
            <w:pPr>
              <w:pageBreakBefore w:val="0"/>
              <w:widowControl/>
              <w:kinsoku/>
              <w:wordWrap w:val="0"/>
              <w:overflowPunct/>
              <w:bidi w:val="0"/>
              <w:jc w:val="center"/>
              <w:textAlignment w:val="center"/>
              <w:rPr>
                <w:rFonts w:hint="eastAsia" w:ascii="宋体" w:hAnsi="宋体" w:eastAsia="宋体" w:cs="宋体"/>
                <w:color w:val="auto"/>
                <w:kern w:val="0"/>
                <w:sz w:val="24"/>
                <w:szCs w:val="24"/>
                <w:highlight w:val="none"/>
              </w:rPr>
            </w:pPr>
          </w:p>
        </w:tc>
        <w:tc>
          <w:tcPr>
            <w:tcW w:w="1034" w:type="dxa"/>
            <w:vAlign w:val="center"/>
          </w:tcPr>
          <w:p w14:paraId="3AC5085A">
            <w:pPr>
              <w:pageBreakBefore w:val="0"/>
              <w:widowControl/>
              <w:kinsoku/>
              <w:wordWrap w:val="0"/>
              <w:overflowPunct/>
              <w:bidi w:val="0"/>
              <w:jc w:val="center"/>
              <w:textAlignment w:val="center"/>
              <w:rPr>
                <w:rFonts w:hint="eastAsia" w:ascii="宋体" w:hAnsi="宋体" w:eastAsia="宋体" w:cs="宋体"/>
                <w:color w:val="auto"/>
                <w:kern w:val="0"/>
                <w:sz w:val="24"/>
                <w:szCs w:val="24"/>
                <w:highlight w:val="none"/>
              </w:rPr>
            </w:pPr>
          </w:p>
        </w:tc>
        <w:tc>
          <w:tcPr>
            <w:tcW w:w="1334" w:type="dxa"/>
            <w:vAlign w:val="center"/>
          </w:tcPr>
          <w:p w14:paraId="360493EF">
            <w:pPr>
              <w:pageBreakBefore w:val="0"/>
              <w:widowControl/>
              <w:kinsoku/>
              <w:wordWrap w:val="0"/>
              <w:overflowPunct/>
              <w:bidi w:val="0"/>
              <w:jc w:val="center"/>
              <w:rPr>
                <w:rFonts w:hint="eastAsia" w:ascii="宋体" w:hAnsi="宋体" w:eastAsia="宋体" w:cs="宋体"/>
                <w:color w:val="auto"/>
                <w:kern w:val="0"/>
                <w:sz w:val="24"/>
                <w:szCs w:val="24"/>
                <w:highlight w:val="none"/>
              </w:rPr>
            </w:pPr>
          </w:p>
        </w:tc>
        <w:tc>
          <w:tcPr>
            <w:tcW w:w="1359" w:type="dxa"/>
            <w:vAlign w:val="center"/>
          </w:tcPr>
          <w:p w14:paraId="59C661ED">
            <w:pPr>
              <w:pageBreakBefore w:val="0"/>
              <w:widowControl/>
              <w:kinsoku/>
              <w:wordWrap w:val="0"/>
              <w:overflowPunct/>
              <w:bidi w:val="0"/>
              <w:jc w:val="center"/>
              <w:rPr>
                <w:rFonts w:hint="eastAsia" w:ascii="宋体" w:hAnsi="宋体" w:eastAsia="宋体" w:cs="宋体"/>
                <w:color w:val="auto"/>
                <w:kern w:val="0"/>
                <w:sz w:val="24"/>
                <w:szCs w:val="24"/>
                <w:highlight w:val="none"/>
              </w:rPr>
            </w:pPr>
          </w:p>
        </w:tc>
      </w:tr>
      <w:tr w14:paraId="626CF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1371" w:type="dxa"/>
            <w:shd w:val="clear" w:color="000000" w:fill="FFFFFF"/>
            <w:noWrap/>
            <w:vAlign w:val="center"/>
          </w:tcPr>
          <w:p w14:paraId="3D1F6E2A">
            <w:pPr>
              <w:keepNext w:val="0"/>
              <w:keepLines w:val="0"/>
              <w:pageBreakBefore w:val="0"/>
              <w:widowControl/>
              <w:suppressLineNumbers w:val="0"/>
              <w:kinsoku/>
              <w:wordWrap w:val="0"/>
              <w:overflowPunct/>
              <w:bidi w:val="0"/>
              <w:jc w:val="left"/>
              <w:textAlignment w:val="center"/>
              <w:rPr>
                <w:rFonts w:hint="eastAsia" w:ascii="宋体" w:hAnsi="宋体" w:eastAsia="宋体" w:cs="宋体"/>
                <w:bCs/>
                <w:color w:val="auto"/>
                <w:kern w:val="0"/>
                <w:sz w:val="24"/>
                <w:szCs w:val="24"/>
                <w:highlight w:val="none"/>
              </w:rPr>
            </w:pPr>
          </w:p>
        </w:tc>
        <w:tc>
          <w:tcPr>
            <w:tcW w:w="966" w:type="dxa"/>
          </w:tcPr>
          <w:p w14:paraId="4CDD2661">
            <w:pPr>
              <w:pageBreakBefore w:val="0"/>
              <w:widowControl/>
              <w:kinsoku/>
              <w:wordWrap w:val="0"/>
              <w:overflowPunct/>
              <w:bidi w:val="0"/>
              <w:jc w:val="center"/>
              <w:rPr>
                <w:rFonts w:hint="eastAsia" w:ascii="宋体" w:hAnsi="宋体" w:eastAsia="宋体" w:cs="宋体"/>
                <w:bCs/>
                <w:color w:val="auto"/>
                <w:kern w:val="0"/>
                <w:sz w:val="24"/>
                <w:szCs w:val="24"/>
                <w:highlight w:val="none"/>
              </w:rPr>
            </w:pPr>
          </w:p>
        </w:tc>
        <w:tc>
          <w:tcPr>
            <w:tcW w:w="1108" w:type="dxa"/>
          </w:tcPr>
          <w:p w14:paraId="251E870D">
            <w:pPr>
              <w:pageBreakBefore w:val="0"/>
              <w:widowControl/>
              <w:kinsoku/>
              <w:wordWrap w:val="0"/>
              <w:overflowPunct/>
              <w:bidi w:val="0"/>
              <w:jc w:val="center"/>
              <w:rPr>
                <w:rFonts w:hint="eastAsia" w:ascii="宋体" w:hAnsi="宋体" w:eastAsia="宋体" w:cs="宋体"/>
                <w:color w:val="auto"/>
                <w:kern w:val="0"/>
                <w:sz w:val="24"/>
                <w:szCs w:val="24"/>
                <w:highlight w:val="none"/>
              </w:rPr>
            </w:pPr>
          </w:p>
        </w:tc>
        <w:tc>
          <w:tcPr>
            <w:tcW w:w="1108" w:type="dxa"/>
          </w:tcPr>
          <w:p w14:paraId="633B4C66">
            <w:pPr>
              <w:pageBreakBefore w:val="0"/>
              <w:widowControl/>
              <w:kinsoku/>
              <w:wordWrap w:val="0"/>
              <w:overflowPunct/>
              <w:bidi w:val="0"/>
              <w:jc w:val="center"/>
              <w:rPr>
                <w:rFonts w:hint="eastAsia" w:ascii="宋体" w:hAnsi="宋体" w:eastAsia="宋体" w:cs="宋体"/>
                <w:color w:val="auto"/>
                <w:kern w:val="0"/>
                <w:sz w:val="24"/>
                <w:szCs w:val="24"/>
                <w:highlight w:val="none"/>
              </w:rPr>
            </w:pPr>
          </w:p>
        </w:tc>
        <w:tc>
          <w:tcPr>
            <w:tcW w:w="1108" w:type="dxa"/>
            <w:vAlign w:val="center"/>
          </w:tcPr>
          <w:p w14:paraId="725B0AE8">
            <w:pPr>
              <w:pageBreakBefore w:val="0"/>
              <w:widowControl/>
              <w:kinsoku/>
              <w:wordWrap w:val="0"/>
              <w:overflowPunct/>
              <w:bidi w:val="0"/>
              <w:jc w:val="center"/>
              <w:textAlignment w:val="center"/>
              <w:rPr>
                <w:rFonts w:hint="eastAsia" w:ascii="宋体" w:hAnsi="宋体" w:eastAsia="宋体" w:cs="宋体"/>
                <w:color w:val="auto"/>
                <w:kern w:val="0"/>
                <w:sz w:val="24"/>
                <w:szCs w:val="24"/>
                <w:highlight w:val="none"/>
              </w:rPr>
            </w:pPr>
          </w:p>
        </w:tc>
        <w:tc>
          <w:tcPr>
            <w:tcW w:w="1034" w:type="dxa"/>
            <w:vAlign w:val="center"/>
          </w:tcPr>
          <w:p w14:paraId="582E040C">
            <w:pPr>
              <w:pageBreakBefore w:val="0"/>
              <w:widowControl/>
              <w:kinsoku/>
              <w:wordWrap w:val="0"/>
              <w:overflowPunct/>
              <w:bidi w:val="0"/>
              <w:jc w:val="center"/>
              <w:textAlignment w:val="center"/>
              <w:rPr>
                <w:rFonts w:hint="eastAsia" w:ascii="宋体" w:hAnsi="宋体" w:eastAsia="宋体" w:cs="宋体"/>
                <w:color w:val="auto"/>
                <w:kern w:val="0"/>
                <w:sz w:val="24"/>
                <w:szCs w:val="24"/>
                <w:highlight w:val="none"/>
              </w:rPr>
            </w:pPr>
          </w:p>
        </w:tc>
        <w:tc>
          <w:tcPr>
            <w:tcW w:w="1334" w:type="dxa"/>
            <w:vAlign w:val="center"/>
          </w:tcPr>
          <w:p w14:paraId="7D48F11B">
            <w:pPr>
              <w:pageBreakBefore w:val="0"/>
              <w:widowControl/>
              <w:kinsoku/>
              <w:wordWrap w:val="0"/>
              <w:overflowPunct/>
              <w:bidi w:val="0"/>
              <w:jc w:val="center"/>
              <w:rPr>
                <w:rFonts w:hint="eastAsia" w:ascii="宋体" w:hAnsi="宋体" w:eastAsia="宋体" w:cs="宋体"/>
                <w:color w:val="auto"/>
                <w:kern w:val="0"/>
                <w:sz w:val="24"/>
                <w:szCs w:val="24"/>
                <w:highlight w:val="none"/>
              </w:rPr>
            </w:pPr>
          </w:p>
        </w:tc>
        <w:tc>
          <w:tcPr>
            <w:tcW w:w="1359" w:type="dxa"/>
            <w:vAlign w:val="center"/>
          </w:tcPr>
          <w:p w14:paraId="093476FC">
            <w:pPr>
              <w:pageBreakBefore w:val="0"/>
              <w:widowControl/>
              <w:kinsoku/>
              <w:wordWrap w:val="0"/>
              <w:overflowPunct/>
              <w:bidi w:val="0"/>
              <w:jc w:val="center"/>
              <w:rPr>
                <w:rFonts w:hint="eastAsia" w:ascii="宋体" w:hAnsi="宋体" w:eastAsia="宋体" w:cs="宋体"/>
                <w:color w:val="auto"/>
                <w:kern w:val="0"/>
                <w:sz w:val="24"/>
                <w:szCs w:val="24"/>
                <w:highlight w:val="none"/>
              </w:rPr>
            </w:pPr>
          </w:p>
        </w:tc>
      </w:tr>
      <w:tr w14:paraId="16690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9388" w:type="dxa"/>
            <w:gridSpan w:val="8"/>
            <w:shd w:val="clear" w:color="000000" w:fill="FFFFFF"/>
            <w:noWrap/>
            <w:vAlign w:val="center"/>
          </w:tcPr>
          <w:p w14:paraId="0512C2B2">
            <w:pPr>
              <w:pageBreakBefore w:val="0"/>
              <w:widowControl/>
              <w:kinsoku/>
              <w:wordWrap w:val="0"/>
              <w:overflowPunct/>
              <w:bidi w:val="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合计总价：</w:t>
            </w:r>
          </w:p>
        </w:tc>
      </w:tr>
    </w:tbl>
    <w:p w14:paraId="5AE3666A">
      <w:pPr>
        <w:pageBreakBefore w:val="0"/>
        <w:kinsoku/>
        <w:wordWrap w:val="0"/>
        <w:overflowPunct/>
        <w:bidi w:val="0"/>
        <w:spacing w:line="276" w:lineRule="auto"/>
        <w:ind w:firstLine="480" w:firstLineChars="200"/>
        <w:rPr>
          <w:rFonts w:hint="eastAsia" w:ascii="宋体" w:hAnsi="宋体" w:eastAsia="宋体" w:cs="宋体"/>
          <w:color w:val="auto"/>
          <w:sz w:val="24"/>
          <w:highlight w:val="none"/>
        </w:rPr>
      </w:pPr>
    </w:p>
    <w:p w14:paraId="614514C3">
      <w:pPr>
        <w:pageBreakBefore w:val="0"/>
        <w:kinsoku/>
        <w:wordWrap w:val="0"/>
        <w:overflowPunct/>
        <w:bidi w:val="0"/>
        <w:spacing w:line="27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4F9E2262">
      <w:pPr>
        <w:pageBreakBefore w:val="0"/>
        <w:kinsoku/>
        <w:wordWrap w:val="0"/>
        <w:overflowPunct/>
        <w:bidi w:val="0"/>
        <w:spacing w:line="276"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（1）“合计总价”金额应等于开标一览表中“投标总价”</w:t>
      </w:r>
      <w:r>
        <w:rPr>
          <w:rFonts w:hint="eastAsia" w:ascii="宋体" w:hAnsi="宋体" w:eastAsia="宋体" w:cs="宋体"/>
          <w:color w:val="auto"/>
          <w:sz w:val="24"/>
          <w:highlight w:val="none"/>
          <w:lang w:eastAsia="zh-CN"/>
        </w:rPr>
        <w:t>。</w:t>
      </w:r>
    </w:p>
    <w:p w14:paraId="6DA3064B">
      <w:pPr>
        <w:pageBreakBefore w:val="0"/>
        <w:kinsoku/>
        <w:wordWrap w:val="0"/>
        <w:overflowPunct/>
        <w:bidi w:val="0"/>
        <w:spacing w:line="27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）本表投标人可根据需要进行适当扩展。</w:t>
      </w:r>
    </w:p>
    <w:p w14:paraId="2AEBD8AA">
      <w:pPr>
        <w:pageBreakBefore w:val="0"/>
        <w:kinsoku/>
        <w:wordWrap w:val="0"/>
        <w:overflowPunct/>
        <w:bidi w:val="0"/>
        <w:ind w:firstLine="1440" w:firstLineChars="600"/>
        <w:rPr>
          <w:rFonts w:hint="eastAsia" w:ascii="宋体" w:hAnsi="宋体" w:eastAsia="宋体" w:cs="宋体"/>
          <w:b w:val="0"/>
          <w:bCs/>
          <w:color w:val="auto"/>
          <w:sz w:val="24"/>
          <w:szCs w:val="24"/>
          <w:highlight w:val="none"/>
        </w:rPr>
      </w:pPr>
    </w:p>
    <w:p w14:paraId="55DD3E6E">
      <w:pPr>
        <w:pageBreakBefore w:val="0"/>
        <w:kinsoku/>
        <w:wordWrap w:val="0"/>
        <w:overflowPunct/>
        <w:bidi w:val="0"/>
        <w:rPr>
          <w:rFonts w:hint="eastAsia" w:ascii="宋体" w:hAnsi="宋体" w:eastAsia="宋体" w:cs="宋体"/>
          <w:color w:val="auto"/>
          <w:sz w:val="24"/>
          <w:szCs w:val="24"/>
          <w:highlight w:val="none"/>
        </w:rPr>
      </w:pPr>
    </w:p>
    <w:p w14:paraId="098967AA">
      <w:pPr>
        <w:pageBreakBefore w:val="0"/>
        <w:kinsoku/>
        <w:wordWrap w:val="0"/>
        <w:overflowPunct/>
        <w:bidi w:val="0"/>
        <w:ind w:firstLine="1440" w:firstLineChars="600"/>
        <w:rPr>
          <w:rFonts w:hint="eastAsia" w:ascii="宋体" w:hAnsi="宋体" w:eastAsia="宋体" w:cs="宋体"/>
          <w:b w:val="0"/>
          <w:bCs/>
          <w:color w:val="auto"/>
          <w:sz w:val="24"/>
          <w:szCs w:val="24"/>
          <w:highlight w:val="none"/>
        </w:rPr>
      </w:pPr>
    </w:p>
    <w:p w14:paraId="315237E4">
      <w:pPr>
        <w:pageBreakBefore w:val="0"/>
        <w:kinsoku/>
        <w:wordWrap w:val="0"/>
        <w:overflowPunct/>
        <w:bidi w:val="0"/>
        <w:ind w:firstLine="1440" w:firstLineChars="6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投标人：</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(电子签章)</w:t>
      </w:r>
    </w:p>
    <w:p w14:paraId="216FCCA2">
      <w:pPr>
        <w:pageBreakBefore w:val="0"/>
        <w:kinsoku/>
        <w:wordWrap w:val="0"/>
        <w:overflowPunct/>
        <w:bidi w:val="0"/>
        <w:ind w:firstLine="1440" w:firstLineChars="6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法定代表人(单位负责人)或其委托代理人：</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(电子签章)</w:t>
      </w:r>
    </w:p>
    <w:p w14:paraId="4C6C2B50">
      <w:pPr>
        <w:pageBreakBefore w:val="0"/>
        <w:kinsoku/>
        <w:wordWrap w:val="0"/>
        <w:overflowPunct/>
        <w:bidi w:val="0"/>
        <w:ind w:firstLine="1440" w:firstLineChars="600"/>
        <w:rPr>
          <w:rFonts w:hint="eastAsia" w:ascii="宋体" w:hAnsi="宋体" w:eastAsia="宋体" w:cs="宋体"/>
          <w:b w:val="0"/>
          <w:bCs/>
          <w:color w:val="auto"/>
          <w:sz w:val="24"/>
          <w:szCs w:val="24"/>
          <w:highlight w:val="none"/>
        </w:rPr>
        <w:sectPr>
          <w:headerReference r:id="rId17" w:type="default"/>
          <w:footerReference r:id="rId18" w:type="default"/>
          <w:pgSz w:w="11906" w:h="16838"/>
          <w:pgMar w:top="1134" w:right="1134" w:bottom="1440" w:left="1361" w:header="850" w:footer="510" w:gutter="0"/>
          <w:pgBorders>
            <w:top w:val="none" w:sz="0" w:space="0"/>
            <w:left w:val="none" w:sz="0" w:space="0"/>
            <w:bottom w:val="none" w:sz="0" w:space="0"/>
            <w:right w:val="none" w:sz="0" w:space="0"/>
          </w:pgBorders>
          <w:pgNumType w:fmt="decimal"/>
          <w:cols w:space="0" w:num="1"/>
          <w:rtlGutter w:val="0"/>
          <w:docGrid w:linePitch="317" w:charSpace="0"/>
        </w:sectPr>
      </w:pPr>
      <w:r>
        <w:rPr>
          <w:rFonts w:hint="eastAsia" w:ascii="宋体" w:hAnsi="宋体" w:eastAsia="宋体" w:cs="宋体"/>
          <w:b w:val="0"/>
          <w:bCs/>
          <w:color w:val="auto"/>
          <w:sz w:val="24"/>
          <w:szCs w:val="24"/>
          <w:highlight w:val="none"/>
        </w:rPr>
        <w:t>日期：</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日</w:t>
      </w:r>
    </w:p>
    <w:p w14:paraId="2CB4B9AB">
      <w:pPr>
        <w:pStyle w:val="4"/>
        <w:pageBreakBefore w:val="0"/>
        <w:kinsoku/>
        <w:wordWrap w:val="0"/>
        <w:overflowPunct/>
        <w:bidi w:val="0"/>
        <w:rPr>
          <w:rFonts w:hint="eastAsia" w:ascii="宋体" w:hAnsi="宋体" w:eastAsia="宋体" w:cs="宋体"/>
          <w:color w:val="auto"/>
          <w:sz w:val="24"/>
          <w:szCs w:val="24"/>
          <w:highlight w:val="none"/>
          <w:lang w:val="en-US"/>
        </w:rPr>
      </w:pPr>
      <w:bookmarkStart w:id="324" w:name="_Toc17555"/>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lang w:val="en-US"/>
        </w:rPr>
        <w:t>要求</w:t>
      </w:r>
      <w:bookmarkEnd w:id="324"/>
    </w:p>
    <w:p w14:paraId="39375FC6">
      <w:pPr>
        <w:pageBreakBefore w:val="0"/>
        <w:widowControl/>
        <w:kinsoku/>
        <w:wordWrap w:val="0"/>
        <w:overflowPunct/>
        <w:bidi w:val="0"/>
        <w:jc w:val="left"/>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1、投标人认为需要提供的其他资料</w:t>
      </w:r>
    </w:p>
    <w:p w14:paraId="030D7A49">
      <w:pPr>
        <w:pageBreakBefore w:val="0"/>
        <w:widowControl/>
        <w:kinsoku/>
        <w:wordWrap w:val="0"/>
        <w:overflowPunct/>
        <w:bidi w:val="0"/>
        <w:jc w:val="left"/>
        <w:rPr>
          <w:rFonts w:hint="eastAsia" w:ascii="宋体" w:hAnsi="宋体" w:eastAsia="宋体" w:cs="宋体"/>
          <w:bCs/>
          <w:color w:val="auto"/>
          <w:kern w:val="0"/>
          <w:sz w:val="24"/>
          <w:szCs w:val="24"/>
          <w:highlight w:val="none"/>
          <w:lang w:val="en-US" w:eastAsia="zh-CN"/>
        </w:rPr>
      </w:pPr>
    </w:p>
    <w:p w14:paraId="245186B9">
      <w:pPr>
        <w:pageBreakBefore w:val="0"/>
        <w:widowControl/>
        <w:kinsoku/>
        <w:wordWrap w:val="0"/>
        <w:overflowPunct/>
        <w:bidi w:val="0"/>
        <w:jc w:val="left"/>
        <w:rPr>
          <w:rFonts w:hint="default" w:ascii="宋体" w:hAnsi="宋体" w:eastAsia="宋体" w:cs="宋体"/>
          <w:b/>
          <w:bCs w:val="0"/>
          <w:color w:val="auto"/>
          <w:kern w:val="0"/>
          <w:sz w:val="24"/>
          <w:szCs w:val="24"/>
          <w:highlight w:val="none"/>
          <w:lang w:val="en-US" w:eastAsia="zh-CN"/>
        </w:rPr>
      </w:pPr>
      <w:r>
        <w:rPr>
          <w:rFonts w:hint="eastAsia" w:ascii="宋体" w:hAnsi="宋体" w:eastAsia="宋体" w:cs="宋体"/>
          <w:b/>
          <w:bCs w:val="0"/>
          <w:color w:val="auto"/>
          <w:kern w:val="0"/>
          <w:sz w:val="24"/>
          <w:szCs w:val="24"/>
          <w:highlight w:val="none"/>
          <w:lang w:val="en-US" w:eastAsia="zh-CN"/>
        </w:rPr>
        <w:t>2、属于《投标人须知前附表》12.9第3项情形，投标人可以在此一并提交相关书面说明及必要的证明</w:t>
      </w:r>
    </w:p>
    <w:p w14:paraId="51A1C870">
      <w:pPr>
        <w:pageBreakBefore w:val="0"/>
        <w:kinsoku/>
        <w:wordWrap w:val="0"/>
        <w:overflowPunct/>
        <w:bidi w:val="0"/>
        <w:jc w:val="center"/>
        <w:rPr>
          <w:rFonts w:hint="eastAsia" w:ascii="宋体" w:hAnsi="宋体" w:eastAsia="宋体" w:cs="宋体"/>
          <w:b/>
          <w:bCs/>
          <w:color w:val="auto"/>
          <w:sz w:val="36"/>
          <w:szCs w:val="36"/>
          <w:highlight w:val="none"/>
          <w:u w:val="single"/>
          <w:lang w:eastAsia="zh-CN"/>
        </w:rPr>
      </w:pPr>
    </w:p>
    <w:p w14:paraId="7741E92D">
      <w:pPr>
        <w:rPr>
          <w:rFonts w:hint="eastAsia" w:ascii="宋体" w:hAnsi="宋体" w:cs="宋体"/>
          <w:b/>
          <w:bCs/>
          <w:color w:val="auto"/>
          <w:sz w:val="36"/>
          <w:szCs w:val="36"/>
          <w:highlight w:val="none"/>
          <w:u w:val="single"/>
          <w:lang w:eastAsia="zh-CN"/>
        </w:rPr>
      </w:pPr>
      <w:r>
        <w:rPr>
          <w:rFonts w:hint="eastAsia" w:ascii="宋体" w:hAnsi="宋体" w:cs="宋体"/>
          <w:b/>
          <w:bCs/>
          <w:color w:val="auto"/>
          <w:sz w:val="36"/>
          <w:szCs w:val="36"/>
          <w:highlight w:val="none"/>
          <w:u w:val="single"/>
          <w:lang w:eastAsia="zh-CN"/>
        </w:rPr>
        <w:br w:type="page"/>
      </w:r>
    </w:p>
    <w:p w14:paraId="042CDD59">
      <w:pPr>
        <w:pageBreakBefore w:val="0"/>
        <w:kinsoku/>
        <w:wordWrap w:val="0"/>
        <w:overflowPunct/>
        <w:bidi w:val="0"/>
        <w:jc w:val="center"/>
        <w:rPr>
          <w:rFonts w:hint="eastAsia" w:ascii="宋体" w:hAnsi="宋体" w:eastAsia="宋体" w:cs="宋体"/>
          <w:b/>
          <w:bCs/>
          <w:color w:val="auto"/>
          <w:sz w:val="36"/>
          <w:szCs w:val="36"/>
          <w:highlight w:val="none"/>
          <w:u w:val="single"/>
          <w:lang w:eastAsia="zh-CN"/>
        </w:rPr>
      </w:pPr>
      <w:r>
        <w:rPr>
          <w:rFonts w:hint="eastAsia" w:ascii="宋体" w:hAnsi="宋体" w:cs="宋体"/>
          <w:b/>
          <w:bCs/>
          <w:color w:val="auto"/>
          <w:sz w:val="36"/>
          <w:szCs w:val="36"/>
          <w:highlight w:val="none"/>
          <w:u w:val="single"/>
          <w:lang w:eastAsia="zh-CN"/>
        </w:rPr>
        <w:t>芒市海关进境食用水生动物实验室检测能力提升项目实验室仪器设备采购</w:t>
      </w:r>
    </w:p>
    <w:p w14:paraId="09345BB8">
      <w:pPr>
        <w:pageBreakBefore w:val="0"/>
        <w:kinsoku/>
        <w:wordWrap w:val="0"/>
        <w:overflowPunct/>
        <w:bidi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07222CEA">
      <w:pPr>
        <w:pageBreakBefore w:val="0"/>
        <w:kinsoku/>
        <w:wordWrap w:val="0"/>
        <w:overflowPunct/>
        <w:bidi w:val="0"/>
        <w:jc w:val="center"/>
        <w:rPr>
          <w:rFonts w:hint="eastAsia" w:ascii="宋体" w:hAnsi="宋体" w:eastAsia="宋体" w:cs="宋体"/>
          <w:b/>
          <w:bCs/>
          <w:color w:val="auto"/>
          <w:sz w:val="24"/>
          <w:szCs w:val="24"/>
          <w:highlight w:val="none"/>
        </w:rPr>
      </w:pPr>
    </w:p>
    <w:p w14:paraId="4B8134FF">
      <w:pPr>
        <w:pageBreakBefore w:val="0"/>
        <w:kinsoku/>
        <w:wordWrap w:val="0"/>
        <w:overflowPunct/>
        <w:bidi w:val="0"/>
        <w:jc w:val="center"/>
        <w:rPr>
          <w:rFonts w:hint="eastAsia" w:ascii="宋体" w:hAnsi="宋体" w:eastAsia="宋体" w:cs="宋体"/>
          <w:b/>
          <w:bCs/>
          <w:color w:val="auto"/>
          <w:sz w:val="24"/>
          <w:szCs w:val="24"/>
          <w:highlight w:val="none"/>
        </w:rPr>
      </w:pPr>
    </w:p>
    <w:p w14:paraId="7A65C08D">
      <w:pPr>
        <w:pageBreakBefore w:val="0"/>
        <w:kinsoku/>
        <w:wordWrap w:val="0"/>
        <w:overflowPunct/>
        <w:bidi w:val="0"/>
        <w:jc w:val="center"/>
        <w:rPr>
          <w:rFonts w:hint="eastAsia" w:ascii="宋体" w:hAnsi="宋体" w:eastAsia="宋体" w:cs="宋体"/>
          <w:b/>
          <w:bCs/>
          <w:color w:val="auto"/>
          <w:sz w:val="24"/>
          <w:szCs w:val="24"/>
          <w:highlight w:val="none"/>
        </w:rPr>
      </w:pPr>
    </w:p>
    <w:p w14:paraId="1123D122">
      <w:pPr>
        <w:pageBreakBefore w:val="0"/>
        <w:kinsoku/>
        <w:wordWrap w:val="0"/>
        <w:overflowPunct/>
        <w:bidi w:val="0"/>
        <w:jc w:val="center"/>
        <w:rPr>
          <w:rFonts w:hint="eastAsia" w:ascii="宋体" w:hAnsi="宋体" w:eastAsia="宋体" w:cs="宋体"/>
          <w:b/>
          <w:bCs/>
          <w:color w:val="auto"/>
          <w:sz w:val="24"/>
          <w:szCs w:val="24"/>
          <w:highlight w:val="none"/>
        </w:rPr>
      </w:pPr>
    </w:p>
    <w:p w14:paraId="3503CBBD">
      <w:pPr>
        <w:pageBreakBefore w:val="0"/>
        <w:kinsoku/>
        <w:wordWrap w:val="0"/>
        <w:overflowPunct/>
        <w:bidi w:val="0"/>
        <w:jc w:val="center"/>
        <w:rPr>
          <w:rFonts w:hint="eastAsia" w:ascii="宋体" w:hAnsi="宋体" w:eastAsia="宋体" w:cs="宋体"/>
          <w:b/>
          <w:bCs/>
          <w:color w:val="auto"/>
          <w:sz w:val="24"/>
          <w:szCs w:val="24"/>
          <w:highlight w:val="none"/>
        </w:rPr>
      </w:pPr>
    </w:p>
    <w:p w14:paraId="694E9681">
      <w:pPr>
        <w:pageBreakBefore w:val="0"/>
        <w:kinsoku/>
        <w:wordWrap w:val="0"/>
        <w:overflowPunct/>
        <w:bidi w:val="0"/>
        <w:jc w:val="center"/>
        <w:rPr>
          <w:rFonts w:hint="eastAsia" w:ascii="宋体" w:hAnsi="宋体" w:eastAsia="宋体" w:cs="宋体"/>
          <w:b/>
          <w:bCs/>
          <w:color w:val="auto"/>
          <w:sz w:val="24"/>
          <w:szCs w:val="24"/>
          <w:highlight w:val="none"/>
        </w:rPr>
      </w:pPr>
    </w:p>
    <w:p w14:paraId="772C4EE9">
      <w:pPr>
        <w:pageBreakBefore w:val="0"/>
        <w:kinsoku/>
        <w:wordWrap w:val="0"/>
        <w:overflowPunct/>
        <w:bidi w:val="0"/>
        <w:jc w:val="center"/>
        <w:rPr>
          <w:rFonts w:hint="eastAsia" w:ascii="宋体" w:hAnsi="宋体" w:eastAsia="宋体" w:cs="宋体"/>
          <w:b/>
          <w:bCs/>
          <w:color w:val="auto"/>
          <w:sz w:val="24"/>
          <w:szCs w:val="24"/>
          <w:highlight w:val="none"/>
        </w:rPr>
      </w:pPr>
    </w:p>
    <w:p w14:paraId="77A2AF7B">
      <w:pPr>
        <w:pageBreakBefore w:val="0"/>
        <w:kinsoku/>
        <w:wordWrap w:val="0"/>
        <w:overflowPunct/>
        <w:bidi w:val="0"/>
        <w:jc w:val="center"/>
        <w:rPr>
          <w:rFonts w:hint="eastAsia" w:ascii="宋体" w:hAnsi="宋体" w:eastAsia="宋体" w:cs="宋体"/>
          <w:b/>
          <w:bCs/>
          <w:color w:val="auto"/>
          <w:sz w:val="24"/>
          <w:szCs w:val="24"/>
          <w:highlight w:val="none"/>
        </w:rPr>
      </w:pPr>
    </w:p>
    <w:p w14:paraId="6F3D1643">
      <w:pPr>
        <w:pageBreakBefore w:val="0"/>
        <w:kinsoku/>
        <w:wordWrap w:val="0"/>
        <w:overflowPunct/>
        <w:bidi w:val="0"/>
        <w:jc w:val="center"/>
        <w:rPr>
          <w:rFonts w:hint="eastAsia" w:ascii="宋体" w:hAnsi="宋体" w:eastAsia="宋体" w:cs="宋体"/>
          <w:b/>
          <w:bCs/>
          <w:color w:val="auto"/>
          <w:sz w:val="24"/>
          <w:szCs w:val="24"/>
          <w:highlight w:val="none"/>
        </w:rPr>
      </w:pPr>
    </w:p>
    <w:p w14:paraId="00AD7D80">
      <w:pPr>
        <w:pageBreakBefore w:val="0"/>
        <w:kinsoku/>
        <w:wordWrap w:val="0"/>
        <w:overflowPunct/>
        <w:bidi w:val="0"/>
        <w:jc w:val="center"/>
        <w:rPr>
          <w:rFonts w:hint="eastAsia" w:ascii="宋体" w:hAnsi="宋体" w:eastAsia="宋体" w:cs="宋体"/>
          <w:b/>
          <w:bCs/>
          <w:color w:val="auto"/>
          <w:sz w:val="24"/>
          <w:szCs w:val="24"/>
          <w:highlight w:val="none"/>
        </w:rPr>
      </w:pPr>
    </w:p>
    <w:p w14:paraId="5D3C47F1">
      <w:pPr>
        <w:pageBreakBefore w:val="0"/>
        <w:kinsoku/>
        <w:wordWrap w:val="0"/>
        <w:overflowPunct/>
        <w:bidi w:val="0"/>
        <w:jc w:val="center"/>
        <w:rPr>
          <w:rFonts w:hint="eastAsia" w:ascii="宋体" w:hAnsi="宋体" w:eastAsia="宋体" w:cs="宋体"/>
          <w:b/>
          <w:bCs/>
          <w:color w:val="auto"/>
          <w:sz w:val="24"/>
          <w:szCs w:val="24"/>
          <w:highlight w:val="none"/>
        </w:rPr>
      </w:pPr>
    </w:p>
    <w:p w14:paraId="02DD37FE">
      <w:pPr>
        <w:pageBreakBefore w:val="0"/>
        <w:kinsoku/>
        <w:wordWrap w:val="0"/>
        <w:overflowPunct/>
        <w:bidi w:val="0"/>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投 标 文 件</w:t>
      </w:r>
    </w:p>
    <w:p w14:paraId="50E92287">
      <w:pPr>
        <w:pageBreakBefore w:val="0"/>
        <w:kinsoku/>
        <w:wordWrap w:val="0"/>
        <w:overflowPunct/>
        <w:bidi w:val="0"/>
        <w:jc w:val="center"/>
        <w:outlineLvl w:val="2"/>
        <w:rPr>
          <w:rFonts w:hint="eastAsia" w:ascii="宋体" w:hAnsi="宋体" w:eastAsia="宋体" w:cs="宋体"/>
          <w:b/>
          <w:bCs/>
          <w:color w:val="auto"/>
          <w:sz w:val="40"/>
          <w:szCs w:val="40"/>
          <w:highlight w:val="none"/>
        </w:rPr>
      </w:pPr>
    </w:p>
    <w:p w14:paraId="550DB241">
      <w:pPr>
        <w:pageBreakBefore w:val="0"/>
        <w:kinsoku/>
        <w:wordWrap w:val="0"/>
        <w:overflowPunct/>
        <w:bidi w:val="0"/>
        <w:jc w:val="center"/>
        <w:outlineLvl w:val="2"/>
        <w:rPr>
          <w:rFonts w:hint="eastAsia" w:ascii="宋体" w:hAnsi="宋体" w:eastAsia="宋体" w:cs="宋体"/>
          <w:b/>
          <w:bCs/>
          <w:color w:val="auto"/>
          <w:sz w:val="40"/>
          <w:szCs w:val="40"/>
          <w:highlight w:val="none"/>
        </w:rPr>
      </w:pPr>
      <w:bookmarkStart w:id="325" w:name="_Toc16724"/>
      <w:r>
        <w:rPr>
          <w:rFonts w:hint="eastAsia" w:ascii="宋体" w:hAnsi="宋体" w:eastAsia="宋体" w:cs="宋体"/>
          <w:b/>
          <w:bCs/>
          <w:color w:val="auto"/>
          <w:sz w:val="40"/>
          <w:szCs w:val="40"/>
          <w:highlight w:val="none"/>
        </w:rPr>
        <w:t>商务</w:t>
      </w:r>
      <w:r>
        <w:rPr>
          <w:rFonts w:hint="eastAsia" w:ascii="宋体" w:hAnsi="宋体" w:eastAsia="宋体" w:cs="宋体"/>
          <w:b/>
          <w:bCs/>
          <w:color w:val="auto"/>
          <w:sz w:val="40"/>
          <w:szCs w:val="40"/>
          <w:highlight w:val="none"/>
          <w:lang w:val="en-US" w:eastAsia="zh-CN"/>
        </w:rPr>
        <w:t>及</w:t>
      </w:r>
      <w:r>
        <w:rPr>
          <w:rFonts w:hint="eastAsia" w:ascii="宋体" w:hAnsi="宋体" w:eastAsia="宋体" w:cs="宋体"/>
          <w:b/>
          <w:bCs/>
          <w:color w:val="auto"/>
          <w:sz w:val="40"/>
          <w:szCs w:val="40"/>
          <w:highlight w:val="none"/>
        </w:rPr>
        <w:t>技术部分</w:t>
      </w:r>
      <w:bookmarkEnd w:id="325"/>
    </w:p>
    <w:p w14:paraId="501C6F72">
      <w:pPr>
        <w:pageBreakBefore w:val="0"/>
        <w:kinsoku/>
        <w:wordWrap w:val="0"/>
        <w:overflowPunct/>
        <w:bidi w:val="0"/>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 xml:space="preserve"> </w:t>
      </w:r>
    </w:p>
    <w:p w14:paraId="3D4D9F9E">
      <w:pPr>
        <w:pageBreakBefore w:val="0"/>
        <w:kinsoku/>
        <w:wordWrap w:val="0"/>
        <w:overflowPunct/>
        <w:bidi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4765DC16">
      <w:pPr>
        <w:pageBreakBefore w:val="0"/>
        <w:kinsoku/>
        <w:wordWrap w:val="0"/>
        <w:overflowPunct/>
        <w:bidi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5065E94C">
      <w:pPr>
        <w:pStyle w:val="13"/>
        <w:pageBreakBefore w:val="0"/>
        <w:kinsoku/>
        <w:wordWrap w:val="0"/>
        <w:overflowPunct/>
        <w:bidi w:val="0"/>
        <w:rPr>
          <w:rFonts w:hint="eastAsia" w:ascii="宋体" w:hAnsi="宋体" w:eastAsia="宋体" w:cs="宋体"/>
          <w:b/>
          <w:bCs/>
          <w:color w:val="auto"/>
          <w:sz w:val="24"/>
          <w:szCs w:val="24"/>
          <w:highlight w:val="none"/>
        </w:rPr>
      </w:pPr>
    </w:p>
    <w:p w14:paraId="4A4638E1">
      <w:pPr>
        <w:pageBreakBefore w:val="0"/>
        <w:kinsoku/>
        <w:wordWrap w:val="0"/>
        <w:overflowPunct/>
        <w:bidi w:val="0"/>
        <w:rPr>
          <w:rFonts w:hint="eastAsia" w:ascii="宋体" w:hAnsi="宋体" w:eastAsia="宋体" w:cs="宋体"/>
          <w:b/>
          <w:bCs/>
          <w:color w:val="auto"/>
          <w:sz w:val="24"/>
          <w:szCs w:val="24"/>
          <w:highlight w:val="none"/>
        </w:rPr>
      </w:pPr>
    </w:p>
    <w:p w14:paraId="608D93BF">
      <w:pPr>
        <w:pageBreakBefore w:val="0"/>
        <w:kinsoku/>
        <w:wordWrap w:val="0"/>
        <w:overflowPunct/>
        <w:bidi w:val="0"/>
        <w:rPr>
          <w:rFonts w:hint="eastAsia" w:ascii="宋体" w:hAnsi="宋体" w:eastAsia="宋体" w:cs="宋体"/>
          <w:b/>
          <w:bCs/>
          <w:color w:val="auto"/>
          <w:sz w:val="24"/>
          <w:szCs w:val="24"/>
          <w:highlight w:val="none"/>
        </w:rPr>
      </w:pPr>
    </w:p>
    <w:p w14:paraId="44936259">
      <w:pPr>
        <w:pageBreakBefore w:val="0"/>
        <w:kinsoku/>
        <w:wordWrap w:val="0"/>
        <w:overflowPunct/>
        <w:bidi w:val="0"/>
        <w:rPr>
          <w:rFonts w:hint="eastAsia" w:ascii="宋体" w:hAnsi="宋体" w:eastAsia="宋体" w:cs="宋体"/>
          <w:b/>
          <w:bCs/>
          <w:color w:val="auto"/>
          <w:sz w:val="24"/>
          <w:szCs w:val="24"/>
          <w:highlight w:val="none"/>
        </w:rPr>
      </w:pPr>
    </w:p>
    <w:p w14:paraId="5D2A1C3F">
      <w:pPr>
        <w:pStyle w:val="13"/>
        <w:pageBreakBefore w:val="0"/>
        <w:kinsoku/>
        <w:wordWrap w:val="0"/>
        <w:overflowPunct/>
        <w:bidi w:val="0"/>
        <w:rPr>
          <w:rFonts w:hint="eastAsia" w:ascii="宋体" w:hAnsi="宋体" w:eastAsia="宋体" w:cs="宋体"/>
          <w:color w:val="auto"/>
          <w:sz w:val="24"/>
          <w:szCs w:val="24"/>
          <w:highlight w:val="none"/>
        </w:rPr>
      </w:pPr>
    </w:p>
    <w:p w14:paraId="5CDA3EA2">
      <w:pPr>
        <w:pageBreakBefore w:val="0"/>
        <w:kinsoku/>
        <w:wordWrap w:val="0"/>
        <w:overflowPunct/>
        <w:bidi w:val="0"/>
        <w:rPr>
          <w:rFonts w:hint="eastAsia" w:ascii="宋体" w:hAnsi="宋体" w:eastAsia="宋体" w:cs="宋体"/>
          <w:color w:val="auto"/>
          <w:highlight w:val="none"/>
        </w:rPr>
      </w:pPr>
    </w:p>
    <w:p w14:paraId="15A37F87">
      <w:pPr>
        <w:pageBreakBefore w:val="0"/>
        <w:kinsoku/>
        <w:wordWrap w:val="0"/>
        <w:overflowPunct/>
        <w:bidi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43ADD98D">
      <w:pPr>
        <w:pageBreakBefore w:val="0"/>
        <w:kinsoku/>
        <w:wordWrap w:val="0"/>
        <w:overflowPunct/>
        <w:bidi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4"/>
          <w:szCs w:val="24"/>
          <w:highlight w:val="none"/>
        </w:rPr>
        <w:t xml:space="preserve"> </w:t>
      </w:r>
    </w:p>
    <w:p w14:paraId="2095B40D">
      <w:pPr>
        <w:pageBreakBefore w:val="0"/>
        <w:kinsoku/>
        <w:wordWrap w:val="0"/>
        <w:overflowPunct/>
        <w:bidi w:val="0"/>
        <w:spacing w:line="480" w:lineRule="auto"/>
        <w:ind w:firstLine="1124" w:firstLineChars="4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投标人：</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(电子签章)</w:t>
      </w:r>
    </w:p>
    <w:p w14:paraId="6FBE95E1">
      <w:pPr>
        <w:pageBreakBefore w:val="0"/>
        <w:kinsoku/>
        <w:wordWrap w:val="0"/>
        <w:overflowPunct/>
        <w:bidi w:val="0"/>
        <w:spacing w:line="480" w:lineRule="auto"/>
        <w:ind w:firstLine="1124" w:firstLineChars="4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法定代表人(单位负责人)或其委托代理人：</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(电子签章)</w:t>
      </w:r>
    </w:p>
    <w:p w14:paraId="30A4CBE8">
      <w:pPr>
        <w:pageBreakBefore w:val="0"/>
        <w:kinsoku/>
        <w:wordWrap w:val="0"/>
        <w:overflowPunct/>
        <w:bidi w:val="0"/>
        <w:spacing w:line="480" w:lineRule="auto"/>
        <w:ind w:firstLine="1124" w:firstLineChars="4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日期：</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
          <w:color w:val="auto"/>
          <w:sz w:val="28"/>
          <w:szCs w:val="28"/>
          <w:highlight w:val="none"/>
        </w:rPr>
        <w:t>年</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
          <w:color w:val="auto"/>
          <w:sz w:val="28"/>
          <w:szCs w:val="28"/>
          <w:highlight w:val="none"/>
        </w:rPr>
        <w:t>月</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
          <w:color w:val="auto"/>
          <w:sz w:val="28"/>
          <w:szCs w:val="28"/>
          <w:highlight w:val="none"/>
        </w:rPr>
        <w:t>日</w:t>
      </w:r>
    </w:p>
    <w:p w14:paraId="47FE8E83">
      <w:pPr>
        <w:pStyle w:val="13"/>
        <w:pageBreakBefore w:val="0"/>
        <w:kinsoku/>
        <w:wordWrap w:val="0"/>
        <w:overflowPunct/>
        <w:bidi w:val="0"/>
        <w:jc w:val="center"/>
        <w:rPr>
          <w:rFonts w:hint="eastAsia" w:ascii="宋体" w:hAnsi="宋体" w:eastAsia="宋体" w:cs="宋体"/>
          <w:b/>
          <w:bCs/>
          <w:color w:val="auto"/>
          <w:sz w:val="32"/>
          <w:szCs w:val="40"/>
          <w:highlight w:val="none"/>
          <w:lang w:val="en-US" w:eastAsia="zh-CN"/>
        </w:rPr>
      </w:pPr>
    </w:p>
    <w:p w14:paraId="1FE3C49E">
      <w:pPr>
        <w:pStyle w:val="13"/>
        <w:pageBreakBefore w:val="0"/>
        <w:kinsoku/>
        <w:wordWrap w:val="0"/>
        <w:overflowPunct/>
        <w:bidi w:val="0"/>
        <w:jc w:val="center"/>
        <w:rPr>
          <w:rFonts w:hint="eastAsia" w:ascii="宋体" w:hAnsi="宋体" w:eastAsia="宋体" w:cs="宋体"/>
          <w:b/>
          <w:bCs/>
          <w:color w:val="auto"/>
          <w:sz w:val="32"/>
          <w:szCs w:val="40"/>
          <w:highlight w:val="none"/>
          <w:lang w:val="en-US" w:eastAsia="zh-CN"/>
        </w:rPr>
      </w:pPr>
    </w:p>
    <w:p w14:paraId="6B00F6E6">
      <w:pPr>
        <w:pStyle w:val="13"/>
        <w:pageBreakBefore w:val="0"/>
        <w:kinsoku/>
        <w:wordWrap w:val="0"/>
        <w:overflowPunct/>
        <w:bidi w:val="0"/>
        <w:jc w:val="center"/>
        <w:rPr>
          <w:rFonts w:hint="eastAsia" w:ascii="宋体" w:hAnsi="宋体" w:eastAsia="宋体" w:cs="宋体"/>
          <w:b/>
          <w:bCs/>
          <w:color w:val="auto"/>
          <w:sz w:val="32"/>
          <w:szCs w:val="40"/>
          <w:highlight w:val="none"/>
          <w:lang w:val="en-US" w:eastAsia="zh-CN"/>
        </w:rPr>
      </w:pPr>
      <w:r>
        <w:rPr>
          <w:rFonts w:hint="eastAsia" w:ascii="宋体" w:hAnsi="宋体" w:eastAsia="宋体" w:cs="宋体"/>
          <w:b/>
          <w:bCs/>
          <w:color w:val="auto"/>
          <w:sz w:val="32"/>
          <w:szCs w:val="40"/>
          <w:highlight w:val="none"/>
          <w:lang w:val="en-US" w:eastAsia="zh-CN"/>
        </w:rPr>
        <w:t>目  录</w:t>
      </w:r>
    </w:p>
    <w:p w14:paraId="54EFB007">
      <w:pPr>
        <w:pStyle w:val="13"/>
        <w:pageBreakBefore w:val="0"/>
        <w:kinsoku/>
        <w:wordWrap w:val="0"/>
        <w:overflowPunct/>
        <w:bidi w:val="0"/>
        <w:jc w:val="center"/>
        <w:rPr>
          <w:rFonts w:hint="eastAsia" w:ascii="宋体" w:hAnsi="宋体" w:eastAsia="宋体" w:cs="宋体"/>
          <w:b/>
          <w:bCs/>
          <w:color w:val="auto"/>
          <w:sz w:val="32"/>
          <w:szCs w:val="40"/>
          <w:highlight w:val="none"/>
          <w:lang w:val="en-US" w:eastAsia="zh-CN"/>
        </w:rPr>
      </w:pPr>
    </w:p>
    <w:p w14:paraId="597D9CDF">
      <w:pPr>
        <w:pStyle w:val="4"/>
        <w:pageBreakBefore w:val="0"/>
        <w:widowControl/>
        <w:kinsoku/>
        <w:wordWrap w:val="0"/>
        <w:overflowPunct/>
        <w:topLinePunct w:val="0"/>
        <w:autoSpaceDE w:val="0"/>
        <w:autoSpaceDN/>
        <w:bidi w:val="0"/>
        <w:adjustRightInd w:val="0"/>
        <w:snapToGrid w:val="0"/>
        <w:spacing w:before="0" w:after="0" w:line="360" w:lineRule="auto"/>
        <w:ind w:firstLine="560" w:firstLineChars="200"/>
        <w:jc w:val="left"/>
        <w:textAlignment w:val="auto"/>
        <w:rPr>
          <w:rFonts w:hint="eastAsia" w:ascii="宋体" w:hAnsi="宋体" w:eastAsia="宋体" w:cs="宋体"/>
          <w:b w:val="0"/>
          <w:bCs w:val="0"/>
          <w:color w:val="auto"/>
          <w:sz w:val="28"/>
          <w:szCs w:val="28"/>
          <w:highlight w:val="none"/>
        </w:rPr>
      </w:pPr>
      <w:bookmarkStart w:id="326" w:name="_Toc32238"/>
      <w:bookmarkStart w:id="327" w:name="_Toc27314"/>
      <w:r>
        <w:rPr>
          <w:rFonts w:hint="eastAsia" w:ascii="宋体" w:hAnsi="宋体" w:eastAsia="宋体" w:cs="宋体"/>
          <w:b w:val="0"/>
          <w:bCs w:val="0"/>
          <w:color w:val="auto"/>
          <w:sz w:val="28"/>
          <w:szCs w:val="28"/>
          <w:highlight w:val="none"/>
          <w:lang w:val="en-US" w:eastAsia="zh-CN"/>
        </w:rPr>
        <w:t>一</w:t>
      </w:r>
      <w:r>
        <w:rPr>
          <w:rFonts w:hint="eastAsia" w:ascii="宋体" w:hAnsi="宋体" w:eastAsia="宋体" w:cs="宋体"/>
          <w:b w:val="0"/>
          <w:bCs w:val="0"/>
          <w:color w:val="auto"/>
          <w:sz w:val="28"/>
          <w:szCs w:val="28"/>
          <w:highlight w:val="none"/>
        </w:rPr>
        <w:t>、投标函</w:t>
      </w:r>
      <w:bookmarkEnd w:id="326"/>
      <w:bookmarkEnd w:id="327"/>
    </w:p>
    <w:p w14:paraId="6EF68471">
      <w:pPr>
        <w:pStyle w:val="4"/>
        <w:pageBreakBefore w:val="0"/>
        <w:widowControl/>
        <w:kinsoku/>
        <w:wordWrap w:val="0"/>
        <w:overflowPunct/>
        <w:topLinePunct w:val="0"/>
        <w:autoSpaceDE w:val="0"/>
        <w:autoSpaceDN/>
        <w:bidi w:val="0"/>
        <w:adjustRightInd w:val="0"/>
        <w:snapToGrid w:val="0"/>
        <w:spacing w:before="0" w:after="0" w:line="360" w:lineRule="auto"/>
        <w:ind w:firstLine="560" w:firstLineChars="200"/>
        <w:jc w:val="left"/>
        <w:textAlignment w:val="auto"/>
        <w:rPr>
          <w:rFonts w:hint="eastAsia" w:ascii="宋体" w:hAnsi="宋体" w:eastAsia="宋体" w:cs="宋体"/>
          <w:b w:val="0"/>
          <w:bCs w:val="0"/>
          <w:color w:val="auto"/>
          <w:sz w:val="28"/>
          <w:szCs w:val="28"/>
          <w:highlight w:val="none"/>
        </w:rPr>
      </w:pPr>
      <w:bookmarkStart w:id="328" w:name="_Toc28212"/>
      <w:bookmarkStart w:id="329" w:name="_Toc18086"/>
      <w:r>
        <w:rPr>
          <w:rFonts w:hint="eastAsia" w:ascii="宋体" w:hAnsi="宋体" w:eastAsia="宋体" w:cs="宋体"/>
          <w:b w:val="0"/>
          <w:bCs w:val="0"/>
          <w:color w:val="auto"/>
          <w:sz w:val="28"/>
          <w:szCs w:val="28"/>
          <w:highlight w:val="none"/>
          <w:lang w:val="en-US" w:eastAsia="zh-CN"/>
        </w:rPr>
        <w:t>二</w:t>
      </w:r>
      <w:r>
        <w:rPr>
          <w:rFonts w:hint="eastAsia" w:ascii="宋体" w:hAnsi="宋体" w:eastAsia="宋体" w:cs="宋体"/>
          <w:b w:val="0"/>
          <w:bCs w:val="0"/>
          <w:color w:val="auto"/>
          <w:sz w:val="28"/>
          <w:szCs w:val="28"/>
          <w:highlight w:val="none"/>
        </w:rPr>
        <w:t>、投标保证书</w:t>
      </w:r>
    </w:p>
    <w:p w14:paraId="22C476A5">
      <w:pPr>
        <w:pStyle w:val="4"/>
        <w:pageBreakBefore w:val="0"/>
        <w:widowControl/>
        <w:kinsoku/>
        <w:wordWrap w:val="0"/>
        <w:overflowPunct/>
        <w:topLinePunct w:val="0"/>
        <w:autoSpaceDE w:val="0"/>
        <w:autoSpaceDN/>
        <w:bidi w:val="0"/>
        <w:adjustRightInd w:val="0"/>
        <w:snapToGrid w:val="0"/>
        <w:spacing w:before="0" w:after="0" w:line="360" w:lineRule="auto"/>
        <w:ind w:firstLine="560" w:firstLineChars="200"/>
        <w:jc w:val="left"/>
        <w:textAlignment w:val="auto"/>
        <w:rPr>
          <w:rFonts w:hint="eastAsia" w:ascii="宋体" w:hAnsi="宋体" w:eastAsia="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三、</w:t>
      </w:r>
      <w:r>
        <w:rPr>
          <w:rFonts w:hint="eastAsia" w:ascii="宋体" w:hAnsi="宋体" w:eastAsia="宋体" w:cs="宋体"/>
          <w:b w:val="0"/>
          <w:bCs w:val="0"/>
          <w:color w:val="auto"/>
          <w:sz w:val="28"/>
          <w:szCs w:val="28"/>
          <w:highlight w:val="none"/>
        </w:rPr>
        <w:t>商务条款</w:t>
      </w:r>
      <w:r>
        <w:rPr>
          <w:rFonts w:hint="eastAsia" w:ascii="宋体" w:hAnsi="宋体" w:eastAsia="宋体" w:cs="宋体"/>
          <w:b w:val="0"/>
          <w:bCs w:val="0"/>
          <w:color w:val="auto"/>
          <w:sz w:val="28"/>
          <w:szCs w:val="28"/>
          <w:highlight w:val="none"/>
          <w:lang w:val="en-US" w:eastAsia="zh-CN"/>
        </w:rPr>
        <w:t>偏离</w:t>
      </w:r>
      <w:r>
        <w:rPr>
          <w:rFonts w:hint="eastAsia" w:ascii="宋体" w:hAnsi="宋体" w:eastAsia="宋体" w:cs="宋体"/>
          <w:b w:val="0"/>
          <w:bCs w:val="0"/>
          <w:color w:val="auto"/>
          <w:sz w:val="28"/>
          <w:szCs w:val="28"/>
          <w:highlight w:val="none"/>
        </w:rPr>
        <w:t>表和技术规格偏离表</w:t>
      </w:r>
      <w:bookmarkEnd w:id="328"/>
      <w:bookmarkEnd w:id="329"/>
    </w:p>
    <w:p w14:paraId="5C3DD180">
      <w:pPr>
        <w:pStyle w:val="4"/>
        <w:keepNext/>
        <w:keepLines/>
        <w:pageBreakBefore w:val="0"/>
        <w:widowControl w:val="0"/>
        <w:numPr>
          <w:ilvl w:val="0"/>
          <w:numId w:val="0"/>
        </w:numPr>
        <w:kinsoku/>
        <w:wordWrap w:val="0"/>
        <w:overflowPunct/>
        <w:topLinePunct w:val="0"/>
        <w:autoSpaceDE/>
        <w:autoSpaceDN/>
        <w:bidi w:val="0"/>
        <w:adjustRightInd w:val="0"/>
        <w:snapToGrid w:val="0"/>
        <w:spacing w:before="0" w:after="0" w:line="360" w:lineRule="auto"/>
        <w:ind w:firstLine="560" w:firstLineChars="200"/>
        <w:jc w:val="left"/>
        <w:textAlignment w:val="auto"/>
        <w:rPr>
          <w:rFonts w:hint="eastAsia" w:ascii="宋体" w:hAnsi="宋体" w:eastAsia="宋体" w:cs="宋体"/>
          <w:b w:val="0"/>
          <w:bCs w:val="0"/>
          <w:color w:val="auto"/>
          <w:sz w:val="28"/>
          <w:szCs w:val="28"/>
          <w:highlight w:val="none"/>
          <w:lang w:val="en-US" w:eastAsia="zh-CN"/>
        </w:rPr>
      </w:pPr>
      <w:bookmarkStart w:id="330" w:name="_Toc17875"/>
      <w:bookmarkStart w:id="331" w:name="_Toc13169"/>
      <w:r>
        <w:rPr>
          <w:rFonts w:hint="eastAsia" w:ascii="宋体" w:hAnsi="宋体" w:cs="宋体"/>
          <w:b w:val="0"/>
          <w:bCs w:val="0"/>
          <w:color w:val="auto"/>
          <w:sz w:val="28"/>
          <w:szCs w:val="28"/>
          <w:highlight w:val="none"/>
          <w:lang w:val="en-US" w:eastAsia="zh-CN"/>
        </w:rPr>
        <w:t>四、</w:t>
      </w:r>
      <w:r>
        <w:rPr>
          <w:rFonts w:hint="eastAsia" w:ascii="宋体" w:hAnsi="宋体" w:eastAsia="宋体" w:cs="宋体"/>
          <w:b w:val="0"/>
          <w:bCs w:val="0"/>
          <w:color w:val="auto"/>
          <w:sz w:val="28"/>
          <w:szCs w:val="28"/>
          <w:highlight w:val="none"/>
          <w:lang w:val="en-US" w:eastAsia="zh-CN"/>
        </w:rPr>
        <w:t>关于商务技术审查的其他资料</w:t>
      </w:r>
      <w:bookmarkEnd w:id="330"/>
      <w:bookmarkEnd w:id="331"/>
    </w:p>
    <w:p w14:paraId="45F232D2">
      <w:pPr>
        <w:pStyle w:val="4"/>
        <w:keepNext/>
        <w:keepLines/>
        <w:pageBreakBefore w:val="0"/>
        <w:widowControl w:val="0"/>
        <w:kinsoku/>
        <w:wordWrap w:val="0"/>
        <w:overflowPunct/>
        <w:topLinePunct w:val="0"/>
        <w:autoSpaceDE/>
        <w:autoSpaceDN/>
        <w:bidi w:val="0"/>
        <w:adjustRightInd w:val="0"/>
        <w:snapToGrid w:val="0"/>
        <w:spacing w:before="0" w:after="0" w:line="360" w:lineRule="auto"/>
        <w:ind w:firstLine="560" w:firstLineChars="200"/>
        <w:jc w:val="left"/>
        <w:textAlignment w:val="auto"/>
        <w:rPr>
          <w:rFonts w:hint="eastAsia" w:ascii="宋体" w:hAnsi="宋体" w:eastAsia="宋体" w:cs="宋体"/>
          <w:b w:val="0"/>
          <w:bCs w:val="0"/>
          <w:color w:val="auto"/>
          <w:sz w:val="28"/>
          <w:szCs w:val="28"/>
          <w:highlight w:val="none"/>
          <w:lang w:val="zh-CN" w:eastAsia="zh-CN" w:bidi="ar-SA"/>
        </w:rPr>
      </w:pPr>
      <w:bookmarkStart w:id="332" w:name="_Toc12225"/>
      <w:bookmarkStart w:id="333" w:name="_Toc32162"/>
      <w:r>
        <w:rPr>
          <w:rFonts w:hint="eastAsia" w:ascii="宋体" w:hAnsi="宋体" w:cs="宋体"/>
          <w:b w:val="0"/>
          <w:bCs w:val="0"/>
          <w:color w:val="auto"/>
          <w:sz w:val="28"/>
          <w:szCs w:val="28"/>
          <w:highlight w:val="none"/>
          <w:lang w:val="en-US" w:eastAsia="zh-CN" w:bidi="ar-SA"/>
        </w:rPr>
        <w:t>五</w:t>
      </w:r>
      <w:r>
        <w:rPr>
          <w:rFonts w:hint="eastAsia" w:ascii="宋体" w:hAnsi="宋体" w:eastAsia="宋体" w:cs="宋体"/>
          <w:b w:val="0"/>
          <w:bCs w:val="0"/>
          <w:color w:val="auto"/>
          <w:sz w:val="28"/>
          <w:szCs w:val="28"/>
          <w:highlight w:val="none"/>
          <w:lang w:val="en-US" w:eastAsia="zh-CN" w:bidi="ar-SA"/>
        </w:rPr>
        <w:t>、</w:t>
      </w:r>
      <w:bookmarkEnd w:id="332"/>
      <w:bookmarkEnd w:id="333"/>
      <w:bookmarkStart w:id="334" w:name="_Toc27692"/>
      <w:r>
        <w:rPr>
          <w:rFonts w:hint="eastAsia" w:ascii="宋体" w:hAnsi="宋体" w:eastAsia="宋体" w:cs="宋体"/>
          <w:b w:val="0"/>
          <w:bCs w:val="0"/>
          <w:color w:val="auto"/>
          <w:sz w:val="28"/>
          <w:szCs w:val="28"/>
          <w:highlight w:val="none"/>
          <w:lang w:val="en-US" w:eastAsia="zh-CN" w:bidi="ar-SA"/>
        </w:rPr>
        <w:t>商务及技术部分</w:t>
      </w:r>
    </w:p>
    <w:p w14:paraId="4BC1748C">
      <w:pPr>
        <w:pStyle w:val="4"/>
        <w:keepNext/>
        <w:keepLines/>
        <w:pageBreakBefore w:val="0"/>
        <w:widowControl w:val="0"/>
        <w:kinsoku/>
        <w:wordWrap w:val="0"/>
        <w:overflowPunct/>
        <w:topLinePunct w:val="0"/>
        <w:autoSpaceDE/>
        <w:autoSpaceDN/>
        <w:bidi w:val="0"/>
        <w:adjustRightInd w:val="0"/>
        <w:snapToGrid w:val="0"/>
        <w:spacing w:before="0" w:after="0" w:line="360" w:lineRule="auto"/>
        <w:ind w:firstLine="560" w:firstLineChars="200"/>
        <w:jc w:val="left"/>
        <w:textAlignment w:val="auto"/>
        <w:rPr>
          <w:rFonts w:hint="eastAsia" w:ascii="宋体" w:hAnsi="宋体" w:eastAsia="宋体" w:cs="宋体"/>
          <w:b/>
          <w:color w:val="auto"/>
          <w:sz w:val="28"/>
          <w:szCs w:val="28"/>
          <w:highlight w:val="none"/>
        </w:rPr>
      </w:pPr>
      <w:bookmarkStart w:id="335" w:name="_Toc10979"/>
      <w:r>
        <w:rPr>
          <w:rFonts w:hint="eastAsia" w:ascii="宋体" w:hAnsi="宋体" w:cs="宋体"/>
          <w:b w:val="0"/>
          <w:bCs w:val="0"/>
          <w:color w:val="auto"/>
          <w:sz w:val="28"/>
          <w:szCs w:val="28"/>
          <w:highlight w:val="none"/>
          <w:lang w:val="en-US" w:eastAsia="zh-CN" w:bidi="ar-SA"/>
        </w:rPr>
        <w:t>六</w:t>
      </w:r>
      <w:r>
        <w:rPr>
          <w:rFonts w:hint="eastAsia" w:ascii="宋体" w:hAnsi="宋体" w:eastAsia="宋体" w:cs="宋体"/>
          <w:b w:val="0"/>
          <w:bCs w:val="0"/>
          <w:color w:val="auto"/>
          <w:sz w:val="28"/>
          <w:szCs w:val="28"/>
          <w:highlight w:val="none"/>
          <w:lang w:val="zh-CN" w:eastAsia="zh-CN" w:bidi="ar-SA"/>
        </w:rPr>
        <w:t>、其他资料</w:t>
      </w:r>
      <w:bookmarkEnd w:id="334"/>
      <w:bookmarkEnd w:id="335"/>
    </w:p>
    <w:p w14:paraId="2391B075">
      <w:pPr>
        <w:pageBreakBefore w:val="0"/>
        <w:kinsoku/>
        <w:wordWrap w:val="0"/>
        <w:overflowPunct/>
        <w:bidi w:val="0"/>
        <w:rPr>
          <w:rFonts w:hint="eastAsia" w:ascii="宋体" w:hAnsi="宋体" w:eastAsia="宋体" w:cs="宋体"/>
          <w:b/>
          <w:color w:val="auto"/>
          <w:sz w:val="28"/>
          <w:szCs w:val="28"/>
          <w:highlight w:val="none"/>
        </w:rPr>
      </w:pPr>
    </w:p>
    <w:p w14:paraId="62259690">
      <w:pPr>
        <w:pStyle w:val="2"/>
        <w:pageBreakBefore w:val="0"/>
        <w:kinsoku/>
        <w:wordWrap w:val="0"/>
        <w:overflowPunct/>
        <w:bidi w:val="0"/>
        <w:rPr>
          <w:rFonts w:hint="eastAsia"/>
          <w:color w:val="auto"/>
          <w:highlight w:val="none"/>
        </w:rPr>
      </w:pPr>
    </w:p>
    <w:p w14:paraId="16195331">
      <w:pPr>
        <w:pageBreakBefore w:val="0"/>
        <w:kinsoku/>
        <w:wordWrap w:val="0"/>
        <w:overflowPunct/>
        <w:bidi w:val="0"/>
        <w:rPr>
          <w:rFonts w:hint="eastAsia"/>
          <w:color w:val="auto"/>
          <w:highlight w:val="none"/>
        </w:rPr>
      </w:pPr>
    </w:p>
    <w:p w14:paraId="1984426B">
      <w:pPr>
        <w:pStyle w:val="37"/>
        <w:pageBreakBefore w:val="0"/>
        <w:kinsoku/>
        <w:wordWrap w:val="0"/>
        <w:overflowPunct/>
        <w:bidi w:val="0"/>
        <w:rPr>
          <w:rFonts w:hint="eastAsia"/>
          <w:color w:val="auto"/>
          <w:highlight w:val="none"/>
        </w:rPr>
      </w:pPr>
    </w:p>
    <w:p w14:paraId="2BABD9F2">
      <w:pPr>
        <w:pStyle w:val="36"/>
        <w:pageBreakBefore w:val="0"/>
        <w:kinsoku/>
        <w:wordWrap w:val="0"/>
        <w:overflowPunct/>
        <w:bidi w:val="0"/>
        <w:rPr>
          <w:rFonts w:hint="eastAsia"/>
          <w:color w:val="auto"/>
          <w:highlight w:val="none"/>
        </w:rPr>
      </w:pPr>
    </w:p>
    <w:p w14:paraId="2F06EE8E">
      <w:pPr>
        <w:pageBreakBefore w:val="0"/>
        <w:kinsoku/>
        <w:wordWrap w:val="0"/>
        <w:overflowPunct/>
        <w:bidi w:val="0"/>
        <w:rPr>
          <w:rFonts w:hint="eastAsia"/>
          <w:color w:val="auto"/>
          <w:highlight w:val="none"/>
        </w:rPr>
      </w:pPr>
    </w:p>
    <w:p w14:paraId="11D193D0">
      <w:pPr>
        <w:pStyle w:val="37"/>
        <w:pageBreakBefore w:val="0"/>
        <w:kinsoku/>
        <w:wordWrap w:val="0"/>
        <w:overflowPunct/>
        <w:bidi w:val="0"/>
        <w:rPr>
          <w:rFonts w:hint="eastAsia"/>
          <w:color w:val="auto"/>
          <w:highlight w:val="none"/>
        </w:rPr>
      </w:pPr>
    </w:p>
    <w:p w14:paraId="0342996A">
      <w:pPr>
        <w:pStyle w:val="36"/>
        <w:pageBreakBefore w:val="0"/>
        <w:kinsoku/>
        <w:wordWrap w:val="0"/>
        <w:overflowPunct/>
        <w:bidi w:val="0"/>
        <w:rPr>
          <w:rFonts w:hint="eastAsia"/>
          <w:color w:val="auto"/>
          <w:highlight w:val="none"/>
        </w:rPr>
      </w:pPr>
    </w:p>
    <w:p w14:paraId="4BE71583">
      <w:pPr>
        <w:pageBreakBefore w:val="0"/>
        <w:kinsoku/>
        <w:wordWrap w:val="0"/>
        <w:overflowPunct/>
        <w:bidi w:val="0"/>
        <w:rPr>
          <w:rFonts w:hint="eastAsia"/>
          <w:color w:val="auto"/>
          <w:highlight w:val="none"/>
        </w:rPr>
      </w:pPr>
    </w:p>
    <w:p w14:paraId="4C8072FC">
      <w:pPr>
        <w:pStyle w:val="37"/>
        <w:pageBreakBefore w:val="0"/>
        <w:kinsoku/>
        <w:wordWrap w:val="0"/>
        <w:overflowPunct/>
        <w:bidi w:val="0"/>
        <w:rPr>
          <w:rFonts w:hint="eastAsia"/>
          <w:color w:val="auto"/>
          <w:highlight w:val="none"/>
        </w:rPr>
      </w:pPr>
    </w:p>
    <w:p w14:paraId="73F04AE6">
      <w:pPr>
        <w:pStyle w:val="36"/>
        <w:pageBreakBefore w:val="0"/>
        <w:kinsoku/>
        <w:wordWrap w:val="0"/>
        <w:overflowPunct/>
        <w:bidi w:val="0"/>
        <w:rPr>
          <w:rFonts w:hint="eastAsia"/>
          <w:color w:val="auto"/>
          <w:highlight w:val="none"/>
        </w:rPr>
      </w:pPr>
    </w:p>
    <w:p w14:paraId="0DB81780">
      <w:pPr>
        <w:pageBreakBefore w:val="0"/>
        <w:kinsoku/>
        <w:wordWrap w:val="0"/>
        <w:overflowPunct/>
        <w:bidi w:val="0"/>
        <w:rPr>
          <w:rFonts w:hint="eastAsia"/>
          <w:color w:val="auto"/>
          <w:highlight w:val="none"/>
        </w:rPr>
      </w:pPr>
    </w:p>
    <w:p w14:paraId="18B52A95">
      <w:pPr>
        <w:pStyle w:val="37"/>
        <w:pageBreakBefore w:val="0"/>
        <w:kinsoku/>
        <w:wordWrap w:val="0"/>
        <w:overflowPunct/>
        <w:bidi w:val="0"/>
        <w:rPr>
          <w:rFonts w:hint="eastAsia"/>
          <w:color w:val="auto"/>
          <w:highlight w:val="none"/>
        </w:rPr>
      </w:pPr>
    </w:p>
    <w:p w14:paraId="0A00E95D">
      <w:pPr>
        <w:pStyle w:val="36"/>
        <w:pageBreakBefore w:val="0"/>
        <w:kinsoku/>
        <w:wordWrap w:val="0"/>
        <w:overflowPunct/>
        <w:bidi w:val="0"/>
        <w:rPr>
          <w:rFonts w:hint="eastAsia"/>
          <w:color w:val="auto"/>
          <w:highlight w:val="none"/>
        </w:rPr>
      </w:pPr>
    </w:p>
    <w:p w14:paraId="43157CD7">
      <w:pPr>
        <w:pageBreakBefore w:val="0"/>
        <w:kinsoku/>
        <w:wordWrap w:val="0"/>
        <w:overflowPunct/>
        <w:bidi w:val="0"/>
        <w:rPr>
          <w:rFonts w:hint="eastAsia"/>
          <w:color w:val="auto"/>
          <w:highlight w:val="none"/>
        </w:rPr>
      </w:pPr>
    </w:p>
    <w:p w14:paraId="6276689E">
      <w:pPr>
        <w:pStyle w:val="37"/>
        <w:pageBreakBefore w:val="0"/>
        <w:kinsoku/>
        <w:wordWrap w:val="0"/>
        <w:overflowPunct/>
        <w:bidi w:val="0"/>
        <w:rPr>
          <w:rFonts w:hint="eastAsia"/>
          <w:color w:val="auto"/>
          <w:highlight w:val="none"/>
        </w:rPr>
      </w:pPr>
    </w:p>
    <w:p w14:paraId="299DE681">
      <w:pPr>
        <w:pStyle w:val="36"/>
        <w:pageBreakBefore w:val="0"/>
        <w:kinsoku/>
        <w:wordWrap w:val="0"/>
        <w:overflowPunct/>
        <w:bidi w:val="0"/>
        <w:rPr>
          <w:rFonts w:hint="eastAsia"/>
          <w:color w:val="auto"/>
          <w:highlight w:val="none"/>
        </w:rPr>
      </w:pPr>
    </w:p>
    <w:p w14:paraId="7D232FC2">
      <w:pPr>
        <w:pageBreakBefore w:val="0"/>
        <w:kinsoku/>
        <w:wordWrap w:val="0"/>
        <w:overflowPunct/>
        <w:bidi w:val="0"/>
        <w:rPr>
          <w:rFonts w:hint="eastAsia"/>
          <w:color w:val="auto"/>
          <w:highlight w:val="none"/>
        </w:rPr>
      </w:pPr>
    </w:p>
    <w:p w14:paraId="2ADD6ECA">
      <w:pPr>
        <w:pStyle w:val="37"/>
        <w:pageBreakBefore w:val="0"/>
        <w:kinsoku/>
        <w:wordWrap w:val="0"/>
        <w:overflowPunct/>
        <w:bidi w:val="0"/>
        <w:rPr>
          <w:rFonts w:hint="eastAsia"/>
          <w:color w:val="auto"/>
          <w:highlight w:val="none"/>
        </w:rPr>
      </w:pPr>
    </w:p>
    <w:p w14:paraId="2FF8C827">
      <w:pPr>
        <w:pStyle w:val="36"/>
        <w:pageBreakBefore w:val="0"/>
        <w:kinsoku/>
        <w:wordWrap w:val="0"/>
        <w:overflowPunct/>
        <w:bidi w:val="0"/>
        <w:rPr>
          <w:rFonts w:hint="eastAsia"/>
          <w:color w:val="auto"/>
          <w:highlight w:val="none"/>
        </w:rPr>
      </w:pPr>
    </w:p>
    <w:p w14:paraId="7F536F8D">
      <w:pPr>
        <w:pageBreakBefore w:val="0"/>
        <w:kinsoku/>
        <w:wordWrap w:val="0"/>
        <w:overflowPunct/>
        <w:bidi w:val="0"/>
        <w:rPr>
          <w:rFonts w:hint="eastAsia"/>
          <w:color w:val="auto"/>
          <w:highlight w:val="none"/>
        </w:rPr>
      </w:pPr>
    </w:p>
    <w:p w14:paraId="398B8D1A">
      <w:pPr>
        <w:pStyle w:val="37"/>
        <w:pageBreakBefore w:val="0"/>
        <w:kinsoku/>
        <w:wordWrap w:val="0"/>
        <w:overflowPunct/>
        <w:bidi w:val="0"/>
        <w:rPr>
          <w:rFonts w:hint="eastAsia"/>
          <w:color w:val="auto"/>
          <w:highlight w:val="none"/>
        </w:rPr>
      </w:pPr>
    </w:p>
    <w:p w14:paraId="3B23966C">
      <w:pPr>
        <w:pStyle w:val="36"/>
        <w:pageBreakBefore w:val="0"/>
        <w:kinsoku/>
        <w:wordWrap w:val="0"/>
        <w:overflowPunct/>
        <w:bidi w:val="0"/>
        <w:rPr>
          <w:rFonts w:hint="eastAsia"/>
          <w:color w:val="auto"/>
          <w:highlight w:val="none"/>
        </w:rPr>
      </w:pPr>
    </w:p>
    <w:p w14:paraId="30955140">
      <w:pPr>
        <w:pageBreakBefore w:val="0"/>
        <w:kinsoku/>
        <w:wordWrap w:val="0"/>
        <w:overflowPunct/>
        <w:bidi w:val="0"/>
        <w:rPr>
          <w:rFonts w:hint="eastAsia"/>
          <w:color w:val="auto"/>
          <w:highlight w:val="none"/>
        </w:rPr>
      </w:pPr>
    </w:p>
    <w:p w14:paraId="44A84A02">
      <w:pPr>
        <w:pStyle w:val="37"/>
        <w:pageBreakBefore w:val="0"/>
        <w:kinsoku/>
        <w:wordWrap w:val="0"/>
        <w:overflowPunct/>
        <w:bidi w:val="0"/>
        <w:rPr>
          <w:rFonts w:hint="eastAsia"/>
          <w:color w:val="auto"/>
          <w:highlight w:val="none"/>
        </w:rPr>
      </w:pPr>
    </w:p>
    <w:p w14:paraId="77E165E1">
      <w:pPr>
        <w:pStyle w:val="36"/>
        <w:pageBreakBefore w:val="0"/>
        <w:kinsoku/>
        <w:wordWrap w:val="0"/>
        <w:overflowPunct/>
        <w:bidi w:val="0"/>
        <w:rPr>
          <w:rFonts w:hint="eastAsia"/>
          <w:color w:val="auto"/>
          <w:highlight w:val="none"/>
        </w:rPr>
      </w:pPr>
    </w:p>
    <w:p w14:paraId="6DFDD3EE">
      <w:pPr>
        <w:pageBreakBefore w:val="0"/>
        <w:kinsoku/>
        <w:wordWrap w:val="0"/>
        <w:overflowPunct/>
        <w:bidi w:val="0"/>
        <w:rPr>
          <w:rFonts w:hint="eastAsia"/>
          <w:color w:val="auto"/>
          <w:highlight w:val="none"/>
        </w:rPr>
      </w:pPr>
    </w:p>
    <w:p w14:paraId="35F6288C">
      <w:pPr>
        <w:pStyle w:val="3"/>
        <w:pageBreakBefore w:val="0"/>
        <w:numPr>
          <w:ilvl w:val="0"/>
          <w:numId w:val="0"/>
        </w:numPr>
        <w:kinsoku/>
        <w:wordWrap w:val="0"/>
        <w:overflowPunct/>
        <w:bidi w:val="0"/>
        <w:spacing w:before="0"/>
        <w:jc w:val="center"/>
        <w:rPr>
          <w:rFonts w:hint="eastAsia" w:ascii="宋体" w:hAnsi="宋体" w:eastAsia="宋体" w:cs="宋体"/>
          <w:color w:val="auto"/>
          <w:sz w:val="24"/>
          <w:szCs w:val="24"/>
          <w:highlight w:val="none"/>
          <w:u w:val="single"/>
        </w:rPr>
      </w:pPr>
      <w:bookmarkStart w:id="336" w:name="_Toc1793"/>
      <w:r>
        <w:rPr>
          <w:rFonts w:hint="eastAsia" w:ascii="宋体" w:hAnsi="宋体" w:eastAsia="宋体" w:cs="宋体"/>
          <w:color w:val="auto"/>
          <w:szCs w:val="28"/>
          <w:highlight w:val="none"/>
          <w:lang w:val="en-US" w:eastAsia="zh-CN"/>
        </w:rPr>
        <w:t>一</w:t>
      </w:r>
      <w:r>
        <w:rPr>
          <w:rFonts w:hint="eastAsia" w:ascii="宋体" w:hAnsi="宋体" w:eastAsia="宋体" w:cs="宋体"/>
          <w:color w:val="auto"/>
          <w:szCs w:val="28"/>
          <w:highlight w:val="none"/>
        </w:rPr>
        <w:t>、投标函</w:t>
      </w:r>
      <w:bookmarkEnd w:id="336"/>
    </w:p>
    <w:p w14:paraId="18C060F0">
      <w:pPr>
        <w:keepNext w:val="0"/>
        <w:keepLines w:val="0"/>
        <w:pageBreakBefore w:val="0"/>
        <w:widowControl/>
        <w:kinsoku/>
        <w:wordWrap w:val="0"/>
        <w:overflowPunct/>
        <w:topLinePunct w:val="0"/>
        <w:bidi w:val="0"/>
        <w:adjustRightInd w:val="0"/>
        <w:snapToGrid w:val="0"/>
        <w:spacing w:line="336"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名称)：</w:t>
      </w:r>
    </w:p>
    <w:p w14:paraId="7A5C61E8">
      <w:pPr>
        <w:keepNext w:val="0"/>
        <w:keepLines w:val="0"/>
        <w:pageBreakBefore w:val="0"/>
        <w:widowControl/>
        <w:kinsoku/>
        <w:wordWrap w:val="0"/>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我方已仔细研究了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(项目名称)招标文件的全部内容，且对招标文件无任何异议，并愿意以人民币</w:t>
      </w:r>
      <w:r>
        <w:rPr>
          <w:rFonts w:hint="eastAsia" w:ascii="宋体" w:hAnsi="宋体" w:eastAsia="宋体" w:cs="宋体"/>
          <w:color w:val="auto"/>
          <w:sz w:val="24"/>
          <w:szCs w:val="24"/>
          <w:highlight w:val="none"/>
          <w:u w:val="single"/>
        </w:rPr>
        <w:t>（大写）    元（¥：      ）</w:t>
      </w:r>
      <w:r>
        <w:rPr>
          <w:rFonts w:hint="eastAsia" w:ascii="宋体" w:hAnsi="宋体" w:eastAsia="宋体" w:cs="宋体"/>
          <w:color w:val="auto"/>
          <w:sz w:val="24"/>
          <w:szCs w:val="24"/>
          <w:highlight w:val="none"/>
        </w:rPr>
        <w:t>的投标报价，</w:t>
      </w:r>
      <w:r>
        <w:rPr>
          <w:rFonts w:hint="eastAsia" w:ascii="宋体" w:hAnsi="宋体" w:eastAsia="宋体" w:cs="宋体"/>
          <w:color w:val="auto"/>
          <w:sz w:val="24"/>
          <w:szCs w:val="24"/>
          <w:highlight w:val="none"/>
          <w:lang w:val="en-US" w:eastAsia="zh-CN"/>
        </w:rPr>
        <w:t>合同履行期限：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rPr>
        <w:t>向你方提供招标文件要求的货物/服务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服务质量：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交货地点及方式：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60E0BEE5">
      <w:pPr>
        <w:keepNext w:val="0"/>
        <w:keepLines w:val="0"/>
        <w:pageBreakBefore w:val="0"/>
        <w:widowControl/>
        <w:numPr>
          <w:ilvl w:val="0"/>
          <w:numId w:val="10"/>
        </w:numPr>
        <w:kinsoku/>
        <w:wordWrap w:val="0"/>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我方承诺在投标有效期内不修改或撤销投标文件。</w:t>
      </w:r>
    </w:p>
    <w:p w14:paraId="4E53C0E7">
      <w:pPr>
        <w:keepNext w:val="0"/>
        <w:keepLines w:val="0"/>
        <w:pageBreakBefore w:val="0"/>
        <w:widowControl/>
        <w:numPr>
          <w:ilvl w:val="0"/>
          <w:numId w:val="10"/>
        </w:numPr>
        <w:kinsoku/>
        <w:wordWrap w:val="0"/>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项目负责人姓名：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w:t>
      </w:r>
    </w:p>
    <w:p w14:paraId="3D216C41">
      <w:pPr>
        <w:keepNext w:val="0"/>
        <w:keepLines w:val="0"/>
        <w:pageBreakBefore w:val="0"/>
        <w:widowControl/>
        <w:numPr>
          <w:ilvl w:val="0"/>
          <w:numId w:val="10"/>
        </w:numPr>
        <w:kinsoku/>
        <w:wordWrap w:val="0"/>
        <w:overflowPunct/>
        <w:topLinePunct w:val="0"/>
        <w:autoSpaceDE w:val="0"/>
        <w:autoSpaceDN w:val="0"/>
        <w:bidi w:val="0"/>
        <w:adjustRightInd w:val="0"/>
        <w:snapToGrid w:val="0"/>
        <w:spacing w:line="336" w:lineRule="auto"/>
        <w:ind w:firstLine="482" w:firstLineChars="200"/>
        <w:textAlignment w:val="auto"/>
        <w:rPr>
          <w:rFonts w:hint="eastAsia" w:ascii="宋体" w:hAnsi="宋体" w:eastAsia="宋体" w:cs="宋体"/>
          <w:color w:val="auto"/>
          <w:sz w:val="24"/>
          <w:szCs w:val="24"/>
          <w:highlight w:val="none"/>
          <w:u w:val="single"/>
          <w:lang w:val="en-US"/>
        </w:rPr>
      </w:pPr>
      <w:r>
        <w:rPr>
          <w:rFonts w:hint="eastAsia" w:ascii="宋体" w:hAnsi="宋体" w:eastAsia="宋体" w:cs="宋体"/>
          <w:b/>
          <w:bCs/>
          <w:color w:val="auto"/>
          <w:kern w:val="2"/>
          <w:sz w:val="24"/>
          <w:szCs w:val="24"/>
          <w:highlight w:val="none"/>
          <w:lang w:val="en-US" w:eastAsia="zh-CN"/>
        </w:rPr>
        <w:t>核心产品品牌：</w:t>
      </w:r>
      <w:r>
        <w:rPr>
          <w:rFonts w:hint="eastAsia" w:ascii="宋体" w:hAnsi="宋体" w:eastAsia="宋体" w:cs="宋体"/>
          <w:b/>
          <w:bCs/>
          <w:color w:val="auto"/>
          <w:kern w:val="2"/>
          <w:sz w:val="24"/>
          <w:szCs w:val="24"/>
          <w:highlight w:val="none"/>
          <w:u w:val="single"/>
          <w:lang w:val="en-US" w:eastAsia="zh-CN"/>
        </w:rPr>
        <w:t xml:space="preserve">                    </w:t>
      </w:r>
      <w:r>
        <w:rPr>
          <w:rFonts w:hint="eastAsia" w:ascii="宋体" w:hAnsi="宋体" w:eastAsia="宋体" w:cs="宋体"/>
          <w:b/>
          <w:bCs/>
          <w:color w:val="auto"/>
          <w:kern w:val="2"/>
          <w:sz w:val="24"/>
          <w:szCs w:val="24"/>
          <w:highlight w:val="none"/>
          <w:u w:val="none"/>
          <w:lang w:val="en-US" w:eastAsia="zh-CN"/>
        </w:rPr>
        <w:t>。</w:t>
      </w:r>
    </w:p>
    <w:p w14:paraId="37CE56F7">
      <w:pPr>
        <w:keepNext w:val="0"/>
        <w:keepLines w:val="0"/>
        <w:pageBreakBefore w:val="0"/>
        <w:widowControl/>
        <w:kinsoku/>
        <w:wordWrap w:val="0"/>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.本投标的投标有效期为自投标截止之日起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日历天。</w:t>
      </w:r>
    </w:p>
    <w:p w14:paraId="23115E72">
      <w:pPr>
        <w:pStyle w:val="13"/>
        <w:keepNext w:val="0"/>
        <w:keepLines w:val="0"/>
        <w:pageBreakBefore w:val="0"/>
        <w:widowControl/>
        <w:kinsoku/>
        <w:wordWrap w:val="0"/>
        <w:overflowPunct/>
        <w:topLinePunct w:val="0"/>
        <w:bidi w:val="0"/>
        <w:adjustRightInd w:val="0"/>
        <w:snapToGrid w:val="0"/>
        <w:spacing w:line="336"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.我方承诺所提交的投标文件及有关资料是完整的、真实的、准确的和有效的，否则，我方承担由此造成的任何损失及引起的任何后果。</w:t>
      </w:r>
    </w:p>
    <w:p w14:paraId="739104B5">
      <w:pPr>
        <w:keepNext w:val="0"/>
        <w:keepLines w:val="0"/>
        <w:pageBreakBefore w:val="0"/>
        <w:widowControl/>
        <w:kinsoku/>
        <w:wordWrap w:val="0"/>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．如我方中标：</w:t>
      </w:r>
    </w:p>
    <w:p w14:paraId="0200562A">
      <w:pPr>
        <w:keepNext w:val="0"/>
        <w:keepLines w:val="0"/>
        <w:pageBreakBefore w:val="0"/>
        <w:widowControl/>
        <w:kinsoku/>
        <w:wordWrap w:val="0"/>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（1）我方承诺在收到中标通知书后，在中标通知书规定的期限内与你方签订合同。</w:t>
      </w:r>
    </w:p>
    <w:p w14:paraId="72631091">
      <w:pPr>
        <w:keepNext w:val="0"/>
        <w:keepLines w:val="0"/>
        <w:pageBreakBefore w:val="0"/>
        <w:widowControl/>
        <w:kinsoku/>
        <w:wordWrap w:val="0"/>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（2）我方承诺按照招标文件规定向你方递交履约保证金。</w:t>
      </w:r>
    </w:p>
    <w:p w14:paraId="2F95B1AB">
      <w:pPr>
        <w:keepNext w:val="0"/>
        <w:keepLines w:val="0"/>
        <w:pageBreakBefore w:val="0"/>
        <w:widowControl/>
        <w:kinsoku/>
        <w:wordWrap w:val="0"/>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（3）我方承诺按合同约定的期限和地点，提供符合招标文件要求的全部的招标货物/服务。</w:t>
      </w:r>
    </w:p>
    <w:p w14:paraId="192A481F">
      <w:pPr>
        <w:keepNext w:val="0"/>
        <w:keepLines w:val="0"/>
        <w:pageBreakBefore w:val="0"/>
        <w:widowControl/>
        <w:kinsoku/>
        <w:wordWrap w:val="0"/>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（4）我方在此声明，所递交的投标文件及有关资料内容完整、真实和准确，且不存在第二章“投标人须知”第1.4.3项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1.4.4项</w:t>
      </w:r>
      <w:r>
        <w:rPr>
          <w:rFonts w:hint="eastAsia" w:ascii="宋体" w:hAnsi="宋体" w:eastAsia="宋体" w:cs="宋体"/>
          <w:color w:val="auto"/>
          <w:sz w:val="24"/>
          <w:szCs w:val="24"/>
          <w:highlight w:val="none"/>
        </w:rPr>
        <w:t>规定的任何一种情形。</w:t>
      </w:r>
    </w:p>
    <w:p w14:paraId="3E864430">
      <w:pPr>
        <w:keepNext w:val="0"/>
        <w:keepLines w:val="0"/>
        <w:pageBreakBefore w:val="0"/>
        <w:widowControl/>
        <w:kinsoku/>
        <w:wordWrap w:val="0"/>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除商务条款偏离表和技术规格偏离表列出的偏差外，我方满足招标文件的全部要求。</w:t>
      </w:r>
    </w:p>
    <w:p w14:paraId="62A7FB08">
      <w:pPr>
        <w:keepNext w:val="0"/>
        <w:keepLines w:val="0"/>
        <w:pageBreakBefore w:val="0"/>
        <w:widowControl/>
        <w:kinsoku/>
        <w:wordWrap w:val="0"/>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（其他补充说明）。</w:t>
      </w:r>
    </w:p>
    <w:p w14:paraId="7039250D">
      <w:pPr>
        <w:pStyle w:val="13"/>
        <w:keepNext w:val="0"/>
        <w:keepLines w:val="0"/>
        <w:pageBreakBefore w:val="0"/>
        <w:widowControl/>
        <w:kinsoku/>
        <w:wordWrap w:val="0"/>
        <w:overflowPunct/>
        <w:topLinePunct w:val="0"/>
        <w:bidi w:val="0"/>
        <w:adjustRightInd w:val="0"/>
        <w:snapToGrid w:val="0"/>
        <w:spacing w:line="336" w:lineRule="auto"/>
        <w:ind w:firstLine="480" w:firstLineChars="200"/>
        <w:textAlignment w:val="auto"/>
        <w:rPr>
          <w:rFonts w:hint="eastAsia" w:ascii="宋体" w:hAnsi="宋体" w:eastAsia="宋体" w:cs="宋体"/>
          <w:color w:val="auto"/>
          <w:kern w:val="0"/>
          <w:sz w:val="24"/>
          <w:szCs w:val="24"/>
          <w:highlight w:val="none"/>
        </w:rPr>
      </w:pPr>
    </w:p>
    <w:p w14:paraId="238FB57E">
      <w:pPr>
        <w:keepNext w:val="0"/>
        <w:keepLines w:val="0"/>
        <w:pageBreakBefore w:val="0"/>
        <w:widowControl/>
        <w:kinsoku/>
        <w:wordWrap w:val="0"/>
        <w:overflowPunct/>
        <w:topLinePunct w:val="0"/>
        <w:bidi w:val="0"/>
        <w:adjustRightInd w:val="0"/>
        <w:snapToGrid w:val="0"/>
        <w:spacing w:line="336" w:lineRule="auto"/>
        <w:ind w:firstLine="2880" w:firstLineChars="1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 标 人：</w:t>
      </w:r>
      <w:r>
        <w:rPr>
          <w:rFonts w:hint="eastAsia" w:ascii="宋体" w:hAnsi="宋体" w:eastAsia="宋体" w:cs="宋体"/>
          <w:b w:val="0"/>
          <w:bCs w:val="0"/>
          <w:color w:val="auto"/>
          <w:sz w:val="24"/>
          <w:szCs w:val="24"/>
          <w:highlight w:val="none"/>
          <w:u w:val="single"/>
        </w:rPr>
        <w:tab/>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(电子签章)</w:t>
      </w:r>
    </w:p>
    <w:p w14:paraId="1CE1930E">
      <w:pPr>
        <w:keepNext w:val="0"/>
        <w:keepLines w:val="0"/>
        <w:pageBreakBefore w:val="0"/>
        <w:widowControl/>
        <w:kinsoku/>
        <w:wordWrap w:val="0"/>
        <w:overflowPunct/>
        <w:topLinePunct w:val="0"/>
        <w:bidi w:val="0"/>
        <w:adjustRightInd w:val="0"/>
        <w:snapToGrid w:val="0"/>
        <w:spacing w:line="336" w:lineRule="auto"/>
        <w:ind w:left="288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法定代表人(单位负责人)或其委托代理人：</w:t>
      </w:r>
      <w:r>
        <w:rPr>
          <w:rFonts w:hint="eastAsia" w:ascii="宋体" w:hAnsi="宋体" w:eastAsia="宋体" w:cs="宋体"/>
          <w:b w:val="0"/>
          <w:bCs w:val="0"/>
          <w:color w:val="auto"/>
          <w:sz w:val="24"/>
          <w:szCs w:val="24"/>
          <w:highlight w:val="none"/>
          <w:u w:val="single"/>
        </w:rPr>
        <w:tab/>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(电子签章)</w:t>
      </w:r>
    </w:p>
    <w:p w14:paraId="48C9640E">
      <w:pPr>
        <w:keepNext w:val="0"/>
        <w:keepLines w:val="0"/>
        <w:pageBreakBefore w:val="0"/>
        <w:widowControl/>
        <w:kinsoku/>
        <w:wordWrap w:val="0"/>
        <w:overflowPunct/>
        <w:topLinePunct w:val="0"/>
        <w:bidi w:val="0"/>
        <w:adjustRightInd w:val="0"/>
        <w:snapToGrid w:val="0"/>
        <w:spacing w:line="336" w:lineRule="auto"/>
        <w:ind w:left="2880"/>
        <w:textAlignment w:val="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地</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rPr>
        <w:t>址：</w:t>
      </w:r>
      <w:r>
        <w:rPr>
          <w:rFonts w:hint="eastAsia" w:ascii="宋体" w:hAnsi="宋体" w:eastAsia="宋体" w:cs="宋体"/>
          <w:b w:val="0"/>
          <w:bCs w:val="0"/>
          <w:color w:val="auto"/>
          <w:sz w:val="24"/>
          <w:szCs w:val="24"/>
          <w:highlight w:val="none"/>
          <w:u w:val="single"/>
        </w:rPr>
        <w:t xml:space="preserve">                                           </w:t>
      </w:r>
    </w:p>
    <w:p w14:paraId="198C3F48">
      <w:pPr>
        <w:keepNext w:val="0"/>
        <w:keepLines w:val="0"/>
        <w:pageBreakBefore w:val="0"/>
        <w:widowControl/>
        <w:kinsoku/>
        <w:wordWrap w:val="0"/>
        <w:overflowPunct/>
        <w:topLinePunct w:val="0"/>
        <w:bidi w:val="0"/>
        <w:adjustRightInd w:val="0"/>
        <w:snapToGrid w:val="0"/>
        <w:spacing w:line="336" w:lineRule="auto"/>
        <w:ind w:left="288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网</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rPr>
        <w:t>址：</w:t>
      </w:r>
      <w:r>
        <w:rPr>
          <w:rFonts w:hint="eastAsia" w:ascii="宋体" w:hAnsi="宋体" w:eastAsia="宋体" w:cs="宋体"/>
          <w:b w:val="0"/>
          <w:bCs w:val="0"/>
          <w:color w:val="auto"/>
          <w:sz w:val="24"/>
          <w:szCs w:val="24"/>
          <w:highlight w:val="none"/>
          <w:u w:val="single"/>
        </w:rPr>
        <w:t xml:space="preserve">                                           </w:t>
      </w:r>
    </w:p>
    <w:p w14:paraId="4A0892C8">
      <w:pPr>
        <w:keepNext w:val="0"/>
        <w:keepLines w:val="0"/>
        <w:pageBreakBefore w:val="0"/>
        <w:widowControl/>
        <w:kinsoku/>
        <w:wordWrap w:val="0"/>
        <w:overflowPunct/>
        <w:topLinePunct w:val="0"/>
        <w:bidi w:val="0"/>
        <w:adjustRightInd w:val="0"/>
        <w:snapToGrid w:val="0"/>
        <w:spacing w:line="336" w:lineRule="auto"/>
        <w:ind w:left="288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电</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rPr>
        <w:t>话：</w:t>
      </w:r>
      <w:r>
        <w:rPr>
          <w:rFonts w:hint="eastAsia" w:ascii="宋体" w:hAnsi="宋体" w:eastAsia="宋体" w:cs="宋体"/>
          <w:b w:val="0"/>
          <w:bCs w:val="0"/>
          <w:color w:val="auto"/>
          <w:sz w:val="24"/>
          <w:szCs w:val="24"/>
          <w:highlight w:val="none"/>
          <w:u w:val="single"/>
        </w:rPr>
        <w:t xml:space="preserve">                                           </w:t>
      </w:r>
    </w:p>
    <w:p w14:paraId="74683BE8">
      <w:pPr>
        <w:keepNext w:val="0"/>
        <w:keepLines w:val="0"/>
        <w:pageBreakBefore w:val="0"/>
        <w:widowControl/>
        <w:kinsoku/>
        <w:wordWrap w:val="0"/>
        <w:overflowPunct/>
        <w:topLinePunct w:val="0"/>
        <w:bidi w:val="0"/>
        <w:adjustRightInd w:val="0"/>
        <w:snapToGrid w:val="0"/>
        <w:spacing w:line="336" w:lineRule="auto"/>
        <w:ind w:left="288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传</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rPr>
        <w:t>真：</w:t>
      </w:r>
      <w:r>
        <w:rPr>
          <w:rFonts w:hint="eastAsia" w:ascii="宋体" w:hAnsi="宋体" w:eastAsia="宋体" w:cs="宋体"/>
          <w:b w:val="0"/>
          <w:bCs w:val="0"/>
          <w:color w:val="auto"/>
          <w:sz w:val="24"/>
          <w:szCs w:val="24"/>
          <w:highlight w:val="none"/>
          <w:u w:val="single"/>
        </w:rPr>
        <w:t xml:space="preserve">                                           </w:t>
      </w:r>
    </w:p>
    <w:p w14:paraId="116B7762">
      <w:pPr>
        <w:keepNext w:val="0"/>
        <w:keepLines w:val="0"/>
        <w:pageBreakBefore w:val="0"/>
        <w:widowControl/>
        <w:kinsoku/>
        <w:wordWrap w:val="0"/>
        <w:overflowPunct/>
        <w:topLinePunct w:val="0"/>
        <w:bidi w:val="0"/>
        <w:adjustRightInd w:val="0"/>
        <w:snapToGrid w:val="0"/>
        <w:spacing w:line="336" w:lineRule="auto"/>
        <w:ind w:left="288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邮政编码：</w:t>
      </w:r>
      <w:r>
        <w:rPr>
          <w:rFonts w:hint="eastAsia" w:ascii="宋体" w:hAnsi="宋体" w:eastAsia="宋体" w:cs="宋体"/>
          <w:b w:val="0"/>
          <w:bCs w:val="0"/>
          <w:color w:val="auto"/>
          <w:sz w:val="24"/>
          <w:szCs w:val="24"/>
          <w:highlight w:val="none"/>
          <w:u w:val="single"/>
        </w:rPr>
        <w:t xml:space="preserve">                                         </w:t>
      </w:r>
    </w:p>
    <w:p w14:paraId="37ED5C95">
      <w:pPr>
        <w:pStyle w:val="37"/>
        <w:pageBreakBefore w:val="0"/>
        <w:kinsoku/>
        <w:wordWrap w:val="0"/>
        <w:overflowPunct/>
        <w:bidi w:val="0"/>
        <w:ind w:firstLine="2400" w:firstLineChars="10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日  期：</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w:t>
      </w:r>
    </w:p>
    <w:p w14:paraId="75B50C5D">
      <w:pPr>
        <w:pStyle w:val="3"/>
        <w:pageBreakBefore w:val="0"/>
        <w:numPr>
          <w:ilvl w:val="0"/>
          <w:numId w:val="0"/>
        </w:numPr>
        <w:kinsoku/>
        <w:wordWrap w:val="0"/>
        <w:overflowPunct/>
        <w:bidi w:val="0"/>
        <w:spacing w:before="0"/>
        <w:jc w:val="center"/>
        <w:rPr>
          <w:rFonts w:hint="eastAsia" w:ascii="宋体" w:hAnsi="宋体" w:eastAsia="宋体" w:cs="宋体"/>
          <w:color w:val="auto"/>
          <w:szCs w:val="28"/>
          <w:highlight w:val="none"/>
          <w:lang w:val="en-US" w:eastAsia="zh-CN"/>
        </w:rPr>
      </w:pPr>
      <w:bookmarkStart w:id="337" w:name="_Toc15980516"/>
      <w:bookmarkStart w:id="338" w:name="_Toc25087"/>
      <w:bookmarkStart w:id="339" w:name="_Toc32148"/>
      <w:bookmarkStart w:id="340" w:name="_Toc24885"/>
      <w:r>
        <w:rPr>
          <w:rFonts w:hint="eastAsia" w:ascii="宋体" w:hAnsi="宋体" w:eastAsia="宋体" w:cs="宋体"/>
          <w:color w:val="auto"/>
          <w:szCs w:val="28"/>
          <w:highlight w:val="none"/>
          <w:lang w:val="en-US" w:eastAsia="zh-CN"/>
        </w:rPr>
        <w:t>二、投标保证</w:t>
      </w:r>
      <w:bookmarkEnd w:id="337"/>
      <w:r>
        <w:rPr>
          <w:rFonts w:hint="eastAsia" w:ascii="宋体" w:hAnsi="宋体" w:eastAsia="宋体" w:cs="宋体"/>
          <w:color w:val="auto"/>
          <w:szCs w:val="28"/>
          <w:highlight w:val="none"/>
          <w:lang w:val="en-US" w:eastAsia="zh-CN"/>
        </w:rPr>
        <w:t>书</w:t>
      </w:r>
    </w:p>
    <w:p w14:paraId="39B90AA1">
      <w:pPr>
        <w:keepNext w:val="0"/>
        <w:keepLines w:val="0"/>
        <w:pageBreakBefore w:val="0"/>
        <w:widowControl w:val="0"/>
        <w:shd w:val="clear" w:color="auto" w:fill="FFFFFF"/>
        <w:kinsoku/>
        <w:wordWrap/>
        <w:overflowPunct/>
        <w:topLinePunct w:val="0"/>
        <w:autoSpaceDE/>
        <w:autoSpaceDN/>
        <w:bidi w:val="0"/>
        <w:adjustRightInd/>
        <w:snapToGrid/>
        <w:spacing w:before="167" w:beforeLines="50" w:line="360" w:lineRule="auto"/>
        <w:textAlignment w:val="auto"/>
        <w:rPr>
          <w:rFonts w:hint="default" w:ascii="宋体" w:hAnsi="宋体" w:eastAsia="宋体" w:cs="宋体"/>
          <w:b/>
          <w:bCs/>
          <w:color w:val="auto"/>
          <w:sz w:val="24"/>
          <w:highlight w:val="none"/>
          <w:lang w:val="en-US"/>
        </w:rPr>
      </w:pPr>
      <w:r>
        <w:rPr>
          <w:rFonts w:hint="eastAsia" w:ascii="宋体" w:hAnsi="宋体" w:eastAsia="宋体" w:cs="宋体"/>
          <w:b/>
          <w:bCs/>
          <w:color w:val="auto"/>
          <w:sz w:val="24"/>
          <w:highlight w:val="none"/>
        </w:rPr>
        <w:t>致</w:t>
      </w:r>
      <w:r>
        <w:rPr>
          <w:rFonts w:hint="eastAsia" w:ascii="宋体" w:hAnsi="宋体" w:cs="宋体"/>
          <w:b/>
          <w:bCs/>
          <w:color w:val="auto"/>
          <w:sz w:val="24"/>
          <w:highlight w:val="none"/>
          <w:u w:val="single"/>
          <w:lang w:val="en-US" w:eastAsia="zh-CN"/>
        </w:rPr>
        <w:t xml:space="preserve">             （采购人）</w:t>
      </w:r>
    </w:p>
    <w:p w14:paraId="55D604EA">
      <w:pPr>
        <w:shd w:val="clear" w:color="auto" w:fill="FFFFFF"/>
        <w:wordWrap w:val="0"/>
        <w:spacing w:line="480" w:lineRule="auto"/>
        <w:ind w:firstLine="480" w:firstLineChars="20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本书作为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（投标人名称）对</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名称）（招标编号为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）提供投标保证金的保证。</w:t>
      </w:r>
    </w:p>
    <w:p w14:paraId="5116747B">
      <w:pPr>
        <w:shd w:val="clear" w:color="auto" w:fill="FFFFFF"/>
        <w:spacing w:before="60" w:after="60" w:line="500" w:lineRule="atLeas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一旦发生下述行为，我单位（或公司）将放弃追索投标保证金的权利：</w:t>
      </w:r>
    </w:p>
    <w:p w14:paraId="77A0CBA7">
      <w:pPr>
        <w:shd w:val="clear" w:color="auto" w:fill="FFFFFF"/>
        <w:spacing w:before="60" w:after="60" w:line="500" w:lineRule="atLeas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（1）在提交投标文件截止时间后，在投标有效期内撤销投标文件的。</w:t>
      </w:r>
    </w:p>
    <w:p w14:paraId="15527871">
      <w:pPr>
        <w:shd w:val="clear" w:color="auto" w:fill="FFFFFF"/>
        <w:spacing w:before="60" w:after="60" w:line="500" w:lineRule="atLeas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（2）在投标文件中提供虚假材料的。</w:t>
      </w:r>
    </w:p>
    <w:p w14:paraId="02631425">
      <w:pPr>
        <w:shd w:val="clear" w:color="auto" w:fill="FFFFFF"/>
        <w:spacing w:before="60" w:after="60" w:line="500" w:lineRule="atLeas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（3）除因不可抗力或招标文件认可的情形以外，中标</w:t>
      </w:r>
      <w:r>
        <w:rPr>
          <w:rFonts w:hint="eastAsia" w:ascii="宋体" w:hAnsi="宋体" w:eastAsia="宋体" w:cs="宋体"/>
          <w:color w:val="auto"/>
          <w:sz w:val="24"/>
          <w:highlight w:val="none"/>
          <w:lang w:val="en-US" w:eastAsia="zh-CN"/>
        </w:rPr>
        <w:t>后</w:t>
      </w:r>
      <w:r>
        <w:rPr>
          <w:rFonts w:hint="eastAsia" w:ascii="宋体" w:hAnsi="宋体" w:eastAsia="宋体" w:cs="宋体"/>
          <w:color w:val="auto"/>
          <w:sz w:val="24"/>
          <w:highlight w:val="none"/>
        </w:rPr>
        <w:t>不与</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签订合同的。</w:t>
      </w:r>
    </w:p>
    <w:p w14:paraId="022E51D1">
      <w:pPr>
        <w:shd w:val="clear" w:color="auto" w:fill="FFFFFF"/>
        <w:spacing w:before="60" w:after="60" w:line="500" w:lineRule="atLeas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（4）与其他投标人恶意串通的。</w:t>
      </w:r>
    </w:p>
    <w:p w14:paraId="4481634C">
      <w:pPr>
        <w:shd w:val="clear" w:color="auto" w:fill="FFFFFF"/>
        <w:spacing w:before="60" w:after="60" w:line="500" w:lineRule="atLeas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（5）由于</w:t>
      </w:r>
      <w:r>
        <w:rPr>
          <w:rFonts w:hint="eastAsia" w:ascii="宋体" w:hAnsi="宋体" w:eastAsia="宋体" w:cs="宋体"/>
          <w:color w:val="auto"/>
          <w:sz w:val="24"/>
          <w:highlight w:val="none"/>
          <w:lang w:val="en-US" w:eastAsia="zh-CN"/>
        </w:rPr>
        <w:t>我</w:t>
      </w:r>
      <w:r>
        <w:rPr>
          <w:rFonts w:hint="eastAsia" w:ascii="宋体" w:hAnsi="宋体" w:eastAsia="宋体" w:cs="宋体"/>
          <w:color w:val="auto"/>
          <w:sz w:val="24"/>
          <w:highlight w:val="none"/>
        </w:rPr>
        <w:t>单位（或公司）的原因未按规定的时间、地点与</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签订合同或未提交履约保证金和支付</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代理服务费的。</w:t>
      </w:r>
    </w:p>
    <w:p w14:paraId="14D5F01F">
      <w:pPr>
        <w:shd w:val="clear" w:color="auto" w:fill="FFFFFF"/>
        <w:spacing w:before="60" w:after="60" w:line="500" w:lineRule="atLeas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（6）在签订合同时向</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提出附加条件的。</w:t>
      </w:r>
    </w:p>
    <w:p w14:paraId="3CC0C2F2">
      <w:pPr>
        <w:shd w:val="clear" w:color="auto" w:fill="FFFFFF"/>
        <w:spacing w:before="60" w:after="60" w:line="500" w:lineRule="atLeas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）投标保证金自递交投标文件截止时间起</w:t>
      </w:r>
      <w:r>
        <w:rPr>
          <w:rFonts w:hint="eastAsia" w:ascii="宋体" w:hAnsi="宋体" w:eastAsia="宋体" w:cs="宋体"/>
          <w:color w:val="auto"/>
          <w:sz w:val="24"/>
          <w:highlight w:val="none"/>
          <w:u w:val="none"/>
          <w:lang w:val="en-US" w:eastAsia="zh-CN"/>
        </w:rPr>
        <w:t>至投标有效期满保持</w:t>
      </w:r>
      <w:r>
        <w:rPr>
          <w:rFonts w:hint="eastAsia" w:ascii="宋体" w:hAnsi="宋体" w:eastAsia="宋体" w:cs="宋体"/>
          <w:color w:val="auto"/>
          <w:sz w:val="24"/>
          <w:highlight w:val="none"/>
        </w:rPr>
        <w:t>有效，除非贵方提前终止或解除本投标保证书。</w:t>
      </w:r>
    </w:p>
    <w:p w14:paraId="40BDD04C">
      <w:pPr>
        <w:pStyle w:val="94"/>
        <w:ind w:firstLine="613"/>
        <w:rPr>
          <w:rFonts w:hint="eastAsia" w:ascii="宋体" w:hAnsi="宋体" w:eastAsia="宋体" w:cs="宋体"/>
          <w:color w:val="auto"/>
          <w:szCs w:val="21"/>
          <w:highlight w:val="none"/>
          <w:lang w:eastAsia="zh-CN"/>
        </w:rPr>
      </w:pPr>
    </w:p>
    <w:p w14:paraId="67BAEEAF">
      <w:pPr>
        <w:pStyle w:val="94"/>
        <w:ind w:firstLine="613"/>
        <w:rPr>
          <w:rFonts w:hint="eastAsia" w:ascii="宋体" w:hAnsi="宋体" w:eastAsia="宋体" w:cs="宋体"/>
          <w:color w:val="auto"/>
          <w:szCs w:val="21"/>
          <w:highlight w:val="none"/>
          <w:lang w:eastAsia="zh-CN"/>
        </w:rPr>
      </w:pPr>
    </w:p>
    <w:p w14:paraId="50F2B1D7">
      <w:pPr>
        <w:spacing w:line="360" w:lineRule="auto"/>
        <w:ind w:left="0" w:lef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07966483">
      <w:pPr>
        <w:spacing w:line="360" w:lineRule="auto"/>
        <w:ind w:left="0" w:lef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113CA05D">
      <w:pPr>
        <w:shd w:val="clear" w:color="auto" w:fill="FFFFFF"/>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2BF7203">
      <w:pPr>
        <w:pStyle w:val="94"/>
        <w:ind w:firstLine="613"/>
        <w:rPr>
          <w:rFonts w:hint="eastAsia" w:ascii="宋体" w:hAnsi="宋体" w:eastAsia="宋体" w:cs="宋体"/>
          <w:color w:val="auto"/>
          <w:szCs w:val="21"/>
          <w:highlight w:val="none"/>
          <w:lang w:eastAsia="zh-CN"/>
        </w:rPr>
      </w:pPr>
    </w:p>
    <w:p w14:paraId="5C7B4920">
      <w:pPr>
        <w:pStyle w:val="94"/>
        <w:ind w:firstLine="470" w:firstLineChars="200"/>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备注：附保证金缴纳凭证扫描件。</w:t>
      </w:r>
    </w:p>
    <w:p w14:paraId="21B95D9B">
      <w:pPr>
        <w:pStyle w:val="4"/>
        <w:pageBreakBefore w:val="0"/>
        <w:kinsoku/>
        <w:wordWrap w:val="0"/>
        <w:overflowPunct/>
        <w:bidi w:val="0"/>
        <w:rPr>
          <w:rFonts w:hint="eastAsia" w:ascii="仿宋" w:hAnsi="仿宋" w:eastAsia="仿宋" w:cs="仿宋"/>
          <w:color w:val="auto"/>
          <w:kern w:val="0"/>
          <w:sz w:val="24"/>
          <w:highlight w:val="none"/>
        </w:rPr>
      </w:pPr>
    </w:p>
    <w:p w14:paraId="25A402CC">
      <w:pPr>
        <w:rPr>
          <w:rFonts w:hint="eastAsia"/>
          <w:color w:val="auto"/>
          <w:highlight w:val="none"/>
          <w:lang w:val="en-US" w:eastAsia="zh-CN"/>
        </w:rPr>
        <w:sectPr>
          <w:pgSz w:w="11906" w:h="16838"/>
          <w:pgMar w:top="1134" w:right="1134" w:bottom="1440" w:left="1361" w:header="850" w:footer="510" w:gutter="0"/>
          <w:pgBorders>
            <w:top w:val="none" w:sz="0" w:space="0"/>
            <w:left w:val="none" w:sz="0" w:space="0"/>
            <w:bottom w:val="none" w:sz="0" w:space="0"/>
            <w:right w:val="none" w:sz="0" w:space="0"/>
          </w:pgBorders>
          <w:pgNumType w:fmt="decimal"/>
          <w:cols w:space="0" w:num="1"/>
          <w:rtlGutter w:val="0"/>
          <w:docGrid w:linePitch="317" w:charSpace="0"/>
        </w:sectPr>
      </w:pPr>
    </w:p>
    <w:p w14:paraId="1C41B7ED">
      <w:pPr>
        <w:pStyle w:val="3"/>
        <w:pageBreakBefore w:val="0"/>
        <w:numPr>
          <w:ilvl w:val="0"/>
          <w:numId w:val="0"/>
        </w:numPr>
        <w:kinsoku/>
        <w:wordWrap w:val="0"/>
        <w:overflowPunct/>
        <w:bidi w:val="0"/>
        <w:spacing w:before="0"/>
        <w:ind w:leftChars="0"/>
        <w:jc w:val="center"/>
        <w:rPr>
          <w:rFonts w:hint="eastAsia"/>
          <w:color w:val="auto"/>
          <w:highlight w:val="none"/>
          <w:lang w:val="en-US" w:eastAsia="zh-CN"/>
        </w:rPr>
      </w:pPr>
      <w:r>
        <w:rPr>
          <w:rFonts w:hint="eastAsia" w:ascii="宋体" w:hAnsi="宋体" w:eastAsia="宋体" w:cs="宋体"/>
          <w:color w:val="auto"/>
          <w:szCs w:val="28"/>
          <w:highlight w:val="none"/>
          <w:lang w:val="en-US" w:eastAsia="zh-CN"/>
        </w:rPr>
        <w:t>三、商务条款偏离表和</w:t>
      </w:r>
      <w:bookmarkEnd w:id="338"/>
      <w:r>
        <w:rPr>
          <w:rFonts w:hint="eastAsia" w:ascii="宋体" w:hAnsi="宋体" w:eastAsia="宋体" w:cs="宋体"/>
          <w:color w:val="auto"/>
          <w:szCs w:val="28"/>
          <w:highlight w:val="none"/>
          <w:lang w:val="en-US" w:eastAsia="zh-CN"/>
        </w:rPr>
        <w:t>技术规格偏离表</w:t>
      </w:r>
      <w:bookmarkEnd w:id="339"/>
      <w:bookmarkEnd w:id="340"/>
    </w:p>
    <w:p w14:paraId="4169D1B5">
      <w:pPr>
        <w:pStyle w:val="3"/>
        <w:pageBreakBefore w:val="0"/>
        <w:numPr>
          <w:ilvl w:val="0"/>
          <w:numId w:val="0"/>
        </w:numPr>
        <w:kinsoku/>
        <w:wordWrap w:val="0"/>
        <w:overflowPunct/>
        <w:bidi w:val="0"/>
        <w:spacing w:before="0"/>
        <w:ind w:leftChars="0"/>
        <w:jc w:val="both"/>
        <w:rPr>
          <w:rFonts w:hint="eastAsia"/>
          <w:color w:val="auto"/>
          <w:highlight w:val="none"/>
          <w:lang w:val="en-US" w:eastAsia="zh-CN"/>
        </w:rPr>
      </w:pPr>
      <w:bookmarkStart w:id="341" w:name="_Toc30815"/>
      <w:r>
        <w:rPr>
          <w:rFonts w:hint="eastAsia" w:ascii="宋体" w:hAnsi="宋体" w:eastAsia="宋体" w:cs="宋体"/>
          <w:b/>
          <w:bCs/>
          <w:color w:val="auto"/>
          <w:sz w:val="24"/>
          <w:szCs w:val="24"/>
          <w:highlight w:val="none"/>
        </w:rPr>
        <w:t>(一)商务条款</w:t>
      </w:r>
      <w:r>
        <w:rPr>
          <w:rFonts w:hint="eastAsia" w:ascii="宋体" w:hAnsi="宋体" w:eastAsia="宋体" w:cs="宋体"/>
          <w:b/>
          <w:bCs/>
          <w:color w:val="auto"/>
          <w:sz w:val="24"/>
          <w:szCs w:val="24"/>
          <w:highlight w:val="none"/>
          <w:lang w:val="en-US" w:eastAsia="zh-CN"/>
        </w:rPr>
        <w:t>偏离</w:t>
      </w:r>
      <w:r>
        <w:rPr>
          <w:rFonts w:hint="eastAsia" w:ascii="宋体" w:hAnsi="宋体" w:eastAsia="宋体" w:cs="宋体"/>
          <w:b/>
          <w:bCs/>
          <w:color w:val="auto"/>
          <w:sz w:val="24"/>
          <w:szCs w:val="24"/>
          <w:highlight w:val="none"/>
        </w:rPr>
        <w:t>表</w:t>
      </w:r>
      <w:bookmarkEnd w:id="341"/>
    </w:p>
    <w:p w14:paraId="534A147A">
      <w:pPr>
        <w:pageBreakBefore w:val="0"/>
        <w:kinsoku/>
        <w:wordWrap w:val="0"/>
        <w:overflowPunct/>
        <w:bidi w:val="0"/>
        <w:spacing w:after="66" w:afterLines="20" w:line="420" w:lineRule="exact"/>
        <w:rPr>
          <w:rFonts w:hint="default" w:ascii="宋体" w:hAnsi="宋体"/>
          <w:color w:val="auto"/>
          <w:spacing w:val="10"/>
          <w:sz w:val="24"/>
          <w:highlight w:val="none"/>
          <w:lang w:val="en-US" w:eastAsia="zh-CN"/>
        </w:rPr>
      </w:pPr>
      <w:r>
        <w:rPr>
          <w:rFonts w:hint="eastAsia" w:ascii="宋体" w:hAnsi="宋体"/>
          <w:color w:val="auto"/>
          <w:spacing w:val="10"/>
          <w:sz w:val="24"/>
          <w:highlight w:val="none"/>
        </w:rPr>
        <w:t>项目名称：</w:t>
      </w:r>
      <w:r>
        <w:rPr>
          <w:rFonts w:hint="eastAsia" w:ascii="宋体" w:hAnsi="宋体"/>
          <w:color w:val="auto"/>
          <w:spacing w:val="10"/>
          <w:sz w:val="24"/>
          <w:highlight w:val="none"/>
          <w:u w:val="single"/>
          <w:lang w:val="en-US" w:eastAsia="zh-CN"/>
        </w:rPr>
        <w:t xml:space="preserve">        </w:t>
      </w:r>
    </w:p>
    <w:p w14:paraId="28C41C82">
      <w:pPr>
        <w:pageBreakBefore w:val="0"/>
        <w:kinsoku/>
        <w:wordWrap w:val="0"/>
        <w:overflowPunct/>
        <w:bidi w:val="0"/>
        <w:spacing w:line="44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A.□我公司已详细阅读招标文件中各项商务要求，所有商务要求均无偏离，中标后我公司将严格遵照执行。</w:t>
      </w:r>
    </w:p>
    <w:p w14:paraId="3411EEF3">
      <w:pPr>
        <w:pageBreakBefore w:val="0"/>
        <w:kinsoku/>
        <w:wordWrap w:val="0"/>
        <w:overflowPunct/>
        <w:bidi w:val="0"/>
        <w:spacing w:line="44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B.□我公司已详细阅读招标文件中各项商务要求，除下述条款有偏离外，其余条款我公司均予以认可，中标后将严格遵照执行。</w:t>
      </w:r>
    </w:p>
    <w:p w14:paraId="694BB911">
      <w:pPr>
        <w:pageBreakBefore w:val="0"/>
        <w:kinsoku/>
        <w:wordWrap w:val="0"/>
        <w:overflowPunct/>
        <w:bidi w:val="0"/>
        <w:spacing w:line="440" w:lineRule="exac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品目名称：</w:t>
      </w:r>
      <w:r>
        <w:rPr>
          <w:rFonts w:hint="eastAsia" w:ascii="宋体" w:hAnsi="宋体"/>
          <w:color w:val="auto"/>
          <w:sz w:val="24"/>
          <w:highlight w:val="none"/>
          <w:u w:val="single"/>
        </w:rPr>
        <w:t xml:space="preserve">                </w:t>
      </w:r>
      <w:r>
        <w:rPr>
          <w:rFonts w:hint="eastAsia" w:asciiTheme="majorEastAsia" w:hAnsiTheme="majorEastAsia" w:eastAsiaTheme="majorEastAsia" w:cstheme="majorEastAsia"/>
          <w:color w:val="auto"/>
          <w:sz w:val="24"/>
          <w:szCs w:val="24"/>
          <w:highlight w:val="none"/>
          <w:lang w:val="en-US" w:eastAsia="zh-CN"/>
        </w:rPr>
        <w:t xml:space="preserve"> （序号</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lang w:val="en-US" w:eastAsia="zh-CN"/>
        </w:rPr>
        <w:t>）</w:t>
      </w:r>
    </w:p>
    <w:tbl>
      <w:tblPr>
        <w:tblStyle w:val="3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2"/>
        <w:gridCol w:w="7246"/>
        <w:gridCol w:w="5636"/>
      </w:tblGrid>
      <w:tr w14:paraId="4431D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jc w:val="center"/>
        </w:trPr>
        <w:tc>
          <w:tcPr>
            <w:tcW w:w="550" w:type="pct"/>
            <w:shd w:val="pct5" w:color="auto" w:fill="auto"/>
            <w:noWrap w:val="0"/>
            <w:vAlign w:val="center"/>
          </w:tcPr>
          <w:p w14:paraId="3ADE6B8B">
            <w:pPr>
              <w:pageBreakBefore w:val="0"/>
              <w:kinsoku/>
              <w:wordWrap w:val="0"/>
              <w:overflowPunct/>
              <w:bidi w:val="0"/>
              <w:spacing w:line="44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序号</w:t>
            </w:r>
          </w:p>
        </w:tc>
        <w:tc>
          <w:tcPr>
            <w:tcW w:w="2502" w:type="pct"/>
            <w:shd w:val="pct5" w:color="auto" w:fill="auto"/>
            <w:noWrap w:val="0"/>
            <w:vAlign w:val="center"/>
          </w:tcPr>
          <w:p w14:paraId="5CFE6CAB">
            <w:pPr>
              <w:pageBreakBefore w:val="0"/>
              <w:kinsoku/>
              <w:wordWrap w:val="0"/>
              <w:overflowPunct/>
              <w:bidi w:val="0"/>
              <w:spacing w:line="44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招标文件的商务条款要求</w:t>
            </w:r>
          </w:p>
        </w:tc>
        <w:tc>
          <w:tcPr>
            <w:tcW w:w="1946" w:type="pct"/>
            <w:shd w:val="pct5" w:color="auto" w:fill="auto"/>
            <w:noWrap w:val="0"/>
            <w:vAlign w:val="center"/>
          </w:tcPr>
          <w:p w14:paraId="31C924F3">
            <w:pPr>
              <w:pageBreakBefore w:val="0"/>
              <w:kinsoku/>
              <w:wordWrap w:val="0"/>
              <w:overflowPunct/>
              <w:bidi w:val="0"/>
              <w:spacing w:line="44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投标文件的商务条款</w:t>
            </w:r>
          </w:p>
        </w:tc>
      </w:tr>
      <w:tr w14:paraId="3D95D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jc w:val="center"/>
        </w:trPr>
        <w:tc>
          <w:tcPr>
            <w:tcW w:w="550" w:type="pct"/>
            <w:noWrap w:val="0"/>
            <w:vAlign w:val="center"/>
          </w:tcPr>
          <w:p w14:paraId="42472680">
            <w:pPr>
              <w:pageBreakBefore w:val="0"/>
              <w:kinsoku/>
              <w:wordWrap w:val="0"/>
              <w:overflowPunct/>
              <w:bidi w:val="0"/>
              <w:spacing w:line="440" w:lineRule="exact"/>
              <w:jc w:val="center"/>
              <w:rPr>
                <w:rFonts w:hint="eastAsia" w:asciiTheme="majorEastAsia" w:hAnsiTheme="majorEastAsia" w:eastAsiaTheme="majorEastAsia" w:cstheme="majorEastAsia"/>
                <w:color w:val="auto"/>
                <w:sz w:val="24"/>
                <w:szCs w:val="24"/>
                <w:highlight w:val="none"/>
              </w:rPr>
            </w:pPr>
          </w:p>
        </w:tc>
        <w:tc>
          <w:tcPr>
            <w:tcW w:w="2502" w:type="pct"/>
            <w:noWrap w:val="0"/>
            <w:vAlign w:val="center"/>
          </w:tcPr>
          <w:p w14:paraId="4967A07C">
            <w:pPr>
              <w:pageBreakBefore w:val="0"/>
              <w:kinsoku/>
              <w:wordWrap w:val="0"/>
              <w:overflowPunct/>
              <w:bidi w:val="0"/>
              <w:spacing w:line="440" w:lineRule="exact"/>
              <w:jc w:val="center"/>
              <w:rPr>
                <w:rFonts w:hint="eastAsia" w:asciiTheme="majorEastAsia" w:hAnsiTheme="majorEastAsia" w:eastAsiaTheme="majorEastAsia" w:cstheme="majorEastAsia"/>
                <w:color w:val="auto"/>
                <w:sz w:val="24"/>
                <w:szCs w:val="24"/>
                <w:highlight w:val="none"/>
              </w:rPr>
            </w:pPr>
          </w:p>
        </w:tc>
        <w:tc>
          <w:tcPr>
            <w:tcW w:w="1946" w:type="pct"/>
            <w:noWrap w:val="0"/>
            <w:vAlign w:val="center"/>
          </w:tcPr>
          <w:p w14:paraId="0D5520B8">
            <w:pPr>
              <w:pageBreakBefore w:val="0"/>
              <w:kinsoku/>
              <w:wordWrap w:val="0"/>
              <w:overflowPunct/>
              <w:bidi w:val="0"/>
              <w:spacing w:line="440" w:lineRule="exact"/>
              <w:jc w:val="center"/>
              <w:rPr>
                <w:rFonts w:hint="eastAsia" w:asciiTheme="majorEastAsia" w:hAnsiTheme="majorEastAsia" w:eastAsiaTheme="majorEastAsia" w:cstheme="majorEastAsia"/>
                <w:color w:val="auto"/>
                <w:sz w:val="24"/>
                <w:szCs w:val="24"/>
                <w:highlight w:val="none"/>
              </w:rPr>
            </w:pPr>
          </w:p>
        </w:tc>
      </w:tr>
      <w:tr w14:paraId="69675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jc w:val="center"/>
        </w:trPr>
        <w:tc>
          <w:tcPr>
            <w:tcW w:w="550" w:type="pct"/>
            <w:noWrap w:val="0"/>
            <w:vAlign w:val="center"/>
          </w:tcPr>
          <w:p w14:paraId="05C593AC">
            <w:pPr>
              <w:pageBreakBefore w:val="0"/>
              <w:kinsoku/>
              <w:wordWrap w:val="0"/>
              <w:overflowPunct/>
              <w:bidi w:val="0"/>
              <w:spacing w:line="440" w:lineRule="exact"/>
              <w:jc w:val="center"/>
              <w:rPr>
                <w:rFonts w:hint="eastAsia" w:asciiTheme="majorEastAsia" w:hAnsiTheme="majorEastAsia" w:eastAsiaTheme="majorEastAsia" w:cstheme="majorEastAsia"/>
                <w:color w:val="auto"/>
                <w:sz w:val="24"/>
                <w:szCs w:val="24"/>
                <w:highlight w:val="none"/>
              </w:rPr>
            </w:pPr>
          </w:p>
        </w:tc>
        <w:tc>
          <w:tcPr>
            <w:tcW w:w="2502" w:type="pct"/>
            <w:noWrap w:val="0"/>
            <w:vAlign w:val="center"/>
          </w:tcPr>
          <w:p w14:paraId="6D3A3CD3">
            <w:pPr>
              <w:pageBreakBefore w:val="0"/>
              <w:kinsoku/>
              <w:wordWrap w:val="0"/>
              <w:overflowPunct/>
              <w:bidi w:val="0"/>
              <w:spacing w:line="440" w:lineRule="exact"/>
              <w:jc w:val="center"/>
              <w:rPr>
                <w:rFonts w:hint="eastAsia" w:asciiTheme="majorEastAsia" w:hAnsiTheme="majorEastAsia" w:eastAsiaTheme="majorEastAsia" w:cstheme="majorEastAsia"/>
                <w:color w:val="auto"/>
                <w:sz w:val="24"/>
                <w:szCs w:val="24"/>
                <w:highlight w:val="none"/>
              </w:rPr>
            </w:pPr>
          </w:p>
        </w:tc>
        <w:tc>
          <w:tcPr>
            <w:tcW w:w="1946" w:type="pct"/>
            <w:noWrap w:val="0"/>
            <w:vAlign w:val="center"/>
          </w:tcPr>
          <w:p w14:paraId="33251B03">
            <w:pPr>
              <w:pageBreakBefore w:val="0"/>
              <w:kinsoku/>
              <w:wordWrap w:val="0"/>
              <w:overflowPunct/>
              <w:bidi w:val="0"/>
              <w:spacing w:line="440" w:lineRule="exact"/>
              <w:jc w:val="center"/>
              <w:rPr>
                <w:rFonts w:hint="eastAsia" w:asciiTheme="majorEastAsia" w:hAnsiTheme="majorEastAsia" w:eastAsiaTheme="majorEastAsia" w:cstheme="majorEastAsia"/>
                <w:color w:val="auto"/>
                <w:sz w:val="24"/>
                <w:szCs w:val="24"/>
                <w:highlight w:val="none"/>
              </w:rPr>
            </w:pPr>
          </w:p>
        </w:tc>
      </w:tr>
    </w:tbl>
    <w:p w14:paraId="13617BA7">
      <w:pPr>
        <w:pageBreakBefore w:val="0"/>
        <w:kinsoku/>
        <w:wordWrap w:val="0"/>
        <w:overflowPunct/>
        <w:bidi w:val="0"/>
        <w:spacing w:line="240" w:lineRule="auto"/>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备注：</w:t>
      </w:r>
    </w:p>
    <w:p w14:paraId="1ECEB630">
      <w:pPr>
        <w:pageBreakBefore w:val="0"/>
        <w:numPr>
          <w:ilvl w:val="0"/>
          <w:numId w:val="11"/>
        </w:numPr>
        <w:kinsoku/>
        <w:wordWrap w:val="0"/>
        <w:overflowPunct/>
        <w:bidi w:val="0"/>
        <w:spacing w:line="240" w:lineRule="auto"/>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投标人应对</w:t>
      </w:r>
      <w:r>
        <w:rPr>
          <w:rFonts w:hint="eastAsia" w:asciiTheme="majorEastAsia" w:hAnsiTheme="majorEastAsia" w:eastAsiaTheme="majorEastAsia" w:cstheme="majorEastAsia"/>
          <w:color w:val="auto"/>
          <w:sz w:val="24"/>
          <w:szCs w:val="24"/>
          <w:highlight w:val="none"/>
          <w:lang w:val="en-US" w:eastAsia="zh-CN"/>
        </w:rPr>
        <w:t>照</w:t>
      </w:r>
      <w:r>
        <w:rPr>
          <w:rFonts w:hint="eastAsia" w:asciiTheme="majorEastAsia" w:hAnsiTheme="majorEastAsia" w:eastAsiaTheme="majorEastAsia" w:cstheme="majorEastAsia"/>
          <w:color w:val="auto"/>
          <w:sz w:val="24"/>
          <w:szCs w:val="24"/>
          <w:highlight w:val="none"/>
        </w:rPr>
        <w:t>招标文件第</w:t>
      </w:r>
      <w:r>
        <w:rPr>
          <w:rFonts w:hint="eastAsia" w:asciiTheme="majorEastAsia" w:hAnsiTheme="majorEastAsia" w:eastAsiaTheme="majorEastAsia" w:cstheme="majorEastAsia"/>
          <w:color w:val="auto"/>
          <w:sz w:val="24"/>
          <w:szCs w:val="24"/>
          <w:highlight w:val="none"/>
          <w:lang w:val="en-US" w:eastAsia="zh-CN"/>
        </w:rPr>
        <w:t>六</w:t>
      </w:r>
      <w:r>
        <w:rPr>
          <w:rFonts w:hint="eastAsia" w:asciiTheme="majorEastAsia" w:hAnsiTheme="majorEastAsia" w:eastAsiaTheme="majorEastAsia" w:cstheme="majorEastAsia"/>
          <w:color w:val="auto"/>
          <w:sz w:val="24"/>
          <w:szCs w:val="24"/>
          <w:highlight w:val="none"/>
        </w:rPr>
        <w:t>章《</w:t>
      </w:r>
      <w:r>
        <w:rPr>
          <w:rFonts w:hint="eastAsia" w:asciiTheme="majorEastAsia" w:hAnsiTheme="majorEastAsia" w:eastAsiaTheme="majorEastAsia" w:cstheme="majorEastAsia"/>
          <w:color w:val="auto"/>
          <w:sz w:val="24"/>
          <w:szCs w:val="24"/>
          <w:highlight w:val="none"/>
          <w:lang w:eastAsia="zh-CN"/>
        </w:rPr>
        <w:t>采购需求</w:t>
      </w:r>
      <w:r>
        <w:rPr>
          <w:rFonts w:hint="eastAsia" w:asciiTheme="majorEastAsia" w:hAnsiTheme="majorEastAsia" w:eastAsiaTheme="majorEastAsia" w:cstheme="majorEastAsia"/>
          <w:color w:val="auto"/>
          <w:sz w:val="24"/>
          <w:szCs w:val="24"/>
          <w:highlight w:val="none"/>
        </w:rPr>
        <w:t>及技术规格</w:t>
      </w:r>
      <w:r>
        <w:rPr>
          <w:rFonts w:hint="eastAsia" w:asciiTheme="majorEastAsia" w:hAnsiTheme="majorEastAsia" w:eastAsiaTheme="majorEastAsia" w:cstheme="majorEastAsia"/>
          <w:color w:val="auto"/>
          <w:sz w:val="24"/>
          <w:szCs w:val="24"/>
          <w:highlight w:val="none"/>
          <w:lang w:val="en-US" w:eastAsia="zh-CN"/>
        </w:rPr>
        <w:t>要求</w:t>
      </w:r>
      <w:r>
        <w:rPr>
          <w:rFonts w:hint="eastAsia" w:asciiTheme="majorEastAsia" w:hAnsiTheme="majorEastAsia" w:eastAsiaTheme="majorEastAsia" w:cstheme="majorEastAsia"/>
          <w:color w:val="auto"/>
          <w:sz w:val="24"/>
          <w:szCs w:val="24"/>
          <w:highlight w:val="none"/>
        </w:rPr>
        <w:t>》和第</w:t>
      </w:r>
      <w:r>
        <w:rPr>
          <w:rFonts w:hint="eastAsia" w:asciiTheme="majorEastAsia" w:hAnsiTheme="majorEastAsia" w:eastAsiaTheme="majorEastAsia" w:cstheme="majorEastAsia"/>
          <w:color w:val="auto"/>
          <w:sz w:val="24"/>
          <w:szCs w:val="24"/>
          <w:highlight w:val="none"/>
          <w:lang w:val="en-US" w:eastAsia="zh-CN"/>
        </w:rPr>
        <w:t>五</w:t>
      </w:r>
      <w:r>
        <w:rPr>
          <w:rFonts w:hint="eastAsia" w:asciiTheme="majorEastAsia" w:hAnsiTheme="majorEastAsia" w:eastAsiaTheme="majorEastAsia" w:cstheme="majorEastAsia"/>
          <w:color w:val="auto"/>
          <w:sz w:val="24"/>
          <w:szCs w:val="24"/>
          <w:highlight w:val="none"/>
        </w:rPr>
        <w:t>章《合同条款及格式》中要求的商务条件，包括</w:t>
      </w:r>
      <w:r>
        <w:rPr>
          <w:rFonts w:hint="eastAsia" w:asciiTheme="majorEastAsia" w:hAnsiTheme="majorEastAsia" w:eastAsiaTheme="majorEastAsia" w:cstheme="majorEastAsia"/>
          <w:color w:val="auto"/>
          <w:sz w:val="24"/>
          <w:szCs w:val="24"/>
          <w:highlight w:val="none"/>
          <w:lang w:val="en-US" w:eastAsia="zh-CN"/>
        </w:rPr>
        <w:t>但不限于交货期、质保期、售后服务要求、合同履行期限</w:t>
      </w:r>
      <w:r>
        <w:rPr>
          <w:rFonts w:hint="eastAsia" w:asciiTheme="majorEastAsia" w:hAnsiTheme="majorEastAsia" w:eastAsiaTheme="majorEastAsia" w:cstheme="majorEastAsia"/>
          <w:color w:val="auto"/>
          <w:sz w:val="24"/>
          <w:szCs w:val="24"/>
          <w:highlight w:val="none"/>
        </w:rPr>
        <w:t>、履约保证金等内容，并</w:t>
      </w:r>
      <w:r>
        <w:rPr>
          <w:rFonts w:hint="eastAsia" w:asciiTheme="majorEastAsia" w:hAnsiTheme="majorEastAsia" w:eastAsiaTheme="majorEastAsia" w:cstheme="majorEastAsia"/>
          <w:color w:val="auto"/>
          <w:sz w:val="24"/>
          <w:szCs w:val="24"/>
          <w:highlight w:val="none"/>
          <w:lang w:val="en-US" w:eastAsia="zh-CN"/>
        </w:rPr>
        <w:t>结合</w:t>
      </w:r>
      <w:r>
        <w:rPr>
          <w:rFonts w:hint="eastAsia" w:asciiTheme="majorEastAsia" w:hAnsiTheme="majorEastAsia" w:eastAsiaTheme="majorEastAsia" w:cstheme="majorEastAsia"/>
          <w:color w:val="auto"/>
          <w:sz w:val="24"/>
          <w:szCs w:val="24"/>
          <w:highlight w:val="none"/>
        </w:rPr>
        <w:t>实际投标情况如实填写本表格。</w:t>
      </w:r>
    </w:p>
    <w:p w14:paraId="556698EB">
      <w:pPr>
        <w:pageBreakBefore w:val="0"/>
        <w:numPr>
          <w:ilvl w:val="0"/>
          <w:numId w:val="11"/>
        </w:numPr>
        <w:kinsoku/>
        <w:wordWrap w:val="0"/>
        <w:overflowPunct/>
        <w:bidi w:val="0"/>
        <w:spacing w:line="240" w:lineRule="auto"/>
        <w:jc w:val="left"/>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投标人应根据实际投标情况，填写本表格。若无偏离，则勾选A项，签章即可；若有偏离，则勾选B项，按表格要求及实际情况填写后签章。表格中只需填写有“偏离”部分，“无偏离”部分不用填写。</w:t>
      </w:r>
    </w:p>
    <w:p w14:paraId="49280B9E">
      <w:pPr>
        <w:pageBreakBefore w:val="0"/>
        <w:numPr>
          <w:ilvl w:val="0"/>
          <w:numId w:val="11"/>
        </w:numPr>
        <w:kinsoku/>
        <w:wordWrap w:val="0"/>
        <w:overflowPunct/>
        <w:bidi w:val="0"/>
        <w:spacing w:line="240" w:lineRule="auto"/>
        <w:jc w:val="left"/>
        <w:rPr>
          <w:rFonts w:hint="default" w:asciiTheme="majorEastAsia" w:hAnsiTheme="majorEastAsia" w:eastAsiaTheme="majorEastAsia" w:cstheme="majorEastAsia"/>
          <w:color w:val="auto"/>
          <w:sz w:val="24"/>
          <w:szCs w:val="24"/>
          <w:highlight w:val="none"/>
          <w:lang w:val="en-US" w:eastAsia="zh-CN"/>
        </w:rPr>
      </w:pPr>
      <w:r>
        <w:rPr>
          <w:rFonts w:hint="default" w:asciiTheme="majorEastAsia" w:hAnsiTheme="majorEastAsia" w:eastAsiaTheme="majorEastAsia" w:cstheme="majorEastAsia"/>
          <w:color w:val="auto"/>
          <w:sz w:val="24"/>
          <w:szCs w:val="24"/>
          <w:highlight w:val="none"/>
          <w:lang w:val="en-US" w:eastAsia="zh-CN"/>
        </w:rPr>
        <w:t>本表按照一个品目一张表，顺序编号逐一填写。</w:t>
      </w:r>
    </w:p>
    <w:p w14:paraId="4D999259">
      <w:pPr>
        <w:pageBreakBefore w:val="0"/>
        <w:kinsoku/>
        <w:wordWrap w:val="0"/>
        <w:overflowPunct/>
        <w:bidi w:val="0"/>
        <w:spacing w:line="360" w:lineRule="auto"/>
        <w:rPr>
          <w:rFonts w:ascii="仿宋" w:hAnsi="仿宋" w:eastAsia="仿宋" w:cs="仿宋"/>
          <w:color w:val="auto"/>
          <w:sz w:val="24"/>
          <w:szCs w:val="24"/>
          <w:highlight w:val="none"/>
        </w:rPr>
      </w:pPr>
    </w:p>
    <w:p w14:paraId="7B425480">
      <w:pPr>
        <w:pageBreakBefore w:val="0"/>
        <w:kinsoku/>
        <w:wordWrap w:val="0"/>
        <w:overflowPunct/>
        <w:bidi w:val="0"/>
        <w:spacing w:line="360" w:lineRule="auto"/>
        <w:rPr>
          <w:rFonts w:ascii="宋体" w:hAnsi="宋体"/>
          <w:color w:val="auto"/>
          <w:sz w:val="24"/>
          <w:highlight w:val="none"/>
        </w:rPr>
      </w:pPr>
      <w:r>
        <w:rPr>
          <w:rFonts w:hint="eastAsia" w:ascii="宋体" w:hAnsi="宋体"/>
          <w:color w:val="auto"/>
          <w:sz w:val="24"/>
          <w:highlight w:val="none"/>
        </w:rPr>
        <w:t>投标人</w:t>
      </w:r>
      <w:r>
        <w:rPr>
          <w:rFonts w:hint="eastAsia" w:ascii="宋体" w:hAnsi="宋体"/>
          <w:color w:val="auto"/>
          <w:sz w:val="24"/>
          <w:highlight w:val="none"/>
          <w:lang w:val="en-US" w:eastAsia="zh-CN"/>
        </w:rPr>
        <w:t>全称</w:t>
      </w:r>
      <w:r>
        <w:rPr>
          <w:rFonts w:hint="eastAsia" w:ascii="宋体" w:hAnsi="宋体"/>
          <w:color w:val="auto"/>
          <w:sz w:val="24"/>
          <w:highlight w:val="none"/>
        </w:rPr>
        <w:t>：</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2E8694E9">
      <w:pPr>
        <w:pageBreakBefore w:val="0"/>
        <w:kinsoku/>
        <w:wordWrap w:val="0"/>
        <w:overflowPunct/>
        <w:bidi w:val="0"/>
        <w:spacing w:line="360" w:lineRule="auto"/>
        <w:rPr>
          <w:rFonts w:ascii="宋体" w:hAnsi="宋体"/>
          <w:color w:val="auto"/>
          <w:sz w:val="24"/>
          <w:highlight w:val="none"/>
        </w:rPr>
      </w:pPr>
      <w:r>
        <w:rPr>
          <w:rFonts w:hint="eastAsia" w:ascii="宋体" w:hAnsi="宋体"/>
          <w:color w:val="auto"/>
          <w:sz w:val="24"/>
          <w:highlight w:val="none"/>
        </w:rPr>
        <w:t>法定代表人或其委托代理人：</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0AFB5C9D">
      <w:pPr>
        <w:pageBreakBefore w:val="0"/>
        <w:kinsoku/>
        <w:wordWrap w:val="0"/>
        <w:overflowPunct/>
        <w:bidi w:val="0"/>
        <w:rPr>
          <w:rFonts w:hint="eastAsia" w:eastAsia="宋体"/>
          <w:color w:val="auto"/>
          <w:highlight w:val="none"/>
          <w:lang w:val="en-US" w:eastAsia="zh-CN"/>
        </w:rPr>
        <w:sectPr>
          <w:pgSz w:w="16838" w:h="11906" w:orient="landscape"/>
          <w:pgMar w:top="1361" w:right="1134" w:bottom="1134" w:left="1440" w:header="850" w:footer="510" w:gutter="0"/>
          <w:pgBorders>
            <w:top w:val="none" w:sz="0" w:space="0"/>
            <w:left w:val="none" w:sz="0" w:space="0"/>
            <w:bottom w:val="none" w:sz="0" w:space="0"/>
            <w:right w:val="none" w:sz="0" w:space="0"/>
          </w:pgBorders>
          <w:pgNumType w:fmt="decimal"/>
          <w:cols w:space="0" w:num="1"/>
          <w:rtlGutter w:val="0"/>
          <w:docGrid w:linePitch="317" w:charSpace="0"/>
        </w:sectPr>
      </w:pPr>
      <w:r>
        <w:rPr>
          <w:rFonts w:hint="eastAsia"/>
          <w:color w:val="auto"/>
          <w:sz w:val="24"/>
          <w:szCs w:val="24"/>
          <w:highlight w:val="none"/>
        </w:rPr>
        <w:t>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u w:val="none"/>
          <w:lang w:val="en-US" w:eastAsia="zh-CN"/>
        </w:rPr>
        <w:t>日</w:t>
      </w:r>
    </w:p>
    <w:p w14:paraId="3E8D17EE">
      <w:pPr>
        <w:pageBreakBefore w:val="0"/>
        <w:numPr>
          <w:ilvl w:val="0"/>
          <w:numId w:val="12"/>
        </w:numPr>
        <w:kinsoku/>
        <w:wordWrap w:val="0"/>
        <w:overflowPunct/>
        <w:bidi w:val="0"/>
        <w:spacing w:before="158" w:beforeLines="50" w:line="360" w:lineRule="auto"/>
        <w:rPr>
          <w:rFonts w:hint="eastAsia" w:ascii="宋体" w:hAnsi="宋体" w:eastAsia="宋体" w:cs="宋体"/>
          <w:b/>
          <w:bCs/>
          <w:color w:val="auto"/>
          <w:sz w:val="24"/>
          <w:szCs w:val="24"/>
          <w:highlight w:val="none"/>
        </w:rPr>
      </w:pPr>
      <w:bookmarkStart w:id="342" w:name="_Toc28459"/>
      <w:bookmarkEnd w:id="342"/>
      <w:bookmarkStart w:id="343" w:name="_Toc31298"/>
      <w:bookmarkEnd w:id="343"/>
      <w:bookmarkStart w:id="344" w:name="_Toc10984"/>
      <w:bookmarkEnd w:id="344"/>
      <w:bookmarkStart w:id="345" w:name="_Toc15981"/>
      <w:bookmarkEnd w:id="345"/>
      <w:bookmarkStart w:id="346" w:name="_Toc29456"/>
      <w:r>
        <w:rPr>
          <w:rFonts w:hint="eastAsia" w:ascii="宋体" w:hAnsi="宋体" w:eastAsia="宋体" w:cs="宋体"/>
          <w:b/>
          <w:bCs/>
          <w:color w:val="auto"/>
          <w:sz w:val="24"/>
          <w:szCs w:val="24"/>
          <w:highlight w:val="none"/>
        </w:rPr>
        <w:t>技术规格偏离表</w:t>
      </w:r>
    </w:p>
    <w:p w14:paraId="7A2CD604">
      <w:pPr>
        <w:pageBreakBefore w:val="0"/>
        <w:shd w:val="clear" w:color="auto" w:fill="FFFFFF"/>
        <w:kinsoku/>
        <w:wordWrap w:val="0"/>
        <w:overflowPunct/>
        <w:bidi w:val="0"/>
        <w:spacing w:before="60" w:after="60"/>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lang w:val="en-US" w:eastAsia="zh-CN"/>
        </w:rPr>
        <w:t xml:space="preserve">            </w:t>
      </w:r>
    </w:p>
    <w:p w14:paraId="30D0F719">
      <w:pPr>
        <w:pageBreakBefore w:val="0"/>
        <w:kinsoku/>
        <w:wordWrap w:val="0"/>
        <w:overflowPunct/>
        <w:bidi w:val="0"/>
        <w:spacing w:line="440" w:lineRule="exac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品目名称：</w:t>
      </w:r>
      <w:r>
        <w:rPr>
          <w:rFonts w:hint="eastAsia" w:ascii="宋体" w:hAnsi="宋体"/>
          <w:color w:val="auto"/>
          <w:sz w:val="24"/>
          <w:highlight w:val="none"/>
          <w:u w:val="single"/>
        </w:rPr>
        <w:t xml:space="preserve">                </w:t>
      </w:r>
      <w:r>
        <w:rPr>
          <w:rFonts w:hint="eastAsia" w:asciiTheme="majorEastAsia" w:hAnsiTheme="majorEastAsia" w:eastAsiaTheme="majorEastAsia" w:cstheme="majorEastAsia"/>
          <w:color w:val="auto"/>
          <w:sz w:val="24"/>
          <w:szCs w:val="24"/>
          <w:highlight w:val="none"/>
          <w:lang w:val="en-US" w:eastAsia="zh-CN"/>
        </w:rPr>
        <w:t xml:space="preserve"> （序号</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lang w:val="en-US" w:eastAsia="zh-CN"/>
        </w:rPr>
        <w:t>）</w:t>
      </w:r>
    </w:p>
    <w:tbl>
      <w:tblPr>
        <w:tblStyle w:val="38"/>
        <w:tblW w:w="14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6"/>
        <w:gridCol w:w="3648"/>
        <w:gridCol w:w="3296"/>
        <w:gridCol w:w="1844"/>
        <w:gridCol w:w="3098"/>
      </w:tblGrid>
      <w:tr w14:paraId="2638E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exact"/>
          <w:jc w:val="center"/>
        </w:trPr>
        <w:tc>
          <w:tcPr>
            <w:tcW w:w="2386" w:type="dxa"/>
            <w:tcBorders>
              <w:top w:val="single" w:color="auto" w:sz="4" w:space="0"/>
              <w:left w:val="single" w:color="auto" w:sz="4" w:space="0"/>
              <w:bottom w:val="single" w:color="auto" w:sz="4" w:space="0"/>
              <w:right w:val="single" w:color="auto" w:sz="4" w:space="0"/>
            </w:tcBorders>
            <w:vAlign w:val="center"/>
          </w:tcPr>
          <w:p w14:paraId="671BE1E4">
            <w:pPr>
              <w:pageBreakBefore w:val="0"/>
              <w:kinsoku/>
              <w:wordWrap w:val="0"/>
              <w:overflowPunct/>
              <w:bidi w:val="0"/>
              <w:spacing w:line="28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3648" w:type="dxa"/>
            <w:tcBorders>
              <w:top w:val="single" w:color="auto" w:sz="4" w:space="0"/>
              <w:left w:val="single" w:color="auto" w:sz="4" w:space="0"/>
              <w:bottom w:val="single" w:color="auto" w:sz="4" w:space="0"/>
              <w:right w:val="single" w:color="auto" w:sz="4" w:space="0"/>
            </w:tcBorders>
            <w:vAlign w:val="center"/>
          </w:tcPr>
          <w:p w14:paraId="6BBFA0F7">
            <w:pPr>
              <w:pageBreakBefore w:val="0"/>
              <w:kinsoku/>
              <w:wordWrap w:val="0"/>
              <w:overflowPunct/>
              <w:bidi w:val="0"/>
              <w:spacing w:line="280" w:lineRule="exact"/>
              <w:jc w:val="center"/>
              <w:rPr>
                <w:rFonts w:hint="eastAsia" w:ascii="宋体" w:hAnsi="宋体" w:eastAsia="宋体" w:cs="宋体"/>
                <w:bCs/>
                <w:color w:val="auto"/>
                <w:sz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招标文件的</w:t>
            </w:r>
            <w:r>
              <w:rPr>
                <w:rFonts w:hint="eastAsia" w:asciiTheme="majorEastAsia" w:hAnsiTheme="majorEastAsia" w:eastAsiaTheme="majorEastAsia" w:cstheme="majorEastAsia"/>
                <w:color w:val="auto"/>
                <w:sz w:val="24"/>
                <w:szCs w:val="24"/>
                <w:highlight w:val="none"/>
                <w:lang w:val="en-US" w:eastAsia="zh-CN"/>
              </w:rPr>
              <w:t>技术</w:t>
            </w:r>
            <w:r>
              <w:rPr>
                <w:rFonts w:hint="eastAsia" w:asciiTheme="majorEastAsia" w:hAnsiTheme="majorEastAsia" w:eastAsiaTheme="majorEastAsia" w:cstheme="majorEastAsia"/>
                <w:color w:val="auto"/>
                <w:sz w:val="24"/>
                <w:szCs w:val="24"/>
                <w:highlight w:val="none"/>
              </w:rPr>
              <w:t>条款要求</w:t>
            </w:r>
          </w:p>
        </w:tc>
        <w:tc>
          <w:tcPr>
            <w:tcW w:w="3296" w:type="dxa"/>
            <w:tcBorders>
              <w:top w:val="single" w:color="auto" w:sz="4" w:space="0"/>
              <w:left w:val="single" w:color="auto" w:sz="4" w:space="0"/>
              <w:bottom w:val="single" w:color="auto" w:sz="4" w:space="0"/>
              <w:right w:val="single" w:color="auto" w:sz="4" w:space="0"/>
            </w:tcBorders>
            <w:vAlign w:val="center"/>
          </w:tcPr>
          <w:p w14:paraId="7FF83393">
            <w:pPr>
              <w:pageBreakBefore w:val="0"/>
              <w:kinsoku/>
              <w:wordWrap w:val="0"/>
              <w:overflowPunct/>
              <w:bidi w:val="0"/>
              <w:spacing w:line="280" w:lineRule="exact"/>
              <w:jc w:val="center"/>
              <w:rPr>
                <w:rFonts w:hint="eastAsia" w:ascii="宋体" w:hAnsi="宋体" w:cs="宋体" w:eastAsiaTheme="majorEastAsia"/>
                <w:bCs/>
                <w:color w:val="auto"/>
                <w:sz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投标文件的</w:t>
            </w:r>
            <w:r>
              <w:rPr>
                <w:rFonts w:hint="eastAsia" w:asciiTheme="majorEastAsia" w:hAnsiTheme="majorEastAsia" w:eastAsiaTheme="majorEastAsia" w:cstheme="majorEastAsia"/>
                <w:color w:val="auto"/>
                <w:sz w:val="24"/>
                <w:szCs w:val="24"/>
                <w:highlight w:val="none"/>
                <w:lang w:val="en-US" w:eastAsia="zh-CN"/>
              </w:rPr>
              <w:t>技术条款</w:t>
            </w:r>
          </w:p>
        </w:tc>
        <w:tc>
          <w:tcPr>
            <w:tcW w:w="1844" w:type="dxa"/>
            <w:tcBorders>
              <w:top w:val="single" w:color="auto" w:sz="4" w:space="0"/>
              <w:left w:val="single" w:color="auto" w:sz="4" w:space="0"/>
              <w:bottom w:val="single" w:color="auto" w:sz="4" w:space="0"/>
              <w:right w:val="single" w:color="auto" w:sz="4" w:space="0"/>
            </w:tcBorders>
            <w:vAlign w:val="center"/>
          </w:tcPr>
          <w:p w14:paraId="2C096569">
            <w:pPr>
              <w:pageBreakBefore w:val="0"/>
              <w:kinsoku/>
              <w:wordWrap w:val="0"/>
              <w:overflowPunct/>
              <w:bidi w:val="0"/>
              <w:spacing w:line="28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偏离情况</w:t>
            </w:r>
          </w:p>
        </w:tc>
        <w:tc>
          <w:tcPr>
            <w:tcW w:w="3098" w:type="dxa"/>
            <w:tcBorders>
              <w:top w:val="single" w:color="auto" w:sz="4" w:space="0"/>
              <w:left w:val="single" w:color="auto" w:sz="4" w:space="0"/>
              <w:bottom w:val="single" w:color="auto" w:sz="4" w:space="0"/>
              <w:right w:val="single" w:color="auto" w:sz="4" w:space="0"/>
            </w:tcBorders>
            <w:vAlign w:val="center"/>
          </w:tcPr>
          <w:p w14:paraId="52AAA723">
            <w:pPr>
              <w:pageBreakBefore w:val="0"/>
              <w:kinsoku/>
              <w:wordWrap w:val="0"/>
              <w:overflowPunct/>
              <w:bidi w:val="0"/>
              <w:spacing w:line="280" w:lineRule="exact"/>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技术支持资料</w:t>
            </w:r>
            <w:r>
              <w:rPr>
                <w:rFonts w:hint="eastAsia" w:ascii="宋体" w:hAnsi="宋体" w:eastAsia="宋体" w:cs="宋体"/>
                <w:bCs/>
                <w:color w:val="auto"/>
                <w:sz w:val="24"/>
                <w:highlight w:val="none"/>
                <w:lang w:val="en-US" w:eastAsia="zh-CN"/>
              </w:rPr>
              <w:t>对应的响应文件页码</w:t>
            </w:r>
          </w:p>
        </w:tc>
      </w:tr>
      <w:tr w14:paraId="31FA1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exact"/>
          <w:jc w:val="center"/>
        </w:trPr>
        <w:tc>
          <w:tcPr>
            <w:tcW w:w="2386" w:type="dxa"/>
            <w:tcBorders>
              <w:top w:val="single" w:color="auto" w:sz="4" w:space="0"/>
              <w:left w:val="single" w:color="auto" w:sz="4" w:space="0"/>
              <w:bottom w:val="single" w:color="auto" w:sz="4" w:space="0"/>
              <w:right w:val="single" w:color="auto" w:sz="4" w:space="0"/>
            </w:tcBorders>
          </w:tcPr>
          <w:p w14:paraId="0DBC90D5">
            <w:pPr>
              <w:pageBreakBefore w:val="0"/>
              <w:kinsoku/>
              <w:wordWrap w:val="0"/>
              <w:overflowPunct/>
              <w:bidi w:val="0"/>
              <w:spacing w:before="165" w:beforeLines="50" w:after="165" w:afterLines="50"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3648" w:type="dxa"/>
            <w:tcBorders>
              <w:top w:val="single" w:color="auto" w:sz="4" w:space="0"/>
              <w:left w:val="single" w:color="auto" w:sz="4" w:space="0"/>
              <w:bottom w:val="single" w:color="auto" w:sz="4" w:space="0"/>
              <w:right w:val="single" w:color="auto" w:sz="4" w:space="0"/>
            </w:tcBorders>
          </w:tcPr>
          <w:p w14:paraId="5ECB796A">
            <w:pPr>
              <w:pageBreakBefore w:val="0"/>
              <w:kinsoku/>
              <w:wordWrap w:val="0"/>
              <w:overflowPunct/>
              <w:bidi w:val="0"/>
              <w:spacing w:before="165" w:beforeLines="50" w:after="165" w:afterLines="50" w:line="400" w:lineRule="exact"/>
              <w:jc w:val="center"/>
              <w:rPr>
                <w:rFonts w:hint="eastAsia" w:ascii="宋体" w:hAnsi="宋体" w:eastAsia="宋体" w:cs="宋体"/>
                <w:color w:val="auto"/>
                <w:sz w:val="24"/>
                <w:highlight w:val="none"/>
              </w:rPr>
            </w:pPr>
          </w:p>
        </w:tc>
        <w:tc>
          <w:tcPr>
            <w:tcW w:w="3296" w:type="dxa"/>
            <w:tcBorders>
              <w:top w:val="single" w:color="auto" w:sz="4" w:space="0"/>
              <w:left w:val="single" w:color="auto" w:sz="4" w:space="0"/>
              <w:bottom w:val="single" w:color="auto" w:sz="4" w:space="0"/>
              <w:right w:val="single" w:color="auto" w:sz="4" w:space="0"/>
            </w:tcBorders>
          </w:tcPr>
          <w:p w14:paraId="2633402A">
            <w:pPr>
              <w:pageBreakBefore w:val="0"/>
              <w:kinsoku/>
              <w:wordWrap w:val="0"/>
              <w:overflowPunct/>
              <w:bidi w:val="0"/>
              <w:spacing w:before="165" w:beforeLines="50" w:after="165" w:afterLines="50" w:line="400" w:lineRule="exact"/>
              <w:jc w:val="center"/>
              <w:rPr>
                <w:rFonts w:hint="eastAsia" w:ascii="宋体" w:hAnsi="宋体" w:eastAsia="宋体" w:cs="宋体"/>
                <w:color w:val="auto"/>
                <w:sz w:val="24"/>
                <w:highlight w:val="none"/>
              </w:rPr>
            </w:pPr>
          </w:p>
        </w:tc>
        <w:tc>
          <w:tcPr>
            <w:tcW w:w="1844" w:type="dxa"/>
            <w:tcBorders>
              <w:top w:val="single" w:color="auto" w:sz="4" w:space="0"/>
              <w:left w:val="single" w:color="auto" w:sz="4" w:space="0"/>
              <w:bottom w:val="single" w:color="auto" w:sz="4" w:space="0"/>
              <w:right w:val="single" w:color="auto" w:sz="4" w:space="0"/>
            </w:tcBorders>
          </w:tcPr>
          <w:p w14:paraId="0A558EBD">
            <w:pPr>
              <w:pageBreakBefore w:val="0"/>
              <w:kinsoku/>
              <w:wordWrap w:val="0"/>
              <w:overflowPunct/>
              <w:bidi w:val="0"/>
              <w:spacing w:before="165" w:beforeLines="50" w:after="165" w:afterLines="50" w:line="400" w:lineRule="exact"/>
              <w:jc w:val="center"/>
              <w:rPr>
                <w:rFonts w:hint="eastAsia" w:ascii="宋体" w:hAnsi="宋体" w:eastAsia="宋体" w:cs="宋体"/>
                <w:color w:val="auto"/>
                <w:sz w:val="24"/>
                <w:highlight w:val="none"/>
              </w:rPr>
            </w:pPr>
          </w:p>
        </w:tc>
        <w:tc>
          <w:tcPr>
            <w:tcW w:w="3098" w:type="dxa"/>
            <w:tcBorders>
              <w:top w:val="single" w:color="auto" w:sz="4" w:space="0"/>
              <w:left w:val="single" w:color="auto" w:sz="4" w:space="0"/>
              <w:bottom w:val="single" w:color="auto" w:sz="4" w:space="0"/>
              <w:right w:val="single" w:color="auto" w:sz="4" w:space="0"/>
            </w:tcBorders>
          </w:tcPr>
          <w:p w14:paraId="68C74E62">
            <w:pPr>
              <w:pageBreakBefore w:val="0"/>
              <w:kinsoku/>
              <w:wordWrap w:val="0"/>
              <w:overflowPunct/>
              <w:bidi w:val="0"/>
              <w:spacing w:before="165" w:beforeLines="50" w:after="165" w:afterLines="50" w:line="400" w:lineRule="exact"/>
              <w:jc w:val="center"/>
              <w:rPr>
                <w:rFonts w:hint="eastAsia" w:ascii="宋体" w:hAnsi="宋体" w:eastAsia="宋体" w:cs="宋体"/>
                <w:color w:val="auto"/>
                <w:sz w:val="24"/>
                <w:highlight w:val="none"/>
              </w:rPr>
            </w:pPr>
          </w:p>
        </w:tc>
      </w:tr>
      <w:tr w14:paraId="14189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exact"/>
          <w:jc w:val="center"/>
        </w:trPr>
        <w:tc>
          <w:tcPr>
            <w:tcW w:w="2386" w:type="dxa"/>
            <w:tcBorders>
              <w:top w:val="single" w:color="auto" w:sz="4" w:space="0"/>
              <w:left w:val="single" w:color="auto" w:sz="4" w:space="0"/>
              <w:bottom w:val="single" w:color="auto" w:sz="4" w:space="0"/>
              <w:right w:val="single" w:color="auto" w:sz="4" w:space="0"/>
            </w:tcBorders>
          </w:tcPr>
          <w:p w14:paraId="3AEE75D9">
            <w:pPr>
              <w:pageBreakBefore w:val="0"/>
              <w:kinsoku/>
              <w:wordWrap w:val="0"/>
              <w:overflowPunct/>
              <w:bidi w:val="0"/>
              <w:spacing w:before="165" w:beforeLines="50" w:after="165" w:afterLines="50"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3648" w:type="dxa"/>
            <w:tcBorders>
              <w:top w:val="single" w:color="auto" w:sz="4" w:space="0"/>
              <w:left w:val="single" w:color="auto" w:sz="4" w:space="0"/>
              <w:bottom w:val="single" w:color="auto" w:sz="4" w:space="0"/>
              <w:right w:val="single" w:color="auto" w:sz="4" w:space="0"/>
            </w:tcBorders>
          </w:tcPr>
          <w:p w14:paraId="2D4CD030">
            <w:pPr>
              <w:pageBreakBefore w:val="0"/>
              <w:kinsoku/>
              <w:wordWrap w:val="0"/>
              <w:overflowPunct/>
              <w:bidi w:val="0"/>
              <w:spacing w:before="165" w:beforeLines="50" w:after="165" w:afterLines="50" w:line="400" w:lineRule="exact"/>
              <w:jc w:val="center"/>
              <w:rPr>
                <w:rFonts w:hint="eastAsia" w:ascii="宋体" w:hAnsi="宋体" w:eastAsia="宋体" w:cs="宋体"/>
                <w:color w:val="auto"/>
                <w:sz w:val="24"/>
                <w:highlight w:val="none"/>
              </w:rPr>
            </w:pPr>
          </w:p>
        </w:tc>
        <w:tc>
          <w:tcPr>
            <w:tcW w:w="3296" w:type="dxa"/>
            <w:tcBorders>
              <w:top w:val="single" w:color="auto" w:sz="4" w:space="0"/>
              <w:left w:val="single" w:color="auto" w:sz="4" w:space="0"/>
              <w:bottom w:val="single" w:color="auto" w:sz="4" w:space="0"/>
              <w:right w:val="single" w:color="auto" w:sz="4" w:space="0"/>
            </w:tcBorders>
          </w:tcPr>
          <w:p w14:paraId="37C4D345">
            <w:pPr>
              <w:pageBreakBefore w:val="0"/>
              <w:kinsoku/>
              <w:wordWrap w:val="0"/>
              <w:overflowPunct/>
              <w:bidi w:val="0"/>
              <w:spacing w:before="165" w:beforeLines="50" w:after="165" w:afterLines="50" w:line="400" w:lineRule="exact"/>
              <w:jc w:val="center"/>
              <w:rPr>
                <w:rFonts w:hint="eastAsia" w:ascii="宋体" w:hAnsi="宋体" w:eastAsia="宋体" w:cs="宋体"/>
                <w:color w:val="auto"/>
                <w:sz w:val="24"/>
                <w:highlight w:val="none"/>
              </w:rPr>
            </w:pPr>
          </w:p>
        </w:tc>
        <w:tc>
          <w:tcPr>
            <w:tcW w:w="1844" w:type="dxa"/>
            <w:tcBorders>
              <w:top w:val="single" w:color="auto" w:sz="4" w:space="0"/>
              <w:left w:val="single" w:color="auto" w:sz="4" w:space="0"/>
              <w:bottom w:val="single" w:color="auto" w:sz="4" w:space="0"/>
              <w:right w:val="single" w:color="auto" w:sz="4" w:space="0"/>
            </w:tcBorders>
          </w:tcPr>
          <w:p w14:paraId="5DE7125F">
            <w:pPr>
              <w:pageBreakBefore w:val="0"/>
              <w:kinsoku/>
              <w:wordWrap w:val="0"/>
              <w:overflowPunct/>
              <w:bidi w:val="0"/>
              <w:spacing w:before="165" w:beforeLines="50" w:after="165" w:afterLines="50" w:line="400" w:lineRule="exact"/>
              <w:jc w:val="center"/>
              <w:rPr>
                <w:rFonts w:hint="eastAsia" w:ascii="宋体" w:hAnsi="宋体" w:eastAsia="宋体" w:cs="宋体"/>
                <w:color w:val="auto"/>
                <w:sz w:val="24"/>
                <w:highlight w:val="none"/>
              </w:rPr>
            </w:pPr>
          </w:p>
        </w:tc>
        <w:tc>
          <w:tcPr>
            <w:tcW w:w="3098" w:type="dxa"/>
            <w:tcBorders>
              <w:top w:val="single" w:color="auto" w:sz="4" w:space="0"/>
              <w:left w:val="single" w:color="auto" w:sz="4" w:space="0"/>
              <w:bottom w:val="single" w:color="auto" w:sz="4" w:space="0"/>
              <w:right w:val="single" w:color="auto" w:sz="4" w:space="0"/>
            </w:tcBorders>
          </w:tcPr>
          <w:p w14:paraId="67D95A1F">
            <w:pPr>
              <w:pageBreakBefore w:val="0"/>
              <w:kinsoku/>
              <w:wordWrap w:val="0"/>
              <w:overflowPunct/>
              <w:bidi w:val="0"/>
              <w:spacing w:before="165" w:beforeLines="50" w:after="165" w:afterLines="50" w:line="400" w:lineRule="exact"/>
              <w:jc w:val="center"/>
              <w:rPr>
                <w:rFonts w:hint="eastAsia" w:ascii="宋体" w:hAnsi="宋体" w:eastAsia="宋体" w:cs="宋体"/>
                <w:color w:val="auto"/>
                <w:sz w:val="24"/>
                <w:highlight w:val="none"/>
              </w:rPr>
            </w:pPr>
          </w:p>
        </w:tc>
      </w:tr>
    </w:tbl>
    <w:p w14:paraId="0BA09B7E">
      <w:pPr>
        <w:pStyle w:val="18"/>
        <w:pageBreakBefore w:val="0"/>
        <w:kinsoku/>
        <w:wordWrap w:val="0"/>
        <w:overflowPunct/>
        <w:bidi w:val="0"/>
        <w:spacing w:before="165" w:beforeLines="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p w14:paraId="7FB4F4F5">
      <w:pPr>
        <w:pStyle w:val="18"/>
        <w:pageBreakBefore w:val="0"/>
        <w:kinsoku/>
        <w:wordWrap w:val="0"/>
        <w:overflowPunct/>
        <w:bidi w:val="0"/>
        <w:spacing w:before="165" w:beforeLines="50"/>
        <w:ind w:firstLine="42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表格中“偏离”一列，投标人只能如实填写“正偏离</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负偏离”或“无偏离”。凡投标内容高于招标文件</w:t>
      </w:r>
      <w:r>
        <w:rPr>
          <w:rFonts w:hint="eastAsia" w:hAnsi="宋体" w:cs="宋体"/>
          <w:b/>
          <w:bCs/>
          <w:color w:val="auto"/>
          <w:szCs w:val="21"/>
          <w:highlight w:val="none"/>
          <w:lang w:val="en-US" w:eastAsia="zh-CN"/>
        </w:rPr>
        <w:t>第六章</w:t>
      </w:r>
      <w:r>
        <w:rPr>
          <w:rFonts w:hint="eastAsia" w:ascii="宋体" w:hAnsi="宋体" w:eastAsia="宋体" w:cs="宋体"/>
          <w:b/>
          <w:bCs/>
          <w:color w:val="auto"/>
          <w:szCs w:val="21"/>
          <w:highlight w:val="none"/>
        </w:rPr>
        <w:t>“第二部分、技术参数及配置要求”</w:t>
      </w:r>
      <w:r>
        <w:rPr>
          <w:rFonts w:hint="eastAsia" w:ascii="宋体" w:hAnsi="宋体" w:eastAsia="宋体" w:cs="宋体"/>
          <w:color w:val="auto"/>
          <w:szCs w:val="21"/>
          <w:highlight w:val="none"/>
        </w:rPr>
        <w:t>要求的，按“正偏离”填写；低于招标文件要求的，按“负偏离”填写；满足招标文件要求的，按“无偏离”填写。并在“投标文件的技术条款”一列中写明投标具体技术响应情况。</w:t>
      </w:r>
      <w:r>
        <w:rPr>
          <w:rFonts w:hint="eastAsia" w:ascii="宋体" w:hAnsi="宋体" w:eastAsia="宋体" w:cs="宋体"/>
          <w:b/>
          <w:bCs/>
          <w:color w:val="auto"/>
          <w:szCs w:val="21"/>
          <w:highlight w:val="none"/>
        </w:rPr>
        <w:t>投标文件应以中文应答(英文文本或缩略语需提供中文翻译或注释)</w:t>
      </w:r>
      <w:r>
        <w:rPr>
          <w:rFonts w:hint="eastAsia" w:hAnsi="宋体" w:cs="宋体"/>
          <w:b/>
          <w:bCs/>
          <w:color w:val="auto"/>
          <w:szCs w:val="21"/>
          <w:highlight w:val="none"/>
          <w:lang w:eastAsia="zh-CN"/>
        </w:rPr>
        <w:t>，</w:t>
      </w:r>
      <w:r>
        <w:rPr>
          <w:rFonts w:hint="eastAsia" w:ascii="宋体" w:hAnsi="宋体" w:eastAsia="宋体" w:cs="宋体"/>
          <w:b/>
          <w:bCs/>
          <w:color w:val="auto"/>
          <w:szCs w:val="21"/>
          <w:highlight w:val="none"/>
        </w:rPr>
        <w:t>若投标文件中技术参数证明材料参数与技术条款偏离表应答不符，以技术参数证明材料为准;若无技术参数证明材料又未在投标文件中作出说明和解释的，评标委员会在评审时可以视为不响应该条技术条款的规定。</w:t>
      </w:r>
    </w:p>
    <w:p w14:paraId="664AD6AE">
      <w:pPr>
        <w:pStyle w:val="18"/>
        <w:pageBreakBefore w:val="0"/>
        <w:kinsoku/>
        <w:wordWrap w:val="0"/>
        <w:overflowPunct/>
        <w:bidi w:val="0"/>
        <w:spacing w:before="165" w:beforeLines="50"/>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招标文件要求提供技术参数证明材料的参数及对应要求的证明材料:</w:t>
      </w:r>
    </w:p>
    <w:p w14:paraId="23862A67">
      <w:pPr>
        <w:pStyle w:val="18"/>
        <w:pageBreakBefore w:val="0"/>
        <w:kinsoku/>
        <w:wordWrap w:val="0"/>
        <w:overflowPunct/>
        <w:bidi w:val="0"/>
        <w:spacing w:before="165" w:beforeLines="50"/>
        <w:ind w:firstLine="420" w:firstLineChars="200"/>
        <w:rPr>
          <w:rFonts w:hint="eastAsia" w:ascii="宋体" w:hAnsi="宋体" w:eastAsia="宋体" w:cs="宋体"/>
          <w:color w:val="auto"/>
          <w:szCs w:val="21"/>
          <w:highlight w:val="none"/>
        </w:rPr>
      </w:pPr>
      <w:r>
        <w:rPr>
          <w:rFonts w:hint="eastAsia" w:ascii="仿宋" w:hAnsi="仿宋" w:eastAsia="仿宋" w:cs="仿宋"/>
          <w:color w:val="auto"/>
          <w:szCs w:val="21"/>
          <w:highlight w:val="none"/>
        </w:rPr>
        <w:t>①</w:t>
      </w:r>
      <w:r>
        <w:rPr>
          <w:rFonts w:hint="eastAsia" w:ascii="宋体" w:hAnsi="宋体" w:eastAsia="宋体" w:cs="宋体"/>
          <w:color w:val="auto"/>
          <w:szCs w:val="21"/>
          <w:highlight w:val="none"/>
        </w:rPr>
        <w:t>针对</w:t>
      </w:r>
      <w:r>
        <w:rPr>
          <w:rFonts w:hint="eastAsia" w:hAnsi="宋体" w:cs="宋体"/>
          <w:color w:val="auto"/>
          <w:szCs w:val="21"/>
          <w:highlight w:val="none"/>
          <w:lang w:val="en-US" w:eastAsia="zh-CN"/>
        </w:rPr>
        <w:t>第六章</w:t>
      </w:r>
      <w:r>
        <w:rPr>
          <w:rFonts w:hint="eastAsia" w:ascii="宋体" w:hAnsi="宋体" w:eastAsia="宋体" w:cs="宋体"/>
          <w:color w:val="auto"/>
          <w:szCs w:val="21"/>
          <w:highlight w:val="none"/>
        </w:rPr>
        <w:t>“技术指标内容”中有明确要求证明材料的参数，投标人除如实填写技术规格偏离表外，还须提供符合“技术指标内容”要求的证明材料。</w:t>
      </w:r>
    </w:p>
    <w:p w14:paraId="24596FB9">
      <w:pPr>
        <w:pStyle w:val="18"/>
        <w:pageBreakBefore w:val="0"/>
        <w:kinsoku/>
        <w:wordWrap w:val="0"/>
        <w:overflowPunct/>
        <w:bidi w:val="0"/>
        <w:spacing w:before="165" w:beforeLines="50"/>
        <w:ind w:firstLine="420" w:firstLineChars="200"/>
        <w:rPr>
          <w:rFonts w:hint="eastAsia" w:ascii="宋体" w:hAnsi="宋体" w:eastAsia="宋体" w:cs="宋体"/>
          <w:color w:val="auto"/>
          <w:szCs w:val="21"/>
          <w:highlight w:val="none"/>
        </w:rPr>
      </w:pPr>
      <w:r>
        <w:rPr>
          <w:rFonts w:hint="eastAsia" w:ascii="仿宋" w:hAnsi="仿宋" w:eastAsia="仿宋" w:cs="仿宋"/>
          <w:color w:val="auto"/>
          <w:szCs w:val="21"/>
          <w:highlight w:val="none"/>
        </w:rPr>
        <w:t>②</w:t>
      </w:r>
      <w:r>
        <w:rPr>
          <w:rFonts w:hint="eastAsia" w:ascii="宋体" w:hAnsi="宋体" w:eastAsia="宋体" w:cs="宋体"/>
          <w:color w:val="auto"/>
          <w:szCs w:val="21"/>
          <w:highlight w:val="none"/>
        </w:rPr>
        <w:t>针对</w:t>
      </w:r>
      <w:r>
        <w:rPr>
          <w:rFonts w:hint="eastAsia" w:hAnsi="宋体" w:cs="宋体"/>
          <w:color w:val="auto"/>
          <w:szCs w:val="21"/>
          <w:highlight w:val="none"/>
          <w:lang w:val="en-US" w:eastAsia="zh-CN"/>
        </w:rPr>
        <w:t>第六章</w:t>
      </w:r>
      <w:r>
        <w:rPr>
          <w:rFonts w:hint="eastAsia" w:ascii="宋体" w:hAnsi="宋体" w:eastAsia="宋体" w:cs="宋体"/>
          <w:color w:val="auto"/>
          <w:szCs w:val="21"/>
          <w:highlight w:val="none"/>
        </w:rPr>
        <w:t>“技术指标内容”中没有明确要求证明材料但为标注“▲”的重要参数，投标人除如实填写技术规格偏离表外，还须提供最新技术支持资料支持技术规格偏离表应答(技术支持资料包括:检验报告或宣传彩页或图纸或技术白皮书或软件功能截图等，不接受投标人自行印刷、打印或者手写的技术支持资料)。</w:t>
      </w:r>
    </w:p>
    <w:p w14:paraId="190D9CC2">
      <w:pPr>
        <w:pStyle w:val="18"/>
        <w:pageBreakBefore w:val="0"/>
        <w:kinsoku/>
        <w:wordWrap w:val="0"/>
        <w:overflowPunct/>
        <w:bidi w:val="0"/>
        <w:spacing w:before="165" w:beforeLines="50"/>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凡不符合上述要求的，视为未提供有效技术参数证明材料</w:t>
      </w:r>
      <w:r>
        <w:rPr>
          <w:rFonts w:hint="eastAsia" w:hAnsi="宋体" w:cs="宋体"/>
          <w:color w:val="auto"/>
          <w:szCs w:val="21"/>
          <w:highlight w:val="none"/>
          <w:lang w:eastAsia="zh-CN"/>
        </w:rPr>
        <w:t>，</w:t>
      </w:r>
      <w:r>
        <w:rPr>
          <w:rFonts w:hint="eastAsia" w:hAnsi="宋体" w:cs="宋体"/>
          <w:color w:val="auto"/>
          <w:szCs w:val="21"/>
          <w:highlight w:val="none"/>
          <w:lang w:val="en-US" w:eastAsia="zh-CN"/>
        </w:rPr>
        <w:t>视为该</w:t>
      </w:r>
      <w:r>
        <w:rPr>
          <w:rFonts w:hint="eastAsia" w:ascii="宋体" w:hAnsi="宋体" w:eastAsia="宋体" w:cs="宋体"/>
          <w:color w:val="auto"/>
          <w:szCs w:val="21"/>
          <w:highlight w:val="none"/>
        </w:rPr>
        <w:t>重要参数</w:t>
      </w:r>
      <w:r>
        <w:rPr>
          <w:rFonts w:hint="eastAsia" w:hAnsi="宋体" w:cs="宋体"/>
          <w:color w:val="auto"/>
          <w:szCs w:val="21"/>
          <w:highlight w:val="none"/>
          <w:lang w:val="en-US" w:eastAsia="zh-CN"/>
        </w:rPr>
        <w:t>或者</w:t>
      </w:r>
      <w:r>
        <w:rPr>
          <w:rFonts w:hint="eastAsia" w:ascii="宋体" w:hAnsi="宋体" w:eastAsia="宋体" w:cs="宋体"/>
          <w:color w:val="auto"/>
          <w:szCs w:val="21"/>
          <w:highlight w:val="none"/>
        </w:rPr>
        <w:t>一般参数不满足要求，会影响评审评分。</w:t>
      </w:r>
    </w:p>
    <w:p w14:paraId="1672D6EE">
      <w:pPr>
        <w:pStyle w:val="18"/>
        <w:pageBreakBefore w:val="0"/>
        <w:kinsoku/>
        <w:wordWrap w:val="0"/>
        <w:overflowPunct/>
        <w:bidi w:val="0"/>
        <w:spacing w:before="165" w:beforeLines="50"/>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3.投标人应将支持该项技术要求响应的技术支持资料在投标文件中的索引（页码及条目号等）标注在“技术支持资料索引”一栏中。</w:t>
      </w:r>
    </w:p>
    <w:p w14:paraId="048EA66A">
      <w:pPr>
        <w:pStyle w:val="18"/>
        <w:pageBreakBefore w:val="0"/>
        <w:kinsoku/>
        <w:wordWrap w:val="0"/>
        <w:overflowPunct/>
        <w:bidi w:val="0"/>
        <w:spacing w:before="165" w:beforeLines="50"/>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4.本表按照一个品目一张表，顺序编号逐一填写。</w:t>
      </w:r>
      <w:r>
        <w:rPr>
          <w:rFonts w:hint="default" w:ascii="宋体" w:hAnsi="宋体" w:eastAsia="宋体" w:cs="宋体"/>
          <w:color w:val="auto"/>
          <w:szCs w:val="21"/>
          <w:highlight w:val="none"/>
          <w:lang w:val="en-US" w:eastAsia="zh-CN"/>
        </w:rPr>
        <w:t>投标人可根据</w:t>
      </w:r>
      <w:r>
        <w:rPr>
          <w:rFonts w:hint="eastAsia" w:hAnsi="宋体" w:cs="宋体"/>
          <w:b/>
          <w:bCs/>
          <w:color w:val="auto"/>
          <w:szCs w:val="21"/>
          <w:highlight w:val="none"/>
          <w:lang w:val="en-US" w:eastAsia="zh-CN"/>
        </w:rPr>
        <w:t>第六章</w:t>
      </w:r>
      <w:r>
        <w:rPr>
          <w:rFonts w:hint="eastAsia" w:ascii="宋体" w:hAnsi="宋体" w:eastAsia="宋体" w:cs="宋体"/>
          <w:b/>
          <w:bCs/>
          <w:color w:val="auto"/>
          <w:szCs w:val="21"/>
          <w:highlight w:val="none"/>
        </w:rPr>
        <w:t>“第二部分、技术参数及配置要求”</w:t>
      </w:r>
      <w:r>
        <w:rPr>
          <w:rFonts w:hint="default" w:ascii="宋体" w:hAnsi="宋体" w:eastAsia="宋体" w:cs="宋体"/>
          <w:color w:val="auto"/>
          <w:szCs w:val="21"/>
          <w:highlight w:val="none"/>
          <w:lang w:val="en-US" w:eastAsia="zh-CN"/>
        </w:rPr>
        <w:t>的技术条款拓展本表，但不得改变格式</w:t>
      </w:r>
    </w:p>
    <w:p w14:paraId="1ED9ADB0">
      <w:pPr>
        <w:pStyle w:val="18"/>
        <w:pageBreakBefore w:val="0"/>
        <w:kinsoku/>
        <w:wordWrap w:val="0"/>
        <w:overflowPunct/>
        <w:bidi w:val="0"/>
        <w:spacing w:before="165" w:beforeLines="50"/>
        <w:ind w:firstLine="480" w:firstLineChars="200"/>
        <w:jc w:val="right"/>
        <w:rPr>
          <w:rFonts w:ascii="宋体" w:hAnsi="宋体"/>
          <w:color w:val="auto"/>
          <w:sz w:val="24"/>
          <w:highlight w:val="none"/>
        </w:rPr>
      </w:pPr>
      <w:r>
        <w:rPr>
          <w:rFonts w:hint="eastAsia" w:ascii="宋体" w:hAnsi="宋体"/>
          <w:color w:val="auto"/>
          <w:sz w:val="24"/>
          <w:highlight w:val="none"/>
        </w:rPr>
        <w:t>投标人</w:t>
      </w:r>
      <w:r>
        <w:rPr>
          <w:rFonts w:hint="eastAsia" w:ascii="宋体" w:hAnsi="宋体"/>
          <w:color w:val="auto"/>
          <w:sz w:val="24"/>
          <w:highlight w:val="none"/>
          <w:lang w:val="en-US" w:eastAsia="zh-CN"/>
        </w:rPr>
        <w:t>全称</w:t>
      </w:r>
      <w:r>
        <w:rPr>
          <w:rFonts w:hint="eastAsia" w:ascii="宋体" w:hAnsi="宋体"/>
          <w:color w:val="auto"/>
          <w:sz w:val="24"/>
          <w:highlight w:val="none"/>
        </w:rPr>
        <w:t>：</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0887C977">
      <w:pPr>
        <w:pageBreakBefore w:val="0"/>
        <w:kinsoku/>
        <w:wordWrap w:val="0"/>
        <w:overflowPunct/>
        <w:bidi w:val="0"/>
        <w:spacing w:line="360" w:lineRule="auto"/>
        <w:jc w:val="right"/>
        <w:rPr>
          <w:rFonts w:ascii="宋体" w:hAnsi="宋体"/>
          <w:color w:val="auto"/>
          <w:sz w:val="24"/>
          <w:highlight w:val="none"/>
        </w:rPr>
      </w:pPr>
      <w:r>
        <w:rPr>
          <w:rFonts w:hint="eastAsia" w:ascii="宋体" w:hAnsi="宋体"/>
          <w:color w:val="auto"/>
          <w:sz w:val="24"/>
          <w:highlight w:val="none"/>
        </w:rPr>
        <w:t>法定代表人或其委托代理人：</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6C2A0904">
      <w:pPr>
        <w:pageBreakBefore w:val="0"/>
        <w:kinsoku/>
        <w:wordWrap w:val="0"/>
        <w:overflowPunct/>
        <w:bidi w:val="0"/>
        <w:jc w:val="right"/>
        <w:rPr>
          <w:rFonts w:hint="eastAsia"/>
          <w:color w:val="auto"/>
          <w:highlight w:val="none"/>
        </w:rPr>
        <w:sectPr>
          <w:pgSz w:w="16838" w:h="11906" w:orient="landscape"/>
          <w:pgMar w:top="1361" w:right="1134" w:bottom="1134" w:left="1440" w:header="850" w:footer="510" w:gutter="0"/>
          <w:pgBorders>
            <w:top w:val="none" w:sz="0" w:space="0"/>
            <w:left w:val="none" w:sz="0" w:space="0"/>
            <w:bottom w:val="none" w:sz="0" w:space="0"/>
            <w:right w:val="none" w:sz="0" w:space="0"/>
          </w:pgBorders>
          <w:pgNumType w:fmt="decimal"/>
          <w:cols w:space="0" w:num="1"/>
          <w:rtlGutter w:val="0"/>
          <w:docGrid w:linePitch="317" w:charSpace="0"/>
        </w:sectPr>
      </w:pPr>
      <w:r>
        <w:rPr>
          <w:rFonts w:hint="eastAsia"/>
          <w:color w:val="auto"/>
          <w:sz w:val="24"/>
          <w:szCs w:val="24"/>
          <w:highlight w:val="none"/>
        </w:rPr>
        <w:t>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w:t>
      </w:r>
    </w:p>
    <w:p w14:paraId="29E0C363">
      <w:pPr>
        <w:pageBreakBefore w:val="0"/>
        <w:kinsoku/>
        <w:wordWrap w:val="0"/>
        <w:overflowPunct/>
        <w:bidi w:val="0"/>
        <w:rPr>
          <w:rFonts w:hint="eastAsia"/>
          <w:color w:val="auto"/>
          <w:highlight w:val="none"/>
          <w:lang w:val="en-US" w:eastAsia="zh-CN"/>
        </w:rPr>
      </w:pPr>
      <w:bookmarkStart w:id="347" w:name="_Toc21579"/>
    </w:p>
    <w:p w14:paraId="06DA08EF">
      <w:pPr>
        <w:pageBreakBefore w:val="0"/>
        <w:kinsoku/>
        <w:wordWrap w:val="0"/>
        <w:overflowPunct/>
        <w:bidi w:val="0"/>
        <w:jc w:val="center"/>
        <w:rPr>
          <w:rFonts w:hint="eastAsia" w:ascii="宋体" w:hAnsi="宋体" w:eastAsia="宋体" w:cs="宋体"/>
          <w:b/>
          <w:bCs/>
          <w:color w:val="auto"/>
          <w:kern w:val="0"/>
          <w:sz w:val="30"/>
          <w:szCs w:val="30"/>
          <w:highlight w:val="none"/>
          <w:lang w:val="en-US" w:eastAsia="zh-CN" w:bidi="ar-SA"/>
        </w:rPr>
      </w:pPr>
      <w:r>
        <w:rPr>
          <w:rFonts w:hint="eastAsia" w:ascii="宋体" w:hAnsi="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lang w:val="en-US" w:eastAsia="zh-CN"/>
        </w:rPr>
        <w:t>、关于商务技术审查的其他资料</w:t>
      </w:r>
    </w:p>
    <w:p w14:paraId="7E7A72D1">
      <w:pPr>
        <w:pStyle w:val="18"/>
        <w:pageBreakBefore w:val="0"/>
        <w:kinsoku/>
        <w:wordWrap w:val="0"/>
        <w:overflowPunct/>
        <w:bidi w:val="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包括但不限于以下内容：</w:t>
      </w:r>
    </w:p>
    <w:p w14:paraId="16BABBFD">
      <w:pPr>
        <w:pStyle w:val="18"/>
        <w:keepNext w:val="0"/>
        <w:keepLines w:val="0"/>
        <w:pageBreakBefore w:val="0"/>
        <w:widowControl w:val="0"/>
        <w:numPr>
          <w:ilvl w:val="0"/>
          <w:numId w:val="13"/>
        </w:numPr>
        <w:kinsoku/>
        <w:wordWrap w:val="0"/>
        <w:overflowPunct/>
        <w:topLinePunct w:val="0"/>
        <w:autoSpaceDE/>
        <w:autoSpaceDN/>
        <w:bidi w:val="0"/>
        <w:adjustRightInd/>
        <w:snapToGrid/>
        <w:spacing w:line="600" w:lineRule="exact"/>
        <w:ind w:firstLine="480" w:firstLineChars="200"/>
        <w:textAlignment w:val="auto"/>
        <w:rPr>
          <w:rFonts w:hint="eastAsia" w:hAnsi="宋体" w:cs="宋体"/>
          <w:color w:val="auto"/>
          <w:sz w:val="24"/>
          <w:szCs w:val="24"/>
          <w:highlight w:val="none"/>
          <w:lang w:eastAsia="zh-CN"/>
        </w:rPr>
      </w:pPr>
      <w:r>
        <w:rPr>
          <w:rFonts w:hint="eastAsia" w:ascii="宋体" w:hAnsi="宋体" w:eastAsia="宋体" w:cs="宋体"/>
          <w:color w:val="auto"/>
          <w:sz w:val="24"/>
          <w:szCs w:val="24"/>
          <w:highlight w:val="none"/>
        </w:rPr>
        <w:t>针对招标文件中要求提供技术参数证明材料的参数</w:t>
      </w:r>
      <w:r>
        <w:rPr>
          <w:rFonts w:hint="eastAsia" w:hAnsi="宋体" w:cs="宋体"/>
          <w:color w:val="auto"/>
          <w:sz w:val="24"/>
          <w:szCs w:val="24"/>
          <w:highlight w:val="none"/>
          <w:lang w:eastAsia="zh-CN"/>
        </w:rPr>
        <w:t>：</w:t>
      </w:r>
    </w:p>
    <w:p w14:paraId="5F9CD8DA">
      <w:pPr>
        <w:pStyle w:val="18"/>
        <w:keepNext w:val="0"/>
        <w:keepLines w:val="0"/>
        <w:pageBreakBefore w:val="0"/>
        <w:widowControl w:val="0"/>
        <w:numPr>
          <w:ilvl w:val="0"/>
          <w:numId w:val="0"/>
        </w:numPr>
        <w:kinsoku/>
        <w:wordWrap w:val="0"/>
        <w:overflowPunct/>
        <w:topLinePunct w:val="0"/>
        <w:autoSpaceDE/>
        <w:autoSpaceDN/>
        <w:bidi w:val="0"/>
        <w:adjustRightInd/>
        <w:snapToGrid/>
        <w:spacing w:line="60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①针对第六章“技术指标内容”中有明确要求证明材料的参数，投标人除如实填写技术规格偏离表外，还须提供符合“技术指标内容”要求的证明材料。</w:t>
      </w:r>
    </w:p>
    <w:p w14:paraId="5B81EB07">
      <w:pPr>
        <w:pStyle w:val="18"/>
        <w:keepNext w:val="0"/>
        <w:keepLines w:val="0"/>
        <w:pageBreakBefore w:val="0"/>
        <w:widowControl w:val="0"/>
        <w:numPr>
          <w:ilvl w:val="0"/>
          <w:numId w:val="0"/>
        </w:numPr>
        <w:kinsoku/>
        <w:wordWrap w:val="0"/>
        <w:overflowPunct/>
        <w:topLinePunct w:val="0"/>
        <w:autoSpaceDE/>
        <w:autoSpaceDN/>
        <w:bidi w:val="0"/>
        <w:adjustRightInd/>
        <w:snapToGrid/>
        <w:spacing w:line="6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②针对第六章“技术指标内容”中没有明确要求证明材料但为标注“▲”的重要参数，投标人除如实填写技术规格偏离表外，还须提供最新技术支持资料支持技术规格偏离表应答(技术支持资料包括:检验报告或宣传彩页或图纸或技术白皮书或软件功能截图等，不接受投标人自行印刷、打印或者手写的技术支持资料)</w:t>
      </w:r>
      <w:r>
        <w:rPr>
          <w:rFonts w:hint="eastAsia" w:hAnsi="宋体" w:cs="宋体"/>
          <w:bCs/>
          <w:color w:val="auto"/>
          <w:sz w:val="24"/>
          <w:szCs w:val="24"/>
          <w:highlight w:val="none"/>
          <w:lang w:eastAsia="zh-CN"/>
        </w:rPr>
        <w:t>，</w:t>
      </w:r>
      <w:r>
        <w:rPr>
          <w:rFonts w:hint="eastAsia" w:ascii="宋体" w:hAnsi="宋体" w:eastAsia="宋体" w:cs="宋体"/>
          <w:bCs/>
          <w:color w:val="auto"/>
          <w:sz w:val="24"/>
          <w:szCs w:val="24"/>
          <w:highlight w:val="none"/>
        </w:rPr>
        <w:t>投标产品检验报告或宣传彩页或图纸或技术白皮书或软件功能截图</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
          <w:bCs w:val="0"/>
          <w:color w:val="auto"/>
          <w:sz w:val="24"/>
          <w:szCs w:val="24"/>
          <w:highlight w:val="none"/>
          <w:lang w:val="en-US" w:eastAsia="zh-CN"/>
        </w:rPr>
        <w:t>关键页面</w:t>
      </w:r>
      <w:r>
        <w:rPr>
          <w:rFonts w:hint="eastAsia" w:ascii="宋体" w:hAnsi="宋体" w:eastAsia="宋体" w:cs="宋体"/>
          <w:bCs/>
          <w:color w:val="auto"/>
          <w:sz w:val="24"/>
          <w:szCs w:val="24"/>
          <w:highlight w:val="none"/>
          <w:lang w:val="en-US" w:eastAsia="zh-CN"/>
        </w:rPr>
        <w:t>（如签字盖章页、关键信息页、日期、编号信息页等）</w:t>
      </w:r>
      <w:r>
        <w:rPr>
          <w:rFonts w:hint="eastAsia" w:ascii="宋体" w:hAnsi="宋体" w:eastAsia="宋体" w:cs="宋体"/>
          <w:color w:val="auto"/>
          <w:sz w:val="24"/>
          <w:szCs w:val="24"/>
          <w:highlight w:val="none"/>
          <w:lang w:eastAsia="zh-CN"/>
        </w:rPr>
        <w:t>。</w:t>
      </w:r>
    </w:p>
    <w:p w14:paraId="470B0382">
      <w:pPr>
        <w:pStyle w:val="18"/>
        <w:keepNext w:val="0"/>
        <w:keepLines w:val="0"/>
        <w:pageBreakBefore w:val="0"/>
        <w:widowControl w:val="0"/>
        <w:kinsoku/>
        <w:wordWrap w:val="0"/>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2.针对招标文件中要求提供技术参数证明材料的参数投标产品主要技术指标、参数及性能的详细说明；原材料选择、设计（使用）寿命；外购/外协件制造厂、产地</w:t>
      </w:r>
      <w:r>
        <w:rPr>
          <w:rFonts w:hint="eastAsia" w:ascii="宋体" w:hAnsi="宋体" w:eastAsia="宋体" w:cs="宋体"/>
          <w:color w:val="auto"/>
          <w:sz w:val="24"/>
          <w:szCs w:val="24"/>
          <w:highlight w:val="none"/>
          <w:lang w:eastAsia="zh-CN"/>
        </w:rPr>
        <w:t>。</w:t>
      </w:r>
    </w:p>
    <w:p w14:paraId="08D1B729">
      <w:pPr>
        <w:pStyle w:val="18"/>
        <w:keepNext w:val="0"/>
        <w:keepLines w:val="0"/>
        <w:pageBreakBefore w:val="0"/>
        <w:widowControl w:val="0"/>
        <w:kinsoku/>
        <w:wordWrap w:val="0"/>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3.针对招标文件中要求提供技术参数证明材料的参数投标产品设计、制造、检验（测）、试验、验收、包装、运输、储存及试车等拟采用的标准、规范和方式；产品相关鉴定资料、试验报告、检验报告等</w:t>
      </w:r>
      <w:r>
        <w:rPr>
          <w:rFonts w:hint="eastAsia" w:ascii="宋体" w:hAnsi="宋体" w:eastAsia="宋体" w:cs="宋体"/>
          <w:color w:val="auto"/>
          <w:sz w:val="24"/>
          <w:szCs w:val="24"/>
          <w:highlight w:val="none"/>
          <w:lang w:eastAsia="zh-CN"/>
        </w:rPr>
        <w:t>。</w:t>
      </w:r>
    </w:p>
    <w:p w14:paraId="3399C7F2">
      <w:pPr>
        <w:pStyle w:val="18"/>
        <w:keepNext w:val="0"/>
        <w:keepLines w:val="0"/>
        <w:pageBreakBefore w:val="0"/>
        <w:widowControl w:val="0"/>
        <w:kinsoku/>
        <w:wordWrap w:val="0"/>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w:t>
      </w:r>
    </w:p>
    <w:p w14:paraId="014D7CD3">
      <w:pPr>
        <w:pageBreakBefore w:val="0"/>
        <w:kinsoku/>
        <w:wordWrap w:val="0"/>
        <w:overflowPunct/>
        <w:bidi w:val="0"/>
        <w:rPr>
          <w:rFonts w:hint="eastAsia" w:ascii="宋体" w:hAnsi="宋体" w:eastAsia="宋体" w:cs="宋体"/>
          <w:color w:val="auto"/>
          <w:highlight w:val="none"/>
        </w:rPr>
      </w:pPr>
    </w:p>
    <w:p w14:paraId="58CFA7E5">
      <w:pPr>
        <w:pageBreakBefore w:val="0"/>
        <w:kinsoku/>
        <w:wordWrap w:val="0"/>
        <w:overflowPunct/>
        <w:bidi w:val="0"/>
        <w:rPr>
          <w:rFonts w:hint="eastAsia" w:ascii="宋体" w:hAnsi="宋体" w:eastAsia="宋体" w:cs="宋体"/>
          <w:color w:val="auto"/>
          <w:szCs w:val="28"/>
          <w:highlight w:val="none"/>
        </w:rPr>
      </w:pPr>
      <w:r>
        <w:rPr>
          <w:rFonts w:hint="eastAsia" w:ascii="宋体" w:hAnsi="宋体" w:eastAsia="宋体" w:cs="宋体"/>
          <w:color w:val="auto"/>
          <w:szCs w:val="28"/>
          <w:highlight w:val="none"/>
        </w:rPr>
        <w:br w:type="page"/>
      </w:r>
    </w:p>
    <w:p w14:paraId="33985F8D">
      <w:pPr>
        <w:pageBreakBefore w:val="0"/>
        <w:kinsoku/>
        <w:wordWrap w:val="0"/>
        <w:overflowPunct/>
        <w:bidi w:val="0"/>
        <w:rPr>
          <w:rFonts w:hint="eastAsia"/>
          <w:color w:val="auto"/>
          <w:highlight w:val="none"/>
        </w:rPr>
        <w:sectPr>
          <w:headerReference r:id="rId19" w:type="default"/>
          <w:footerReference r:id="rId20" w:type="default"/>
          <w:pgSz w:w="16838" w:h="11906" w:orient="landscape"/>
          <w:pgMar w:top="1361" w:right="1134" w:bottom="1134" w:left="1440" w:header="850" w:footer="510" w:gutter="0"/>
          <w:pgBorders>
            <w:top w:val="none" w:sz="0" w:space="0"/>
            <w:left w:val="none" w:sz="0" w:space="0"/>
            <w:bottom w:val="none" w:sz="0" w:space="0"/>
            <w:right w:val="none" w:sz="0" w:space="0"/>
          </w:pgBorders>
          <w:pgNumType w:fmt="decimal"/>
          <w:cols w:space="0" w:num="1"/>
          <w:rtlGutter w:val="0"/>
          <w:docGrid w:linePitch="317" w:charSpace="0"/>
        </w:sectPr>
      </w:pPr>
      <w:bookmarkStart w:id="348" w:name="_Toc21153"/>
    </w:p>
    <w:p w14:paraId="7F938898">
      <w:pPr>
        <w:pageBreakBefore w:val="0"/>
        <w:kinsoku/>
        <w:wordWrap w:val="0"/>
        <w:overflowPunct/>
        <w:bidi w:val="0"/>
        <w:rPr>
          <w:rFonts w:hint="eastAsia"/>
          <w:color w:val="auto"/>
          <w:highlight w:val="none"/>
        </w:rPr>
      </w:pPr>
    </w:p>
    <w:bookmarkEnd w:id="347"/>
    <w:bookmarkEnd w:id="348"/>
    <w:p w14:paraId="32BE2F31">
      <w:pPr>
        <w:pageBreakBefore w:val="0"/>
        <w:kinsoku/>
        <w:wordWrap w:val="0"/>
        <w:overflowPunct/>
        <w:bidi w:val="0"/>
        <w:jc w:val="center"/>
        <w:rPr>
          <w:rFonts w:hint="eastAsia" w:ascii="宋体" w:hAnsi="宋体" w:eastAsia="宋体" w:cs="宋体"/>
          <w:color w:val="auto"/>
          <w:szCs w:val="28"/>
          <w:highlight w:val="none"/>
        </w:rPr>
      </w:pPr>
      <w:bookmarkStart w:id="349" w:name="_Toc23067"/>
      <w:r>
        <w:rPr>
          <w:rFonts w:hint="eastAsia" w:ascii="宋体" w:hAnsi="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lang w:val="en-US" w:eastAsia="zh-CN"/>
        </w:rPr>
        <w:t>、</w:t>
      </w:r>
      <w:r>
        <w:rPr>
          <w:rFonts w:hint="eastAsia" w:ascii="宋体" w:hAnsi="宋体" w:cs="宋体"/>
          <w:b/>
          <w:bCs/>
          <w:color w:val="auto"/>
          <w:sz w:val="28"/>
          <w:szCs w:val="28"/>
          <w:highlight w:val="none"/>
          <w:lang w:val="en-US" w:eastAsia="zh-CN"/>
        </w:rPr>
        <w:t>商务及技术</w:t>
      </w:r>
      <w:r>
        <w:rPr>
          <w:rFonts w:hint="eastAsia" w:ascii="宋体" w:hAnsi="宋体" w:eastAsia="宋体" w:cs="宋体"/>
          <w:b/>
          <w:bCs/>
          <w:color w:val="auto"/>
          <w:sz w:val="28"/>
          <w:szCs w:val="28"/>
          <w:highlight w:val="none"/>
          <w:lang w:val="zh-CN" w:eastAsia="zh-CN"/>
        </w:rPr>
        <w:t>部分</w:t>
      </w:r>
      <w:bookmarkEnd w:id="349"/>
    </w:p>
    <w:p w14:paraId="03AF8BD6">
      <w:pPr>
        <w:pageBreakBefore w:val="0"/>
        <w:kinsoku/>
        <w:wordWrap w:val="0"/>
        <w:overflowPunct/>
        <w:bidi w:val="0"/>
        <w:ind w:firstLine="655"/>
        <w:jc w:val="center"/>
        <w:rPr>
          <w:rFonts w:hint="eastAsia" w:ascii="宋体" w:hAnsi="宋体" w:eastAsia="宋体" w:cs="宋体"/>
          <w:color w:val="auto"/>
          <w:sz w:val="25"/>
          <w:highlight w:val="none"/>
        </w:rPr>
      </w:pPr>
    </w:p>
    <w:p w14:paraId="43BB6790">
      <w:pPr>
        <w:keepNext w:val="0"/>
        <w:keepLines w:val="0"/>
        <w:pageBreakBefore w:val="0"/>
        <w:widowControl/>
        <w:numPr>
          <w:ilvl w:val="0"/>
          <w:numId w:val="14"/>
        </w:numPr>
        <w:kinsoku/>
        <w:wordWrap w:val="0"/>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项目实施方案</w:t>
      </w:r>
    </w:p>
    <w:p w14:paraId="22B73625">
      <w:pPr>
        <w:keepNext w:val="0"/>
        <w:keepLines w:val="0"/>
        <w:pageBreakBefore w:val="0"/>
        <w:widowControl/>
        <w:numPr>
          <w:ilvl w:val="0"/>
          <w:numId w:val="14"/>
        </w:numPr>
        <w:kinsoku/>
        <w:wordWrap w:val="0"/>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质量承诺及保障措施</w:t>
      </w:r>
    </w:p>
    <w:p w14:paraId="5B8B82E1">
      <w:pPr>
        <w:keepNext w:val="0"/>
        <w:keepLines w:val="0"/>
        <w:pageBreakBefore w:val="0"/>
        <w:widowControl/>
        <w:numPr>
          <w:ilvl w:val="0"/>
          <w:numId w:val="14"/>
        </w:numPr>
        <w:kinsoku/>
        <w:wordWrap w:val="0"/>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培训计划及保障措施</w:t>
      </w:r>
    </w:p>
    <w:p w14:paraId="632A8479">
      <w:pPr>
        <w:keepNext w:val="0"/>
        <w:keepLines w:val="0"/>
        <w:pageBreakBefore w:val="0"/>
        <w:widowControl/>
        <w:numPr>
          <w:ilvl w:val="0"/>
          <w:numId w:val="14"/>
        </w:numPr>
        <w:kinsoku/>
        <w:wordWrap w:val="0"/>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售后服务方案</w:t>
      </w:r>
    </w:p>
    <w:p w14:paraId="5E81900B">
      <w:pPr>
        <w:keepNext w:val="0"/>
        <w:keepLines w:val="0"/>
        <w:pageBreakBefore w:val="0"/>
        <w:widowControl/>
        <w:numPr>
          <w:ilvl w:val="0"/>
          <w:numId w:val="14"/>
        </w:numPr>
        <w:kinsoku/>
        <w:wordWrap w:val="0"/>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其他投标人认为需要提供的资料</w:t>
      </w:r>
    </w:p>
    <w:p w14:paraId="7099C502">
      <w:pPr>
        <w:pStyle w:val="2"/>
        <w:rPr>
          <w:rFonts w:hint="default"/>
          <w:color w:val="auto"/>
          <w:highlight w:val="none"/>
          <w:lang w:val="en-US" w:eastAsia="zh-CN"/>
        </w:rPr>
      </w:pPr>
    </w:p>
    <w:p w14:paraId="5A31AE46">
      <w:pPr>
        <w:pageBreakBefore w:val="0"/>
        <w:kinsoku/>
        <w:wordWrap w:val="0"/>
        <w:overflowPunct/>
        <w:bidi w:val="0"/>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结合采购需求及评审办法要求编制，格式自拟</w:t>
      </w:r>
      <w:r>
        <w:rPr>
          <w:rFonts w:hint="eastAsia" w:ascii="宋体" w:hAnsi="宋体" w:eastAsia="宋体" w:cs="宋体"/>
          <w:color w:val="auto"/>
          <w:sz w:val="24"/>
          <w:szCs w:val="24"/>
          <w:highlight w:val="none"/>
          <w:lang w:eastAsia="zh-CN"/>
        </w:rPr>
        <w:t>）</w:t>
      </w:r>
    </w:p>
    <w:p w14:paraId="0E811A7D">
      <w:pPr>
        <w:pageBreakBefore w:val="0"/>
        <w:kinsoku/>
        <w:wordWrap w:val="0"/>
        <w:overflowPunct/>
        <w:bidi w:val="0"/>
        <w:rPr>
          <w:rFonts w:hint="eastAsia" w:ascii="宋体" w:hAnsi="宋体" w:eastAsia="宋体" w:cs="宋体"/>
          <w:color w:val="auto"/>
          <w:highlight w:val="none"/>
        </w:rPr>
      </w:pPr>
    </w:p>
    <w:p w14:paraId="6D96345D">
      <w:pPr>
        <w:pStyle w:val="13"/>
        <w:pageBreakBefore w:val="0"/>
        <w:kinsoku/>
        <w:wordWrap w:val="0"/>
        <w:overflowPunct/>
        <w:bidi w:val="0"/>
        <w:ind w:firstLine="629"/>
        <w:rPr>
          <w:rFonts w:hint="eastAsia" w:ascii="宋体" w:hAnsi="宋体" w:eastAsia="宋体" w:cs="宋体"/>
          <w:color w:val="auto"/>
          <w:highlight w:val="none"/>
        </w:rPr>
      </w:pPr>
    </w:p>
    <w:p w14:paraId="272C3C80">
      <w:pPr>
        <w:pageBreakBefore w:val="0"/>
        <w:kinsoku/>
        <w:wordWrap w:val="0"/>
        <w:overflowPunct/>
        <w:bidi w:val="0"/>
        <w:rPr>
          <w:rFonts w:hint="eastAsia" w:ascii="宋体" w:hAnsi="宋体" w:eastAsia="宋体" w:cs="宋体"/>
          <w:color w:val="auto"/>
          <w:highlight w:val="none"/>
        </w:rPr>
      </w:pPr>
    </w:p>
    <w:p w14:paraId="112BA8F1">
      <w:pPr>
        <w:pStyle w:val="13"/>
        <w:pageBreakBefore w:val="0"/>
        <w:kinsoku/>
        <w:wordWrap w:val="0"/>
        <w:overflowPunct/>
        <w:bidi w:val="0"/>
        <w:ind w:firstLine="629"/>
        <w:rPr>
          <w:rFonts w:hint="eastAsia" w:ascii="宋体" w:hAnsi="宋体" w:eastAsia="宋体" w:cs="宋体"/>
          <w:color w:val="auto"/>
          <w:highlight w:val="none"/>
        </w:rPr>
      </w:pPr>
    </w:p>
    <w:p w14:paraId="2126D89E">
      <w:pPr>
        <w:pageBreakBefore w:val="0"/>
        <w:kinsoku/>
        <w:wordWrap w:val="0"/>
        <w:overflowPunct/>
        <w:bidi w:val="0"/>
        <w:rPr>
          <w:rFonts w:hint="eastAsia" w:ascii="宋体" w:hAnsi="宋体" w:eastAsia="宋体" w:cs="宋体"/>
          <w:color w:val="auto"/>
          <w:highlight w:val="none"/>
        </w:rPr>
      </w:pPr>
    </w:p>
    <w:p w14:paraId="6AF1E7ED">
      <w:pPr>
        <w:pStyle w:val="13"/>
        <w:pageBreakBefore w:val="0"/>
        <w:kinsoku/>
        <w:wordWrap w:val="0"/>
        <w:overflowPunct/>
        <w:bidi w:val="0"/>
        <w:ind w:firstLine="629"/>
        <w:rPr>
          <w:rFonts w:hint="eastAsia" w:ascii="宋体" w:hAnsi="宋体" w:eastAsia="宋体" w:cs="宋体"/>
          <w:color w:val="auto"/>
          <w:highlight w:val="none"/>
        </w:rPr>
      </w:pPr>
    </w:p>
    <w:p w14:paraId="706A8619">
      <w:pPr>
        <w:pageBreakBefore w:val="0"/>
        <w:kinsoku/>
        <w:wordWrap w:val="0"/>
        <w:overflowPunct/>
        <w:bidi w:val="0"/>
        <w:rPr>
          <w:rFonts w:hint="eastAsia" w:ascii="宋体" w:hAnsi="宋体" w:eastAsia="宋体" w:cs="宋体"/>
          <w:color w:val="auto"/>
          <w:highlight w:val="none"/>
        </w:rPr>
      </w:pPr>
    </w:p>
    <w:p w14:paraId="51915BFF">
      <w:pPr>
        <w:pageBreakBefore w:val="0"/>
        <w:kinsoku/>
        <w:wordWrap w:val="0"/>
        <w:overflowPunct/>
        <w:bidi w:val="0"/>
        <w:rPr>
          <w:rFonts w:hint="eastAsia" w:ascii="宋体" w:hAnsi="宋体" w:eastAsia="宋体" w:cs="宋体"/>
          <w:color w:val="auto"/>
          <w:highlight w:val="none"/>
        </w:rPr>
      </w:pPr>
    </w:p>
    <w:p w14:paraId="2F9F7FF8">
      <w:pPr>
        <w:pageBreakBefore w:val="0"/>
        <w:kinsoku/>
        <w:wordWrap w:val="0"/>
        <w:overflowPunct/>
        <w:bidi w:val="0"/>
        <w:rPr>
          <w:rFonts w:hint="eastAsia" w:ascii="宋体" w:hAnsi="宋体" w:eastAsia="宋体" w:cs="宋体"/>
          <w:color w:val="auto"/>
          <w:highlight w:val="none"/>
        </w:rPr>
      </w:pPr>
    </w:p>
    <w:p w14:paraId="4919113B">
      <w:pPr>
        <w:pageBreakBefore w:val="0"/>
        <w:kinsoku/>
        <w:wordWrap w:val="0"/>
        <w:overflowPunct/>
        <w:bidi w:val="0"/>
        <w:rPr>
          <w:rFonts w:hint="eastAsia" w:ascii="宋体" w:hAnsi="宋体" w:eastAsia="宋体" w:cs="宋体"/>
          <w:color w:val="auto"/>
          <w:highlight w:val="none"/>
        </w:rPr>
      </w:pPr>
    </w:p>
    <w:p w14:paraId="748A0FC3">
      <w:pPr>
        <w:pageBreakBefore w:val="0"/>
        <w:kinsoku/>
        <w:wordWrap w:val="0"/>
        <w:overflowPunct/>
        <w:bidi w:val="0"/>
        <w:rPr>
          <w:rFonts w:hint="eastAsia" w:ascii="宋体" w:hAnsi="宋体" w:eastAsia="宋体" w:cs="宋体"/>
          <w:color w:val="auto"/>
          <w:highlight w:val="none"/>
        </w:rPr>
      </w:pPr>
    </w:p>
    <w:p w14:paraId="33846541">
      <w:pPr>
        <w:pageBreakBefore w:val="0"/>
        <w:kinsoku/>
        <w:wordWrap w:val="0"/>
        <w:overflowPunct/>
        <w:bidi w:val="0"/>
        <w:rPr>
          <w:rFonts w:hint="eastAsia" w:ascii="宋体" w:hAnsi="宋体" w:eastAsia="宋体" w:cs="宋体"/>
          <w:color w:val="auto"/>
          <w:highlight w:val="none"/>
        </w:rPr>
      </w:pPr>
    </w:p>
    <w:p w14:paraId="2766F803">
      <w:pPr>
        <w:pageBreakBefore w:val="0"/>
        <w:kinsoku/>
        <w:wordWrap w:val="0"/>
        <w:overflowPunct/>
        <w:bidi w:val="0"/>
        <w:rPr>
          <w:rFonts w:hint="eastAsia" w:ascii="宋体" w:hAnsi="宋体" w:eastAsia="宋体" w:cs="宋体"/>
          <w:color w:val="auto"/>
          <w:highlight w:val="none"/>
        </w:rPr>
      </w:pPr>
    </w:p>
    <w:p w14:paraId="4FE4782C">
      <w:pPr>
        <w:pageBreakBefore w:val="0"/>
        <w:kinsoku/>
        <w:wordWrap w:val="0"/>
        <w:overflowPunct/>
        <w:bidi w:val="0"/>
        <w:rPr>
          <w:rFonts w:hint="eastAsia" w:ascii="宋体" w:hAnsi="宋体" w:eastAsia="宋体" w:cs="宋体"/>
          <w:color w:val="auto"/>
          <w:highlight w:val="none"/>
        </w:rPr>
      </w:pPr>
    </w:p>
    <w:p w14:paraId="62FE20EF">
      <w:pPr>
        <w:pageBreakBefore w:val="0"/>
        <w:kinsoku/>
        <w:wordWrap w:val="0"/>
        <w:overflowPunct/>
        <w:bidi w:val="0"/>
        <w:rPr>
          <w:rFonts w:hint="eastAsia" w:ascii="宋体" w:hAnsi="宋体" w:eastAsia="宋体" w:cs="宋体"/>
          <w:color w:val="auto"/>
          <w:highlight w:val="none"/>
        </w:rPr>
      </w:pPr>
    </w:p>
    <w:p w14:paraId="77748D59">
      <w:pPr>
        <w:pageBreakBefore w:val="0"/>
        <w:kinsoku/>
        <w:wordWrap w:val="0"/>
        <w:overflowPunct/>
        <w:bidi w:val="0"/>
        <w:rPr>
          <w:rFonts w:hint="eastAsia" w:ascii="宋体" w:hAnsi="宋体" w:eastAsia="宋体" w:cs="宋体"/>
          <w:color w:val="auto"/>
          <w:highlight w:val="none"/>
        </w:rPr>
      </w:pPr>
    </w:p>
    <w:p w14:paraId="237C44BC">
      <w:pPr>
        <w:pageBreakBefore w:val="0"/>
        <w:kinsoku/>
        <w:wordWrap w:val="0"/>
        <w:overflowPunct/>
        <w:bidi w:val="0"/>
        <w:rPr>
          <w:rFonts w:hint="eastAsia" w:ascii="宋体" w:hAnsi="宋体" w:eastAsia="宋体" w:cs="宋体"/>
          <w:color w:val="auto"/>
          <w:highlight w:val="none"/>
        </w:rPr>
      </w:pPr>
    </w:p>
    <w:p w14:paraId="62705D2E">
      <w:pPr>
        <w:pageBreakBefore w:val="0"/>
        <w:kinsoku/>
        <w:wordWrap w:val="0"/>
        <w:overflowPunct/>
        <w:bidi w:val="0"/>
        <w:rPr>
          <w:rFonts w:hint="eastAsia" w:ascii="宋体" w:hAnsi="宋体" w:eastAsia="宋体" w:cs="宋体"/>
          <w:color w:val="auto"/>
          <w:highlight w:val="none"/>
        </w:rPr>
      </w:pPr>
    </w:p>
    <w:p w14:paraId="126E819E">
      <w:pPr>
        <w:pageBreakBefore w:val="0"/>
        <w:kinsoku/>
        <w:wordWrap w:val="0"/>
        <w:overflowPunct/>
        <w:bidi w:val="0"/>
        <w:rPr>
          <w:rFonts w:hint="eastAsia" w:ascii="宋体" w:hAnsi="宋体" w:eastAsia="宋体" w:cs="宋体"/>
          <w:color w:val="auto"/>
          <w:highlight w:val="none"/>
        </w:rPr>
      </w:pPr>
    </w:p>
    <w:p w14:paraId="0FEC9195">
      <w:pPr>
        <w:pageBreakBefore w:val="0"/>
        <w:kinsoku/>
        <w:wordWrap w:val="0"/>
        <w:overflowPunct/>
        <w:bidi w:val="0"/>
        <w:rPr>
          <w:rFonts w:hint="eastAsia" w:ascii="宋体" w:hAnsi="宋体" w:eastAsia="宋体" w:cs="宋体"/>
          <w:color w:val="auto"/>
          <w:highlight w:val="none"/>
        </w:rPr>
      </w:pPr>
    </w:p>
    <w:p w14:paraId="24EFADCA">
      <w:pPr>
        <w:pageBreakBefore w:val="0"/>
        <w:kinsoku/>
        <w:wordWrap w:val="0"/>
        <w:overflowPunct/>
        <w:bidi w:val="0"/>
        <w:rPr>
          <w:rFonts w:hint="eastAsia" w:ascii="宋体" w:hAnsi="宋体" w:eastAsia="宋体" w:cs="宋体"/>
          <w:color w:val="auto"/>
          <w:highlight w:val="none"/>
        </w:rPr>
      </w:pPr>
    </w:p>
    <w:p w14:paraId="25542B28">
      <w:pPr>
        <w:pageBreakBefore w:val="0"/>
        <w:kinsoku/>
        <w:wordWrap w:val="0"/>
        <w:overflowPunct/>
        <w:bidi w:val="0"/>
        <w:rPr>
          <w:rFonts w:hint="eastAsia" w:ascii="宋体" w:hAnsi="宋体" w:eastAsia="宋体" w:cs="宋体"/>
          <w:color w:val="auto"/>
          <w:highlight w:val="none"/>
        </w:rPr>
      </w:pPr>
    </w:p>
    <w:p w14:paraId="7FE8CC49">
      <w:pPr>
        <w:pageBreakBefore w:val="0"/>
        <w:kinsoku/>
        <w:wordWrap w:val="0"/>
        <w:overflowPunct/>
        <w:bidi w:val="0"/>
        <w:rPr>
          <w:rFonts w:hint="eastAsia" w:ascii="宋体" w:hAnsi="宋体" w:eastAsia="宋体" w:cs="宋体"/>
          <w:color w:val="auto"/>
          <w:highlight w:val="none"/>
        </w:rPr>
      </w:pPr>
    </w:p>
    <w:p w14:paraId="32EDAFB6">
      <w:pPr>
        <w:pageBreakBefore w:val="0"/>
        <w:kinsoku/>
        <w:wordWrap w:val="0"/>
        <w:overflowPunct/>
        <w:bidi w:val="0"/>
        <w:rPr>
          <w:rFonts w:hint="eastAsia" w:ascii="宋体" w:hAnsi="宋体" w:eastAsia="宋体" w:cs="宋体"/>
          <w:color w:val="auto"/>
          <w:highlight w:val="none"/>
        </w:rPr>
      </w:pPr>
    </w:p>
    <w:p w14:paraId="7D55F5A8">
      <w:pPr>
        <w:pageBreakBefore w:val="0"/>
        <w:kinsoku/>
        <w:wordWrap w:val="0"/>
        <w:overflowPunct/>
        <w:bidi w:val="0"/>
        <w:rPr>
          <w:rFonts w:hint="eastAsia" w:ascii="宋体" w:hAnsi="宋体" w:eastAsia="宋体" w:cs="宋体"/>
          <w:color w:val="auto"/>
          <w:highlight w:val="none"/>
        </w:rPr>
      </w:pPr>
    </w:p>
    <w:p w14:paraId="6B1BE426">
      <w:pPr>
        <w:pageBreakBefore w:val="0"/>
        <w:shd w:val="clear" w:color="auto" w:fill="FFFFFF"/>
        <w:kinsoku/>
        <w:wordWrap w:val="0"/>
        <w:overflowPunct/>
        <w:bidi w:val="0"/>
        <w:spacing w:line="480" w:lineRule="auto"/>
        <w:ind w:firstLine="629"/>
        <w:rPr>
          <w:rFonts w:hint="eastAsia" w:ascii="宋体" w:hAnsi="宋体" w:eastAsia="宋体" w:cs="宋体"/>
          <w:color w:val="auto"/>
          <w:sz w:val="24"/>
          <w:highlight w:val="none"/>
        </w:rPr>
      </w:pPr>
    </w:p>
    <w:p w14:paraId="57CFDC7E">
      <w:pPr>
        <w:pageBreakBefore w:val="0"/>
        <w:widowControl/>
        <w:kinsoku/>
        <w:wordWrap w:val="0"/>
        <w:overflowPunct/>
        <w:bidi w:val="0"/>
        <w:ind w:firstLine="1050" w:firstLineChars="50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AF81184">
      <w:pPr>
        <w:pageBreakBefore w:val="0"/>
        <w:kinsoku/>
        <w:wordWrap w:val="0"/>
        <w:overflowPunct/>
        <w:bidi w:val="0"/>
        <w:rPr>
          <w:rFonts w:hint="eastAsia"/>
          <w:color w:val="auto"/>
          <w:highlight w:val="none"/>
        </w:rPr>
      </w:pPr>
      <w:bookmarkStart w:id="350" w:name="_Toc31975"/>
    </w:p>
    <w:bookmarkEnd w:id="350"/>
    <w:p w14:paraId="2EBE82DB">
      <w:pPr>
        <w:pageBreakBefore w:val="0"/>
        <w:kinsoku/>
        <w:wordWrap w:val="0"/>
        <w:overflowPunct/>
        <w:bidi w:val="0"/>
        <w:jc w:val="center"/>
        <w:rPr>
          <w:rFonts w:hint="eastAsia" w:ascii="宋体" w:hAnsi="宋体" w:eastAsia="宋体" w:cs="宋体"/>
          <w:b/>
          <w:bCs/>
          <w:color w:val="auto"/>
          <w:sz w:val="28"/>
          <w:szCs w:val="28"/>
          <w:highlight w:val="none"/>
          <w:lang w:val="en-US" w:eastAsia="zh-CN"/>
        </w:rPr>
      </w:pPr>
      <w:bookmarkStart w:id="351" w:name="_Toc16522"/>
      <w:r>
        <w:rPr>
          <w:rFonts w:hint="eastAsia" w:ascii="宋体" w:hAnsi="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lang w:val="zh-CN" w:eastAsia="zh-CN"/>
        </w:rPr>
        <w:t>、其他资料</w:t>
      </w:r>
      <w:bookmarkEnd w:id="351"/>
    </w:p>
    <w:p w14:paraId="044365A9">
      <w:pPr>
        <w:pStyle w:val="10"/>
        <w:pageBreakBefore w:val="0"/>
        <w:kinsoku/>
        <w:wordWrap w:val="0"/>
        <w:overflowPunct/>
        <w:bidi w:val="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招标文件要求及投标人认为需要提交的</w:t>
      </w:r>
      <w:r>
        <w:rPr>
          <w:rFonts w:hint="eastAsia" w:ascii="宋体" w:hAnsi="宋体" w:eastAsia="宋体" w:cs="宋体"/>
          <w:color w:val="auto"/>
          <w:sz w:val="24"/>
          <w:szCs w:val="24"/>
          <w:highlight w:val="none"/>
          <w:lang w:val="en-US" w:eastAsia="zh-CN"/>
        </w:rPr>
        <w:t>其他</w:t>
      </w:r>
      <w:r>
        <w:rPr>
          <w:rFonts w:hint="eastAsia" w:ascii="宋体" w:hAnsi="宋体" w:eastAsia="宋体" w:cs="宋体"/>
          <w:color w:val="auto"/>
          <w:sz w:val="24"/>
          <w:szCs w:val="24"/>
          <w:highlight w:val="none"/>
        </w:rPr>
        <w:t>材料。</w:t>
      </w:r>
    </w:p>
    <w:p w14:paraId="734409D1">
      <w:pPr>
        <w:rPr>
          <w:rFonts w:hint="eastAsia" w:ascii="宋体" w:hAnsi="宋体" w:eastAsia="宋体" w:cs="宋体"/>
          <w:color w:val="auto"/>
          <w:sz w:val="24"/>
          <w:szCs w:val="24"/>
          <w:highlight w:val="none"/>
        </w:rPr>
      </w:pPr>
    </w:p>
    <w:bookmarkEnd w:id="346"/>
    <w:p w14:paraId="2AC6F57B">
      <w:pPr>
        <w:pageBreakBefore w:val="0"/>
        <w:numPr>
          <w:ilvl w:val="0"/>
          <w:numId w:val="0"/>
        </w:numPr>
        <w:kinsoku/>
        <w:wordWrap w:val="0"/>
        <w:overflowPunct/>
        <w:bidi w:val="0"/>
        <w:jc w:val="both"/>
        <w:rPr>
          <w:rFonts w:hint="eastAsia" w:ascii="宋体" w:hAnsi="宋体" w:eastAsia="宋体" w:cs="宋体"/>
          <w:b/>
          <w:bCs/>
          <w:color w:val="auto"/>
          <w:sz w:val="24"/>
          <w:szCs w:val="24"/>
          <w:highlight w:val="none"/>
          <w:lang w:val="en-US" w:eastAsia="zh-CN" w:bidi="ar-SA"/>
        </w:rPr>
      </w:pPr>
      <w:bookmarkStart w:id="352" w:name="_Toc23543"/>
      <w:bookmarkEnd w:id="352"/>
      <w:bookmarkStart w:id="353" w:name="_Toc17435"/>
      <w:bookmarkEnd w:id="353"/>
    </w:p>
    <w:sectPr>
      <w:pgSz w:w="11906" w:h="16838"/>
      <w:pgMar w:top="1134" w:right="1134" w:bottom="1440" w:left="1361" w:header="850" w:footer="510" w:gutter="0"/>
      <w:pgBorders>
        <w:top w:val="none" w:sz="0" w:space="0"/>
        <w:left w:val="none" w:sz="0" w:space="0"/>
        <w:bottom w:val="none" w:sz="0" w:space="0"/>
        <w:right w:val="none" w:sz="0" w:space="0"/>
      </w:pgBorders>
      <w:pgNumType w:fmt="decimal"/>
      <w:cols w:space="0" w:num="1"/>
      <w:rtlGutter w:val="0"/>
      <w:docGrid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方正仿宋_GBK">
    <w:altName w:val="Arial Unicode MS"/>
    <w:panose1 w:val="03000509000000000000"/>
    <w:charset w:val="86"/>
    <w:family w:val="auto"/>
    <w:pitch w:val="default"/>
    <w:sig w:usb0="00000000" w:usb1="00000000" w:usb2="00000000" w:usb3="00000000" w:csb0="00040000" w:csb1="00000000"/>
  </w:font>
  <w:font w:name="微软雅黑 Light">
    <w:panose1 w:val="020B0502040204020203"/>
    <w:charset w:val="86"/>
    <w:family w:val="auto"/>
    <w:pitch w:val="default"/>
    <w:sig w:usb0="80000287" w:usb1="2ACF001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方正小标宋_GBK">
    <w:altName w:val="Arial Unicode MS"/>
    <w:panose1 w:val="03000509000000000000"/>
    <w:charset w:val="86"/>
    <w:family w:val="auto"/>
    <w:pitch w:val="default"/>
    <w:sig w:usb0="00000000" w:usb1="00000000" w:usb2="00000000" w:usb3="00000000" w:csb0="00040000" w:csb1="00000000"/>
  </w:font>
  <w:font w:name="Segoe UI Symbol">
    <w:panose1 w:val="020B0502040204020203"/>
    <w:charset w:val="00"/>
    <w:family w:val="auto"/>
    <w:pitch w:val="default"/>
    <w:sig w:usb0="800001E3" w:usb1="1200FFEF" w:usb2="00040000" w:usb3="04000000" w:csb0="00000001" w:csb1="40000000"/>
  </w:font>
  <w:font w:name="KSOFE44F9426">
    <w:panose1 w:val="02010609060101010101"/>
    <w:charset w:val="86"/>
    <w:family w:val="auto"/>
    <w:pitch w:val="default"/>
    <w:sig w:usb0="00000001"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1FF09">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EB378">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3FC7B">
    <w:pPr>
      <w:pStyle w:val="2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599D5E">
                          <w:pPr>
                            <w:pStyle w:val="22"/>
                          </w:pPr>
                          <w:r>
                            <w:fldChar w:fldCharType="begin"/>
                          </w:r>
                          <w:r>
                            <w:instrText xml:space="preserve"> PAGE  \* MERGEFORMAT </w:instrText>
                          </w:r>
                          <w:r>
                            <w:fldChar w:fldCharType="separate"/>
                          </w:r>
                          <w:r>
                            <w:t>- 3 -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E599D5E">
                    <w:pPr>
                      <w:pStyle w:val="22"/>
                    </w:pPr>
                    <w:r>
                      <w:fldChar w:fldCharType="begin"/>
                    </w:r>
                    <w:r>
                      <w:instrText xml:space="preserve"> PAGE  \* MERGEFORMAT </w:instrText>
                    </w:r>
                    <w:r>
                      <w:fldChar w:fldCharType="separate"/>
                    </w:r>
                    <w:r>
                      <w:t>- 3 -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87CD6">
    <w:pPr>
      <w:pStyle w:val="22"/>
      <w:spacing w:before="120" w:after="12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A696DC">
                          <w:pPr>
                            <w:pStyle w:val="22"/>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CA696DC">
                    <w:pPr>
                      <w:pStyle w:val="22"/>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60539">
    <w:pPr>
      <w:pStyle w:val="22"/>
      <w:spacing w:before="120" w:after="12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BBDB71">
                          <w:pPr>
                            <w:pStyle w:val="22"/>
                          </w:pPr>
                          <w:r>
                            <w:fldChar w:fldCharType="begin"/>
                          </w:r>
                          <w:r>
                            <w:instrText xml:space="preserve"> PAGE  \* MERGEFORMAT </w:instrText>
                          </w:r>
                          <w:r>
                            <w:fldChar w:fldCharType="separate"/>
                          </w:r>
                          <w:r>
                            <w:t>- 45 -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DBBDB71">
                    <w:pPr>
                      <w:pStyle w:val="22"/>
                    </w:pPr>
                    <w:r>
                      <w:fldChar w:fldCharType="begin"/>
                    </w:r>
                    <w:r>
                      <w:instrText xml:space="preserve"> PAGE  \* MERGEFORMAT </w:instrText>
                    </w:r>
                    <w:r>
                      <w:fldChar w:fldCharType="separate"/>
                    </w:r>
                    <w:r>
                      <w:t>- 45 -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A3528">
    <w:pPr>
      <w:pStyle w:val="22"/>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DB16CE">
                          <w:pPr>
                            <w:pStyle w:val="22"/>
                          </w:pPr>
                          <w:r>
                            <w:fldChar w:fldCharType="begin"/>
                          </w:r>
                          <w:r>
                            <w:instrText xml:space="preserve"> PAGE  \* MERGEFORMAT </w:instrText>
                          </w:r>
                          <w:r>
                            <w:fldChar w:fldCharType="separate"/>
                          </w:r>
                          <w:r>
                            <w:t>- 68 -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DDB16CE">
                    <w:pPr>
                      <w:pStyle w:val="22"/>
                    </w:pPr>
                    <w:r>
                      <w:fldChar w:fldCharType="begin"/>
                    </w:r>
                    <w:r>
                      <w:instrText xml:space="preserve"> PAGE  \* MERGEFORMAT </w:instrText>
                    </w:r>
                    <w:r>
                      <w:fldChar w:fldCharType="separate"/>
                    </w:r>
                    <w:r>
                      <w:t>- 68 -</w:t>
                    </w:r>
                    <w:r>
                      <w:fldChar w:fldCharType="end"/>
                    </w:r>
                  </w:p>
                </w:txbxContent>
              </v:textbox>
            </v:shape>
          </w:pict>
        </mc:Fallback>
      </mc:AlternateContent>
    </w:r>
  </w:p>
  <w:p w14:paraId="4B027D2D">
    <w:pPr>
      <w:pStyle w:val="22"/>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255C5">
    <w:pPr>
      <w:pStyle w:val="22"/>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21431B">
                          <w:pPr>
                            <w:pStyle w:val="22"/>
                          </w:pPr>
                          <w:r>
                            <w:fldChar w:fldCharType="begin"/>
                          </w:r>
                          <w:r>
                            <w:instrText xml:space="preserve"> PAGE  \* MERGEFORMAT </w:instrText>
                          </w:r>
                          <w:r>
                            <w:fldChar w:fldCharType="separate"/>
                          </w:r>
                          <w:r>
                            <w:t>- 91 -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521431B">
                    <w:pPr>
                      <w:pStyle w:val="22"/>
                    </w:pPr>
                    <w:r>
                      <w:fldChar w:fldCharType="begin"/>
                    </w:r>
                    <w:r>
                      <w:instrText xml:space="preserve"> PAGE  \* MERGEFORMAT </w:instrText>
                    </w:r>
                    <w:r>
                      <w:fldChar w:fldCharType="separate"/>
                    </w:r>
                    <w:r>
                      <w:t>- 91 -</w:t>
                    </w:r>
                    <w:r>
                      <w:fldChar w:fldCharType="end"/>
                    </w:r>
                  </w:p>
                </w:txbxContent>
              </v:textbox>
            </v:shape>
          </w:pict>
        </mc:Fallback>
      </mc:AlternateContent>
    </w:r>
  </w:p>
  <w:p w14:paraId="68302D7D">
    <w:pPr>
      <w:pStyle w:val="22"/>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60B28">
    <w:pPr>
      <w:pStyle w:val="22"/>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E779CE">
                          <w:pPr>
                            <w:pStyle w:val="22"/>
                          </w:pPr>
                          <w:r>
                            <w:fldChar w:fldCharType="begin"/>
                          </w:r>
                          <w:r>
                            <w:instrText xml:space="preserve"> PAGE  \* MERGEFORMAT </w:instrText>
                          </w:r>
                          <w:r>
                            <w:fldChar w:fldCharType="separate"/>
                          </w:r>
                          <w:r>
                            <w:t>- 91 -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EE779CE">
                    <w:pPr>
                      <w:pStyle w:val="22"/>
                    </w:pPr>
                    <w:r>
                      <w:fldChar w:fldCharType="begin"/>
                    </w:r>
                    <w:r>
                      <w:instrText xml:space="preserve"> PAGE  \* MERGEFORMAT </w:instrText>
                    </w:r>
                    <w:r>
                      <w:fldChar w:fldCharType="separate"/>
                    </w:r>
                    <w:r>
                      <w:t>- 91 -</w:t>
                    </w:r>
                    <w:r>
                      <w:fldChar w:fldCharType="end"/>
                    </w:r>
                  </w:p>
                </w:txbxContent>
              </v:textbox>
            </v:shape>
          </w:pict>
        </mc:Fallback>
      </mc:AlternateContent>
    </w:r>
  </w:p>
  <w:p w14:paraId="139341A9">
    <w:pPr>
      <w:pStyle w:val="22"/>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2E594">
    <w:pPr>
      <w:pStyle w:val="22"/>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0F8728">
                          <w:pPr>
                            <w:pStyle w:val="22"/>
                          </w:pPr>
                          <w:r>
                            <w:fldChar w:fldCharType="begin"/>
                          </w:r>
                          <w:r>
                            <w:instrText xml:space="preserve"> PAGE  \* MERGEFORMAT </w:instrText>
                          </w:r>
                          <w:r>
                            <w:fldChar w:fldCharType="separate"/>
                          </w:r>
                          <w:r>
                            <w:t>- 99 -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F0F8728">
                    <w:pPr>
                      <w:pStyle w:val="22"/>
                    </w:pPr>
                    <w:r>
                      <w:fldChar w:fldCharType="begin"/>
                    </w:r>
                    <w:r>
                      <w:instrText xml:space="preserve"> PAGE  \* MERGEFORMAT </w:instrText>
                    </w:r>
                    <w:r>
                      <w:fldChar w:fldCharType="separate"/>
                    </w:r>
                    <w:r>
                      <w:t>- 99 -</w:t>
                    </w:r>
                    <w:r>
                      <w:fldChar w:fldCharType="end"/>
                    </w:r>
                  </w:p>
                </w:txbxContent>
              </v:textbox>
            </v:shape>
          </w:pict>
        </mc:Fallback>
      </mc:AlternateContent>
    </w:r>
  </w:p>
  <w:p w14:paraId="6AE82C2B">
    <w:pPr>
      <w:pStyle w:val="22"/>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6ACD0">
    <w:pPr>
      <w:pStyle w:val="22"/>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97377C">
                          <w:pPr>
                            <w:pStyle w:val="22"/>
                          </w:pPr>
                          <w:r>
                            <w:fldChar w:fldCharType="begin"/>
                          </w:r>
                          <w:r>
                            <w:instrText xml:space="preserve"> PAGE  \* MERGEFORMAT </w:instrText>
                          </w:r>
                          <w:r>
                            <w:fldChar w:fldCharType="separate"/>
                          </w:r>
                          <w:r>
                            <w:t>- 101 -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797377C">
                    <w:pPr>
                      <w:pStyle w:val="22"/>
                    </w:pPr>
                    <w:r>
                      <w:fldChar w:fldCharType="begin"/>
                    </w:r>
                    <w:r>
                      <w:instrText xml:space="preserve"> PAGE  \* MERGEFORMAT </w:instrText>
                    </w:r>
                    <w:r>
                      <w:fldChar w:fldCharType="separate"/>
                    </w:r>
                    <w:r>
                      <w:t>- 101 -</w:t>
                    </w:r>
                    <w:r>
                      <w:fldChar w:fldCharType="end"/>
                    </w:r>
                  </w:p>
                </w:txbxContent>
              </v:textbox>
            </v:shape>
          </w:pict>
        </mc:Fallback>
      </mc:AlternateContent>
    </w:r>
  </w:p>
  <w:p w14:paraId="1D62D4C4">
    <w:pPr>
      <w:pStyle w:val="22"/>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83819">
    <w:pPr>
      <w:pStyle w:val="23"/>
      <w:pBdr>
        <w:bottom w:val="single" w:color="auto" w:sz="4" w:space="1"/>
      </w:pBdr>
      <w:jc w:val="both"/>
    </w:pPr>
    <w:r>
      <w:rPr>
        <w:rFonts w:hint="eastAsia" w:ascii="宋体" w:hAnsi="宋体" w:eastAsia="宋体" w:cs="Times New Roman"/>
        <w:b/>
        <w:bCs/>
        <w:color w:val="000000"/>
        <w:sz w:val="21"/>
        <w:szCs w:val="21"/>
        <w:lang w:eastAsia="zh-CN"/>
      </w:rPr>
      <w:t>德宏杉和工程咨询有限公司</w:t>
    </w:r>
    <w:r>
      <w:rPr>
        <w:rFonts w:hint="eastAsia"/>
        <w:b/>
        <w:bCs/>
        <w:sz w:val="21"/>
        <w:szCs w:val="21"/>
      </w:rPr>
      <w:t xml:space="preserve">                              </w:t>
    </w:r>
    <w:r>
      <w:rPr>
        <w:rFonts w:hint="eastAsia"/>
        <w:b/>
        <w:bCs/>
        <w:sz w:val="21"/>
        <w:szCs w:val="21"/>
        <w:lang w:val="en-US" w:eastAsia="zh-CN"/>
      </w:rPr>
      <w:t xml:space="preserve">      </w:t>
    </w:r>
    <w:r>
      <w:rPr>
        <w:rFonts w:hint="eastAsia"/>
        <w:b/>
        <w:bCs/>
        <w:sz w:val="21"/>
        <w:szCs w:val="21"/>
      </w:rPr>
      <w:t xml:space="preserve">                      </w:t>
    </w:r>
    <w:r>
      <w:rPr>
        <w:rFonts w:hint="eastAsia" w:ascii="宋体" w:hAnsi="宋体"/>
        <w:b/>
        <w:bCs/>
        <w:color w:val="000000"/>
        <w:sz w:val="21"/>
        <w:szCs w:val="21"/>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AF54E">
    <w:pPr>
      <w:pStyle w:val="2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40F67">
    <w:pPr>
      <w:pStyle w:val="23"/>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95045">
    <w:pPr>
      <w:spacing w:before="120" w:after="120" w:line="240" w:lineRule="auto"/>
      <w:ind w:firstLine="0"/>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E03AF">
    <w:pPr>
      <w:spacing w:before="120" w:after="120" w:line="240" w:lineRule="aut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0421E">
    <w:pPr>
      <w:pStyle w:val="23"/>
      <w:pBdr>
        <w:bottom w:val="single" w:color="auto" w:sz="4" w:space="1"/>
      </w:pBdr>
      <w:jc w:val="left"/>
    </w:pPr>
    <w:r>
      <w:rPr>
        <w:rFonts w:hint="eastAsia" w:ascii="宋体" w:hAnsi="宋体"/>
        <w:b/>
        <w:bCs/>
        <w:sz w:val="21"/>
        <w:szCs w:val="21"/>
        <w:lang w:eastAsia="zh-CN"/>
      </w:rPr>
      <w:t>德宏杉和工程咨询有限公司</w:t>
    </w:r>
    <w:r>
      <w:rPr>
        <w:rFonts w:hint="eastAsia"/>
        <w:b/>
        <w:bCs/>
        <w:sz w:val="21"/>
        <w:szCs w:val="21"/>
      </w:rPr>
      <w:t xml:space="preserve">                                                     </w:t>
    </w:r>
    <w:r>
      <w:rPr>
        <w:rFonts w:hint="eastAsia" w:ascii="宋体" w:hAnsi="宋体"/>
        <w:b/>
        <w:bCs/>
        <w:color w:val="000000"/>
        <w:sz w:val="21"/>
        <w:szCs w:val="21"/>
      </w:rPr>
      <w:t>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AA91F">
    <w:pPr>
      <w:pStyle w:val="23"/>
      <w:jc w:val="right"/>
    </w:pPr>
    <w:r>
      <w:rPr>
        <w:rFonts w:hint="eastAsia" w:ascii="宋体" w:hAnsi="宋体"/>
        <w:b/>
        <w:bCs/>
        <w:sz w:val="21"/>
        <w:szCs w:val="21"/>
        <w:lang w:eastAsia="zh-CN"/>
      </w:rPr>
      <w:t>德宏杉和工程咨询有限公司</w:t>
    </w:r>
    <w:r>
      <w:rPr>
        <w:rFonts w:hint="eastAsia"/>
        <w:b/>
        <w:bCs/>
        <w:sz w:val="21"/>
        <w:szCs w:val="21"/>
      </w:rPr>
      <w:t xml:space="preserve">                                                     </w:t>
    </w:r>
    <w:r>
      <w:rPr>
        <w:rFonts w:hint="eastAsia" w:ascii="宋体" w:hAnsi="宋体"/>
        <w:b/>
        <w:bCs/>
        <w:color w:val="000000"/>
        <w:sz w:val="21"/>
        <w:szCs w:val="21"/>
      </w:rPr>
      <w:t>招标文件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BFEC5">
    <w:pPr>
      <w:pStyle w:val="23"/>
      <w:jc w:val="right"/>
    </w:pPr>
    <w:r>
      <w:rPr>
        <w:rFonts w:hint="eastAsia" w:ascii="宋体" w:hAnsi="宋体"/>
        <w:b/>
        <w:bCs/>
        <w:sz w:val="21"/>
        <w:szCs w:val="21"/>
        <w:lang w:eastAsia="zh-CN"/>
      </w:rPr>
      <w:t>德宏杉和工程咨询有限公司</w:t>
    </w:r>
    <w:r>
      <w:rPr>
        <w:rFonts w:hint="eastAsia"/>
        <w:b/>
        <w:bCs/>
        <w:sz w:val="21"/>
        <w:szCs w:val="21"/>
      </w:rPr>
      <w:t xml:space="preserve">                                                     </w:t>
    </w:r>
    <w:r>
      <w:rPr>
        <w:rFonts w:hint="eastAsia" w:ascii="宋体" w:hAnsi="宋体"/>
        <w:b/>
        <w:bCs/>
        <w:color w:val="000000"/>
        <w:sz w:val="21"/>
        <w:szCs w:val="21"/>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57E10E"/>
    <w:multiLevelType w:val="singleLevel"/>
    <w:tmpl w:val="8A57E10E"/>
    <w:lvl w:ilvl="0" w:tentative="0">
      <w:start w:val="2"/>
      <w:numFmt w:val="chineseCounting"/>
      <w:suff w:val="nothing"/>
      <w:lvlText w:val="（%1）"/>
      <w:lvlJc w:val="left"/>
      <w:rPr>
        <w:rFonts w:hint="eastAsia"/>
      </w:rPr>
    </w:lvl>
  </w:abstractNum>
  <w:abstractNum w:abstractNumId="1">
    <w:nsid w:val="8ABE4294"/>
    <w:multiLevelType w:val="singleLevel"/>
    <w:tmpl w:val="8ABE4294"/>
    <w:lvl w:ilvl="0" w:tentative="0">
      <w:start w:val="1"/>
      <w:numFmt w:val="decimal"/>
      <w:suff w:val="nothing"/>
      <w:lvlText w:val="（%1）"/>
      <w:lvlJc w:val="left"/>
    </w:lvl>
  </w:abstractNum>
  <w:abstractNum w:abstractNumId="2">
    <w:nsid w:val="8ACCD3EC"/>
    <w:multiLevelType w:val="singleLevel"/>
    <w:tmpl w:val="8ACCD3EC"/>
    <w:lvl w:ilvl="0" w:tentative="0">
      <w:start w:val="1"/>
      <w:numFmt w:val="decimal"/>
      <w:suff w:val="nothing"/>
      <w:lvlText w:val="%1、"/>
      <w:lvlJc w:val="left"/>
    </w:lvl>
  </w:abstractNum>
  <w:abstractNum w:abstractNumId="3">
    <w:nsid w:val="C0447E6C"/>
    <w:multiLevelType w:val="singleLevel"/>
    <w:tmpl w:val="C0447E6C"/>
    <w:lvl w:ilvl="0" w:tentative="0">
      <w:start w:val="3"/>
      <w:numFmt w:val="chineseCounting"/>
      <w:suff w:val="nothing"/>
      <w:lvlText w:val="第%1部分、"/>
      <w:lvlJc w:val="left"/>
      <w:rPr>
        <w:rFonts w:hint="eastAsia"/>
      </w:rPr>
    </w:lvl>
  </w:abstractNum>
  <w:abstractNum w:abstractNumId="4">
    <w:nsid w:val="CC871DC2"/>
    <w:multiLevelType w:val="singleLevel"/>
    <w:tmpl w:val="CC871DC2"/>
    <w:lvl w:ilvl="0" w:tentative="0">
      <w:start w:val="1"/>
      <w:numFmt w:val="decimal"/>
      <w:lvlText w:val="%1."/>
      <w:lvlJc w:val="left"/>
      <w:pPr>
        <w:tabs>
          <w:tab w:val="left" w:pos="312"/>
        </w:tabs>
      </w:pPr>
    </w:lvl>
  </w:abstractNum>
  <w:abstractNum w:abstractNumId="5">
    <w:nsid w:val="DB0F2516"/>
    <w:multiLevelType w:val="singleLevel"/>
    <w:tmpl w:val="DB0F2516"/>
    <w:lvl w:ilvl="0" w:tentative="0">
      <w:start w:val="1"/>
      <w:numFmt w:val="chineseCounting"/>
      <w:suff w:val="nothing"/>
      <w:lvlText w:val="%1、"/>
      <w:lvlJc w:val="left"/>
      <w:rPr>
        <w:rFonts w:hint="eastAsia"/>
      </w:rPr>
    </w:lvl>
  </w:abstractNum>
  <w:abstractNum w:abstractNumId="6">
    <w:nsid w:val="F0B5037A"/>
    <w:multiLevelType w:val="singleLevel"/>
    <w:tmpl w:val="F0B5037A"/>
    <w:lvl w:ilvl="0" w:tentative="0">
      <w:start w:val="6"/>
      <w:numFmt w:val="chineseCounting"/>
      <w:suff w:val="nothing"/>
      <w:lvlText w:val="（%1）"/>
      <w:lvlJc w:val="left"/>
      <w:rPr>
        <w:rFonts w:hint="eastAsia"/>
      </w:rPr>
    </w:lvl>
  </w:abstractNum>
  <w:abstractNum w:abstractNumId="7">
    <w:nsid w:val="113C3DA1"/>
    <w:multiLevelType w:val="singleLevel"/>
    <w:tmpl w:val="113C3DA1"/>
    <w:lvl w:ilvl="0" w:tentative="0">
      <w:start w:val="2"/>
      <w:numFmt w:val="chineseCounting"/>
      <w:suff w:val="nothing"/>
      <w:lvlText w:val="%1、"/>
      <w:lvlJc w:val="left"/>
      <w:rPr>
        <w:rFonts w:hint="eastAsia"/>
      </w:rPr>
    </w:lvl>
  </w:abstractNum>
  <w:abstractNum w:abstractNumId="8">
    <w:nsid w:val="216BE14E"/>
    <w:multiLevelType w:val="singleLevel"/>
    <w:tmpl w:val="216BE14E"/>
    <w:lvl w:ilvl="0" w:tentative="0">
      <w:start w:val="1"/>
      <w:numFmt w:val="decimal"/>
      <w:lvlText w:val="%1."/>
      <w:lvlJc w:val="left"/>
      <w:pPr>
        <w:tabs>
          <w:tab w:val="left" w:pos="312"/>
        </w:tabs>
      </w:pPr>
    </w:lvl>
  </w:abstractNum>
  <w:abstractNum w:abstractNumId="9">
    <w:nsid w:val="2262446B"/>
    <w:multiLevelType w:val="multilevel"/>
    <w:tmpl w:val="2262446B"/>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709" w:hanging="709"/>
      </w:pPr>
      <w:rPr>
        <w:rFonts w:hint="eastAsia"/>
      </w:rPr>
    </w:lvl>
    <w:lvl w:ilvl="3" w:tentative="0">
      <w:start w:val="1"/>
      <w:numFmt w:val="decimal"/>
      <w:pStyle w:val="5"/>
      <w:lvlText w:val="%1.%2.%3.%4"/>
      <w:lvlJc w:val="left"/>
      <w:pPr>
        <w:tabs>
          <w:tab w:val="left" w:pos="1080"/>
        </w:tabs>
        <w:ind w:left="851" w:hanging="851"/>
      </w:pPr>
      <w:rPr>
        <w:rFonts w:hint="eastAsia"/>
      </w:rPr>
    </w:lvl>
    <w:lvl w:ilvl="4" w:tentative="0">
      <w:start w:val="1"/>
      <w:numFmt w:val="decimal"/>
      <w:lvlText w:val="%1.%2.%3.%4.%5 "/>
      <w:lvlJc w:val="left"/>
      <w:pPr>
        <w:tabs>
          <w:tab w:val="left" w:pos="992"/>
        </w:tabs>
        <w:ind w:left="992" w:hanging="992"/>
      </w:pPr>
      <w:rPr>
        <w:rFonts w:hint="eastAsia"/>
        <w:color w:val="0000FF"/>
      </w:rPr>
    </w:lvl>
    <w:lvl w:ilvl="5" w:tentative="0">
      <w:start w:val="1"/>
      <w:numFmt w:val="decimal"/>
      <w:lvlText w:val="%1.%2.%3.%4.%5.%6 "/>
      <w:lvlJc w:val="left"/>
      <w:pPr>
        <w:tabs>
          <w:tab w:val="left" w:pos="1134"/>
        </w:tabs>
        <w:ind w:left="1134" w:hanging="1134"/>
      </w:pPr>
      <w:rPr>
        <w:rFonts w:hint="eastAsia" w:ascii="Times New Roman" w:hAnsi="Times New Roman" w:eastAsia="宋体"/>
        <w:color w:val="0000FF"/>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6A9D85FF"/>
    <w:multiLevelType w:val="singleLevel"/>
    <w:tmpl w:val="6A9D85FF"/>
    <w:lvl w:ilvl="0" w:tentative="0">
      <w:start w:val="2"/>
      <w:numFmt w:val="chineseCounting"/>
      <w:lvlText w:val="(%1)"/>
      <w:lvlJc w:val="left"/>
      <w:pPr>
        <w:tabs>
          <w:tab w:val="left" w:pos="312"/>
        </w:tabs>
      </w:pPr>
      <w:rPr>
        <w:rFonts w:hint="eastAsia"/>
      </w:rPr>
    </w:lvl>
  </w:abstractNum>
  <w:abstractNum w:abstractNumId="11">
    <w:nsid w:val="6C826D7C"/>
    <w:multiLevelType w:val="singleLevel"/>
    <w:tmpl w:val="6C826D7C"/>
    <w:lvl w:ilvl="0" w:tentative="0">
      <w:start w:val="2"/>
      <w:numFmt w:val="chineseCounting"/>
      <w:suff w:val="nothing"/>
      <w:lvlText w:val="第%1部分、"/>
      <w:lvlJc w:val="left"/>
      <w:rPr>
        <w:rFonts w:hint="eastAsia"/>
      </w:rPr>
    </w:lvl>
  </w:abstractNum>
  <w:abstractNum w:abstractNumId="12">
    <w:nsid w:val="75A18301"/>
    <w:multiLevelType w:val="singleLevel"/>
    <w:tmpl w:val="75A18301"/>
    <w:lvl w:ilvl="0" w:tentative="0">
      <w:start w:val="1"/>
      <w:numFmt w:val="decimal"/>
      <w:lvlText w:val="%1."/>
      <w:lvlJc w:val="left"/>
      <w:pPr>
        <w:tabs>
          <w:tab w:val="left" w:pos="312"/>
        </w:tabs>
      </w:pPr>
    </w:lvl>
  </w:abstractNum>
  <w:abstractNum w:abstractNumId="13">
    <w:nsid w:val="75E33D82"/>
    <w:multiLevelType w:val="singleLevel"/>
    <w:tmpl w:val="75E33D82"/>
    <w:lvl w:ilvl="0" w:tentative="0">
      <w:start w:val="1"/>
      <w:numFmt w:val="decimal"/>
      <w:suff w:val="nothing"/>
      <w:lvlText w:val="%1、"/>
      <w:lvlJc w:val="left"/>
    </w:lvl>
  </w:abstractNum>
  <w:num w:numId="1">
    <w:abstractNumId w:val="9"/>
  </w:num>
  <w:num w:numId="2">
    <w:abstractNumId w:val="5"/>
  </w:num>
  <w:num w:numId="3">
    <w:abstractNumId w:val="11"/>
  </w:num>
  <w:num w:numId="4">
    <w:abstractNumId w:val="3"/>
  </w:num>
  <w:num w:numId="5">
    <w:abstractNumId w:val="13"/>
  </w:num>
  <w:num w:numId="6">
    <w:abstractNumId w:val="6"/>
  </w:num>
  <w:num w:numId="7">
    <w:abstractNumId w:val="7"/>
  </w:num>
  <w:num w:numId="8">
    <w:abstractNumId w:val="1"/>
  </w:num>
  <w:num w:numId="9">
    <w:abstractNumId w:val="0"/>
  </w:num>
  <w:num w:numId="10">
    <w:abstractNumId w:val="8"/>
  </w:num>
  <w:num w:numId="11">
    <w:abstractNumId w:val="4"/>
  </w:num>
  <w:num w:numId="12">
    <w:abstractNumId w:val="10"/>
  </w:num>
  <w:num w:numId="13">
    <w:abstractNumId w:val="12"/>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NotTrackMoves/>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CyNDc0NTEyNDEwM7ZU0lEKTi0uzszPAykwqQUAi2lN9ywAAAA="/>
    <w:docVar w:name="commondata" w:val="eyJoZGlkIjoiZTJkYzY0NGFhOTdjZDQxZGYxZTNmNzAzNjlkNGM3NzAifQ=="/>
  </w:docVars>
  <w:rsids>
    <w:rsidRoot w:val="001A07FD"/>
    <w:rsid w:val="00002FB2"/>
    <w:rsid w:val="000053F9"/>
    <w:rsid w:val="000077B4"/>
    <w:rsid w:val="00015138"/>
    <w:rsid w:val="00027505"/>
    <w:rsid w:val="00030F55"/>
    <w:rsid w:val="00031BF6"/>
    <w:rsid w:val="00033882"/>
    <w:rsid w:val="000377CA"/>
    <w:rsid w:val="00047E90"/>
    <w:rsid w:val="0005471E"/>
    <w:rsid w:val="000636B3"/>
    <w:rsid w:val="00063DC3"/>
    <w:rsid w:val="0007137C"/>
    <w:rsid w:val="00081182"/>
    <w:rsid w:val="000815F4"/>
    <w:rsid w:val="0009057F"/>
    <w:rsid w:val="000A01BD"/>
    <w:rsid w:val="000A34BE"/>
    <w:rsid w:val="000A3744"/>
    <w:rsid w:val="000B582E"/>
    <w:rsid w:val="000B608D"/>
    <w:rsid w:val="000B736F"/>
    <w:rsid w:val="000D00E2"/>
    <w:rsid w:val="000D0527"/>
    <w:rsid w:val="000E02F3"/>
    <w:rsid w:val="000E0534"/>
    <w:rsid w:val="000E3375"/>
    <w:rsid w:val="000E3909"/>
    <w:rsid w:val="000E7833"/>
    <w:rsid w:val="000F4007"/>
    <w:rsid w:val="000F7EBA"/>
    <w:rsid w:val="001076B9"/>
    <w:rsid w:val="001143B1"/>
    <w:rsid w:val="00116F18"/>
    <w:rsid w:val="00122028"/>
    <w:rsid w:val="00124455"/>
    <w:rsid w:val="00133387"/>
    <w:rsid w:val="0013374D"/>
    <w:rsid w:val="001345A9"/>
    <w:rsid w:val="001428D1"/>
    <w:rsid w:val="001429CB"/>
    <w:rsid w:val="00144F00"/>
    <w:rsid w:val="00146907"/>
    <w:rsid w:val="00147653"/>
    <w:rsid w:val="001506C5"/>
    <w:rsid w:val="001523CF"/>
    <w:rsid w:val="00153F0A"/>
    <w:rsid w:val="0015524F"/>
    <w:rsid w:val="001560DA"/>
    <w:rsid w:val="00156B06"/>
    <w:rsid w:val="0016301C"/>
    <w:rsid w:val="001669D4"/>
    <w:rsid w:val="00166D05"/>
    <w:rsid w:val="00173D89"/>
    <w:rsid w:val="00175156"/>
    <w:rsid w:val="00180065"/>
    <w:rsid w:val="00182CB0"/>
    <w:rsid w:val="001914BC"/>
    <w:rsid w:val="001A07FD"/>
    <w:rsid w:val="001A4821"/>
    <w:rsid w:val="001B4912"/>
    <w:rsid w:val="001B7434"/>
    <w:rsid w:val="001D3793"/>
    <w:rsid w:val="001E17C4"/>
    <w:rsid w:val="001E2ADF"/>
    <w:rsid w:val="001E3886"/>
    <w:rsid w:val="001F29DE"/>
    <w:rsid w:val="002026D7"/>
    <w:rsid w:val="0020414E"/>
    <w:rsid w:val="00204378"/>
    <w:rsid w:val="00222B05"/>
    <w:rsid w:val="002235B9"/>
    <w:rsid w:val="002240CA"/>
    <w:rsid w:val="002249A1"/>
    <w:rsid w:val="00237053"/>
    <w:rsid w:val="00243E4D"/>
    <w:rsid w:val="00253AB6"/>
    <w:rsid w:val="0026740C"/>
    <w:rsid w:val="00291499"/>
    <w:rsid w:val="00291606"/>
    <w:rsid w:val="0029250D"/>
    <w:rsid w:val="002932BF"/>
    <w:rsid w:val="00296972"/>
    <w:rsid w:val="002B11B7"/>
    <w:rsid w:val="002C215A"/>
    <w:rsid w:val="002C3B1C"/>
    <w:rsid w:val="002C3E5E"/>
    <w:rsid w:val="002C4B13"/>
    <w:rsid w:val="002C5EAC"/>
    <w:rsid w:val="002C7E3A"/>
    <w:rsid w:val="002E1CBB"/>
    <w:rsid w:val="002E5350"/>
    <w:rsid w:val="002E5BEC"/>
    <w:rsid w:val="002F3B0B"/>
    <w:rsid w:val="002F5313"/>
    <w:rsid w:val="002F7085"/>
    <w:rsid w:val="003037B0"/>
    <w:rsid w:val="0030759A"/>
    <w:rsid w:val="003152F1"/>
    <w:rsid w:val="00316A6E"/>
    <w:rsid w:val="00320B56"/>
    <w:rsid w:val="00324338"/>
    <w:rsid w:val="003347CA"/>
    <w:rsid w:val="00346AC4"/>
    <w:rsid w:val="00354B69"/>
    <w:rsid w:val="0036146A"/>
    <w:rsid w:val="00363951"/>
    <w:rsid w:val="00367698"/>
    <w:rsid w:val="0037646C"/>
    <w:rsid w:val="00376808"/>
    <w:rsid w:val="003815C9"/>
    <w:rsid w:val="00381BBB"/>
    <w:rsid w:val="00390363"/>
    <w:rsid w:val="00390E93"/>
    <w:rsid w:val="00393764"/>
    <w:rsid w:val="003A14B5"/>
    <w:rsid w:val="003A249C"/>
    <w:rsid w:val="003B0418"/>
    <w:rsid w:val="003B4871"/>
    <w:rsid w:val="003B643A"/>
    <w:rsid w:val="003C22C3"/>
    <w:rsid w:val="003C360A"/>
    <w:rsid w:val="003C4CCE"/>
    <w:rsid w:val="003D0F52"/>
    <w:rsid w:val="003D1EDB"/>
    <w:rsid w:val="003D1FC1"/>
    <w:rsid w:val="003E1BC0"/>
    <w:rsid w:val="003E2D28"/>
    <w:rsid w:val="003E46C2"/>
    <w:rsid w:val="003F20D6"/>
    <w:rsid w:val="003F693A"/>
    <w:rsid w:val="00402218"/>
    <w:rsid w:val="00403F20"/>
    <w:rsid w:val="0040799E"/>
    <w:rsid w:val="00410DB4"/>
    <w:rsid w:val="004139EB"/>
    <w:rsid w:val="00414F09"/>
    <w:rsid w:val="00432242"/>
    <w:rsid w:val="00435184"/>
    <w:rsid w:val="004515F6"/>
    <w:rsid w:val="00451B63"/>
    <w:rsid w:val="004528E0"/>
    <w:rsid w:val="004533FC"/>
    <w:rsid w:val="004543E6"/>
    <w:rsid w:val="00464071"/>
    <w:rsid w:val="00473850"/>
    <w:rsid w:val="00481D6F"/>
    <w:rsid w:val="00482641"/>
    <w:rsid w:val="00483E43"/>
    <w:rsid w:val="0048715C"/>
    <w:rsid w:val="004916D7"/>
    <w:rsid w:val="004A08E4"/>
    <w:rsid w:val="004A0C39"/>
    <w:rsid w:val="004A1EB8"/>
    <w:rsid w:val="004A23B5"/>
    <w:rsid w:val="004A41AA"/>
    <w:rsid w:val="004B5790"/>
    <w:rsid w:val="004B7157"/>
    <w:rsid w:val="004C2840"/>
    <w:rsid w:val="004C42D4"/>
    <w:rsid w:val="004D1452"/>
    <w:rsid w:val="004D5040"/>
    <w:rsid w:val="004E47F2"/>
    <w:rsid w:val="004E512D"/>
    <w:rsid w:val="004F4040"/>
    <w:rsid w:val="004F4181"/>
    <w:rsid w:val="005045E6"/>
    <w:rsid w:val="005065F5"/>
    <w:rsid w:val="005176A3"/>
    <w:rsid w:val="0052138B"/>
    <w:rsid w:val="00523909"/>
    <w:rsid w:val="00530207"/>
    <w:rsid w:val="00532EAC"/>
    <w:rsid w:val="00535BCE"/>
    <w:rsid w:val="00536EC8"/>
    <w:rsid w:val="005451A9"/>
    <w:rsid w:val="0055663D"/>
    <w:rsid w:val="00557E3B"/>
    <w:rsid w:val="00571E47"/>
    <w:rsid w:val="00572B7B"/>
    <w:rsid w:val="00573201"/>
    <w:rsid w:val="0057699A"/>
    <w:rsid w:val="00583532"/>
    <w:rsid w:val="00583614"/>
    <w:rsid w:val="00583D45"/>
    <w:rsid w:val="0058591E"/>
    <w:rsid w:val="00585E76"/>
    <w:rsid w:val="005872F4"/>
    <w:rsid w:val="005B602B"/>
    <w:rsid w:val="005E383F"/>
    <w:rsid w:val="005F1492"/>
    <w:rsid w:val="005F467F"/>
    <w:rsid w:val="005F65CD"/>
    <w:rsid w:val="00603E36"/>
    <w:rsid w:val="00606743"/>
    <w:rsid w:val="0061141E"/>
    <w:rsid w:val="006123CE"/>
    <w:rsid w:val="0061332D"/>
    <w:rsid w:val="00616578"/>
    <w:rsid w:val="00621A45"/>
    <w:rsid w:val="0062266B"/>
    <w:rsid w:val="00623BC2"/>
    <w:rsid w:val="00623E81"/>
    <w:rsid w:val="00624E29"/>
    <w:rsid w:val="006268A5"/>
    <w:rsid w:val="00630F0A"/>
    <w:rsid w:val="00640445"/>
    <w:rsid w:val="006408CE"/>
    <w:rsid w:val="006446BE"/>
    <w:rsid w:val="00646F15"/>
    <w:rsid w:val="00650942"/>
    <w:rsid w:val="006536B3"/>
    <w:rsid w:val="006555B7"/>
    <w:rsid w:val="00657C05"/>
    <w:rsid w:val="006701B6"/>
    <w:rsid w:val="00670B46"/>
    <w:rsid w:val="00676018"/>
    <w:rsid w:val="0068465D"/>
    <w:rsid w:val="00687017"/>
    <w:rsid w:val="00687647"/>
    <w:rsid w:val="006A16AB"/>
    <w:rsid w:val="006A3850"/>
    <w:rsid w:val="006A5253"/>
    <w:rsid w:val="006A6623"/>
    <w:rsid w:val="006A6C89"/>
    <w:rsid w:val="006B0A4C"/>
    <w:rsid w:val="006C1FEC"/>
    <w:rsid w:val="006C5926"/>
    <w:rsid w:val="006D156A"/>
    <w:rsid w:val="006D1C3A"/>
    <w:rsid w:val="006D3E69"/>
    <w:rsid w:val="006D45D9"/>
    <w:rsid w:val="006F0ABB"/>
    <w:rsid w:val="006F4C3F"/>
    <w:rsid w:val="0070177C"/>
    <w:rsid w:val="007115E2"/>
    <w:rsid w:val="0071517C"/>
    <w:rsid w:val="0071620A"/>
    <w:rsid w:val="00724AAB"/>
    <w:rsid w:val="0074247B"/>
    <w:rsid w:val="00743F0D"/>
    <w:rsid w:val="007463C1"/>
    <w:rsid w:val="0074663F"/>
    <w:rsid w:val="00754D31"/>
    <w:rsid w:val="00760935"/>
    <w:rsid w:val="00761E55"/>
    <w:rsid w:val="00777DDD"/>
    <w:rsid w:val="00787636"/>
    <w:rsid w:val="007A109A"/>
    <w:rsid w:val="007A2B12"/>
    <w:rsid w:val="007A4B70"/>
    <w:rsid w:val="007A53A3"/>
    <w:rsid w:val="007B6877"/>
    <w:rsid w:val="007C49FC"/>
    <w:rsid w:val="007D6BF2"/>
    <w:rsid w:val="007E1371"/>
    <w:rsid w:val="007E4B61"/>
    <w:rsid w:val="007F1D22"/>
    <w:rsid w:val="007F2C2B"/>
    <w:rsid w:val="00802276"/>
    <w:rsid w:val="008030AB"/>
    <w:rsid w:val="0081651F"/>
    <w:rsid w:val="00816F9A"/>
    <w:rsid w:val="008578CB"/>
    <w:rsid w:val="00861A81"/>
    <w:rsid w:val="00862BD9"/>
    <w:rsid w:val="008672DD"/>
    <w:rsid w:val="00871B16"/>
    <w:rsid w:val="00875EE0"/>
    <w:rsid w:val="0088046B"/>
    <w:rsid w:val="00881CE8"/>
    <w:rsid w:val="00891202"/>
    <w:rsid w:val="00892B2B"/>
    <w:rsid w:val="0089583F"/>
    <w:rsid w:val="008C097F"/>
    <w:rsid w:val="008C4D3A"/>
    <w:rsid w:val="008D6119"/>
    <w:rsid w:val="008E7B31"/>
    <w:rsid w:val="008F1F8B"/>
    <w:rsid w:val="00905380"/>
    <w:rsid w:val="00916252"/>
    <w:rsid w:val="009166D9"/>
    <w:rsid w:val="009230DA"/>
    <w:rsid w:val="00937133"/>
    <w:rsid w:val="00940EB2"/>
    <w:rsid w:val="0094141D"/>
    <w:rsid w:val="00941827"/>
    <w:rsid w:val="00943284"/>
    <w:rsid w:val="00951035"/>
    <w:rsid w:val="00952C01"/>
    <w:rsid w:val="00955A1A"/>
    <w:rsid w:val="009657FA"/>
    <w:rsid w:val="00967E5D"/>
    <w:rsid w:val="0097166A"/>
    <w:rsid w:val="00972374"/>
    <w:rsid w:val="009778EC"/>
    <w:rsid w:val="009B1C4D"/>
    <w:rsid w:val="009B3FC3"/>
    <w:rsid w:val="009B4A29"/>
    <w:rsid w:val="009C1CE3"/>
    <w:rsid w:val="009C2DE0"/>
    <w:rsid w:val="009C5D46"/>
    <w:rsid w:val="009C6BDD"/>
    <w:rsid w:val="009D2DB1"/>
    <w:rsid w:val="009E06F4"/>
    <w:rsid w:val="009E17B4"/>
    <w:rsid w:val="009F7A2F"/>
    <w:rsid w:val="009F7FEE"/>
    <w:rsid w:val="00A066DE"/>
    <w:rsid w:val="00A12ACE"/>
    <w:rsid w:val="00A13BCB"/>
    <w:rsid w:val="00A222CD"/>
    <w:rsid w:val="00A252A7"/>
    <w:rsid w:val="00A27551"/>
    <w:rsid w:val="00A31D1B"/>
    <w:rsid w:val="00A34741"/>
    <w:rsid w:val="00A35981"/>
    <w:rsid w:val="00A36387"/>
    <w:rsid w:val="00A524F5"/>
    <w:rsid w:val="00A540D0"/>
    <w:rsid w:val="00A57F0F"/>
    <w:rsid w:val="00A616DC"/>
    <w:rsid w:val="00A66B99"/>
    <w:rsid w:val="00A70705"/>
    <w:rsid w:val="00A728EF"/>
    <w:rsid w:val="00A72A43"/>
    <w:rsid w:val="00A731E2"/>
    <w:rsid w:val="00A73EA0"/>
    <w:rsid w:val="00A819FD"/>
    <w:rsid w:val="00A820D9"/>
    <w:rsid w:val="00A90C24"/>
    <w:rsid w:val="00A95011"/>
    <w:rsid w:val="00AA1854"/>
    <w:rsid w:val="00AB11C1"/>
    <w:rsid w:val="00AB164A"/>
    <w:rsid w:val="00AC6394"/>
    <w:rsid w:val="00AD5773"/>
    <w:rsid w:val="00AD5B02"/>
    <w:rsid w:val="00AD5BF4"/>
    <w:rsid w:val="00AD72DF"/>
    <w:rsid w:val="00AE08AB"/>
    <w:rsid w:val="00AF262D"/>
    <w:rsid w:val="00B03FDF"/>
    <w:rsid w:val="00B06C3B"/>
    <w:rsid w:val="00B10781"/>
    <w:rsid w:val="00B158A3"/>
    <w:rsid w:val="00B2556F"/>
    <w:rsid w:val="00B25698"/>
    <w:rsid w:val="00B34228"/>
    <w:rsid w:val="00B35CB8"/>
    <w:rsid w:val="00B36386"/>
    <w:rsid w:val="00B5170B"/>
    <w:rsid w:val="00B51A83"/>
    <w:rsid w:val="00B520E6"/>
    <w:rsid w:val="00B52BD0"/>
    <w:rsid w:val="00B5739F"/>
    <w:rsid w:val="00B603D4"/>
    <w:rsid w:val="00B675F1"/>
    <w:rsid w:val="00B7041E"/>
    <w:rsid w:val="00B7266A"/>
    <w:rsid w:val="00B74C95"/>
    <w:rsid w:val="00B76659"/>
    <w:rsid w:val="00B8276E"/>
    <w:rsid w:val="00B91BD9"/>
    <w:rsid w:val="00BB67C4"/>
    <w:rsid w:val="00BD0E42"/>
    <w:rsid w:val="00BD79AC"/>
    <w:rsid w:val="00BE040C"/>
    <w:rsid w:val="00C00926"/>
    <w:rsid w:val="00C13FE8"/>
    <w:rsid w:val="00C21174"/>
    <w:rsid w:val="00C22632"/>
    <w:rsid w:val="00C25302"/>
    <w:rsid w:val="00C25A8C"/>
    <w:rsid w:val="00C31BCC"/>
    <w:rsid w:val="00C32331"/>
    <w:rsid w:val="00C3301B"/>
    <w:rsid w:val="00C36641"/>
    <w:rsid w:val="00C36B5B"/>
    <w:rsid w:val="00C44093"/>
    <w:rsid w:val="00C4490D"/>
    <w:rsid w:val="00C5040E"/>
    <w:rsid w:val="00C54B92"/>
    <w:rsid w:val="00C564C7"/>
    <w:rsid w:val="00C57E14"/>
    <w:rsid w:val="00C61887"/>
    <w:rsid w:val="00C6324A"/>
    <w:rsid w:val="00C85161"/>
    <w:rsid w:val="00C862E5"/>
    <w:rsid w:val="00C86C0B"/>
    <w:rsid w:val="00C9181E"/>
    <w:rsid w:val="00C92D57"/>
    <w:rsid w:val="00CA2867"/>
    <w:rsid w:val="00CA32B2"/>
    <w:rsid w:val="00CA4518"/>
    <w:rsid w:val="00CA69E3"/>
    <w:rsid w:val="00CB096D"/>
    <w:rsid w:val="00CB2995"/>
    <w:rsid w:val="00CC0601"/>
    <w:rsid w:val="00CC49F2"/>
    <w:rsid w:val="00CC4AE4"/>
    <w:rsid w:val="00CC6AB3"/>
    <w:rsid w:val="00CD3EE7"/>
    <w:rsid w:val="00CE0564"/>
    <w:rsid w:val="00CE112A"/>
    <w:rsid w:val="00CE4DCA"/>
    <w:rsid w:val="00CF0099"/>
    <w:rsid w:val="00CF5817"/>
    <w:rsid w:val="00D0774B"/>
    <w:rsid w:val="00D13BD8"/>
    <w:rsid w:val="00D14B99"/>
    <w:rsid w:val="00D15240"/>
    <w:rsid w:val="00D33B2F"/>
    <w:rsid w:val="00D4070C"/>
    <w:rsid w:val="00D428F5"/>
    <w:rsid w:val="00D54C37"/>
    <w:rsid w:val="00D56E90"/>
    <w:rsid w:val="00D64AF6"/>
    <w:rsid w:val="00D71F18"/>
    <w:rsid w:val="00D7423C"/>
    <w:rsid w:val="00D75660"/>
    <w:rsid w:val="00D75AC4"/>
    <w:rsid w:val="00D84B3D"/>
    <w:rsid w:val="00D85E26"/>
    <w:rsid w:val="00D8741D"/>
    <w:rsid w:val="00D90051"/>
    <w:rsid w:val="00D96B0A"/>
    <w:rsid w:val="00D9745C"/>
    <w:rsid w:val="00DA4D3A"/>
    <w:rsid w:val="00DA5082"/>
    <w:rsid w:val="00DB2E6C"/>
    <w:rsid w:val="00DB5DCE"/>
    <w:rsid w:val="00DC0FBD"/>
    <w:rsid w:val="00DC303F"/>
    <w:rsid w:val="00DC44C0"/>
    <w:rsid w:val="00DC61D4"/>
    <w:rsid w:val="00DC672D"/>
    <w:rsid w:val="00DC796D"/>
    <w:rsid w:val="00DE0969"/>
    <w:rsid w:val="00DE4940"/>
    <w:rsid w:val="00DE4CAD"/>
    <w:rsid w:val="00DE5F9D"/>
    <w:rsid w:val="00DF55DF"/>
    <w:rsid w:val="00DF5B6C"/>
    <w:rsid w:val="00E006B4"/>
    <w:rsid w:val="00E009FF"/>
    <w:rsid w:val="00E04CED"/>
    <w:rsid w:val="00E05EEA"/>
    <w:rsid w:val="00E12F74"/>
    <w:rsid w:val="00E147AE"/>
    <w:rsid w:val="00E150F9"/>
    <w:rsid w:val="00E353FA"/>
    <w:rsid w:val="00E36F1A"/>
    <w:rsid w:val="00E40183"/>
    <w:rsid w:val="00E42FE7"/>
    <w:rsid w:val="00E44912"/>
    <w:rsid w:val="00E55B76"/>
    <w:rsid w:val="00E63DD3"/>
    <w:rsid w:val="00E6646C"/>
    <w:rsid w:val="00E664C0"/>
    <w:rsid w:val="00E7136C"/>
    <w:rsid w:val="00E723E2"/>
    <w:rsid w:val="00E72790"/>
    <w:rsid w:val="00E84CD5"/>
    <w:rsid w:val="00E93046"/>
    <w:rsid w:val="00E93FBB"/>
    <w:rsid w:val="00E964D4"/>
    <w:rsid w:val="00EA04F9"/>
    <w:rsid w:val="00EA22A8"/>
    <w:rsid w:val="00EB1478"/>
    <w:rsid w:val="00EB3F94"/>
    <w:rsid w:val="00EC14E5"/>
    <w:rsid w:val="00EC511B"/>
    <w:rsid w:val="00ED26E7"/>
    <w:rsid w:val="00EE0368"/>
    <w:rsid w:val="00EE554F"/>
    <w:rsid w:val="00EF1E98"/>
    <w:rsid w:val="00F04FBF"/>
    <w:rsid w:val="00F07B35"/>
    <w:rsid w:val="00F13BB4"/>
    <w:rsid w:val="00F251F0"/>
    <w:rsid w:val="00F36ADD"/>
    <w:rsid w:val="00F45B45"/>
    <w:rsid w:val="00F51D67"/>
    <w:rsid w:val="00F527A9"/>
    <w:rsid w:val="00F5429B"/>
    <w:rsid w:val="00F65597"/>
    <w:rsid w:val="00F655E1"/>
    <w:rsid w:val="00F71DBF"/>
    <w:rsid w:val="00F75EE3"/>
    <w:rsid w:val="00F774D7"/>
    <w:rsid w:val="00F81AA4"/>
    <w:rsid w:val="00FA413B"/>
    <w:rsid w:val="00FB007A"/>
    <w:rsid w:val="00FB54AF"/>
    <w:rsid w:val="00FB7846"/>
    <w:rsid w:val="00FC4483"/>
    <w:rsid w:val="00FE00CD"/>
    <w:rsid w:val="00FE66FE"/>
    <w:rsid w:val="00FF1185"/>
    <w:rsid w:val="00FF2A27"/>
    <w:rsid w:val="00FF4C8A"/>
    <w:rsid w:val="00FF6B80"/>
    <w:rsid w:val="01096479"/>
    <w:rsid w:val="010974DF"/>
    <w:rsid w:val="010F4B69"/>
    <w:rsid w:val="012224F8"/>
    <w:rsid w:val="0130676A"/>
    <w:rsid w:val="01374E54"/>
    <w:rsid w:val="01375E41"/>
    <w:rsid w:val="013B7A72"/>
    <w:rsid w:val="013E24BF"/>
    <w:rsid w:val="01416D8C"/>
    <w:rsid w:val="014443C2"/>
    <w:rsid w:val="01483505"/>
    <w:rsid w:val="01537391"/>
    <w:rsid w:val="01542E3B"/>
    <w:rsid w:val="01585BB8"/>
    <w:rsid w:val="0159387C"/>
    <w:rsid w:val="015A204F"/>
    <w:rsid w:val="015F686F"/>
    <w:rsid w:val="01615CBD"/>
    <w:rsid w:val="0164679F"/>
    <w:rsid w:val="01655FD2"/>
    <w:rsid w:val="01666F1F"/>
    <w:rsid w:val="016A0CC6"/>
    <w:rsid w:val="016D7475"/>
    <w:rsid w:val="01735F4B"/>
    <w:rsid w:val="017B59D7"/>
    <w:rsid w:val="017C65C5"/>
    <w:rsid w:val="017D3325"/>
    <w:rsid w:val="018569B4"/>
    <w:rsid w:val="018A51B0"/>
    <w:rsid w:val="018C6445"/>
    <w:rsid w:val="01AE3368"/>
    <w:rsid w:val="01B871C0"/>
    <w:rsid w:val="01C95FC6"/>
    <w:rsid w:val="01CC4933"/>
    <w:rsid w:val="01CC654C"/>
    <w:rsid w:val="01CD0FFD"/>
    <w:rsid w:val="01CD127F"/>
    <w:rsid w:val="01D45D8F"/>
    <w:rsid w:val="01DA7647"/>
    <w:rsid w:val="01DC58DF"/>
    <w:rsid w:val="01E26AB1"/>
    <w:rsid w:val="01E71F06"/>
    <w:rsid w:val="01E92ABA"/>
    <w:rsid w:val="01E943A0"/>
    <w:rsid w:val="01EF5D98"/>
    <w:rsid w:val="01F46458"/>
    <w:rsid w:val="01F76820"/>
    <w:rsid w:val="01FE0A2C"/>
    <w:rsid w:val="01FE29A1"/>
    <w:rsid w:val="0201658D"/>
    <w:rsid w:val="02072DF4"/>
    <w:rsid w:val="020C176C"/>
    <w:rsid w:val="02105F4B"/>
    <w:rsid w:val="021E73C3"/>
    <w:rsid w:val="021F4076"/>
    <w:rsid w:val="02215E17"/>
    <w:rsid w:val="02217A18"/>
    <w:rsid w:val="02247C30"/>
    <w:rsid w:val="02251F8E"/>
    <w:rsid w:val="02261066"/>
    <w:rsid w:val="022B7034"/>
    <w:rsid w:val="02345DAF"/>
    <w:rsid w:val="02377801"/>
    <w:rsid w:val="023E79BD"/>
    <w:rsid w:val="02483A5D"/>
    <w:rsid w:val="025E3B16"/>
    <w:rsid w:val="02693BD4"/>
    <w:rsid w:val="02781730"/>
    <w:rsid w:val="02793C5B"/>
    <w:rsid w:val="027B63D7"/>
    <w:rsid w:val="02832BC7"/>
    <w:rsid w:val="02836DE2"/>
    <w:rsid w:val="028924F4"/>
    <w:rsid w:val="02924FE0"/>
    <w:rsid w:val="029B5DC1"/>
    <w:rsid w:val="029B6E90"/>
    <w:rsid w:val="029C3B08"/>
    <w:rsid w:val="029C435F"/>
    <w:rsid w:val="02A26030"/>
    <w:rsid w:val="02A3377A"/>
    <w:rsid w:val="02AA6756"/>
    <w:rsid w:val="02AD3D3A"/>
    <w:rsid w:val="02AD3D85"/>
    <w:rsid w:val="02AE6FF2"/>
    <w:rsid w:val="02B05949"/>
    <w:rsid w:val="02B07F0A"/>
    <w:rsid w:val="02B16B33"/>
    <w:rsid w:val="02B27B76"/>
    <w:rsid w:val="02B40E10"/>
    <w:rsid w:val="02B67502"/>
    <w:rsid w:val="02B964A5"/>
    <w:rsid w:val="02BF7EAE"/>
    <w:rsid w:val="02C37979"/>
    <w:rsid w:val="02C52D11"/>
    <w:rsid w:val="02C62A04"/>
    <w:rsid w:val="02CA1307"/>
    <w:rsid w:val="02CA6F70"/>
    <w:rsid w:val="02D15CAB"/>
    <w:rsid w:val="02D54924"/>
    <w:rsid w:val="02D57887"/>
    <w:rsid w:val="02DC556E"/>
    <w:rsid w:val="02E24D17"/>
    <w:rsid w:val="02E73F26"/>
    <w:rsid w:val="02E77997"/>
    <w:rsid w:val="02E82BE2"/>
    <w:rsid w:val="02EE68FF"/>
    <w:rsid w:val="02F107FE"/>
    <w:rsid w:val="02F46B94"/>
    <w:rsid w:val="02F47552"/>
    <w:rsid w:val="02F53218"/>
    <w:rsid w:val="03016A60"/>
    <w:rsid w:val="03093A07"/>
    <w:rsid w:val="03120381"/>
    <w:rsid w:val="03153165"/>
    <w:rsid w:val="031846AA"/>
    <w:rsid w:val="031C7ACD"/>
    <w:rsid w:val="031F5B7B"/>
    <w:rsid w:val="031F5F9D"/>
    <w:rsid w:val="03257081"/>
    <w:rsid w:val="03305546"/>
    <w:rsid w:val="03337D3C"/>
    <w:rsid w:val="03347BA5"/>
    <w:rsid w:val="03351867"/>
    <w:rsid w:val="03465DA8"/>
    <w:rsid w:val="03473569"/>
    <w:rsid w:val="034C683B"/>
    <w:rsid w:val="034F0A40"/>
    <w:rsid w:val="035241DD"/>
    <w:rsid w:val="03534574"/>
    <w:rsid w:val="035962AC"/>
    <w:rsid w:val="035A307B"/>
    <w:rsid w:val="035B26F0"/>
    <w:rsid w:val="0360752C"/>
    <w:rsid w:val="03630548"/>
    <w:rsid w:val="03632E30"/>
    <w:rsid w:val="0366170B"/>
    <w:rsid w:val="036E4DF2"/>
    <w:rsid w:val="036F73CC"/>
    <w:rsid w:val="0375678B"/>
    <w:rsid w:val="037B422A"/>
    <w:rsid w:val="038D0696"/>
    <w:rsid w:val="038E5359"/>
    <w:rsid w:val="03930F87"/>
    <w:rsid w:val="03977670"/>
    <w:rsid w:val="039B63C1"/>
    <w:rsid w:val="039D36DA"/>
    <w:rsid w:val="03A46A2E"/>
    <w:rsid w:val="03A861F3"/>
    <w:rsid w:val="03AC50CD"/>
    <w:rsid w:val="03B20756"/>
    <w:rsid w:val="03B23C58"/>
    <w:rsid w:val="03B35A38"/>
    <w:rsid w:val="03B45169"/>
    <w:rsid w:val="03C15054"/>
    <w:rsid w:val="03CA75B4"/>
    <w:rsid w:val="03CF7C42"/>
    <w:rsid w:val="03D97465"/>
    <w:rsid w:val="03EA7516"/>
    <w:rsid w:val="040445FD"/>
    <w:rsid w:val="040719FE"/>
    <w:rsid w:val="04090A66"/>
    <w:rsid w:val="040B2174"/>
    <w:rsid w:val="040E4806"/>
    <w:rsid w:val="0417709C"/>
    <w:rsid w:val="041812F0"/>
    <w:rsid w:val="041B68E1"/>
    <w:rsid w:val="04254EF7"/>
    <w:rsid w:val="04255BC3"/>
    <w:rsid w:val="04314112"/>
    <w:rsid w:val="04316766"/>
    <w:rsid w:val="04332B08"/>
    <w:rsid w:val="043707EE"/>
    <w:rsid w:val="04390EE3"/>
    <w:rsid w:val="04474A49"/>
    <w:rsid w:val="044A30F0"/>
    <w:rsid w:val="0451447E"/>
    <w:rsid w:val="045201B4"/>
    <w:rsid w:val="0452633B"/>
    <w:rsid w:val="045D4EAD"/>
    <w:rsid w:val="045E5D63"/>
    <w:rsid w:val="045F691C"/>
    <w:rsid w:val="04634D8F"/>
    <w:rsid w:val="0464265A"/>
    <w:rsid w:val="046D155D"/>
    <w:rsid w:val="04742E94"/>
    <w:rsid w:val="047F15EC"/>
    <w:rsid w:val="0482591E"/>
    <w:rsid w:val="04874F74"/>
    <w:rsid w:val="04A313BF"/>
    <w:rsid w:val="04A51EC4"/>
    <w:rsid w:val="04B11C19"/>
    <w:rsid w:val="04BA08C9"/>
    <w:rsid w:val="04BB3CBA"/>
    <w:rsid w:val="04BF2CB8"/>
    <w:rsid w:val="04C47F6E"/>
    <w:rsid w:val="04C7198E"/>
    <w:rsid w:val="04D051B5"/>
    <w:rsid w:val="04D114BE"/>
    <w:rsid w:val="04D94F44"/>
    <w:rsid w:val="04DB4128"/>
    <w:rsid w:val="04DB784B"/>
    <w:rsid w:val="04DC1BC8"/>
    <w:rsid w:val="04DF3800"/>
    <w:rsid w:val="04E24BE1"/>
    <w:rsid w:val="04E43D0E"/>
    <w:rsid w:val="04EC04EA"/>
    <w:rsid w:val="04F662A3"/>
    <w:rsid w:val="04F90CBC"/>
    <w:rsid w:val="04F95927"/>
    <w:rsid w:val="04FA3462"/>
    <w:rsid w:val="050354D7"/>
    <w:rsid w:val="050D4849"/>
    <w:rsid w:val="05107E95"/>
    <w:rsid w:val="051162FA"/>
    <w:rsid w:val="05171EF4"/>
    <w:rsid w:val="051B708A"/>
    <w:rsid w:val="051D3FD0"/>
    <w:rsid w:val="051E418A"/>
    <w:rsid w:val="05321753"/>
    <w:rsid w:val="053778E2"/>
    <w:rsid w:val="05391F80"/>
    <w:rsid w:val="053A4ACF"/>
    <w:rsid w:val="053E3845"/>
    <w:rsid w:val="053F5EDC"/>
    <w:rsid w:val="054779AD"/>
    <w:rsid w:val="054E74F8"/>
    <w:rsid w:val="0556011D"/>
    <w:rsid w:val="05584F57"/>
    <w:rsid w:val="055C2EC6"/>
    <w:rsid w:val="05615C15"/>
    <w:rsid w:val="05631FB6"/>
    <w:rsid w:val="05686593"/>
    <w:rsid w:val="056A2976"/>
    <w:rsid w:val="056F38EF"/>
    <w:rsid w:val="05762528"/>
    <w:rsid w:val="057768BF"/>
    <w:rsid w:val="05785425"/>
    <w:rsid w:val="058B1B02"/>
    <w:rsid w:val="058B29BF"/>
    <w:rsid w:val="058C292B"/>
    <w:rsid w:val="058F0E70"/>
    <w:rsid w:val="058F67EC"/>
    <w:rsid w:val="05A0669E"/>
    <w:rsid w:val="05AA7E70"/>
    <w:rsid w:val="05B21DE2"/>
    <w:rsid w:val="05B72A07"/>
    <w:rsid w:val="05B872DF"/>
    <w:rsid w:val="05BB5A50"/>
    <w:rsid w:val="05C94E2E"/>
    <w:rsid w:val="05C96854"/>
    <w:rsid w:val="05CB2D33"/>
    <w:rsid w:val="05D16BBC"/>
    <w:rsid w:val="05DA0E98"/>
    <w:rsid w:val="05DF622F"/>
    <w:rsid w:val="05E01559"/>
    <w:rsid w:val="05E642DA"/>
    <w:rsid w:val="05EA3BDD"/>
    <w:rsid w:val="05EC0BBF"/>
    <w:rsid w:val="05EC4AE5"/>
    <w:rsid w:val="05F10154"/>
    <w:rsid w:val="05F159E2"/>
    <w:rsid w:val="05F2506C"/>
    <w:rsid w:val="05F52048"/>
    <w:rsid w:val="05F921F6"/>
    <w:rsid w:val="05FF3C1A"/>
    <w:rsid w:val="06062A3D"/>
    <w:rsid w:val="06075FEC"/>
    <w:rsid w:val="060D49F6"/>
    <w:rsid w:val="060F639F"/>
    <w:rsid w:val="06112B3C"/>
    <w:rsid w:val="06135CB3"/>
    <w:rsid w:val="0615277D"/>
    <w:rsid w:val="061A1153"/>
    <w:rsid w:val="061B33AB"/>
    <w:rsid w:val="06215539"/>
    <w:rsid w:val="06237E35"/>
    <w:rsid w:val="0625693B"/>
    <w:rsid w:val="0634102D"/>
    <w:rsid w:val="0638780A"/>
    <w:rsid w:val="063E0DE6"/>
    <w:rsid w:val="064176D8"/>
    <w:rsid w:val="06454C97"/>
    <w:rsid w:val="06491398"/>
    <w:rsid w:val="064B1E81"/>
    <w:rsid w:val="064F3313"/>
    <w:rsid w:val="065710C2"/>
    <w:rsid w:val="06584D4D"/>
    <w:rsid w:val="066B1D62"/>
    <w:rsid w:val="06700AB8"/>
    <w:rsid w:val="06744454"/>
    <w:rsid w:val="067C1522"/>
    <w:rsid w:val="068122F5"/>
    <w:rsid w:val="06837E4F"/>
    <w:rsid w:val="06843D48"/>
    <w:rsid w:val="06927983"/>
    <w:rsid w:val="06975731"/>
    <w:rsid w:val="069A6B9E"/>
    <w:rsid w:val="069B626B"/>
    <w:rsid w:val="069C25C5"/>
    <w:rsid w:val="069C5DA9"/>
    <w:rsid w:val="06A27FAC"/>
    <w:rsid w:val="06AF34C6"/>
    <w:rsid w:val="06B924C4"/>
    <w:rsid w:val="06B95C2A"/>
    <w:rsid w:val="06BC68F9"/>
    <w:rsid w:val="06C15D84"/>
    <w:rsid w:val="06C3703E"/>
    <w:rsid w:val="06C614AC"/>
    <w:rsid w:val="06C86DEB"/>
    <w:rsid w:val="06CC4290"/>
    <w:rsid w:val="06CC61A7"/>
    <w:rsid w:val="06D2524A"/>
    <w:rsid w:val="06D43DFA"/>
    <w:rsid w:val="06E415DA"/>
    <w:rsid w:val="06E51995"/>
    <w:rsid w:val="06E601DD"/>
    <w:rsid w:val="06E70DB1"/>
    <w:rsid w:val="06EA3E03"/>
    <w:rsid w:val="06F42009"/>
    <w:rsid w:val="06F85DFF"/>
    <w:rsid w:val="06FF42FB"/>
    <w:rsid w:val="070B081D"/>
    <w:rsid w:val="070D7104"/>
    <w:rsid w:val="07165BB5"/>
    <w:rsid w:val="071664CB"/>
    <w:rsid w:val="07195698"/>
    <w:rsid w:val="071D4AEC"/>
    <w:rsid w:val="071E4C8E"/>
    <w:rsid w:val="072032AC"/>
    <w:rsid w:val="072270FC"/>
    <w:rsid w:val="072302A0"/>
    <w:rsid w:val="072843D8"/>
    <w:rsid w:val="072C51B5"/>
    <w:rsid w:val="0730654F"/>
    <w:rsid w:val="073B02FA"/>
    <w:rsid w:val="073D207A"/>
    <w:rsid w:val="074134A7"/>
    <w:rsid w:val="07434552"/>
    <w:rsid w:val="07467CA9"/>
    <w:rsid w:val="074A1497"/>
    <w:rsid w:val="074A49E1"/>
    <w:rsid w:val="074B6B0A"/>
    <w:rsid w:val="074E2E85"/>
    <w:rsid w:val="074E68BA"/>
    <w:rsid w:val="07515BF5"/>
    <w:rsid w:val="075850A0"/>
    <w:rsid w:val="076003DE"/>
    <w:rsid w:val="0760628E"/>
    <w:rsid w:val="07695954"/>
    <w:rsid w:val="076B3425"/>
    <w:rsid w:val="076D5A34"/>
    <w:rsid w:val="07707311"/>
    <w:rsid w:val="0776142E"/>
    <w:rsid w:val="07764244"/>
    <w:rsid w:val="077C7A64"/>
    <w:rsid w:val="077E71C0"/>
    <w:rsid w:val="0783049C"/>
    <w:rsid w:val="07870AFB"/>
    <w:rsid w:val="078748AB"/>
    <w:rsid w:val="078B665C"/>
    <w:rsid w:val="078C3C40"/>
    <w:rsid w:val="07A4234A"/>
    <w:rsid w:val="07AC3018"/>
    <w:rsid w:val="07AF7C37"/>
    <w:rsid w:val="07BA0B8A"/>
    <w:rsid w:val="07BB6140"/>
    <w:rsid w:val="07BE17F5"/>
    <w:rsid w:val="07BE249F"/>
    <w:rsid w:val="07BF409F"/>
    <w:rsid w:val="07C24389"/>
    <w:rsid w:val="07CF3C47"/>
    <w:rsid w:val="07D653C6"/>
    <w:rsid w:val="07D76651"/>
    <w:rsid w:val="07DA2045"/>
    <w:rsid w:val="07DC061A"/>
    <w:rsid w:val="07DC0946"/>
    <w:rsid w:val="07DD06DB"/>
    <w:rsid w:val="07DD5905"/>
    <w:rsid w:val="07DF26DB"/>
    <w:rsid w:val="07E239CC"/>
    <w:rsid w:val="07E53475"/>
    <w:rsid w:val="07EA2C20"/>
    <w:rsid w:val="07F341CA"/>
    <w:rsid w:val="07FC2E74"/>
    <w:rsid w:val="07FD6BC5"/>
    <w:rsid w:val="07FE79CD"/>
    <w:rsid w:val="08015504"/>
    <w:rsid w:val="08064736"/>
    <w:rsid w:val="080E7859"/>
    <w:rsid w:val="080F1AFD"/>
    <w:rsid w:val="081163FE"/>
    <w:rsid w:val="081913FA"/>
    <w:rsid w:val="08225274"/>
    <w:rsid w:val="08275E9F"/>
    <w:rsid w:val="083927E4"/>
    <w:rsid w:val="083C4608"/>
    <w:rsid w:val="08432330"/>
    <w:rsid w:val="08436517"/>
    <w:rsid w:val="084C154B"/>
    <w:rsid w:val="084F0A17"/>
    <w:rsid w:val="085A3CC5"/>
    <w:rsid w:val="08627391"/>
    <w:rsid w:val="086A114C"/>
    <w:rsid w:val="086E4FBF"/>
    <w:rsid w:val="08711291"/>
    <w:rsid w:val="087329A6"/>
    <w:rsid w:val="087466EA"/>
    <w:rsid w:val="087A2410"/>
    <w:rsid w:val="087A5279"/>
    <w:rsid w:val="08993BC6"/>
    <w:rsid w:val="089A6A2E"/>
    <w:rsid w:val="08A676CB"/>
    <w:rsid w:val="08AA0C7F"/>
    <w:rsid w:val="08B35527"/>
    <w:rsid w:val="08B625DE"/>
    <w:rsid w:val="08B80F70"/>
    <w:rsid w:val="08BA27F7"/>
    <w:rsid w:val="08C62846"/>
    <w:rsid w:val="08C95534"/>
    <w:rsid w:val="08CE1601"/>
    <w:rsid w:val="08DB1E99"/>
    <w:rsid w:val="08DD4532"/>
    <w:rsid w:val="08DE3382"/>
    <w:rsid w:val="08F01C7C"/>
    <w:rsid w:val="08F04266"/>
    <w:rsid w:val="08F6361B"/>
    <w:rsid w:val="08F77308"/>
    <w:rsid w:val="08F91034"/>
    <w:rsid w:val="08FF6095"/>
    <w:rsid w:val="09045AED"/>
    <w:rsid w:val="09060B75"/>
    <w:rsid w:val="090653B1"/>
    <w:rsid w:val="090F576C"/>
    <w:rsid w:val="09132149"/>
    <w:rsid w:val="09207898"/>
    <w:rsid w:val="09246B7F"/>
    <w:rsid w:val="0926197A"/>
    <w:rsid w:val="09267C87"/>
    <w:rsid w:val="092D395B"/>
    <w:rsid w:val="092F19E3"/>
    <w:rsid w:val="09325651"/>
    <w:rsid w:val="09344E19"/>
    <w:rsid w:val="09370A52"/>
    <w:rsid w:val="093D51B4"/>
    <w:rsid w:val="095504DD"/>
    <w:rsid w:val="09647EC4"/>
    <w:rsid w:val="096A3675"/>
    <w:rsid w:val="0976178D"/>
    <w:rsid w:val="09766ACB"/>
    <w:rsid w:val="09767697"/>
    <w:rsid w:val="09785568"/>
    <w:rsid w:val="097F1E8C"/>
    <w:rsid w:val="0980626C"/>
    <w:rsid w:val="09806D25"/>
    <w:rsid w:val="09816144"/>
    <w:rsid w:val="098621E3"/>
    <w:rsid w:val="098D628F"/>
    <w:rsid w:val="098E7098"/>
    <w:rsid w:val="098F50FF"/>
    <w:rsid w:val="09924AB2"/>
    <w:rsid w:val="0998486F"/>
    <w:rsid w:val="09996199"/>
    <w:rsid w:val="099C004E"/>
    <w:rsid w:val="09A20BE6"/>
    <w:rsid w:val="09AC1E04"/>
    <w:rsid w:val="09B25C8F"/>
    <w:rsid w:val="09B37AEC"/>
    <w:rsid w:val="09B50186"/>
    <w:rsid w:val="09B96D4E"/>
    <w:rsid w:val="09BA4385"/>
    <w:rsid w:val="09BF0A3A"/>
    <w:rsid w:val="09C51231"/>
    <w:rsid w:val="09C72651"/>
    <w:rsid w:val="09CC05C4"/>
    <w:rsid w:val="09D23279"/>
    <w:rsid w:val="09E23085"/>
    <w:rsid w:val="09E62EBE"/>
    <w:rsid w:val="09EF09C1"/>
    <w:rsid w:val="09EF5595"/>
    <w:rsid w:val="09F1006B"/>
    <w:rsid w:val="09FE7367"/>
    <w:rsid w:val="0A060D07"/>
    <w:rsid w:val="0A07135F"/>
    <w:rsid w:val="0A0B3FE8"/>
    <w:rsid w:val="0A116CF4"/>
    <w:rsid w:val="0A1974DC"/>
    <w:rsid w:val="0A1B5351"/>
    <w:rsid w:val="0A1B6742"/>
    <w:rsid w:val="0A1C7EC9"/>
    <w:rsid w:val="0A2363B0"/>
    <w:rsid w:val="0A26442A"/>
    <w:rsid w:val="0A287FA0"/>
    <w:rsid w:val="0A297312"/>
    <w:rsid w:val="0A2A0524"/>
    <w:rsid w:val="0A2C0D3B"/>
    <w:rsid w:val="0A2E5E53"/>
    <w:rsid w:val="0A310F18"/>
    <w:rsid w:val="0A313E51"/>
    <w:rsid w:val="0A321633"/>
    <w:rsid w:val="0A332E85"/>
    <w:rsid w:val="0A340E0D"/>
    <w:rsid w:val="0A341682"/>
    <w:rsid w:val="0A342878"/>
    <w:rsid w:val="0A3838AE"/>
    <w:rsid w:val="0A3F14EC"/>
    <w:rsid w:val="0A495926"/>
    <w:rsid w:val="0A522D71"/>
    <w:rsid w:val="0A5E482E"/>
    <w:rsid w:val="0A6B6E10"/>
    <w:rsid w:val="0A7B0C26"/>
    <w:rsid w:val="0A7B1AB9"/>
    <w:rsid w:val="0A7B3664"/>
    <w:rsid w:val="0A7F5E19"/>
    <w:rsid w:val="0A810269"/>
    <w:rsid w:val="0A8B51DB"/>
    <w:rsid w:val="0A8C6A20"/>
    <w:rsid w:val="0A8F37D5"/>
    <w:rsid w:val="0A9350DF"/>
    <w:rsid w:val="0A9713FA"/>
    <w:rsid w:val="0A9A05A9"/>
    <w:rsid w:val="0A9A72F3"/>
    <w:rsid w:val="0A9D4411"/>
    <w:rsid w:val="0A9F3C9B"/>
    <w:rsid w:val="0A9F4BAA"/>
    <w:rsid w:val="0AA87D78"/>
    <w:rsid w:val="0AB441B1"/>
    <w:rsid w:val="0ABA39F1"/>
    <w:rsid w:val="0ABB708E"/>
    <w:rsid w:val="0AC113AE"/>
    <w:rsid w:val="0AC716EE"/>
    <w:rsid w:val="0ACD1AA9"/>
    <w:rsid w:val="0AE94F91"/>
    <w:rsid w:val="0AEF170F"/>
    <w:rsid w:val="0AF50251"/>
    <w:rsid w:val="0AF92D45"/>
    <w:rsid w:val="0AFC4CD1"/>
    <w:rsid w:val="0AFC55BB"/>
    <w:rsid w:val="0B0005A1"/>
    <w:rsid w:val="0B194C41"/>
    <w:rsid w:val="0B2427D9"/>
    <w:rsid w:val="0B2C354F"/>
    <w:rsid w:val="0B332B30"/>
    <w:rsid w:val="0B382386"/>
    <w:rsid w:val="0B38329D"/>
    <w:rsid w:val="0B396B39"/>
    <w:rsid w:val="0B410063"/>
    <w:rsid w:val="0B4977F8"/>
    <w:rsid w:val="0B4C5D51"/>
    <w:rsid w:val="0B4D1563"/>
    <w:rsid w:val="0B537B5D"/>
    <w:rsid w:val="0B5807E8"/>
    <w:rsid w:val="0B586D3B"/>
    <w:rsid w:val="0B5948DD"/>
    <w:rsid w:val="0B5A7049"/>
    <w:rsid w:val="0B5F1DC7"/>
    <w:rsid w:val="0B605F4D"/>
    <w:rsid w:val="0B662F05"/>
    <w:rsid w:val="0B6727D9"/>
    <w:rsid w:val="0B7B2078"/>
    <w:rsid w:val="0B80416D"/>
    <w:rsid w:val="0B863E3A"/>
    <w:rsid w:val="0B8B19A4"/>
    <w:rsid w:val="0BA340B9"/>
    <w:rsid w:val="0BA8074F"/>
    <w:rsid w:val="0BAA2594"/>
    <w:rsid w:val="0BAB6B6A"/>
    <w:rsid w:val="0BB645A8"/>
    <w:rsid w:val="0BBC0DC9"/>
    <w:rsid w:val="0BBC72FE"/>
    <w:rsid w:val="0BC154BD"/>
    <w:rsid w:val="0BC26AAB"/>
    <w:rsid w:val="0BC814CA"/>
    <w:rsid w:val="0BC8196A"/>
    <w:rsid w:val="0BC93196"/>
    <w:rsid w:val="0BD11F11"/>
    <w:rsid w:val="0BD44A74"/>
    <w:rsid w:val="0BDC33FE"/>
    <w:rsid w:val="0BDC743A"/>
    <w:rsid w:val="0BE2426F"/>
    <w:rsid w:val="0BE85DDD"/>
    <w:rsid w:val="0BF66F00"/>
    <w:rsid w:val="0BF84DC8"/>
    <w:rsid w:val="0BF977FE"/>
    <w:rsid w:val="0BFA41F8"/>
    <w:rsid w:val="0BFC6861"/>
    <w:rsid w:val="0BFE40F3"/>
    <w:rsid w:val="0C003A87"/>
    <w:rsid w:val="0C004624"/>
    <w:rsid w:val="0C045738"/>
    <w:rsid w:val="0C0C03C9"/>
    <w:rsid w:val="0C123F38"/>
    <w:rsid w:val="0C127856"/>
    <w:rsid w:val="0C170354"/>
    <w:rsid w:val="0C190A0A"/>
    <w:rsid w:val="0C1F3477"/>
    <w:rsid w:val="0C215BD8"/>
    <w:rsid w:val="0C216E2C"/>
    <w:rsid w:val="0C2462E1"/>
    <w:rsid w:val="0C27273B"/>
    <w:rsid w:val="0C2D7534"/>
    <w:rsid w:val="0C2F0761"/>
    <w:rsid w:val="0C316782"/>
    <w:rsid w:val="0C3C3CA0"/>
    <w:rsid w:val="0C3F3A46"/>
    <w:rsid w:val="0C4018D0"/>
    <w:rsid w:val="0C405E13"/>
    <w:rsid w:val="0C493E78"/>
    <w:rsid w:val="0C4D1731"/>
    <w:rsid w:val="0C524FEC"/>
    <w:rsid w:val="0C556C9B"/>
    <w:rsid w:val="0C572BD3"/>
    <w:rsid w:val="0C5730C1"/>
    <w:rsid w:val="0C64251E"/>
    <w:rsid w:val="0C691AB4"/>
    <w:rsid w:val="0C6C4136"/>
    <w:rsid w:val="0C7120BA"/>
    <w:rsid w:val="0C743DEB"/>
    <w:rsid w:val="0C75314F"/>
    <w:rsid w:val="0C7567F0"/>
    <w:rsid w:val="0C7D57C5"/>
    <w:rsid w:val="0C801498"/>
    <w:rsid w:val="0C82275E"/>
    <w:rsid w:val="0C836D6B"/>
    <w:rsid w:val="0C890893"/>
    <w:rsid w:val="0C8D251A"/>
    <w:rsid w:val="0C9007A4"/>
    <w:rsid w:val="0C90777F"/>
    <w:rsid w:val="0C916659"/>
    <w:rsid w:val="0C9B1C08"/>
    <w:rsid w:val="0C9D66F6"/>
    <w:rsid w:val="0C9E047D"/>
    <w:rsid w:val="0CBD341E"/>
    <w:rsid w:val="0CC32094"/>
    <w:rsid w:val="0CD61C5E"/>
    <w:rsid w:val="0CDA2B45"/>
    <w:rsid w:val="0CDF6A76"/>
    <w:rsid w:val="0CE005BA"/>
    <w:rsid w:val="0CE85B20"/>
    <w:rsid w:val="0CE92E2F"/>
    <w:rsid w:val="0CF031C9"/>
    <w:rsid w:val="0CF238D9"/>
    <w:rsid w:val="0CF3265F"/>
    <w:rsid w:val="0CF54C18"/>
    <w:rsid w:val="0CFB7D5D"/>
    <w:rsid w:val="0D0105C4"/>
    <w:rsid w:val="0D020CCB"/>
    <w:rsid w:val="0D0676A4"/>
    <w:rsid w:val="0D190F81"/>
    <w:rsid w:val="0D1D58C9"/>
    <w:rsid w:val="0D262447"/>
    <w:rsid w:val="0D2B3F36"/>
    <w:rsid w:val="0D3333F8"/>
    <w:rsid w:val="0D3354B3"/>
    <w:rsid w:val="0D361020"/>
    <w:rsid w:val="0D393049"/>
    <w:rsid w:val="0D3F7FBF"/>
    <w:rsid w:val="0D422275"/>
    <w:rsid w:val="0D423EAE"/>
    <w:rsid w:val="0D4F19D7"/>
    <w:rsid w:val="0D5261BF"/>
    <w:rsid w:val="0D57246E"/>
    <w:rsid w:val="0D5A6CA9"/>
    <w:rsid w:val="0D5F569B"/>
    <w:rsid w:val="0D613984"/>
    <w:rsid w:val="0D6734E3"/>
    <w:rsid w:val="0D68293B"/>
    <w:rsid w:val="0D6E4804"/>
    <w:rsid w:val="0D7511DD"/>
    <w:rsid w:val="0D7D2A79"/>
    <w:rsid w:val="0D7D3E0F"/>
    <w:rsid w:val="0D8200F5"/>
    <w:rsid w:val="0D86133A"/>
    <w:rsid w:val="0D893804"/>
    <w:rsid w:val="0D8B27AF"/>
    <w:rsid w:val="0D8D3537"/>
    <w:rsid w:val="0D905016"/>
    <w:rsid w:val="0DA2444C"/>
    <w:rsid w:val="0DA43871"/>
    <w:rsid w:val="0DA44C4F"/>
    <w:rsid w:val="0DA63D3D"/>
    <w:rsid w:val="0DAC0338"/>
    <w:rsid w:val="0DAC7CEF"/>
    <w:rsid w:val="0DAD62D1"/>
    <w:rsid w:val="0DB95090"/>
    <w:rsid w:val="0DBB4523"/>
    <w:rsid w:val="0DC209AA"/>
    <w:rsid w:val="0DC44BEA"/>
    <w:rsid w:val="0DC51F28"/>
    <w:rsid w:val="0DC906B2"/>
    <w:rsid w:val="0DC96772"/>
    <w:rsid w:val="0DD265EC"/>
    <w:rsid w:val="0DD43F77"/>
    <w:rsid w:val="0DD927B0"/>
    <w:rsid w:val="0DD932B5"/>
    <w:rsid w:val="0DDF4F23"/>
    <w:rsid w:val="0DE045C3"/>
    <w:rsid w:val="0DE74A1B"/>
    <w:rsid w:val="0DE805D5"/>
    <w:rsid w:val="0DFE3130"/>
    <w:rsid w:val="0E052416"/>
    <w:rsid w:val="0E20647A"/>
    <w:rsid w:val="0E2B77B0"/>
    <w:rsid w:val="0E304F48"/>
    <w:rsid w:val="0E33779F"/>
    <w:rsid w:val="0E355534"/>
    <w:rsid w:val="0E3779A0"/>
    <w:rsid w:val="0E3D5D71"/>
    <w:rsid w:val="0E3E07E5"/>
    <w:rsid w:val="0E412E71"/>
    <w:rsid w:val="0E41313A"/>
    <w:rsid w:val="0E44758C"/>
    <w:rsid w:val="0E4504CC"/>
    <w:rsid w:val="0E455054"/>
    <w:rsid w:val="0E4D0FC1"/>
    <w:rsid w:val="0E511DEE"/>
    <w:rsid w:val="0E531E9B"/>
    <w:rsid w:val="0E5753B1"/>
    <w:rsid w:val="0E603C3C"/>
    <w:rsid w:val="0E611762"/>
    <w:rsid w:val="0E6370CE"/>
    <w:rsid w:val="0E661414"/>
    <w:rsid w:val="0E667D4E"/>
    <w:rsid w:val="0E6C75F4"/>
    <w:rsid w:val="0E72373D"/>
    <w:rsid w:val="0E7C4A82"/>
    <w:rsid w:val="0E8E520D"/>
    <w:rsid w:val="0E8F336A"/>
    <w:rsid w:val="0E8F359F"/>
    <w:rsid w:val="0E917529"/>
    <w:rsid w:val="0EAB6844"/>
    <w:rsid w:val="0EB75DD5"/>
    <w:rsid w:val="0EC25A79"/>
    <w:rsid w:val="0EC345DF"/>
    <w:rsid w:val="0ECA7B73"/>
    <w:rsid w:val="0ECD648E"/>
    <w:rsid w:val="0ECF2D08"/>
    <w:rsid w:val="0ED04AB5"/>
    <w:rsid w:val="0EDA7ABD"/>
    <w:rsid w:val="0EE16478"/>
    <w:rsid w:val="0EE9317A"/>
    <w:rsid w:val="0EFD200B"/>
    <w:rsid w:val="0F000C96"/>
    <w:rsid w:val="0F020974"/>
    <w:rsid w:val="0F030982"/>
    <w:rsid w:val="0F0A3BA7"/>
    <w:rsid w:val="0F0F50B1"/>
    <w:rsid w:val="0F161170"/>
    <w:rsid w:val="0F266F83"/>
    <w:rsid w:val="0F267BBE"/>
    <w:rsid w:val="0F292A93"/>
    <w:rsid w:val="0F2B39D9"/>
    <w:rsid w:val="0F2C77D8"/>
    <w:rsid w:val="0F2C7F1A"/>
    <w:rsid w:val="0F332828"/>
    <w:rsid w:val="0F344D93"/>
    <w:rsid w:val="0F36254B"/>
    <w:rsid w:val="0F383593"/>
    <w:rsid w:val="0F3C7A41"/>
    <w:rsid w:val="0F41560B"/>
    <w:rsid w:val="0F4C7719"/>
    <w:rsid w:val="0F517703"/>
    <w:rsid w:val="0F5346EB"/>
    <w:rsid w:val="0F565E8D"/>
    <w:rsid w:val="0F5E2F7D"/>
    <w:rsid w:val="0F60166C"/>
    <w:rsid w:val="0F6B43C5"/>
    <w:rsid w:val="0F7113C1"/>
    <w:rsid w:val="0F76462C"/>
    <w:rsid w:val="0F767D88"/>
    <w:rsid w:val="0F7958FE"/>
    <w:rsid w:val="0F895627"/>
    <w:rsid w:val="0F8B0C31"/>
    <w:rsid w:val="0F927664"/>
    <w:rsid w:val="0F966B3F"/>
    <w:rsid w:val="0F9B3F89"/>
    <w:rsid w:val="0FA04150"/>
    <w:rsid w:val="0FA20284"/>
    <w:rsid w:val="0FA40C23"/>
    <w:rsid w:val="0FA475CC"/>
    <w:rsid w:val="0FA47630"/>
    <w:rsid w:val="0FB7141D"/>
    <w:rsid w:val="0FB72367"/>
    <w:rsid w:val="0FB73E77"/>
    <w:rsid w:val="0FB7630A"/>
    <w:rsid w:val="0FB9413C"/>
    <w:rsid w:val="0FC47664"/>
    <w:rsid w:val="0FDA4E15"/>
    <w:rsid w:val="0FE71843"/>
    <w:rsid w:val="0FED0854"/>
    <w:rsid w:val="0FED3576"/>
    <w:rsid w:val="0FF63E22"/>
    <w:rsid w:val="0FFD41BD"/>
    <w:rsid w:val="0FFD5200"/>
    <w:rsid w:val="10005A8C"/>
    <w:rsid w:val="10092592"/>
    <w:rsid w:val="10211950"/>
    <w:rsid w:val="10213F6E"/>
    <w:rsid w:val="103247B3"/>
    <w:rsid w:val="103C5FE2"/>
    <w:rsid w:val="103F5AD3"/>
    <w:rsid w:val="104071D9"/>
    <w:rsid w:val="1042731E"/>
    <w:rsid w:val="104273D7"/>
    <w:rsid w:val="10445B9A"/>
    <w:rsid w:val="10494F32"/>
    <w:rsid w:val="10560D06"/>
    <w:rsid w:val="105F7F23"/>
    <w:rsid w:val="10640B9B"/>
    <w:rsid w:val="106446CD"/>
    <w:rsid w:val="10651D23"/>
    <w:rsid w:val="10655C5D"/>
    <w:rsid w:val="10673933"/>
    <w:rsid w:val="107032C7"/>
    <w:rsid w:val="108D680E"/>
    <w:rsid w:val="109D7E85"/>
    <w:rsid w:val="109E5FEF"/>
    <w:rsid w:val="10B65D95"/>
    <w:rsid w:val="10BA0DCE"/>
    <w:rsid w:val="10BD4053"/>
    <w:rsid w:val="10C20B10"/>
    <w:rsid w:val="10C3101B"/>
    <w:rsid w:val="10C43B8D"/>
    <w:rsid w:val="10C876B1"/>
    <w:rsid w:val="10CA34E1"/>
    <w:rsid w:val="10CE5C82"/>
    <w:rsid w:val="10D25FC1"/>
    <w:rsid w:val="10D26878"/>
    <w:rsid w:val="10D33E39"/>
    <w:rsid w:val="10DA4B72"/>
    <w:rsid w:val="10DD09CE"/>
    <w:rsid w:val="10E53D0B"/>
    <w:rsid w:val="10EC5C5A"/>
    <w:rsid w:val="10ED1D0E"/>
    <w:rsid w:val="10ED552F"/>
    <w:rsid w:val="10EE684F"/>
    <w:rsid w:val="10F535D3"/>
    <w:rsid w:val="11036B00"/>
    <w:rsid w:val="11082CF7"/>
    <w:rsid w:val="110C2D8C"/>
    <w:rsid w:val="11104026"/>
    <w:rsid w:val="1111061C"/>
    <w:rsid w:val="11153FC3"/>
    <w:rsid w:val="111D7E38"/>
    <w:rsid w:val="1123195D"/>
    <w:rsid w:val="112B0024"/>
    <w:rsid w:val="112C7414"/>
    <w:rsid w:val="113F126E"/>
    <w:rsid w:val="11404570"/>
    <w:rsid w:val="115600D4"/>
    <w:rsid w:val="115920CE"/>
    <w:rsid w:val="11594A68"/>
    <w:rsid w:val="11647B2C"/>
    <w:rsid w:val="11654BB6"/>
    <w:rsid w:val="1174468E"/>
    <w:rsid w:val="11776EF0"/>
    <w:rsid w:val="11794B9D"/>
    <w:rsid w:val="117A5014"/>
    <w:rsid w:val="117C32EA"/>
    <w:rsid w:val="117E2F54"/>
    <w:rsid w:val="118834E8"/>
    <w:rsid w:val="118A5E58"/>
    <w:rsid w:val="118C2F9A"/>
    <w:rsid w:val="119908C2"/>
    <w:rsid w:val="119E09B8"/>
    <w:rsid w:val="11AB5A59"/>
    <w:rsid w:val="11B1006A"/>
    <w:rsid w:val="11B62D7E"/>
    <w:rsid w:val="11BA3FEF"/>
    <w:rsid w:val="11C02D2E"/>
    <w:rsid w:val="11C05674"/>
    <w:rsid w:val="11C605E7"/>
    <w:rsid w:val="11D37EA7"/>
    <w:rsid w:val="11D72CBF"/>
    <w:rsid w:val="11DF3D9A"/>
    <w:rsid w:val="11E32CEE"/>
    <w:rsid w:val="11E90B6B"/>
    <w:rsid w:val="11EA3C1F"/>
    <w:rsid w:val="11ED3D2F"/>
    <w:rsid w:val="11F229D2"/>
    <w:rsid w:val="11F400C8"/>
    <w:rsid w:val="11F538AA"/>
    <w:rsid w:val="11F67003"/>
    <w:rsid w:val="11F672AB"/>
    <w:rsid w:val="11F81593"/>
    <w:rsid w:val="11FC16DB"/>
    <w:rsid w:val="1203277A"/>
    <w:rsid w:val="12064277"/>
    <w:rsid w:val="12064F3A"/>
    <w:rsid w:val="1206792D"/>
    <w:rsid w:val="120833ED"/>
    <w:rsid w:val="1228182C"/>
    <w:rsid w:val="12312169"/>
    <w:rsid w:val="12374163"/>
    <w:rsid w:val="124368EB"/>
    <w:rsid w:val="12455342"/>
    <w:rsid w:val="125515DD"/>
    <w:rsid w:val="12566960"/>
    <w:rsid w:val="1259358F"/>
    <w:rsid w:val="12594D28"/>
    <w:rsid w:val="125B2172"/>
    <w:rsid w:val="125C0F94"/>
    <w:rsid w:val="126220D5"/>
    <w:rsid w:val="12665399"/>
    <w:rsid w:val="126742F1"/>
    <w:rsid w:val="127220C8"/>
    <w:rsid w:val="12735809"/>
    <w:rsid w:val="127C1D9A"/>
    <w:rsid w:val="127F6497"/>
    <w:rsid w:val="12823F18"/>
    <w:rsid w:val="12861640"/>
    <w:rsid w:val="128A1CAF"/>
    <w:rsid w:val="128F3004"/>
    <w:rsid w:val="129530C6"/>
    <w:rsid w:val="129659CF"/>
    <w:rsid w:val="129D6C7E"/>
    <w:rsid w:val="129F3C34"/>
    <w:rsid w:val="12A1706C"/>
    <w:rsid w:val="12A27DC3"/>
    <w:rsid w:val="12A56C60"/>
    <w:rsid w:val="12AC1D5A"/>
    <w:rsid w:val="12AF0CEE"/>
    <w:rsid w:val="12AF17AA"/>
    <w:rsid w:val="12B508B1"/>
    <w:rsid w:val="12B65B63"/>
    <w:rsid w:val="12B7019C"/>
    <w:rsid w:val="12B843BB"/>
    <w:rsid w:val="12C60455"/>
    <w:rsid w:val="12C87909"/>
    <w:rsid w:val="12CB4575"/>
    <w:rsid w:val="12CF5487"/>
    <w:rsid w:val="12D175E2"/>
    <w:rsid w:val="12D4727E"/>
    <w:rsid w:val="12D71F2E"/>
    <w:rsid w:val="12D818DA"/>
    <w:rsid w:val="12E31BDE"/>
    <w:rsid w:val="12E83881"/>
    <w:rsid w:val="12EC7AE9"/>
    <w:rsid w:val="12F46A77"/>
    <w:rsid w:val="13017E87"/>
    <w:rsid w:val="130428A3"/>
    <w:rsid w:val="13063F06"/>
    <w:rsid w:val="13071595"/>
    <w:rsid w:val="130E780C"/>
    <w:rsid w:val="13117D70"/>
    <w:rsid w:val="13165211"/>
    <w:rsid w:val="131A335A"/>
    <w:rsid w:val="13313BF8"/>
    <w:rsid w:val="133B0C34"/>
    <w:rsid w:val="13425FE7"/>
    <w:rsid w:val="135720BE"/>
    <w:rsid w:val="135E16DB"/>
    <w:rsid w:val="13646528"/>
    <w:rsid w:val="137131BB"/>
    <w:rsid w:val="13720D5D"/>
    <w:rsid w:val="13734411"/>
    <w:rsid w:val="137A683C"/>
    <w:rsid w:val="1384637C"/>
    <w:rsid w:val="13897E7D"/>
    <w:rsid w:val="138B328C"/>
    <w:rsid w:val="138C5731"/>
    <w:rsid w:val="13903825"/>
    <w:rsid w:val="139C5FF5"/>
    <w:rsid w:val="139D1015"/>
    <w:rsid w:val="13A37472"/>
    <w:rsid w:val="13A9686B"/>
    <w:rsid w:val="13B04A88"/>
    <w:rsid w:val="13B40ADB"/>
    <w:rsid w:val="13B57F9E"/>
    <w:rsid w:val="13B84F5A"/>
    <w:rsid w:val="13BB1CF9"/>
    <w:rsid w:val="13C04A87"/>
    <w:rsid w:val="13C05780"/>
    <w:rsid w:val="13C46C25"/>
    <w:rsid w:val="13C54FC2"/>
    <w:rsid w:val="13C609E5"/>
    <w:rsid w:val="13C7475D"/>
    <w:rsid w:val="13C83C17"/>
    <w:rsid w:val="13C95208"/>
    <w:rsid w:val="13CD3FA3"/>
    <w:rsid w:val="13D645AE"/>
    <w:rsid w:val="13D749A0"/>
    <w:rsid w:val="13DD3F4F"/>
    <w:rsid w:val="13DE2A6A"/>
    <w:rsid w:val="13E2622E"/>
    <w:rsid w:val="13E80E38"/>
    <w:rsid w:val="13EE5846"/>
    <w:rsid w:val="13F33280"/>
    <w:rsid w:val="140D6D71"/>
    <w:rsid w:val="141E0717"/>
    <w:rsid w:val="14271AF4"/>
    <w:rsid w:val="14297453"/>
    <w:rsid w:val="143907F8"/>
    <w:rsid w:val="143E5B17"/>
    <w:rsid w:val="1445537A"/>
    <w:rsid w:val="144B12F1"/>
    <w:rsid w:val="14540C19"/>
    <w:rsid w:val="14587163"/>
    <w:rsid w:val="14592D75"/>
    <w:rsid w:val="145B105F"/>
    <w:rsid w:val="145D40F9"/>
    <w:rsid w:val="14621A1E"/>
    <w:rsid w:val="146429B0"/>
    <w:rsid w:val="14651D97"/>
    <w:rsid w:val="14667AD2"/>
    <w:rsid w:val="146733DC"/>
    <w:rsid w:val="146A4A81"/>
    <w:rsid w:val="146F51D9"/>
    <w:rsid w:val="14763D07"/>
    <w:rsid w:val="148963AA"/>
    <w:rsid w:val="14961F15"/>
    <w:rsid w:val="14991C4C"/>
    <w:rsid w:val="14A02B65"/>
    <w:rsid w:val="14B25F3D"/>
    <w:rsid w:val="14B47C73"/>
    <w:rsid w:val="14B74712"/>
    <w:rsid w:val="14BD517C"/>
    <w:rsid w:val="14CF2F4A"/>
    <w:rsid w:val="14D61FB1"/>
    <w:rsid w:val="14DF0BA2"/>
    <w:rsid w:val="14E13ABE"/>
    <w:rsid w:val="14EC111C"/>
    <w:rsid w:val="14F06B2E"/>
    <w:rsid w:val="14F2438D"/>
    <w:rsid w:val="14FD260F"/>
    <w:rsid w:val="15015EB0"/>
    <w:rsid w:val="15034C74"/>
    <w:rsid w:val="15060D13"/>
    <w:rsid w:val="1508059A"/>
    <w:rsid w:val="150A0F2C"/>
    <w:rsid w:val="150A0F40"/>
    <w:rsid w:val="150A1CAF"/>
    <w:rsid w:val="150D5EF5"/>
    <w:rsid w:val="15115FBE"/>
    <w:rsid w:val="15142581"/>
    <w:rsid w:val="151539E5"/>
    <w:rsid w:val="151E4AAF"/>
    <w:rsid w:val="151E58BF"/>
    <w:rsid w:val="152864F1"/>
    <w:rsid w:val="152A4D86"/>
    <w:rsid w:val="152D0EAD"/>
    <w:rsid w:val="15306BD1"/>
    <w:rsid w:val="15337F38"/>
    <w:rsid w:val="153426C4"/>
    <w:rsid w:val="153C1F31"/>
    <w:rsid w:val="15412E70"/>
    <w:rsid w:val="15417F8D"/>
    <w:rsid w:val="15451518"/>
    <w:rsid w:val="15457C9B"/>
    <w:rsid w:val="15474C21"/>
    <w:rsid w:val="154B3B30"/>
    <w:rsid w:val="154C5769"/>
    <w:rsid w:val="155B51EC"/>
    <w:rsid w:val="155D63FE"/>
    <w:rsid w:val="1566616E"/>
    <w:rsid w:val="156A4DD9"/>
    <w:rsid w:val="1572462D"/>
    <w:rsid w:val="1579686A"/>
    <w:rsid w:val="158761DD"/>
    <w:rsid w:val="158A0510"/>
    <w:rsid w:val="159266A5"/>
    <w:rsid w:val="15932A42"/>
    <w:rsid w:val="159B19FD"/>
    <w:rsid w:val="15A24385"/>
    <w:rsid w:val="15A31535"/>
    <w:rsid w:val="15A4548C"/>
    <w:rsid w:val="15A75661"/>
    <w:rsid w:val="15A91D18"/>
    <w:rsid w:val="15AA12D6"/>
    <w:rsid w:val="15B11E25"/>
    <w:rsid w:val="15BB6C7B"/>
    <w:rsid w:val="15C87753"/>
    <w:rsid w:val="15D41C79"/>
    <w:rsid w:val="15D84B69"/>
    <w:rsid w:val="15DB3018"/>
    <w:rsid w:val="15DD706A"/>
    <w:rsid w:val="15E85EA3"/>
    <w:rsid w:val="15FA4A6B"/>
    <w:rsid w:val="15FD4136"/>
    <w:rsid w:val="16017086"/>
    <w:rsid w:val="1608552B"/>
    <w:rsid w:val="160F1A18"/>
    <w:rsid w:val="16105D65"/>
    <w:rsid w:val="161B6D47"/>
    <w:rsid w:val="162A45AF"/>
    <w:rsid w:val="163663F7"/>
    <w:rsid w:val="163824B3"/>
    <w:rsid w:val="163E7C71"/>
    <w:rsid w:val="163F32EB"/>
    <w:rsid w:val="165364C3"/>
    <w:rsid w:val="165A2BDE"/>
    <w:rsid w:val="166242C9"/>
    <w:rsid w:val="16626147"/>
    <w:rsid w:val="16636CE1"/>
    <w:rsid w:val="1668660A"/>
    <w:rsid w:val="166E0A8A"/>
    <w:rsid w:val="166E60E9"/>
    <w:rsid w:val="166F1D3D"/>
    <w:rsid w:val="16706B4D"/>
    <w:rsid w:val="16710DF6"/>
    <w:rsid w:val="1673768F"/>
    <w:rsid w:val="16752821"/>
    <w:rsid w:val="16792576"/>
    <w:rsid w:val="16806552"/>
    <w:rsid w:val="16826733"/>
    <w:rsid w:val="168503A5"/>
    <w:rsid w:val="168523D3"/>
    <w:rsid w:val="168B4CC3"/>
    <w:rsid w:val="168F4680"/>
    <w:rsid w:val="1692495E"/>
    <w:rsid w:val="16A100CA"/>
    <w:rsid w:val="16AA4DAF"/>
    <w:rsid w:val="16AD1756"/>
    <w:rsid w:val="16AE01A6"/>
    <w:rsid w:val="16B23F2C"/>
    <w:rsid w:val="16B943F6"/>
    <w:rsid w:val="16C51D8E"/>
    <w:rsid w:val="16D04FC6"/>
    <w:rsid w:val="16D15FD8"/>
    <w:rsid w:val="16D33E03"/>
    <w:rsid w:val="16D33E72"/>
    <w:rsid w:val="16D7709E"/>
    <w:rsid w:val="16D91158"/>
    <w:rsid w:val="16DA7D18"/>
    <w:rsid w:val="16E97EF9"/>
    <w:rsid w:val="16F10E05"/>
    <w:rsid w:val="16F5440C"/>
    <w:rsid w:val="16FA4550"/>
    <w:rsid w:val="1700420E"/>
    <w:rsid w:val="17006251"/>
    <w:rsid w:val="170B17C5"/>
    <w:rsid w:val="171038A9"/>
    <w:rsid w:val="17137909"/>
    <w:rsid w:val="171A0E17"/>
    <w:rsid w:val="171B65B0"/>
    <w:rsid w:val="171D619F"/>
    <w:rsid w:val="171E24D6"/>
    <w:rsid w:val="171E475F"/>
    <w:rsid w:val="17263548"/>
    <w:rsid w:val="172872C1"/>
    <w:rsid w:val="172E4346"/>
    <w:rsid w:val="172E6E86"/>
    <w:rsid w:val="17384267"/>
    <w:rsid w:val="173F2DB2"/>
    <w:rsid w:val="17477185"/>
    <w:rsid w:val="1748044E"/>
    <w:rsid w:val="174D23F4"/>
    <w:rsid w:val="1752144A"/>
    <w:rsid w:val="17532E5E"/>
    <w:rsid w:val="175937E0"/>
    <w:rsid w:val="175C436C"/>
    <w:rsid w:val="176127D3"/>
    <w:rsid w:val="176A54AD"/>
    <w:rsid w:val="176F1347"/>
    <w:rsid w:val="177E3D8B"/>
    <w:rsid w:val="177E7E6C"/>
    <w:rsid w:val="17800EAB"/>
    <w:rsid w:val="1780603B"/>
    <w:rsid w:val="17A245DC"/>
    <w:rsid w:val="17A61C6F"/>
    <w:rsid w:val="17AA4179"/>
    <w:rsid w:val="17B0594D"/>
    <w:rsid w:val="17B15903"/>
    <w:rsid w:val="17B27A9B"/>
    <w:rsid w:val="17B926ED"/>
    <w:rsid w:val="17BA79E2"/>
    <w:rsid w:val="17BC4772"/>
    <w:rsid w:val="17CC2342"/>
    <w:rsid w:val="17D12728"/>
    <w:rsid w:val="17D24DD8"/>
    <w:rsid w:val="17E60A7A"/>
    <w:rsid w:val="17EC4BBA"/>
    <w:rsid w:val="17EF54C7"/>
    <w:rsid w:val="17F07560"/>
    <w:rsid w:val="17F84D97"/>
    <w:rsid w:val="17FB38A2"/>
    <w:rsid w:val="18030739"/>
    <w:rsid w:val="18090844"/>
    <w:rsid w:val="180C0AFD"/>
    <w:rsid w:val="180C45FF"/>
    <w:rsid w:val="18117B13"/>
    <w:rsid w:val="181870D4"/>
    <w:rsid w:val="181C614F"/>
    <w:rsid w:val="182251D3"/>
    <w:rsid w:val="182E5E4C"/>
    <w:rsid w:val="1833144C"/>
    <w:rsid w:val="183E096C"/>
    <w:rsid w:val="184F2CDA"/>
    <w:rsid w:val="18506ACF"/>
    <w:rsid w:val="185B7CCF"/>
    <w:rsid w:val="18685DE7"/>
    <w:rsid w:val="186A2283"/>
    <w:rsid w:val="1876019B"/>
    <w:rsid w:val="187C0DEA"/>
    <w:rsid w:val="188365CF"/>
    <w:rsid w:val="18980AA8"/>
    <w:rsid w:val="189D1F08"/>
    <w:rsid w:val="189F6C54"/>
    <w:rsid w:val="18A73433"/>
    <w:rsid w:val="18A763D9"/>
    <w:rsid w:val="18AB19DB"/>
    <w:rsid w:val="18AD51D7"/>
    <w:rsid w:val="18B307D7"/>
    <w:rsid w:val="18B6058F"/>
    <w:rsid w:val="18D11090"/>
    <w:rsid w:val="18D25C5F"/>
    <w:rsid w:val="18D910AC"/>
    <w:rsid w:val="18DB65A0"/>
    <w:rsid w:val="18E03DC5"/>
    <w:rsid w:val="18E04B97"/>
    <w:rsid w:val="18EA00FB"/>
    <w:rsid w:val="18EE0BF6"/>
    <w:rsid w:val="18F46A0A"/>
    <w:rsid w:val="18FA3995"/>
    <w:rsid w:val="18FB18A2"/>
    <w:rsid w:val="18FB50F2"/>
    <w:rsid w:val="18FE652B"/>
    <w:rsid w:val="190A14A1"/>
    <w:rsid w:val="1912647A"/>
    <w:rsid w:val="19157D18"/>
    <w:rsid w:val="19161AC1"/>
    <w:rsid w:val="191775ED"/>
    <w:rsid w:val="19234C01"/>
    <w:rsid w:val="19273717"/>
    <w:rsid w:val="192D0E31"/>
    <w:rsid w:val="192E2A29"/>
    <w:rsid w:val="192E7999"/>
    <w:rsid w:val="1933023C"/>
    <w:rsid w:val="19354C84"/>
    <w:rsid w:val="193D63F7"/>
    <w:rsid w:val="19410B0E"/>
    <w:rsid w:val="195776F0"/>
    <w:rsid w:val="19584C54"/>
    <w:rsid w:val="195949B2"/>
    <w:rsid w:val="19595246"/>
    <w:rsid w:val="19677EDB"/>
    <w:rsid w:val="19681C0E"/>
    <w:rsid w:val="19695D58"/>
    <w:rsid w:val="198A612F"/>
    <w:rsid w:val="19903A06"/>
    <w:rsid w:val="199E7A91"/>
    <w:rsid w:val="19B260A0"/>
    <w:rsid w:val="19BA7045"/>
    <w:rsid w:val="19BE4A16"/>
    <w:rsid w:val="19C1175E"/>
    <w:rsid w:val="19CA2ECA"/>
    <w:rsid w:val="19CB2EF4"/>
    <w:rsid w:val="19D723F1"/>
    <w:rsid w:val="19D87405"/>
    <w:rsid w:val="19DF45AE"/>
    <w:rsid w:val="19E055A8"/>
    <w:rsid w:val="19E0599C"/>
    <w:rsid w:val="19ED0C13"/>
    <w:rsid w:val="19F11A9A"/>
    <w:rsid w:val="19F31BB8"/>
    <w:rsid w:val="19FF1703"/>
    <w:rsid w:val="1A013953"/>
    <w:rsid w:val="1A036BA3"/>
    <w:rsid w:val="1A0B43D6"/>
    <w:rsid w:val="1A0F7083"/>
    <w:rsid w:val="1A1C1C43"/>
    <w:rsid w:val="1A241336"/>
    <w:rsid w:val="1A2A63F9"/>
    <w:rsid w:val="1A31116E"/>
    <w:rsid w:val="1A311711"/>
    <w:rsid w:val="1A3142E0"/>
    <w:rsid w:val="1A3218B0"/>
    <w:rsid w:val="1A350FE6"/>
    <w:rsid w:val="1A3E158C"/>
    <w:rsid w:val="1A401B3F"/>
    <w:rsid w:val="1A4101E8"/>
    <w:rsid w:val="1A45702C"/>
    <w:rsid w:val="1A477774"/>
    <w:rsid w:val="1A4920D7"/>
    <w:rsid w:val="1A4F3D41"/>
    <w:rsid w:val="1A5D1977"/>
    <w:rsid w:val="1A5E03C2"/>
    <w:rsid w:val="1A5E2B30"/>
    <w:rsid w:val="1A66694B"/>
    <w:rsid w:val="1A67697A"/>
    <w:rsid w:val="1A690138"/>
    <w:rsid w:val="1A6B29D9"/>
    <w:rsid w:val="1A6E5D76"/>
    <w:rsid w:val="1A6F084C"/>
    <w:rsid w:val="1A716BEE"/>
    <w:rsid w:val="1A7421CF"/>
    <w:rsid w:val="1A7936B8"/>
    <w:rsid w:val="1A7B3BAB"/>
    <w:rsid w:val="1A863709"/>
    <w:rsid w:val="1A8A0F34"/>
    <w:rsid w:val="1A9E0C15"/>
    <w:rsid w:val="1A9F4369"/>
    <w:rsid w:val="1AA743DD"/>
    <w:rsid w:val="1AA96E85"/>
    <w:rsid w:val="1AAA519D"/>
    <w:rsid w:val="1AB0261E"/>
    <w:rsid w:val="1AB50EE5"/>
    <w:rsid w:val="1AB6087E"/>
    <w:rsid w:val="1AB71087"/>
    <w:rsid w:val="1ABE0824"/>
    <w:rsid w:val="1ABF4CBD"/>
    <w:rsid w:val="1AC31C19"/>
    <w:rsid w:val="1AC7587C"/>
    <w:rsid w:val="1AD054F8"/>
    <w:rsid w:val="1AD4046B"/>
    <w:rsid w:val="1AD97F7E"/>
    <w:rsid w:val="1AE25D7E"/>
    <w:rsid w:val="1AE56801"/>
    <w:rsid w:val="1AE678CE"/>
    <w:rsid w:val="1AE946EE"/>
    <w:rsid w:val="1AEE5D74"/>
    <w:rsid w:val="1AF62694"/>
    <w:rsid w:val="1AFA67BD"/>
    <w:rsid w:val="1AFD7373"/>
    <w:rsid w:val="1B0602E0"/>
    <w:rsid w:val="1B090710"/>
    <w:rsid w:val="1B0A5DC1"/>
    <w:rsid w:val="1B0D0F4D"/>
    <w:rsid w:val="1B0E73B3"/>
    <w:rsid w:val="1B10330A"/>
    <w:rsid w:val="1B11251A"/>
    <w:rsid w:val="1B14674F"/>
    <w:rsid w:val="1B1D3DDF"/>
    <w:rsid w:val="1B276F33"/>
    <w:rsid w:val="1B2866B4"/>
    <w:rsid w:val="1B2916E5"/>
    <w:rsid w:val="1B397CEE"/>
    <w:rsid w:val="1B40507B"/>
    <w:rsid w:val="1B506076"/>
    <w:rsid w:val="1B553601"/>
    <w:rsid w:val="1B590FA9"/>
    <w:rsid w:val="1B5A5883"/>
    <w:rsid w:val="1B5B1B41"/>
    <w:rsid w:val="1B5F7FA7"/>
    <w:rsid w:val="1B63668C"/>
    <w:rsid w:val="1B740D26"/>
    <w:rsid w:val="1B75252A"/>
    <w:rsid w:val="1B773D4F"/>
    <w:rsid w:val="1B7C14A1"/>
    <w:rsid w:val="1B821D08"/>
    <w:rsid w:val="1B862833"/>
    <w:rsid w:val="1B8F4135"/>
    <w:rsid w:val="1B8F46A0"/>
    <w:rsid w:val="1B96294F"/>
    <w:rsid w:val="1BA0432B"/>
    <w:rsid w:val="1BAE3CB3"/>
    <w:rsid w:val="1BB77278"/>
    <w:rsid w:val="1BBA7D60"/>
    <w:rsid w:val="1BBD6EEF"/>
    <w:rsid w:val="1BBE4EC6"/>
    <w:rsid w:val="1BC83389"/>
    <w:rsid w:val="1BC95B1D"/>
    <w:rsid w:val="1BCD3554"/>
    <w:rsid w:val="1BD029B6"/>
    <w:rsid w:val="1BD15347"/>
    <w:rsid w:val="1BD46CB0"/>
    <w:rsid w:val="1BD5178C"/>
    <w:rsid w:val="1BD97A80"/>
    <w:rsid w:val="1BDB5678"/>
    <w:rsid w:val="1BDF2D54"/>
    <w:rsid w:val="1BE71058"/>
    <w:rsid w:val="1BEA6BAB"/>
    <w:rsid w:val="1BEB4C2C"/>
    <w:rsid w:val="1BEB7AB6"/>
    <w:rsid w:val="1BF1533D"/>
    <w:rsid w:val="1BF27CCF"/>
    <w:rsid w:val="1BFA3269"/>
    <w:rsid w:val="1C0434B2"/>
    <w:rsid w:val="1C056ECA"/>
    <w:rsid w:val="1C0D1370"/>
    <w:rsid w:val="1C115B48"/>
    <w:rsid w:val="1C157D90"/>
    <w:rsid w:val="1C1F6CF4"/>
    <w:rsid w:val="1C216234"/>
    <w:rsid w:val="1C2202D2"/>
    <w:rsid w:val="1C2B7889"/>
    <w:rsid w:val="1C3B7046"/>
    <w:rsid w:val="1C3D13EB"/>
    <w:rsid w:val="1C4C143F"/>
    <w:rsid w:val="1C617A22"/>
    <w:rsid w:val="1C65129F"/>
    <w:rsid w:val="1C6E2DCC"/>
    <w:rsid w:val="1C6F7740"/>
    <w:rsid w:val="1C7437E0"/>
    <w:rsid w:val="1C766CF6"/>
    <w:rsid w:val="1C7D08AC"/>
    <w:rsid w:val="1C7F13F7"/>
    <w:rsid w:val="1C803DBA"/>
    <w:rsid w:val="1C843076"/>
    <w:rsid w:val="1C8B02A0"/>
    <w:rsid w:val="1C8F2CAC"/>
    <w:rsid w:val="1C945E62"/>
    <w:rsid w:val="1C95113D"/>
    <w:rsid w:val="1C9B54DF"/>
    <w:rsid w:val="1C9C26D1"/>
    <w:rsid w:val="1CA13612"/>
    <w:rsid w:val="1CAB6E93"/>
    <w:rsid w:val="1CB040E2"/>
    <w:rsid w:val="1CB75B94"/>
    <w:rsid w:val="1CB772D9"/>
    <w:rsid w:val="1CBB5035"/>
    <w:rsid w:val="1CBE5564"/>
    <w:rsid w:val="1CC0422B"/>
    <w:rsid w:val="1CCA246C"/>
    <w:rsid w:val="1CCC703D"/>
    <w:rsid w:val="1CD557F5"/>
    <w:rsid w:val="1CD63CAB"/>
    <w:rsid w:val="1CD840AA"/>
    <w:rsid w:val="1CE15736"/>
    <w:rsid w:val="1CE20E79"/>
    <w:rsid w:val="1CE66F8B"/>
    <w:rsid w:val="1CE767B2"/>
    <w:rsid w:val="1CF10230"/>
    <w:rsid w:val="1CF56413"/>
    <w:rsid w:val="1CF6540E"/>
    <w:rsid w:val="1CF76890"/>
    <w:rsid w:val="1CFA1714"/>
    <w:rsid w:val="1CFC7D16"/>
    <w:rsid w:val="1D011BBC"/>
    <w:rsid w:val="1D040938"/>
    <w:rsid w:val="1D065F12"/>
    <w:rsid w:val="1D0E580F"/>
    <w:rsid w:val="1D0F4A6C"/>
    <w:rsid w:val="1D1518E9"/>
    <w:rsid w:val="1D201BEC"/>
    <w:rsid w:val="1D2A5313"/>
    <w:rsid w:val="1D35351B"/>
    <w:rsid w:val="1D3A4CF8"/>
    <w:rsid w:val="1D405181"/>
    <w:rsid w:val="1D4314EA"/>
    <w:rsid w:val="1D4750E2"/>
    <w:rsid w:val="1D504FA4"/>
    <w:rsid w:val="1D51025D"/>
    <w:rsid w:val="1D5507B0"/>
    <w:rsid w:val="1D581ECA"/>
    <w:rsid w:val="1D5C1E36"/>
    <w:rsid w:val="1D5E0613"/>
    <w:rsid w:val="1D5F4368"/>
    <w:rsid w:val="1D62374A"/>
    <w:rsid w:val="1D625693"/>
    <w:rsid w:val="1D6D0123"/>
    <w:rsid w:val="1D7A6A0C"/>
    <w:rsid w:val="1D814AD5"/>
    <w:rsid w:val="1D8448B6"/>
    <w:rsid w:val="1D846372"/>
    <w:rsid w:val="1D8D4321"/>
    <w:rsid w:val="1D975171"/>
    <w:rsid w:val="1D9A6206"/>
    <w:rsid w:val="1D9D356A"/>
    <w:rsid w:val="1D9E440E"/>
    <w:rsid w:val="1DAC3AA0"/>
    <w:rsid w:val="1DB37CFA"/>
    <w:rsid w:val="1DBD5182"/>
    <w:rsid w:val="1DC231ED"/>
    <w:rsid w:val="1DC82412"/>
    <w:rsid w:val="1DD27F0D"/>
    <w:rsid w:val="1DD647BF"/>
    <w:rsid w:val="1DDE7065"/>
    <w:rsid w:val="1DE1781B"/>
    <w:rsid w:val="1DEA0685"/>
    <w:rsid w:val="1DEC327A"/>
    <w:rsid w:val="1DEF076F"/>
    <w:rsid w:val="1DF06E0F"/>
    <w:rsid w:val="1DF23D5A"/>
    <w:rsid w:val="1DF92447"/>
    <w:rsid w:val="1DFD7A83"/>
    <w:rsid w:val="1E0150DA"/>
    <w:rsid w:val="1E036FCE"/>
    <w:rsid w:val="1E0C2701"/>
    <w:rsid w:val="1E0E6AFA"/>
    <w:rsid w:val="1E0F7022"/>
    <w:rsid w:val="1E116D00"/>
    <w:rsid w:val="1E1C3098"/>
    <w:rsid w:val="1E1D398A"/>
    <w:rsid w:val="1E37321D"/>
    <w:rsid w:val="1E3A3838"/>
    <w:rsid w:val="1E3C4E3E"/>
    <w:rsid w:val="1E3D2069"/>
    <w:rsid w:val="1E4104FD"/>
    <w:rsid w:val="1E4163FC"/>
    <w:rsid w:val="1E4241EF"/>
    <w:rsid w:val="1E4419FE"/>
    <w:rsid w:val="1E4C7D38"/>
    <w:rsid w:val="1E4E1A57"/>
    <w:rsid w:val="1E4E34C7"/>
    <w:rsid w:val="1E4E4A3D"/>
    <w:rsid w:val="1E546BED"/>
    <w:rsid w:val="1E581686"/>
    <w:rsid w:val="1E5B4AA6"/>
    <w:rsid w:val="1E6352AF"/>
    <w:rsid w:val="1E6500BF"/>
    <w:rsid w:val="1E690A57"/>
    <w:rsid w:val="1E6E0489"/>
    <w:rsid w:val="1E6F7DA5"/>
    <w:rsid w:val="1E74426A"/>
    <w:rsid w:val="1E82066D"/>
    <w:rsid w:val="1E82375A"/>
    <w:rsid w:val="1E850848"/>
    <w:rsid w:val="1E943E4C"/>
    <w:rsid w:val="1E987366"/>
    <w:rsid w:val="1E9B337E"/>
    <w:rsid w:val="1EA71413"/>
    <w:rsid w:val="1EAE5478"/>
    <w:rsid w:val="1EB82435"/>
    <w:rsid w:val="1EBA2573"/>
    <w:rsid w:val="1EC25CD2"/>
    <w:rsid w:val="1ECA4FED"/>
    <w:rsid w:val="1ED36602"/>
    <w:rsid w:val="1ED3667D"/>
    <w:rsid w:val="1ED460BE"/>
    <w:rsid w:val="1ED75CF9"/>
    <w:rsid w:val="1ED918F0"/>
    <w:rsid w:val="1EDF6C2C"/>
    <w:rsid w:val="1EE06C8F"/>
    <w:rsid w:val="1EEB5D4D"/>
    <w:rsid w:val="1EED6ACA"/>
    <w:rsid w:val="1EED77D2"/>
    <w:rsid w:val="1EF24653"/>
    <w:rsid w:val="1EF24C05"/>
    <w:rsid w:val="1EF72465"/>
    <w:rsid w:val="1EF97345"/>
    <w:rsid w:val="1EFA6C70"/>
    <w:rsid w:val="1F0C0694"/>
    <w:rsid w:val="1F113D30"/>
    <w:rsid w:val="1F147ED5"/>
    <w:rsid w:val="1F1572FC"/>
    <w:rsid w:val="1F181798"/>
    <w:rsid w:val="1F1D0099"/>
    <w:rsid w:val="1F233E4E"/>
    <w:rsid w:val="1F247CB0"/>
    <w:rsid w:val="1F2A6433"/>
    <w:rsid w:val="1F3472CB"/>
    <w:rsid w:val="1F3537A6"/>
    <w:rsid w:val="1F3B0C11"/>
    <w:rsid w:val="1F3F7B73"/>
    <w:rsid w:val="1F44301F"/>
    <w:rsid w:val="1F467EB2"/>
    <w:rsid w:val="1F4B15BC"/>
    <w:rsid w:val="1F4E188E"/>
    <w:rsid w:val="1F506314"/>
    <w:rsid w:val="1F524158"/>
    <w:rsid w:val="1F5533D5"/>
    <w:rsid w:val="1F576995"/>
    <w:rsid w:val="1F5B0028"/>
    <w:rsid w:val="1F7944AD"/>
    <w:rsid w:val="1F805CDF"/>
    <w:rsid w:val="1F8A67EF"/>
    <w:rsid w:val="1F903753"/>
    <w:rsid w:val="1F925C1F"/>
    <w:rsid w:val="1F9610B3"/>
    <w:rsid w:val="1F9772EB"/>
    <w:rsid w:val="1F984562"/>
    <w:rsid w:val="1F9B1D74"/>
    <w:rsid w:val="1F9C068B"/>
    <w:rsid w:val="1FA318D5"/>
    <w:rsid w:val="1FA7646C"/>
    <w:rsid w:val="1FAD4807"/>
    <w:rsid w:val="1FAD7364"/>
    <w:rsid w:val="1FB13D6B"/>
    <w:rsid w:val="1FB4120E"/>
    <w:rsid w:val="1FB47A2F"/>
    <w:rsid w:val="1FB7103A"/>
    <w:rsid w:val="1FBA2CF7"/>
    <w:rsid w:val="1FC30739"/>
    <w:rsid w:val="1FE52321"/>
    <w:rsid w:val="1FE65F6B"/>
    <w:rsid w:val="1FE70D17"/>
    <w:rsid w:val="1FF5147F"/>
    <w:rsid w:val="20014E73"/>
    <w:rsid w:val="20036D5E"/>
    <w:rsid w:val="20076AE7"/>
    <w:rsid w:val="20090683"/>
    <w:rsid w:val="20197940"/>
    <w:rsid w:val="201F33DE"/>
    <w:rsid w:val="202C530B"/>
    <w:rsid w:val="2034544D"/>
    <w:rsid w:val="203C30C5"/>
    <w:rsid w:val="20410870"/>
    <w:rsid w:val="20481BD0"/>
    <w:rsid w:val="204B16C3"/>
    <w:rsid w:val="204F1CF3"/>
    <w:rsid w:val="2051690B"/>
    <w:rsid w:val="205A566F"/>
    <w:rsid w:val="205E791A"/>
    <w:rsid w:val="20677BEA"/>
    <w:rsid w:val="206C2809"/>
    <w:rsid w:val="206E7D70"/>
    <w:rsid w:val="206F43D6"/>
    <w:rsid w:val="207264F3"/>
    <w:rsid w:val="20782D16"/>
    <w:rsid w:val="20791826"/>
    <w:rsid w:val="207A76E6"/>
    <w:rsid w:val="207E424C"/>
    <w:rsid w:val="207F53D7"/>
    <w:rsid w:val="208828C6"/>
    <w:rsid w:val="20945EC6"/>
    <w:rsid w:val="20A929C8"/>
    <w:rsid w:val="20A941AB"/>
    <w:rsid w:val="20B36E9E"/>
    <w:rsid w:val="20B53B26"/>
    <w:rsid w:val="20B67DA5"/>
    <w:rsid w:val="20BC1CA8"/>
    <w:rsid w:val="20BC67D8"/>
    <w:rsid w:val="20C462AC"/>
    <w:rsid w:val="20C841BD"/>
    <w:rsid w:val="20CF0420"/>
    <w:rsid w:val="20D03CA3"/>
    <w:rsid w:val="20D2281D"/>
    <w:rsid w:val="20D95B86"/>
    <w:rsid w:val="20DD2BDD"/>
    <w:rsid w:val="20EB0D84"/>
    <w:rsid w:val="20ED6CE8"/>
    <w:rsid w:val="20F30FEF"/>
    <w:rsid w:val="20FE3FDE"/>
    <w:rsid w:val="21083C57"/>
    <w:rsid w:val="210D5065"/>
    <w:rsid w:val="21192317"/>
    <w:rsid w:val="211D1C6B"/>
    <w:rsid w:val="212338C0"/>
    <w:rsid w:val="212D740B"/>
    <w:rsid w:val="21321A13"/>
    <w:rsid w:val="21345016"/>
    <w:rsid w:val="21390795"/>
    <w:rsid w:val="2139196B"/>
    <w:rsid w:val="213C2203"/>
    <w:rsid w:val="214404C9"/>
    <w:rsid w:val="2147236C"/>
    <w:rsid w:val="21490C41"/>
    <w:rsid w:val="214E496B"/>
    <w:rsid w:val="214F2DF8"/>
    <w:rsid w:val="21526BCC"/>
    <w:rsid w:val="215C3726"/>
    <w:rsid w:val="215C78D1"/>
    <w:rsid w:val="215F57CF"/>
    <w:rsid w:val="216E7737"/>
    <w:rsid w:val="21787EF5"/>
    <w:rsid w:val="217A3AD7"/>
    <w:rsid w:val="217B669D"/>
    <w:rsid w:val="21813113"/>
    <w:rsid w:val="218615EC"/>
    <w:rsid w:val="21865B5C"/>
    <w:rsid w:val="21883C8D"/>
    <w:rsid w:val="218A1121"/>
    <w:rsid w:val="218C2F9C"/>
    <w:rsid w:val="219A43F9"/>
    <w:rsid w:val="219F5BB6"/>
    <w:rsid w:val="21A56AF5"/>
    <w:rsid w:val="21AB4C62"/>
    <w:rsid w:val="21B86CA6"/>
    <w:rsid w:val="21BC3182"/>
    <w:rsid w:val="21D475D0"/>
    <w:rsid w:val="21E13C58"/>
    <w:rsid w:val="21E5308A"/>
    <w:rsid w:val="21E761D0"/>
    <w:rsid w:val="21E831BF"/>
    <w:rsid w:val="220138FF"/>
    <w:rsid w:val="22020F9C"/>
    <w:rsid w:val="22033DA0"/>
    <w:rsid w:val="220646A2"/>
    <w:rsid w:val="220F5C44"/>
    <w:rsid w:val="22153CEF"/>
    <w:rsid w:val="22161381"/>
    <w:rsid w:val="22194FA9"/>
    <w:rsid w:val="222309FD"/>
    <w:rsid w:val="222B0537"/>
    <w:rsid w:val="222B7D75"/>
    <w:rsid w:val="222D4AF9"/>
    <w:rsid w:val="22311C10"/>
    <w:rsid w:val="224A108D"/>
    <w:rsid w:val="224A76E8"/>
    <w:rsid w:val="224B13A6"/>
    <w:rsid w:val="224C3665"/>
    <w:rsid w:val="224E2076"/>
    <w:rsid w:val="224E530E"/>
    <w:rsid w:val="22515CA7"/>
    <w:rsid w:val="22584698"/>
    <w:rsid w:val="225E18C8"/>
    <w:rsid w:val="226145C1"/>
    <w:rsid w:val="227118C4"/>
    <w:rsid w:val="22733ED9"/>
    <w:rsid w:val="227A2634"/>
    <w:rsid w:val="228D2F50"/>
    <w:rsid w:val="2294211F"/>
    <w:rsid w:val="229A7EDD"/>
    <w:rsid w:val="229C3196"/>
    <w:rsid w:val="22A0444E"/>
    <w:rsid w:val="22A0786A"/>
    <w:rsid w:val="22AA14D2"/>
    <w:rsid w:val="22AA3280"/>
    <w:rsid w:val="22AC10D3"/>
    <w:rsid w:val="22AE0860"/>
    <w:rsid w:val="22BB3AB7"/>
    <w:rsid w:val="22BC0F4A"/>
    <w:rsid w:val="22C06770"/>
    <w:rsid w:val="22C14C18"/>
    <w:rsid w:val="22C2601D"/>
    <w:rsid w:val="22C2698E"/>
    <w:rsid w:val="22C348E5"/>
    <w:rsid w:val="22C36AB9"/>
    <w:rsid w:val="22CD43A7"/>
    <w:rsid w:val="22CF2FA9"/>
    <w:rsid w:val="22D3285E"/>
    <w:rsid w:val="22D32D50"/>
    <w:rsid w:val="22D410CC"/>
    <w:rsid w:val="22D64930"/>
    <w:rsid w:val="22D8346C"/>
    <w:rsid w:val="22DD5F9E"/>
    <w:rsid w:val="22DE7242"/>
    <w:rsid w:val="22E267F9"/>
    <w:rsid w:val="22E448F2"/>
    <w:rsid w:val="22E95013"/>
    <w:rsid w:val="22EB7249"/>
    <w:rsid w:val="22EE7610"/>
    <w:rsid w:val="22F2788A"/>
    <w:rsid w:val="22F9367A"/>
    <w:rsid w:val="230670F5"/>
    <w:rsid w:val="230A382B"/>
    <w:rsid w:val="230D3B9D"/>
    <w:rsid w:val="23163498"/>
    <w:rsid w:val="23186AC7"/>
    <w:rsid w:val="231B7AAA"/>
    <w:rsid w:val="232240F6"/>
    <w:rsid w:val="23244DE0"/>
    <w:rsid w:val="2329689A"/>
    <w:rsid w:val="23390503"/>
    <w:rsid w:val="233A02DB"/>
    <w:rsid w:val="233B27C1"/>
    <w:rsid w:val="233C6462"/>
    <w:rsid w:val="234C3721"/>
    <w:rsid w:val="23505039"/>
    <w:rsid w:val="23553D42"/>
    <w:rsid w:val="235F5429"/>
    <w:rsid w:val="23632BB8"/>
    <w:rsid w:val="23640FB0"/>
    <w:rsid w:val="23642049"/>
    <w:rsid w:val="23645120"/>
    <w:rsid w:val="23646328"/>
    <w:rsid w:val="2368268D"/>
    <w:rsid w:val="2371139D"/>
    <w:rsid w:val="237863CA"/>
    <w:rsid w:val="23797F46"/>
    <w:rsid w:val="23836902"/>
    <w:rsid w:val="2384246D"/>
    <w:rsid w:val="238511C7"/>
    <w:rsid w:val="23872CE5"/>
    <w:rsid w:val="238C3EED"/>
    <w:rsid w:val="238E4FF9"/>
    <w:rsid w:val="23900E37"/>
    <w:rsid w:val="23932D62"/>
    <w:rsid w:val="23995E62"/>
    <w:rsid w:val="239E5DAB"/>
    <w:rsid w:val="23A04AAE"/>
    <w:rsid w:val="23A60EEE"/>
    <w:rsid w:val="23B4264F"/>
    <w:rsid w:val="23B52D71"/>
    <w:rsid w:val="23BF14A7"/>
    <w:rsid w:val="23C24044"/>
    <w:rsid w:val="23C34253"/>
    <w:rsid w:val="23CC59CA"/>
    <w:rsid w:val="23CD3C1F"/>
    <w:rsid w:val="23D06E28"/>
    <w:rsid w:val="23D108F4"/>
    <w:rsid w:val="23D2373C"/>
    <w:rsid w:val="23D30F57"/>
    <w:rsid w:val="23D427EC"/>
    <w:rsid w:val="23D52455"/>
    <w:rsid w:val="23E16B26"/>
    <w:rsid w:val="23E30FB9"/>
    <w:rsid w:val="23E51F5A"/>
    <w:rsid w:val="23E55BB7"/>
    <w:rsid w:val="23E86947"/>
    <w:rsid w:val="23E950E4"/>
    <w:rsid w:val="23EA427B"/>
    <w:rsid w:val="23EB0E0A"/>
    <w:rsid w:val="23F93412"/>
    <w:rsid w:val="23FB1233"/>
    <w:rsid w:val="24003E36"/>
    <w:rsid w:val="24025F67"/>
    <w:rsid w:val="24026973"/>
    <w:rsid w:val="240457BD"/>
    <w:rsid w:val="24082FFD"/>
    <w:rsid w:val="241729C7"/>
    <w:rsid w:val="24195B94"/>
    <w:rsid w:val="24222FAA"/>
    <w:rsid w:val="242C4A12"/>
    <w:rsid w:val="24360D1A"/>
    <w:rsid w:val="243E2796"/>
    <w:rsid w:val="243F33CD"/>
    <w:rsid w:val="243F38C6"/>
    <w:rsid w:val="24455E75"/>
    <w:rsid w:val="24473F3B"/>
    <w:rsid w:val="24540554"/>
    <w:rsid w:val="245A2573"/>
    <w:rsid w:val="245C6C30"/>
    <w:rsid w:val="24626C85"/>
    <w:rsid w:val="246365BB"/>
    <w:rsid w:val="24691C87"/>
    <w:rsid w:val="246B71DD"/>
    <w:rsid w:val="24767098"/>
    <w:rsid w:val="24804C37"/>
    <w:rsid w:val="248165DC"/>
    <w:rsid w:val="24965BCE"/>
    <w:rsid w:val="249D0F40"/>
    <w:rsid w:val="24AE0576"/>
    <w:rsid w:val="24B842AD"/>
    <w:rsid w:val="24BD6B45"/>
    <w:rsid w:val="24C138D7"/>
    <w:rsid w:val="24C61736"/>
    <w:rsid w:val="24C83F09"/>
    <w:rsid w:val="24CA5E5B"/>
    <w:rsid w:val="24CC50D0"/>
    <w:rsid w:val="24CD4D69"/>
    <w:rsid w:val="24DB4FFF"/>
    <w:rsid w:val="24DC011C"/>
    <w:rsid w:val="24E31CD2"/>
    <w:rsid w:val="24E4168F"/>
    <w:rsid w:val="24EB5AB1"/>
    <w:rsid w:val="24EE491C"/>
    <w:rsid w:val="24F67AB9"/>
    <w:rsid w:val="24F87B69"/>
    <w:rsid w:val="24FC4ED2"/>
    <w:rsid w:val="25023CB2"/>
    <w:rsid w:val="250A6D88"/>
    <w:rsid w:val="25196435"/>
    <w:rsid w:val="251A608E"/>
    <w:rsid w:val="251D24AE"/>
    <w:rsid w:val="252029B8"/>
    <w:rsid w:val="252129F0"/>
    <w:rsid w:val="25223DB4"/>
    <w:rsid w:val="2524462C"/>
    <w:rsid w:val="25244912"/>
    <w:rsid w:val="252657F0"/>
    <w:rsid w:val="252C75B8"/>
    <w:rsid w:val="253359F2"/>
    <w:rsid w:val="25384E31"/>
    <w:rsid w:val="253F67E1"/>
    <w:rsid w:val="25444D87"/>
    <w:rsid w:val="254B4B18"/>
    <w:rsid w:val="254C6617"/>
    <w:rsid w:val="254D0F29"/>
    <w:rsid w:val="25514417"/>
    <w:rsid w:val="25567657"/>
    <w:rsid w:val="255C5A16"/>
    <w:rsid w:val="25622A5F"/>
    <w:rsid w:val="256F255E"/>
    <w:rsid w:val="2572244F"/>
    <w:rsid w:val="257738AF"/>
    <w:rsid w:val="257F4A05"/>
    <w:rsid w:val="2582518F"/>
    <w:rsid w:val="258E1956"/>
    <w:rsid w:val="259D4D16"/>
    <w:rsid w:val="259E71CD"/>
    <w:rsid w:val="25A635D9"/>
    <w:rsid w:val="25A662D7"/>
    <w:rsid w:val="25A76723"/>
    <w:rsid w:val="25A86E75"/>
    <w:rsid w:val="25AA6EEF"/>
    <w:rsid w:val="25AE2938"/>
    <w:rsid w:val="25B31D75"/>
    <w:rsid w:val="25B62DE4"/>
    <w:rsid w:val="25BB0385"/>
    <w:rsid w:val="25BC1706"/>
    <w:rsid w:val="25BC2871"/>
    <w:rsid w:val="25C12E4C"/>
    <w:rsid w:val="25CA0921"/>
    <w:rsid w:val="25CB0C18"/>
    <w:rsid w:val="25D13AEB"/>
    <w:rsid w:val="25DC56BD"/>
    <w:rsid w:val="25E2769B"/>
    <w:rsid w:val="25E923FE"/>
    <w:rsid w:val="25EB34F5"/>
    <w:rsid w:val="25F50CB6"/>
    <w:rsid w:val="260333D3"/>
    <w:rsid w:val="260439C2"/>
    <w:rsid w:val="260A3096"/>
    <w:rsid w:val="26125F23"/>
    <w:rsid w:val="261D13BC"/>
    <w:rsid w:val="262B6CE7"/>
    <w:rsid w:val="262D3BE6"/>
    <w:rsid w:val="26355224"/>
    <w:rsid w:val="26455B3C"/>
    <w:rsid w:val="264768AB"/>
    <w:rsid w:val="26481395"/>
    <w:rsid w:val="26491D5B"/>
    <w:rsid w:val="264B5F11"/>
    <w:rsid w:val="265005E2"/>
    <w:rsid w:val="26564D95"/>
    <w:rsid w:val="26635755"/>
    <w:rsid w:val="26663282"/>
    <w:rsid w:val="266C407E"/>
    <w:rsid w:val="266D5DB7"/>
    <w:rsid w:val="266F1818"/>
    <w:rsid w:val="266F5EE4"/>
    <w:rsid w:val="26776AED"/>
    <w:rsid w:val="26784417"/>
    <w:rsid w:val="26831E62"/>
    <w:rsid w:val="26873A39"/>
    <w:rsid w:val="26886FB3"/>
    <w:rsid w:val="268C4B6E"/>
    <w:rsid w:val="268F769A"/>
    <w:rsid w:val="26907D50"/>
    <w:rsid w:val="26910AFF"/>
    <w:rsid w:val="26973B0C"/>
    <w:rsid w:val="26993D37"/>
    <w:rsid w:val="269C2A2E"/>
    <w:rsid w:val="269F0E4A"/>
    <w:rsid w:val="26A96406"/>
    <w:rsid w:val="26AE0482"/>
    <w:rsid w:val="26AE3074"/>
    <w:rsid w:val="26B038E9"/>
    <w:rsid w:val="26C61FE4"/>
    <w:rsid w:val="26CA7121"/>
    <w:rsid w:val="26D1483F"/>
    <w:rsid w:val="26D54139"/>
    <w:rsid w:val="26DE480D"/>
    <w:rsid w:val="26E42734"/>
    <w:rsid w:val="26E44D57"/>
    <w:rsid w:val="26E524AA"/>
    <w:rsid w:val="26EE1993"/>
    <w:rsid w:val="26EE3EA9"/>
    <w:rsid w:val="26F46566"/>
    <w:rsid w:val="26F60881"/>
    <w:rsid w:val="27020328"/>
    <w:rsid w:val="270D2469"/>
    <w:rsid w:val="270F5DA7"/>
    <w:rsid w:val="27147861"/>
    <w:rsid w:val="271640B1"/>
    <w:rsid w:val="271725DF"/>
    <w:rsid w:val="271B1B71"/>
    <w:rsid w:val="271B7370"/>
    <w:rsid w:val="271C25AF"/>
    <w:rsid w:val="271D191F"/>
    <w:rsid w:val="272021A0"/>
    <w:rsid w:val="272969A2"/>
    <w:rsid w:val="272B6C97"/>
    <w:rsid w:val="27316337"/>
    <w:rsid w:val="27356372"/>
    <w:rsid w:val="27427446"/>
    <w:rsid w:val="27494C9F"/>
    <w:rsid w:val="2756711B"/>
    <w:rsid w:val="27571033"/>
    <w:rsid w:val="275C3ED9"/>
    <w:rsid w:val="275D10E9"/>
    <w:rsid w:val="27602319"/>
    <w:rsid w:val="2761460B"/>
    <w:rsid w:val="27627383"/>
    <w:rsid w:val="2763419B"/>
    <w:rsid w:val="276655F9"/>
    <w:rsid w:val="2768166E"/>
    <w:rsid w:val="2774770C"/>
    <w:rsid w:val="277664C2"/>
    <w:rsid w:val="2779094F"/>
    <w:rsid w:val="277E6196"/>
    <w:rsid w:val="278F5561"/>
    <w:rsid w:val="27902370"/>
    <w:rsid w:val="279132F5"/>
    <w:rsid w:val="279273E5"/>
    <w:rsid w:val="279957D8"/>
    <w:rsid w:val="279A5F86"/>
    <w:rsid w:val="27A110F5"/>
    <w:rsid w:val="27A512B4"/>
    <w:rsid w:val="27A62126"/>
    <w:rsid w:val="27AC3F4C"/>
    <w:rsid w:val="27B11BCE"/>
    <w:rsid w:val="27B22C99"/>
    <w:rsid w:val="27B37CFF"/>
    <w:rsid w:val="27C83884"/>
    <w:rsid w:val="27C94444"/>
    <w:rsid w:val="27D05E8C"/>
    <w:rsid w:val="27D172E0"/>
    <w:rsid w:val="27D2662D"/>
    <w:rsid w:val="27D651C1"/>
    <w:rsid w:val="27D75754"/>
    <w:rsid w:val="27DD44BD"/>
    <w:rsid w:val="27DE44F3"/>
    <w:rsid w:val="27E00E49"/>
    <w:rsid w:val="27E025E3"/>
    <w:rsid w:val="27E1498D"/>
    <w:rsid w:val="27E31C81"/>
    <w:rsid w:val="27E47415"/>
    <w:rsid w:val="27E87EB2"/>
    <w:rsid w:val="27E92A9C"/>
    <w:rsid w:val="27EB5D89"/>
    <w:rsid w:val="27F75178"/>
    <w:rsid w:val="27F843F9"/>
    <w:rsid w:val="27FC037A"/>
    <w:rsid w:val="27FC77A0"/>
    <w:rsid w:val="280011EB"/>
    <w:rsid w:val="28014AA5"/>
    <w:rsid w:val="28077C52"/>
    <w:rsid w:val="2809201F"/>
    <w:rsid w:val="280A4A3E"/>
    <w:rsid w:val="280A77E0"/>
    <w:rsid w:val="28165B2E"/>
    <w:rsid w:val="281E15DD"/>
    <w:rsid w:val="28273885"/>
    <w:rsid w:val="283170A2"/>
    <w:rsid w:val="2832361F"/>
    <w:rsid w:val="283D65AE"/>
    <w:rsid w:val="2847022F"/>
    <w:rsid w:val="284C53A3"/>
    <w:rsid w:val="28537D18"/>
    <w:rsid w:val="285904B0"/>
    <w:rsid w:val="28633F56"/>
    <w:rsid w:val="286C5825"/>
    <w:rsid w:val="286D626D"/>
    <w:rsid w:val="28800D94"/>
    <w:rsid w:val="2884790D"/>
    <w:rsid w:val="288904C9"/>
    <w:rsid w:val="28974527"/>
    <w:rsid w:val="289B7222"/>
    <w:rsid w:val="289C5E95"/>
    <w:rsid w:val="28A048D2"/>
    <w:rsid w:val="28A33108"/>
    <w:rsid w:val="28A42A77"/>
    <w:rsid w:val="28A51801"/>
    <w:rsid w:val="28AA34FB"/>
    <w:rsid w:val="28B9156D"/>
    <w:rsid w:val="28BA5168"/>
    <w:rsid w:val="28BB4BB3"/>
    <w:rsid w:val="28C6693F"/>
    <w:rsid w:val="28C72AD9"/>
    <w:rsid w:val="28C85178"/>
    <w:rsid w:val="28DC6197"/>
    <w:rsid w:val="28DD165D"/>
    <w:rsid w:val="28E22AAD"/>
    <w:rsid w:val="28F20CD2"/>
    <w:rsid w:val="28F32944"/>
    <w:rsid w:val="28FD64D7"/>
    <w:rsid w:val="290556B4"/>
    <w:rsid w:val="290D35E1"/>
    <w:rsid w:val="29121205"/>
    <w:rsid w:val="29153DEE"/>
    <w:rsid w:val="29241233"/>
    <w:rsid w:val="29263F95"/>
    <w:rsid w:val="29284336"/>
    <w:rsid w:val="292909F1"/>
    <w:rsid w:val="293107D2"/>
    <w:rsid w:val="29325800"/>
    <w:rsid w:val="29423EF2"/>
    <w:rsid w:val="29464ACE"/>
    <w:rsid w:val="2952510D"/>
    <w:rsid w:val="29587DFA"/>
    <w:rsid w:val="29592BB1"/>
    <w:rsid w:val="295E36CF"/>
    <w:rsid w:val="296177A4"/>
    <w:rsid w:val="2965703F"/>
    <w:rsid w:val="296A3063"/>
    <w:rsid w:val="296E3DDF"/>
    <w:rsid w:val="29703302"/>
    <w:rsid w:val="297154B3"/>
    <w:rsid w:val="29776E8A"/>
    <w:rsid w:val="297A2D83"/>
    <w:rsid w:val="297A56A8"/>
    <w:rsid w:val="2984482A"/>
    <w:rsid w:val="29876C1F"/>
    <w:rsid w:val="298C5D80"/>
    <w:rsid w:val="2990451B"/>
    <w:rsid w:val="29967F1A"/>
    <w:rsid w:val="299C04E7"/>
    <w:rsid w:val="29A205DE"/>
    <w:rsid w:val="29A66AB0"/>
    <w:rsid w:val="29AA5B4C"/>
    <w:rsid w:val="29AE6870"/>
    <w:rsid w:val="29B26810"/>
    <w:rsid w:val="29B37B51"/>
    <w:rsid w:val="29BA5809"/>
    <w:rsid w:val="29C12E6F"/>
    <w:rsid w:val="29C64E2E"/>
    <w:rsid w:val="29C90BD1"/>
    <w:rsid w:val="29CF12AF"/>
    <w:rsid w:val="29D1351A"/>
    <w:rsid w:val="29D22306"/>
    <w:rsid w:val="29D23DD9"/>
    <w:rsid w:val="29D73B83"/>
    <w:rsid w:val="29DA6B40"/>
    <w:rsid w:val="29EA7835"/>
    <w:rsid w:val="29EE6E5C"/>
    <w:rsid w:val="29F642BA"/>
    <w:rsid w:val="29F925DD"/>
    <w:rsid w:val="29F950BF"/>
    <w:rsid w:val="29FF14D2"/>
    <w:rsid w:val="29FF2DE0"/>
    <w:rsid w:val="2A025CA4"/>
    <w:rsid w:val="2A0B6CFA"/>
    <w:rsid w:val="2A120A71"/>
    <w:rsid w:val="2A131E21"/>
    <w:rsid w:val="2A17684F"/>
    <w:rsid w:val="2A18312B"/>
    <w:rsid w:val="2A192D9F"/>
    <w:rsid w:val="2A1A0CA3"/>
    <w:rsid w:val="2A1E360D"/>
    <w:rsid w:val="2A1F7557"/>
    <w:rsid w:val="2A272C3F"/>
    <w:rsid w:val="2A3215FA"/>
    <w:rsid w:val="2A334378"/>
    <w:rsid w:val="2A3B6ADF"/>
    <w:rsid w:val="2A3D1040"/>
    <w:rsid w:val="2A3D200C"/>
    <w:rsid w:val="2A407BE7"/>
    <w:rsid w:val="2A462E4E"/>
    <w:rsid w:val="2A4717DC"/>
    <w:rsid w:val="2A497822"/>
    <w:rsid w:val="2A4C3A0E"/>
    <w:rsid w:val="2A5022C3"/>
    <w:rsid w:val="2A5B1EFD"/>
    <w:rsid w:val="2A6A463C"/>
    <w:rsid w:val="2A6B4CF3"/>
    <w:rsid w:val="2A7409D2"/>
    <w:rsid w:val="2A742098"/>
    <w:rsid w:val="2A7871D1"/>
    <w:rsid w:val="2A7F4D44"/>
    <w:rsid w:val="2A7F65E1"/>
    <w:rsid w:val="2A803020"/>
    <w:rsid w:val="2A83282A"/>
    <w:rsid w:val="2A877CB2"/>
    <w:rsid w:val="2A8A6BFC"/>
    <w:rsid w:val="2A8B5A9C"/>
    <w:rsid w:val="2A8B7A34"/>
    <w:rsid w:val="2A8D544D"/>
    <w:rsid w:val="2A94182E"/>
    <w:rsid w:val="2A967FBC"/>
    <w:rsid w:val="2A996835"/>
    <w:rsid w:val="2A9C0585"/>
    <w:rsid w:val="2A9C66BF"/>
    <w:rsid w:val="2A9C76F4"/>
    <w:rsid w:val="2AA5589B"/>
    <w:rsid w:val="2AC22ABA"/>
    <w:rsid w:val="2AD20567"/>
    <w:rsid w:val="2AD40439"/>
    <w:rsid w:val="2AD405B4"/>
    <w:rsid w:val="2AD636E3"/>
    <w:rsid w:val="2ADE501D"/>
    <w:rsid w:val="2AE046A9"/>
    <w:rsid w:val="2AE444F8"/>
    <w:rsid w:val="2AE5634E"/>
    <w:rsid w:val="2AE7647F"/>
    <w:rsid w:val="2AEE3472"/>
    <w:rsid w:val="2AF03F94"/>
    <w:rsid w:val="2AF07D24"/>
    <w:rsid w:val="2AF1578A"/>
    <w:rsid w:val="2AF21C68"/>
    <w:rsid w:val="2AF54800"/>
    <w:rsid w:val="2AF86B63"/>
    <w:rsid w:val="2AFB1ECF"/>
    <w:rsid w:val="2AFD643F"/>
    <w:rsid w:val="2B124AAA"/>
    <w:rsid w:val="2B1D4FB5"/>
    <w:rsid w:val="2B217AF7"/>
    <w:rsid w:val="2B237F61"/>
    <w:rsid w:val="2B256729"/>
    <w:rsid w:val="2B2754A9"/>
    <w:rsid w:val="2B286699"/>
    <w:rsid w:val="2B2C7381"/>
    <w:rsid w:val="2B356B66"/>
    <w:rsid w:val="2B4749DA"/>
    <w:rsid w:val="2B485E04"/>
    <w:rsid w:val="2B4A732D"/>
    <w:rsid w:val="2B503D9E"/>
    <w:rsid w:val="2B5C4B3E"/>
    <w:rsid w:val="2B604AAA"/>
    <w:rsid w:val="2B614186"/>
    <w:rsid w:val="2B6233E8"/>
    <w:rsid w:val="2B7645A4"/>
    <w:rsid w:val="2B78024E"/>
    <w:rsid w:val="2B7E52A9"/>
    <w:rsid w:val="2B80401C"/>
    <w:rsid w:val="2B823A00"/>
    <w:rsid w:val="2B9569B0"/>
    <w:rsid w:val="2B9A6EC6"/>
    <w:rsid w:val="2B9C6A40"/>
    <w:rsid w:val="2B9D0D74"/>
    <w:rsid w:val="2BA2070E"/>
    <w:rsid w:val="2BA2368E"/>
    <w:rsid w:val="2BAA5FAA"/>
    <w:rsid w:val="2BB448F8"/>
    <w:rsid w:val="2BB86AF1"/>
    <w:rsid w:val="2BBD1B76"/>
    <w:rsid w:val="2BBF5FEE"/>
    <w:rsid w:val="2BC0427F"/>
    <w:rsid w:val="2BC04DB7"/>
    <w:rsid w:val="2BC25ADE"/>
    <w:rsid w:val="2BC341BF"/>
    <w:rsid w:val="2BC94187"/>
    <w:rsid w:val="2BCA4992"/>
    <w:rsid w:val="2BCD636C"/>
    <w:rsid w:val="2BD01B21"/>
    <w:rsid w:val="2BD25B6E"/>
    <w:rsid w:val="2BD75EEC"/>
    <w:rsid w:val="2BDA1365"/>
    <w:rsid w:val="2BDC196B"/>
    <w:rsid w:val="2BE262CA"/>
    <w:rsid w:val="2BE934F0"/>
    <w:rsid w:val="2BE95597"/>
    <w:rsid w:val="2BED3EE9"/>
    <w:rsid w:val="2BF30F2A"/>
    <w:rsid w:val="2BF54D61"/>
    <w:rsid w:val="2BF93690"/>
    <w:rsid w:val="2BFB7E49"/>
    <w:rsid w:val="2C011E18"/>
    <w:rsid w:val="2C030F60"/>
    <w:rsid w:val="2C082A04"/>
    <w:rsid w:val="2C091017"/>
    <w:rsid w:val="2C0B3D13"/>
    <w:rsid w:val="2C1048F5"/>
    <w:rsid w:val="2C1051E7"/>
    <w:rsid w:val="2C162F47"/>
    <w:rsid w:val="2C175D19"/>
    <w:rsid w:val="2C1A1476"/>
    <w:rsid w:val="2C1B2283"/>
    <w:rsid w:val="2C1E7C3A"/>
    <w:rsid w:val="2C24291A"/>
    <w:rsid w:val="2C3144A1"/>
    <w:rsid w:val="2C332FF0"/>
    <w:rsid w:val="2C336E27"/>
    <w:rsid w:val="2C3C1309"/>
    <w:rsid w:val="2C42026C"/>
    <w:rsid w:val="2C432030"/>
    <w:rsid w:val="2C455A54"/>
    <w:rsid w:val="2C464EB8"/>
    <w:rsid w:val="2C49519C"/>
    <w:rsid w:val="2C5A286A"/>
    <w:rsid w:val="2C5B065F"/>
    <w:rsid w:val="2C5C6C9B"/>
    <w:rsid w:val="2C633786"/>
    <w:rsid w:val="2C654010"/>
    <w:rsid w:val="2C691C5B"/>
    <w:rsid w:val="2C6E3EE3"/>
    <w:rsid w:val="2C723060"/>
    <w:rsid w:val="2C740550"/>
    <w:rsid w:val="2C743F88"/>
    <w:rsid w:val="2C7953B4"/>
    <w:rsid w:val="2C8433C2"/>
    <w:rsid w:val="2C8525C3"/>
    <w:rsid w:val="2C8B7151"/>
    <w:rsid w:val="2C8F5AC1"/>
    <w:rsid w:val="2C95574B"/>
    <w:rsid w:val="2C970CA7"/>
    <w:rsid w:val="2CA27F24"/>
    <w:rsid w:val="2CA6175D"/>
    <w:rsid w:val="2CA707FF"/>
    <w:rsid w:val="2CAD2974"/>
    <w:rsid w:val="2CB15D8C"/>
    <w:rsid w:val="2CB53288"/>
    <w:rsid w:val="2CB66439"/>
    <w:rsid w:val="2CB75F83"/>
    <w:rsid w:val="2CBD1D93"/>
    <w:rsid w:val="2CC04B44"/>
    <w:rsid w:val="2CCC3A8A"/>
    <w:rsid w:val="2CD25FF6"/>
    <w:rsid w:val="2CD6501A"/>
    <w:rsid w:val="2CE8284E"/>
    <w:rsid w:val="2CEA2372"/>
    <w:rsid w:val="2CEB4EE3"/>
    <w:rsid w:val="2CF532B3"/>
    <w:rsid w:val="2CF85B39"/>
    <w:rsid w:val="2CFD4814"/>
    <w:rsid w:val="2D026465"/>
    <w:rsid w:val="2D1234FB"/>
    <w:rsid w:val="2D184CBE"/>
    <w:rsid w:val="2D225E32"/>
    <w:rsid w:val="2D2816D8"/>
    <w:rsid w:val="2D2A5CD1"/>
    <w:rsid w:val="2D3100D4"/>
    <w:rsid w:val="2D3270DB"/>
    <w:rsid w:val="2D40787B"/>
    <w:rsid w:val="2D4221E4"/>
    <w:rsid w:val="2D4459A4"/>
    <w:rsid w:val="2D5E35E4"/>
    <w:rsid w:val="2D656C20"/>
    <w:rsid w:val="2D6575EC"/>
    <w:rsid w:val="2D683517"/>
    <w:rsid w:val="2D6B5FF8"/>
    <w:rsid w:val="2D7153BC"/>
    <w:rsid w:val="2D7C6E5F"/>
    <w:rsid w:val="2D7F3CDC"/>
    <w:rsid w:val="2D967E39"/>
    <w:rsid w:val="2DA21723"/>
    <w:rsid w:val="2DA21756"/>
    <w:rsid w:val="2DAA3BFC"/>
    <w:rsid w:val="2DAA6907"/>
    <w:rsid w:val="2DB23579"/>
    <w:rsid w:val="2DB43204"/>
    <w:rsid w:val="2DB63D6A"/>
    <w:rsid w:val="2DC256E1"/>
    <w:rsid w:val="2DC95FAF"/>
    <w:rsid w:val="2DCC49F2"/>
    <w:rsid w:val="2DD33A33"/>
    <w:rsid w:val="2DD5339A"/>
    <w:rsid w:val="2DD862A4"/>
    <w:rsid w:val="2DD970F1"/>
    <w:rsid w:val="2DDA66B7"/>
    <w:rsid w:val="2DDC3D01"/>
    <w:rsid w:val="2DE079CF"/>
    <w:rsid w:val="2DE2461C"/>
    <w:rsid w:val="2DE2701D"/>
    <w:rsid w:val="2DE34026"/>
    <w:rsid w:val="2DEB1013"/>
    <w:rsid w:val="2DEB69F1"/>
    <w:rsid w:val="2DED7DFA"/>
    <w:rsid w:val="2DEF598B"/>
    <w:rsid w:val="2DEF7B6A"/>
    <w:rsid w:val="2DF939FD"/>
    <w:rsid w:val="2E010F22"/>
    <w:rsid w:val="2E011198"/>
    <w:rsid w:val="2E014A7A"/>
    <w:rsid w:val="2E0507F6"/>
    <w:rsid w:val="2E0A760D"/>
    <w:rsid w:val="2E0D76F4"/>
    <w:rsid w:val="2E2B2143"/>
    <w:rsid w:val="2E343585"/>
    <w:rsid w:val="2E374561"/>
    <w:rsid w:val="2E423326"/>
    <w:rsid w:val="2E430E39"/>
    <w:rsid w:val="2E432091"/>
    <w:rsid w:val="2E4421D0"/>
    <w:rsid w:val="2E48750F"/>
    <w:rsid w:val="2E4B5A0E"/>
    <w:rsid w:val="2E4C7796"/>
    <w:rsid w:val="2E4E2BC8"/>
    <w:rsid w:val="2E534CCE"/>
    <w:rsid w:val="2E5C008E"/>
    <w:rsid w:val="2E5D389C"/>
    <w:rsid w:val="2E5E5D0F"/>
    <w:rsid w:val="2E7110F5"/>
    <w:rsid w:val="2E7F46DA"/>
    <w:rsid w:val="2E80440C"/>
    <w:rsid w:val="2E813902"/>
    <w:rsid w:val="2E861E29"/>
    <w:rsid w:val="2E872E3D"/>
    <w:rsid w:val="2E8D5B52"/>
    <w:rsid w:val="2E8E101B"/>
    <w:rsid w:val="2E8F38D6"/>
    <w:rsid w:val="2E91428C"/>
    <w:rsid w:val="2E9345AB"/>
    <w:rsid w:val="2E94418E"/>
    <w:rsid w:val="2E9921C7"/>
    <w:rsid w:val="2E996742"/>
    <w:rsid w:val="2E9B4131"/>
    <w:rsid w:val="2EA11458"/>
    <w:rsid w:val="2EA40F80"/>
    <w:rsid w:val="2EA64823"/>
    <w:rsid w:val="2EAE1185"/>
    <w:rsid w:val="2EB406CC"/>
    <w:rsid w:val="2EB51BB6"/>
    <w:rsid w:val="2EB64C6D"/>
    <w:rsid w:val="2EB96BBF"/>
    <w:rsid w:val="2EBA1D50"/>
    <w:rsid w:val="2EBA285C"/>
    <w:rsid w:val="2EBE233C"/>
    <w:rsid w:val="2EC50D4B"/>
    <w:rsid w:val="2ECE479A"/>
    <w:rsid w:val="2EDA3E8E"/>
    <w:rsid w:val="2EDA55A5"/>
    <w:rsid w:val="2EE40763"/>
    <w:rsid w:val="2EE40C4C"/>
    <w:rsid w:val="2EF131ED"/>
    <w:rsid w:val="2EF56EE3"/>
    <w:rsid w:val="2EFA4801"/>
    <w:rsid w:val="2F01313C"/>
    <w:rsid w:val="2F03725B"/>
    <w:rsid w:val="2F042284"/>
    <w:rsid w:val="2F066438"/>
    <w:rsid w:val="2F103761"/>
    <w:rsid w:val="2F251F8C"/>
    <w:rsid w:val="2F2D5882"/>
    <w:rsid w:val="2F320664"/>
    <w:rsid w:val="2F344610"/>
    <w:rsid w:val="2F3762E5"/>
    <w:rsid w:val="2F395B2B"/>
    <w:rsid w:val="2F3A3BDD"/>
    <w:rsid w:val="2F3D3B9C"/>
    <w:rsid w:val="2F405C8F"/>
    <w:rsid w:val="2F436A5F"/>
    <w:rsid w:val="2F4525F6"/>
    <w:rsid w:val="2F4851E4"/>
    <w:rsid w:val="2F48727C"/>
    <w:rsid w:val="2F5051AF"/>
    <w:rsid w:val="2F5644FF"/>
    <w:rsid w:val="2F566BAD"/>
    <w:rsid w:val="2F6628DC"/>
    <w:rsid w:val="2F8373AF"/>
    <w:rsid w:val="2F8B3A9B"/>
    <w:rsid w:val="2F924CF6"/>
    <w:rsid w:val="2F9C312F"/>
    <w:rsid w:val="2F9C6B51"/>
    <w:rsid w:val="2FA14E9F"/>
    <w:rsid w:val="2FA855E5"/>
    <w:rsid w:val="2FBC06DB"/>
    <w:rsid w:val="2FC34275"/>
    <w:rsid w:val="2FD77FC4"/>
    <w:rsid w:val="2FDB3AD2"/>
    <w:rsid w:val="2FDC2BFB"/>
    <w:rsid w:val="2FDD3AA9"/>
    <w:rsid w:val="2FDE3265"/>
    <w:rsid w:val="2FF93D83"/>
    <w:rsid w:val="2FFA2F0A"/>
    <w:rsid w:val="300A1645"/>
    <w:rsid w:val="30150AB8"/>
    <w:rsid w:val="3018672B"/>
    <w:rsid w:val="301D1CA0"/>
    <w:rsid w:val="302C3041"/>
    <w:rsid w:val="30344AD4"/>
    <w:rsid w:val="30360848"/>
    <w:rsid w:val="3038167C"/>
    <w:rsid w:val="303C2806"/>
    <w:rsid w:val="303F40A8"/>
    <w:rsid w:val="30402A75"/>
    <w:rsid w:val="30434F34"/>
    <w:rsid w:val="3045414B"/>
    <w:rsid w:val="30467B28"/>
    <w:rsid w:val="30474CD4"/>
    <w:rsid w:val="30481219"/>
    <w:rsid w:val="30517430"/>
    <w:rsid w:val="30593A52"/>
    <w:rsid w:val="305940FD"/>
    <w:rsid w:val="305C3CC8"/>
    <w:rsid w:val="305C5377"/>
    <w:rsid w:val="305F4F6B"/>
    <w:rsid w:val="30674D4B"/>
    <w:rsid w:val="306A0504"/>
    <w:rsid w:val="306B7AE0"/>
    <w:rsid w:val="306E1D90"/>
    <w:rsid w:val="306E7FE2"/>
    <w:rsid w:val="3071032F"/>
    <w:rsid w:val="30711C90"/>
    <w:rsid w:val="307556CD"/>
    <w:rsid w:val="307A24E3"/>
    <w:rsid w:val="307B5C11"/>
    <w:rsid w:val="307D0622"/>
    <w:rsid w:val="30884C0A"/>
    <w:rsid w:val="30957205"/>
    <w:rsid w:val="30972B8C"/>
    <w:rsid w:val="30981DAD"/>
    <w:rsid w:val="309C445C"/>
    <w:rsid w:val="30B70B26"/>
    <w:rsid w:val="30B73737"/>
    <w:rsid w:val="30BD2FFD"/>
    <w:rsid w:val="30C06457"/>
    <w:rsid w:val="30C97165"/>
    <w:rsid w:val="30CB2D3F"/>
    <w:rsid w:val="30E51454"/>
    <w:rsid w:val="30E608E3"/>
    <w:rsid w:val="30E65DCB"/>
    <w:rsid w:val="30F77FF5"/>
    <w:rsid w:val="30FE3126"/>
    <w:rsid w:val="3101110A"/>
    <w:rsid w:val="310149B3"/>
    <w:rsid w:val="31081F14"/>
    <w:rsid w:val="3110617B"/>
    <w:rsid w:val="311606E0"/>
    <w:rsid w:val="3116221C"/>
    <w:rsid w:val="312A0FB5"/>
    <w:rsid w:val="31435E7E"/>
    <w:rsid w:val="31454093"/>
    <w:rsid w:val="314F3F2F"/>
    <w:rsid w:val="314F69EA"/>
    <w:rsid w:val="31516EE6"/>
    <w:rsid w:val="31540BBC"/>
    <w:rsid w:val="315E1885"/>
    <w:rsid w:val="315E509F"/>
    <w:rsid w:val="31600CAE"/>
    <w:rsid w:val="31667418"/>
    <w:rsid w:val="316767CD"/>
    <w:rsid w:val="316F553D"/>
    <w:rsid w:val="317A5A4E"/>
    <w:rsid w:val="317C6EC4"/>
    <w:rsid w:val="317E0F6C"/>
    <w:rsid w:val="318329F8"/>
    <w:rsid w:val="318C0616"/>
    <w:rsid w:val="319606F5"/>
    <w:rsid w:val="319768AA"/>
    <w:rsid w:val="319C5DFB"/>
    <w:rsid w:val="319D7433"/>
    <w:rsid w:val="31A81FEB"/>
    <w:rsid w:val="31AA1973"/>
    <w:rsid w:val="31AC549E"/>
    <w:rsid w:val="31B457D3"/>
    <w:rsid w:val="31B804D9"/>
    <w:rsid w:val="31C21AF3"/>
    <w:rsid w:val="31C40A54"/>
    <w:rsid w:val="31CA592E"/>
    <w:rsid w:val="31D2079F"/>
    <w:rsid w:val="31E22F4B"/>
    <w:rsid w:val="31E51A73"/>
    <w:rsid w:val="31E6099A"/>
    <w:rsid w:val="31E85B72"/>
    <w:rsid w:val="31E92DD9"/>
    <w:rsid w:val="31EC0661"/>
    <w:rsid w:val="31F336DB"/>
    <w:rsid w:val="31F434B3"/>
    <w:rsid w:val="31FA3E15"/>
    <w:rsid w:val="320A693D"/>
    <w:rsid w:val="320C697E"/>
    <w:rsid w:val="320D7E0E"/>
    <w:rsid w:val="320F5741"/>
    <w:rsid w:val="3213790C"/>
    <w:rsid w:val="3216435E"/>
    <w:rsid w:val="32172B02"/>
    <w:rsid w:val="32261397"/>
    <w:rsid w:val="322D5174"/>
    <w:rsid w:val="32323931"/>
    <w:rsid w:val="32356386"/>
    <w:rsid w:val="32356C79"/>
    <w:rsid w:val="323C4918"/>
    <w:rsid w:val="323D419D"/>
    <w:rsid w:val="32447493"/>
    <w:rsid w:val="32531849"/>
    <w:rsid w:val="325D7BEC"/>
    <w:rsid w:val="325E4D95"/>
    <w:rsid w:val="32671C48"/>
    <w:rsid w:val="326A20D3"/>
    <w:rsid w:val="32701994"/>
    <w:rsid w:val="327819EC"/>
    <w:rsid w:val="32781D39"/>
    <w:rsid w:val="327A531D"/>
    <w:rsid w:val="32806122"/>
    <w:rsid w:val="328A2468"/>
    <w:rsid w:val="328B290A"/>
    <w:rsid w:val="32901F1E"/>
    <w:rsid w:val="32A13F64"/>
    <w:rsid w:val="32A53C88"/>
    <w:rsid w:val="32A74F77"/>
    <w:rsid w:val="32A75EAC"/>
    <w:rsid w:val="32AF7663"/>
    <w:rsid w:val="32B0079C"/>
    <w:rsid w:val="32B80FE0"/>
    <w:rsid w:val="32BC6F66"/>
    <w:rsid w:val="32C616AF"/>
    <w:rsid w:val="32C7758B"/>
    <w:rsid w:val="32CC4B97"/>
    <w:rsid w:val="32CD20E1"/>
    <w:rsid w:val="32D13EA7"/>
    <w:rsid w:val="32D45C74"/>
    <w:rsid w:val="32DC6C3D"/>
    <w:rsid w:val="32EF4CA4"/>
    <w:rsid w:val="3300448E"/>
    <w:rsid w:val="33012173"/>
    <w:rsid w:val="33074C5B"/>
    <w:rsid w:val="330D27C3"/>
    <w:rsid w:val="33121D46"/>
    <w:rsid w:val="33170AD4"/>
    <w:rsid w:val="331C7249"/>
    <w:rsid w:val="331E6519"/>
    <w:rsid w:val="331F1BF8"/>
    <w:rsid w:val="332124BF"/>
    <w:rsid w:val="332762C3"/>
    <w:rsid w:val="332826CA"/>
    <w:rsid w:val="332A16B7"/>
    <w:rsid w:val="333472C1"/>
    <w:rsid w:val="334B0167"/>
    <w:rsid w:val="334E278D"/>
    <w:rsid w:val="33501410"/>
    <w:rsid w:val="33501C21"/>
    <w:rsid w:val="33613960"/>
    <w:rsid w:val="33703E0D"/>
    <w:rsid w:val="337656C6"/>
    <w:rsid w:val="33780EA1"/>
    <w:rsid w:val="338874CA"/>
    <w:rsid w:val="33890C8F"/>
    <w:rsid w:val="338D4C23"/>
    <w:rsid w:val="339047DC"/>
    <w:rsid w:val="339174E4"/>
    <w:rsid w:val="33922BA4"/>
    <w:rsid w:val="3395257E"/>
    <w:rsid w:val="33962013"/>
    <w:rsid w:val="33977CCF"/>
    <w:rsid w:val="339877B9"/>
    <w:rsid w:val="339C1778"/>
    <w:rsid w:val="339D721B"/>
    <w:rsid w:val="33AD497E"/>
    <w:rsid w:val="33BB3369"/>
    <w:rsid w:val="33BD487F"/>
    <w:rsid w:val="33BE22DC"/>
    <w:rsid w:val="33BE5883"/>
    <w:rsid w:val="33C1244A"/>
    <w:rsid w:val="33C231E8"/>
    <w:rsid w:val="33D564A5"/>
    <w:rsid w:val="33DD46B9"/>
    <w:rsid w:val="33DF67D8"/>
    <w:rsid w:val="33E67E90"/>
    <w:rsid w:val="33E81ADB"/>
    <w:rsid w:val="33EC331A"/>
    <w:rsid w:val="33EC6FB6"/>
    <w:rsid w:val="33F9172C"/>
    <w:rsid w:val="33FB2A3B"/>
    <w:rsid w:val="33FB5FA1"/>
    <w:rsid w:val="33FE5780"/>
    <w:rsid w:val="340A74A4"/>
    <w:rsid w:val="340D6A5E"/>
    <w:rsid w:val="341964B7"/>
    <w:rsid w:val="341E1D1F"/>
    <w:rsid w:val="34256DEF"/>
    <w:rsid w:val="3426046B"/>
    <w:rsid w:val="342750E8"/>
    <w:rsid w:val="342B004A"/>
    <w:rsid w:val="34347437"/>
    <w:rsid w:val="343A2C67"/>
    <w:rsid w:val="34523DF1"/>
    <w:rsid w:val="345901E2"/>
    <w:rsid w:val="345B0C87"/>
    <w:rsid w:val="345B612A"/>
    <w:rsid w:val="345E3783"/>
    <w:rsid w:val="34610E0E"/>
    <w:rsid w:val="3464004E"/>
    <w:rsid w:val="34676195"/>
    <w:rsid w:val="346911EC"/>
    <w:rsid w:val="347673CF"/>
    <w:rsid w:val="34776B38"/>
    <w:rsid w:val="347D0F19"/>
    <w:rsid w:val="347D5574"/>
    <w:rsid w:val="34897199"/>
    <w:rsid w:val="348A53AC"/>
    <w:rsid w:val="348A615B"/>
    <w:rsid w:val="348C1CDC"/>
    <w:rsid w:val="348D5440"/>
    <w:rsid w:val="34931DC5"/>
    <w:rsid w:val="34960CBE"/>
    <w:rsid w:val="34994DEC"/>
    <w:rsid w:val="34996154"/>
    <w:rsid w:val="349A69EF"/>
    <w:rsid w:val="34A25662"/>
    <w:rsid w:val="34AA4679"/>
    <w:rsid w:val="34AE1165"/>
    <w:rsid w:val="34C3798A"/>
    <w:rsid w:val="34C41DDC"/>
    <w:rsid w:val="34C52EA2"/>
    <w:rsid w:val="34C60D9C"/>
    <w:rsid w:val="34D45288"/>
    <w:rsid w:val="34DB32BB"/>
    <w:rsid w:val="34DF2C7D"/>
    <w:rsid w:val="34E535CF"/>
    <w:rsid w:val="34F35D01"/>
    <w:rsid w:val="34FB5BBD"/>
    <w:rsid w:val="35002A15"/>
    <w:rsid w:val="35102070"/>
    <w:rsid w:val="351137B9"/>
    <w:rsid w:val="35124A0D"/>
    <w:rsid w:val="351B2D65"/>
    <w:rsid w:val="351B43C7"/>
    <w:rsid w:val="35226590"/>
    <w:rsid w:val="35393530"/>
    <w:rsid w:val="354658AF"/>
    <w:rsid w:val="35496928"/>
    <w:rsid w:val="35497AB7"/>
    <w:rsid w:val="355D6155"/>
    <w:rsid w:val="355F0732"/>
    <w:rsid w:val="356C3F81"/>
    <w:rsid w:val="356D3631"/>
    <w:rsid w:val="356E1072"/>
    <w:rsid w:val="356F6271"/>
    <w:rsid w:val="35703816"/>
    <w:rsid w:val="35764F4A"/>
    <w:rsid w:val="357D172C"/>
    <w:rsid w:val="35812D9B"/>
    <w:rsid w:val="358304AB"/>
    <w:rsid w:val="35904CED"/>
    <w:rsid w:val="359F7869"/>
    <w:rsid w:val="35A160DC"/>
    <w:rsid w:val="35A20420"/>
    <w:rsid w:val="35A5058B"/>
    <w:rsid w:val="35A76525"/>
    <w:rsid w:val="35A95619"/>
    <w:rsid w:val="35AB0A43"/>
    <w:rsid w:val="35B16E9B"/>
    <w:rsid w:val="35B36EFA"/>
    <w:rsid w:val="35BC4B27"/>
    <w:rsid w:val="35BD2792"/>
    <w:rsid w:val="35BE2E72"/>
    <w:rsid w:val="35C94AEF"/>
    <w:rsid w:val="35CC19E4"/>
    <w:rsid w:val="35CF648B"/>
    <w:rsid w:val="35D42696"/>
    <w:rsid w:val="35E07771"/>
    <w:rsid w:val="35E37515"/>
    <w:rsid w:val="35E40A76"/>
    <w:rsid w:val="35E65FA8"/>
    <w:rsid w:val="35F60392"/>
    <w:rsid w:val="35F72828"/>
    <w:rsid w:val="35F92A37"/>
    <w:rsid w:val="35FA51A5"/>
    <w:rsid w:val="35FB502F"/>
    <w:rsid w:val="35FC3A02"/>
    <w:rsid w:val="35FD3490"/>
    <w:rsid w:val="36054E86"/>
    <w:rsid w:val="36056DED"/>
    <w:rsid w:val="360B79CB"/>
    <w:rsid w:val="360E16AE"/>
    <w:rsid w:val="36176647"/>
    <w:rsid w:val="362934B4"/>
    <w:rsid w:val="363357CB"/>
    <w:rsid w:val="363E58CF"/>
    <w:rsid w:val="364066FB"/>
    <w:rsid w:val="36495C0A"/>
    <w:rsid w:val="364D250C"/>
    <w:rsid w:val="364F5A2A"/>
    <w:rsid w:val="36531ABF"/>
    <w:rsid w:val="365519F4"/>
    <w:rsid w:val="36595DF6"/>
    <w:rsid w:val="36606406"/>
    <w:rsid w:val="36614384"/>
    <w:rsid w:val="366204B8"/>
    <w:rsid w:val="36631CA0"/>
    <w:rsid w:val="3667175C"/>
    <w:rsid w:val="36717C5A"/>
    <w:rsid w:val="36774942"/>
    <w:rsid w:val="36881634"/>
    <w:rsid w:val="368C76FA"/>
    <w:rsid w:val="368F76FA"/>
    <w:rsid w:val="36923F9D"/>
    <w:rsid w:val="36B12624"/>
    <w:rsid w:val="36B660E9"/>
    <w:rsid w:val="36B71B89"/>
    <w:rsid w:val="36BA5D2F"/>
    <w:rsid w:val="36C6059D"/>
    <w:rsid w:val="36CB4D77"/>
    <w:rsid w:val="36D925A0"/>
    <w:rsid w:val="36DA62AB"/>
    <w:rsid w:val="36DD389E"/>
    <w:rsid w:val="36E53AF8"/>
    <w:rsid w:val="36EE3C2B"/>
    <w:rsid w:val="36F101A1"/>
    <w:rsid w:val="36F80606"/>
    <w:rsid w:val="37060463"/>
    <w:rsid w:val="370A5E5F"/>
    <w:rsid w:val="370D0235"/>
    <w:rsid w:val="370E2BB5"/>
    <w:rsid w:val="37110F1D"/>
    <w:rsid w:val="37143AAA"/>
    <w:rsid w:val="37163FFD"/>
    <w:rsid w:val="372B669C"/>
    <w:rsid w:val="372E3079"/>
    <w:rsid w:val="373B1EBD"/>
    <w:rsid w:val="374076FC"/>
    <w:rsid w:val="374B2493"/>
    <w:rsid w:val="374E59E2"/>
    <w:rsid w:val="37520F54"/>
    <w:rsid w:val="37570BCB"/>
    <w:rsid w:val="375B524B"/>
    <w:rsid w:val="375B67B8"/>
    <w:rsid w:val="375E550C"/>
    <w:rsid w:val="37611FAD"/>
    <w:rsid w:val="37647620"/>
    <w:rsid w:val="37661CB3"/>
    <w:rsid w:val="376C22F6"/>
    <w:rsid w:val="376D21A7"/>
    <w:rsid w:val="377071F8"/>
    <w:rsid w:val="37707FE0"/>
    <w:rsid w:val="37717766"/>
    <w:rsid w:val="37727E4D"/>
    <w:rsid w:val="3773519C"/>
    <w:rsid w:val="377452B8"/>
    <w:rsid w:val="37773CD2"/>
    <w:rsid w:val="377B5A15"/>
    <w:rsid w:val="37894E57"/>
    <w:rsid w:val="378F792B"/>
    <w:rsid w:val="37910902"/>
    <w:rsid w:val="37921EAB"/>
    <w:rsid w:val="379D140E"/>
    <w:rsid w:val="37A21FE2"/>
    <w:rsid w:val="37AF3A9B"/>
    <w:rsid w:val="37C61413"/>
    <w:rsid w:val="37D40B0E"/>
    <w:rsid w:val="37D71B9E"/>
    <w:rsid w:val="37D95BC3"/>
    <w:rsid w:val="37D97B8D"/>
    <w:rsid w:val="37DB1B4A"/>
    <w:rsid w:val="37EA3D1D"/>
    <w:rsid w:val="37EB2DC8"/>
    <w:rsid w:val="37F30DE1"/>
    <w:rsid w:val="37F75C29"/>
    <w:rsid w:val="38032ADD"/>
    <w:rsid w:val="38054534"/>
    <w:rsid w:val="380F70A0"/>
    <w:rsid w:val="38181651"/>
    <w:rsid w:val="38194E02"/>
    <w:rsid w:val="381A129D"/>
    <w:rsid w:val="381B3AE1"/>
    <w:rsid w:val="3820413D"/>
    <w:rsid w:val="382715B2"/>
    <w:rsid w:val="382E5CF9"/>
    <w:rsid w:val="3838200C"/>
    <w:rsid w:val="384445D2"/>
    <w:rsid w:val="38466BC9"/>
    <w:rsid w:val="38543151"/>
    <w:rsid w:val="385979C8"/>
    <w:rsid w:val="38621032"/>
    <w:rsid w:val="386626EA"/>
    <w:rsid w:val="386C17FE"/>
    <w:rsid w:val="386F71C2"/>
    <w:rsid w:val="387504E9"/>
    <w:rsid w:val="38864EE1"/>
    <w:rsid w:val="388A34DF"/>
    <w:rsid w:val="388B6473"/>
    <w:rsid w:val="388D26FF"/>
    <w:rsid w:val="389007B4"/>
    <w:rsid w:val="389525C6"/>
    <w:rsid w:val="389C3F60"/>
    <w:rsid w:val="389E28DB"/>
    <w:rsid w:val="38A256ED"/>
    <w:rsid w:val="38B0624E"/>
    <w:rsid w:val="38B3438B"/>
    <w:rsid w:val="38B4706D"/>
    <w:rsid w:val="38B60D7F"/>
    <w:rsid w:val="38B6531C"/>
    <w:rsid w:val="38B859B8"/>
    <w:rsid w:val="38BA0EE3"/>
    <w:rsid w:val="38BA4416"/>
    <w:rsid w:val="38BF2B7C"/>
    <w:rsid w:val="38C10BE9"/>
    <w:rsid w:val="38C4603C"/>
    <w:rsid w:val="38CA285B"/>
    <w:rsid w:val="38D45CEE"/>
    <w:rsid w:val="38E1369C"/>
    <w:rsid w:val="38E408E4"/>
    <w:rsid w:val="38E7172B"/>
    <w:rsid w:val="38F02352"/>
    <w:rsid w:val="38F60C3D"/>
    <w:rsid w:val="390078F4"/>
    <w:rsid w:val="391754AA"/>
    <w:rsid w:val="39182BD9"/>
    <w:rsid w:val="391E5EBB"/>
    <w:rsid w:val="391F1781"/>
    <w:rsid w:val="391F67F6"/>
    <w:rsid w:val="39211051"/>
    <w:rsid w:val="39236CE5"/>
    <w:rsid w:val="39251316"/>
    <w:rsid w:val="39273592"/>
    <w:rsid w:val="392B6496"/>
    <w:rsid w:val="39312A65"/>
    <w:rsid w:val="39334D80"/>
    <w:rsid w:val="39404B30"/>
    <w:rsid w:val="3943543F"/>
    <w:rsid w:val="39452B73"/>
    <w:rsid w:val="394F4956"/>
    <w:rsid w:val="39585980"/>
    <w:rsid w:val="395B4F36"/>
    <w:rsid w:val="39614E4F"/>
    <w:rsid w:val="39652C73"/>
    <w:rsid w:val="39730397"/>
    <w:rsid w:val="39765A02"/>
    <w:rsid w:val="397828E0"/>
    <w:rsid w:val="39800ACE"/>
    <w:rsid w:val="39980CE2"/>
    <w:rsid w:val="39A752A6"/>
    <w:rsid w:val="39AA339F"/>
    <w:rsid w:val="39AB53AE"/>
    <w:rsid w:val="39AC2BC3"/>
    <w:rsid w:val="39B83678"/>
    <w:rsid w:val="39D0636E"/>
    <w:rsid w:val="39D17CDD"/>
    <w:rsid w:val="39EC6769"/>
    <w:rsid w:val="39F27F8F"/>
    <w:rsid w:val="39F41558"/>
    <w:rsid w:val="39F44362"/>
    <w:rsid w:val="39F62389"/>
    <w:rsid w:val="39F63B7B"/>
    <w:rsid w:val="39F925EC"/>
    <w:rsid w:val="3A035D99"/>
    <w:rsid w:val="3A047F78"/>
    <w:rsid w:val="3A0E4679"/>
    <w:rsid w:val="3A0F305A"/>
    <w:rsid w:val="3A185146"/>
    <w:rsid w:val="3A1B7A36"/>
    <w:rsid w:val="3A1F2B4F"/>
    <w:rsid w:val="3A220E5F"/>
    <w:rsid w:val="3A222B60"/>
    <w:rsid w:val="3A2501BA"/>
    <w:rsid w:val="3A2644AB"/>
    <w:rsid w:val="3A30298D"/>
    <w:rsid w:val="3A3364CD"/>
    <w:rsid w:val="3A350AC4"/>
    <w:rsid w:val="3A3C1A7E"/>
    <w:rsid w:val="3A3C6A5B"/>
    <w:rsid w:val="3A3C7D6C"/>
    <w:rsid w:val="3A3D6E67"/>
    <w:rsid w:val="3A4936E3"/>
    <w:rsid w:val="3A4F7A71"/>
    <w:rsid w:val="3A58374B"/>
    <w:rsid w:val="3A5941F6"/>
    <w:rsid w:val="3A596DA8"/>
    <w:rsid w:val="3A5A1D9E"/>
    <w:rsid w:val="3A5A6C2B"/>
    <w:rsid w:val="3A5B22E9"/>
    <w:rsid w:val="3A5C5CBA"/>
    <w:rsid w:val="3A5E32F8"/>
    <w:rsid w:val="3A5F16D1"/>
    <w:rsid w:val="3A611DF3"/>
    <w:rsid w:val="3A624674"/>
    <w:rsid w:val="3A6D58D7"/>
    <w:rsid w:val="3A6E0425"/>
    <w:rsid w:val="3A6E7C16"/>
    <w:rsid w:val="3A7117E1"/>
    <w:rsid w:val="3A714BF8"/>
    <w:rsid w:val="3A7572A8"/>
    <w:rsid w:val="3A7C780F"/>
    <w:rsid w:val="3A7E046D"/>
    <w:rsid w:val="3A7F656F"/>
    <w:rsid w:val="3A825363"/>
    <w:rsid w:val="3A8334DB"/>
    <w:rsid w:val="3A83464D"/>
    <w:rsid w:val="3A841F02"/>
    <w:rsid w:val="3A8B047E"/>
    <w:rsid w:val="3A9155E6"/>
    <w:rsid w:val="3A954B7A"/>
    <w:rsid w:val="3A95616C"/>
    <w:rsid w:val="3A962DB5"/>
    <w:rsid w:val="3A976388"/>
    <w:rsid w:val="3A9B50DC"/>
    <w:rsid w:val="3A9C4E84"/>
    <w:rsid w:val="3AA11C63"/>
    <w:rsid w:val="3AA35C36"/>
    <w:rsid w:val="3AA9087F"/>
    <w:rsid w:val="3AAA4AD8"/>
    <w:rsid w:val="3AB37C0B"/>
    <w:rsid w:val="3AC01F67"/>
    <w:rsid w:val="3AC07099"/>
    <w:rsid w:val="3AC90541"/>
    <w:rsid w:val="3AD0154B"/>
    <w:rsid w:val="3AD26502"/>
    <w:rsid w:val="3AD32BE2"/>
    <w:rsid w:val="3AD735A4"/>
    <w:rsid w:val="3ADB5B92"/>
    <w:rsid w:val="3AE335C6"/>
    <w:rsid w:val="3AED053C"/>
    <w:rsid w:val="3AF2204F"/>
    <w:rsid w:val="3AF56227"/>
    <w:rsid w:val="3AF657E1"/>
    <w:rsid w:val="3AF97E01"/>
    <w:rsid w:val="3B0032A7"/>
    <w:rsid w:val="3B0219CB"/>
    <w:rsid w:val="3B03752F"/>
    <w:rsid w:val="3B05521B"/>
    <w:rsid w:val="3B0A7F94"/>
    <w:rsid w:val="3B0F2390"/>
    <w:rsid w:val="3B1220C7"/>
    <w:rsid w:val="3B192B45"/>
    <w:rsid w:val="3B1F2605"/>
    <w:rsid w:val="3B275758"/>
    <w:rsid w:val="3B360092"/>
    <w:rsid w:val="3B3754CE"/>
    <w:rsid w:val="3B3E7FD4"/>
    <w:rsid w:val="3B402EBC"/>
    <w:rsid w:val="3B4278FE"/>
    <w:rsid w:val="3B44637B"/>
    <w:rsid w:val="3B4B0135"/>
    <w:rsid w:val="3B504E40"/>
    <w:rsid w:val="3B5206E1"/>
    <w:rsid w:val="3B53491E"/>
    <w:rsid w:val="3B5F7815"/>
    <w:rsid w:val="3B6413E7"/>
    <w:rsid w:val="3B6A342C"/>
    <w:rsid w:val="3B80172C"/>
    <w:rsid w:val="3B8D6917"/>
    <w:rsid w:val="3B98772E"/>
    <w:rsid w:val="3BA40788"/>
    <w:rsid w:val="3BB02276"/>
    <w:rsid w:val="3BB3643D"/>
    <w:rsid w:val="3BB41E71"/>
    <w:rsid w:val="3BBC1A25"/>
    <w:rsid w:val="3BBD5865"/>
    <w:rsid w:val="3BC56E05"/>
    <w:rsid w:val="3BD72A99"/>
    <w:rsid w:val="3BD938AF"/>
    <w:rsid w:val="3BDF0887"/>
    <w:rsid w:val="3BE12208"/>
    <w:rsid w:val="3BE45065"/>
    <w:rsid w:val="3BE63123"/>
    <w:rsid w:val="3BF847AA"/>
    <w:rsid w:val="3BF94D9B"/>
    <w:rsid w:val="3BFA0259"/>
    <w:rsid w:val="3C0309FF"/>
    <w:rsid w:val="3C042E3E"/>
    <w:rsid w:val="3C050C40"/>
    <w:rsid w:val="3C072663"/>
    <w:rsid w:val="3C097EF0"/>
    <w:rsid w:val="3C0B2E45"/>
    <w:rsid w:val="3C0C04BC"/>
    <w:rsid w:val="3C1A4E8D"/>
    <w:rsid w:val="3C1F76F3"/>
    <w:rsid w:val="3C257B71"/>
    <w:rsid w:val="3C2841B0"/>
    <w:rsid w:val="3C3C186F"/>
    <w:rsid w:val="3C3D7E2F"/>
    <w:rsid w:val="3C406593"/>
    <w:rsid w:val="3C450BC5"/>
    <w:rsid w:val="3C47574F"/>
    <w:rsid w:val="3C5110CE"/>
    <w:rsid w:val="3C5251B1"/>
    <w:rsid w:val="3C544530"/>
    <w:rsid w:val="3C6242D8"/>
    <w:rsid w:val="3C784DBC"/>
    <w:rsid w:val="3C7923FD"/>
    <w:rsid w:val="3C7E21FC"/>
    <w:rsid w:val="3C835139"/>
    <w:rsid w:val="3C8446EA"/>
    <w:rsid w:val="3C8E55CD"/>
    <w:rsid w:val="3C8E5872"/>
    <w:rsid w:val="3C913F59"/>
    <w:rsid w:val="3C943C7F"/>
    <w:rsid w:val="3C9D3203"/>
    <w:rsid w:val="3C9E76A6"/>
    <w:rsid w:val="3C9E7D39"/>
    <w:rsid w:val="3C9F5433"/>
    <w:rsid w:val="3CA05E3F"/>
    <w:rsid w:val="3CA60FF0"/>
    <w:rsid w:val="3CA82106"/>
    <w:rsid w:val="3CAF5049"/>
    <w:rsid w:val="3CB10647"/>
    <w:rsid w:val="3CB17B91"/>
    <w:rsid w:val="3CBC2AC6"/>
    <w:rsid w:val="3CBD784A"/>
    <w:rsid w:val="3CC037D9"/>
    <w:rsid w:val="3CCC3FAB"/>
    <w:rsid w:val="3CCE564F"/>
    <w:rsid w:val="3CD03E4D"/>
    <w:rsid w:val="3CD20233"/>
    <w:rsid w:val="3CD20441"/>
    <w:rsid w:val="3CD23409"/>
    <w:rsid w:val="3CDA5E44"/>
    <w:rsid w:val="3CDF248B"/>
    <w:rsid w:val="3CEC1B02"/>
    <w:rsid w:val="3CF77787"/>
    <w:rsid w:val="3CF80F5E"/>
    <w:rsid w:val="3CFA11B8"/>
    <w:rsid w:val="3CFD5614"/>
    <w:rsid w:val="3CFD77E7"/>
    <w:rsid w:val="3D061853"/>
    <w:rsid w:val="3D083D85"/>
    <w:rsid w:val="3D094A3E"/>
    <w:rsid w:val="3D107860"/>
    <w:rsid w:val="3D183C46"/>
    <w:rsid w:val="3D2346F2"/>
    <w:rsid w:val="3D2B7651"/>
    <w:rsid w:val="3D2C6DEC"/>
    <w:rsid w:val="3D3F7B7E"/>
    <w:rsid w:val="3D415BFE"/>
    <w:rsid w:val="3D464AD9"/>
    <w:rsid w:val="3D466470"/>
    <w:rsid w:val="3D474095"/>
    <w:rsid w:val="3D4D7BA7"/>
    <w:rsid w:val="3D4F064D"/>
    <w:rsid w:val="3D531698"/>
    <w:rsid w:val="3D5F59D0"/>
    <w:rsid w:val="3D631F45"/>
    <w:rsid w:val="3D793763"/>
    <w:rsid w:val="3D7E738B"/>
    <w:rsid w:val="3D894395"/>
    <w:rsid w:val="3D9161FE"/>
    <w:rsid w:val="3D9745C5"/>
    <w:rsid w:val="3D980D16"/>
    <w:rsid w:val="3D9831E5"/>
    <w:rsid w:val="3D9B1367"/>
    <w:rsid w:val="3DA31C70"/>
    <w:rsid w:val="3DA638E7"/>
    <w:rsid w:val="3DA71209"/>
    <w:rsid w:val="3DB96377"/>
    <w:rsid w:val="3DBB0464"/>
    <w:rsid w:val="3DC456E6"/>
    <w:rsid w:val="3DC945C0"/>
    <w:rsid w:val="3DCE0347"/>
    <w:rsid w:val="3DCE36CA"/>
    <w:rsid w:val="3DCF044A"/>
    <w:rsid w:val="3DE50C90"/>
    <w:rsid w:val="3DED7C84"/>
    <w:rsid w:val="3DF525AA"/>
    <w:rsid w:val="3DF753CF"/>
    <w:rsid w:val="3E012F06"/>
    <w:rsid w:val="3E031075"/>
    <w:rsid w:val="3E0516F6"/>
    <w:rsid w:val="3E062C93"/>
    <w:rsid w:val="3E142B51"/>
    <w:rsid w:val="3E1667F0"/>
    <w:rsid w:val="3E1A07C5"/>
    <w:rsid w:val="3E1C3D68"/>
    <w:rsid w:val="3E225D40"/>
    <w:rsid w:val="3E25375E"/>
    <w:rsid w:val="3E257108"/>
    <w:rsid w:val="3E297DA1"/>
    <w:rsid w:val="3E2A2C0A"/>
    <w:rsid w:val="3E2B13A7"/>
    <w:rsid w:val="3E2E03FF"/>
    <w:rsid w:val="3E37784B"/>
    <w:rsid w:val="3E381EA5"/>
    <w:rsid w:val="3E3846AB"/>
    <w:rsid w:val="3E467EA9"/>
    <w:rsid w:val="3E4A4CB2"/>
    <w:rsid w:val="3E4E7D71"/>
    <w:rsid w:val="3E4F147F"/>
    <w:rsid w:val="3E542340"/>
    <w:rsid w:val="3E550B8C"/>
    <w:rsid w:val="3E5A3610"/>
    <w:rsid w:val="3E616240"/>
    <w:rsid w:val="3E63157B"/>
    <w:rsid w:val="3E672C02"/>
    <w:rsid w:val="3E702BB8"/>
    <w:rsid w:val="3E772B2E"/>
    <w:rsid w:val="3E7F7AC0"/>
    <w:rsid w:val="3E807C4C"/>
    <w:rsid w:val="3E810402"/>
    <w:rsid w:val="3E8310AF"/>
    <w:rsid w:val="3E8510DB"/>
    <w:rsid w:val="3E860BED"/>
    <w:rsid w:val="3E9F7A61"/>
    <w:rsid w:val="3EAC09A3"/>
    <w:rsid w:val="3EAD477D"/>
    <w:rsid w:val="3EAF2F70"/>
    <w:rsid w:val="3EB2553E"/>
    <w:rsid w:val="3EB665D0"/>
    <w:rsid w:val="3EB761D7"/>
    <w:rsid w:val="3EC40C65"/>
    <w:rsid w:val="3ECB1717"/>
    <w:rsid w:val="3ED92DDA"/>
    <w:rsid w:val="3EE0142A"/>
    <w:rsid w:val="3EE7761A"/>
    <w:rsid w:val="3EF17DA4"/>
    <w:rsid w:val="3EF2332E"/>
    <w:rsid w:val="3EF2654D"/>
    <w:rsid w:val="3EF56437"/>
    <w:rsid w:val="3EFB607B"/>
    <w:rsid w:val="3EFC1293"/>
    <w:rsid w:val="3EFF7197"/>
    <w:rsid w:val="3F035498"/>
    <w:rsid w:val="3F055C54"/>
    <w:rsid w:val="3F0934F7"/>
    <w:rsid w:val="3F0C5BCE"/>
    <w:rsid w:val="3F114F57"/>
    <w:rsid w:val="3F117156"/>
    <w:rsid w:val="3F147FA7"/>
    <w:rsid w:val="3F1D2AEF"/>
    <w:rsid w:val="3F201122"/>
    <w:rsid w:val="3F22062E"/>
    <w:rsid w:val="3F2B0046"/>
    <w:rsid w:val="3F2F40D7"/>
    <w:rsid w:val="3F303FAB"/>
    <w:rsid w:val="3F3222E3"/>
    <w:rsid w:val="3F352F72"/>
    <w:rsid w:val="3F3774CD"/>
    <w:rsid w:val="3F401EB9"/>
    <w:rsid w:val="3F416176"/>
    <w:rsid w:val="3F434CF9"/>
    <w:rsid w:val="3F4522BD"/>
    <w:rsid w:val="3F4B6CE7"/>
    <w:rsid w:val="3F532102"/>
    <w:rsid w:val="3F576FA1"/>
    <w:rsid w:val="3F580906"/>
    <w:rsid w:val="3F5A3EFB"/>
    <w:rsid w:val="3F5A4D5E"/>
    <w:rsid w:val="3F62403C"/>
    <w:rsid w:val="3F697D80"/>
    <w:rsid w:val="3F6F51DD"/>
    <w:rsid w:val="3F7006D6"/>
    <w:rsid w:val="3F79679A"/>
    <w:rsid w:val="3F80563C"/>
    <w:rsid w:val="3F9908B0"/>
    <w:rsid w:val="3F9A173D"/>
    <w:rsid w:val="3FA07A8C"/>
    <w:rsid w:val="3FA310BC"/>
    <w:rsid w:val="3FA367A0"/>
    <w:rsid w:val="3FA84EB2"/>
    <w:rsid w:val="3FA85DB5"/>
    <w:rsid w:val="3FA863D9"/>
    <w:rsid w:val="3FAA7193"/>
    <w:rsid w:val="3FAD4B3B"/>
    <w:rsid w:val="3FAF29A3"/>
    <w:rsid w:val="3FB34E43"/>
    <w:rsid w:val="3FC0345D"/>
    <w:rsid w:val="3FC0576C"/>
    <w:rsid w:val="3FC24499"/>
    <w:rsid w:val="3FC24F5C"/>
    <w:rsid w:val="3FC96CE0"/>
    <w:rsid w:val="3FD03D01"/>
    <w:rsid w:val="3FD4498A"/>
    <w:rsid w:val="3FD61700"/>
    <w:rsid w:val="3FD64800"/>
    <w:rsid w:val="3FD80FD4"/>
    <w:rsid w:val="3FDA5EAF"/>
    <w:rsid w:val="3FDC701A"/>
    <w:rsid w:val="3FDD4687"/>
    <w:rsid w:val="3FE0553B"/>
    <w:rsid w:val="3FE11A0A"/>
    <w:rsid w:val="3FE135FB"/>
    <w:rsid w:val="3FE221D2"/>
    <w:rsid w:val="3FE87D28"/>
    <w:rsid w:val="3FEA089A"/>
    <w:rsid w:val="3FEE60A4"/>
    <w:rsid w:val="3FEF6D26"/>
    <w:rsid w:val="3FF405A4"/>
    <w:rsid w:val="3FF54F69"/>
    <w:rsid w:val="3FFA44C9"/>
    <w:rsid w:val="3FFA6FD3"/>
    <w:rsid w:val="400533B5"/>
    <w:rsid w:val="400703C8"/>
    <w:rsid w:val="400759D9"/>
    <w:rsid w:val="400969C4"/>
    <w:rsid w:val="400A5241"/>
    <w:rsid w:val="401A368E"/>
    <w:rsid w:val="401E5225"/>
    <w:rsid w:val="40200EC2"/>
    <w:rsid w:val="40376069"/>
    <w:rsid w:val="40387BC5"/>
    <w:rsid w:val="403D352D"/>
    <w:rsid w:val="403D39A3"/>
    <w:rsid w:val="403D4406"/>
    <w:rsid w:val="403E6AA8"/>
    <w:rsid w:val="40400879"/>
    <w:rsid w:val="40402847"/>
    <w:rsid w:val="404B5C4A"/>
    <w:rsid w:val="404C0609"/>
    <w:rsid w:val="40502545"/>
    <w:rsid w:val="40574C1C"/>
    <w:rsid w:val="405D53FA"/>
    <w:rsid w:val="40612A0F"/>
    <w:rsid w:val="406373CB"/>
    <w:rsid w:val="406435E5"/>
    <w:rsid w:val="40657EEF"/>
    <w:rsid w:val="406B6B98"/>
    <w:rsid w:val="406C7C6F"/>
    <w:rsid w:val="407A208B"/>
    <w:rsid w:val="407D753B"/>
    <w:rsid w:val="40806E1B"/>
    <w:rsid w:val="408353E4"/>
    <w:rsid w:val="40896772"/>
    <w:rsid w:val="40906E9B"/>
    <w:rsid w:val="409207A7"/>
    <w:rsid w:val="40940958"/>
    <w:rsid w:val="40947220"/>
    <w:rsid w:val="40977710"/>
    <w:rsid w:val="40A56E0D"/>
    <w:rsid w:val="40AF5A59"/>
    <w:rsid w:val="40B17EA2"/>
    <w:rsid w:val="40B565DA"/>
    <w:rsid w:val="40BA51BE"/>
    <w:rsid w:val="40BD00BB"/>
    <w:rsid w:val="40C177AA"/>
    <w:rsid w:val="40D03F04"/>
    <w:rsid w:val="40D87467"/>
    <w:rsid w:val="40E90A23"/>
    <w:rsid w:val="40EE51A8"/>
    <w:rsid w:val="40F20B1F"/>
    <w:rsid w:val="40F75D2D"/>
    <w:rsid w:val="40F86916"/>
    <w:rsid w:val="40FA321B"/>
    <w:rsid w:val="40FF0DBB"/>
    <w:rsid w:val="4101607F"/>
    <w:rsid w:val="41022D94"/>
    <w:rsid w:val="41082DC3"/>
    <w:rsid w:val="41175597"/>
    <w:rsid w:val="412170B1"/>
    <w:rsid w:val="4123014B"/>
    <w:rsid w:val="41254593"/>
    <w:rsid w:val="41301C9A"/>
    <w:rsid w:val="41341E40"/>
    <w:rsid w:val="4139028D"/>
    <w:rsid w:val="413A53EA"/>
    <w:rsid w:val="413E270C"/>
    <w:rsid w:val="413F1E8A"/>
    <w:rsid w:val="414214F9"/>
    <w:rsid w:val="41483F38"/>
    <w:rsid w:val="4149251B"/>
    <w:rsid w:val="415037DD"/>
    <w:rsid w:val="41526D4A"/>
    <w:rsid w:val="415F4117"/>
    <w:rsid w:val="415F730C"/>
    <w:rsid w:val="41621B71"/>
    <w:rsid w:val="4162324B"/>
    <w:rsid w:val="417411D1"/>
    <w:rsid w:val="41741390"/>
    <w:rsid w:val="41811A80"/>
    <w:rsid w:val="418C5377"/>
    <w:rsid w:val="418D7C08"/>
    <w:rsid w:val="41913B31"/>
    <w:rsid w:val="419165DA"/>
    <w:rsid w:val="419B173E"/>
    <w:rsid w:val="41AA0EFE"/>
    <w:rsid w:val="41AF2209"/>
    <w:rsid w:val="41B3723D"/>
    <w:rsid w:val="41C31A76"/>
    <w:rsid w:val="41C65E0E"/>
    <w:rsid w:val="41C954F1"/>
    <w:rsid w:val="41EC0D67"/>
    <w:rsid w:val="41EE1F6D"/>
    <w:rsid w:val="41FC7345"/>
    <w:rsid w:val="41FF7A7E"/>
    <w:rsid w:val="42055BCF"/>
    <w:rsid w:val="42062C90"/>
    <w:rsid w:val="420845E2"/>
    <w:rsid w:val="420972B8"/>
    <w:rsid w:val="420D35D1"/>
    <w:rsid w:val="421066C8"/>
    <w:rsid w:val="42124FEB"/>
    <w:rsid w:val="421E19DD"/>
    <w:rsid w:val="42201ADB"/>
    <w:rsid w:val="42243ADD"/>
    <w:rsid w:val="4226140E"/>
    <w:rsid w:val="42262641"/>
    <w:rsid w:val="422A6BE5"/>
    <w:rsid w:val="422D7D03"/>
    <w:rsid w:val="422E5B47"/>
    <w:rsid w:val="42387360"/>
    <w:rsid w:val="423A512B"/>
    <w:rsid w:val="424E09DB"/>
    <w:rsid w:val="424F14CB"/>
    <w:rsid w:val="424F7E7E"/>
    <w:rsid w:val="425830C6"/>
    <w:rsid w:val="425C6098"/>
    <w:rsid w:val="42606576"/>
    <w:rsid w:val="42645FF4"/>
    <w:rsid w:val="42646511"/>
    <w:rsid w:val="4265214F"/>
    <w:rsid w:val="426703CA"/>
    <w:rsid w:val="426724A2"/>
    <w:rsid w:val="4269497D"/>
    <w:rsid w:val="42827EC5"/>
    <w:rsid w:val="42834BE5"/>
    <w:rsid w:val="428D023C"/>
    <w:rsid w:val="429007CB"/>
    <w:rsid w:val="4296549B"/>
    <w:rsid w:val="429953F0"/>
    <w:rsid w:val="42A826E7"/>
    <w:rsid w:val="42AE6807"/>
    <w:rsid w:val="42AF4208"/>
    <w:rsid w:val="42B14DFB"/>
    <w:rsid w:val="42B30EB0"/>
    <w:rsid w:val="42C30985"/>
    <w:rsid w:val="42C5063C"/>
    <w:rsid w:val="42C70ECE"/>
    <w:rsid w:val="42CE5721"/>
    <w:rsid w:val="42CF1434"/>
    <w:rsid w:val="42D259D4"/>
    <w:rsid w:val="42D83185"/>
    <w:rsid w:val="42DA1044"/>
    <w:rsid w:val="42E04F76"/>
    <w:rsid w:val="42E27E52"/>
    <w:rsid w:val="42E303BC"/>
    <w:rsid w:val="42F867E3"/>
    <w:rsid w:val="42F96836"/>
    <w:rsid w:val="42FC1238"/>
    <w:rsid w:val="42FE5622"/>
    <w:rsid w:val="43081AD9"/>
    <w:rsid w:val="430C3BAC"/>
    <w:rsid w:val="431C1B20"/>
    <w:rsid w:val="431D5028"/>
    <w:rsid w:val="43271B07"/>
    <w:rsid w:val="43280811"/>
    <w:rsid w:val="43284A6A"/>
    <w:rsid w:val="432F2506"/>
    <w:rsid w:val="43340E51"/>
    <w:rsid w:val="433513BF"/>
    <w:rsid w:val="43381992"/>
    <w:rsid w:val="433F23BF"/>
    <w:rsid w:val="43501147"/>
    <w:rsid w:val="435272F0"/>
    <w:rsid w:val="435638BD"/>
    <w:rsid w:val="43621575"/>
    <w:rsid w:val="43635F0A"/>
    <w:rsid w:val="436360F3"/>
    <w:rsid w:val="436624A8"/>
    <w:rsid w:val="43666F3B"/>
    <w:rsid w:val="436C0A55"/>
    <w:rsid w:val="436D064B"/>
    <w:rsid w:val="43726256"/>
    <w:rsid w:val="437460FA"/>
    <w:rsid w:val="437D37BF"/>
    <w:rsid w:val="437D5D97"/>
    <w:rsid w:val="43837506"/>
    <w:rsid w:val="438B5FFE"/>
    <w:rsid w:val="43911BC6"/>
    <w:rsid w:val="43955701"/>
    <w:rsid w:val="43994FA1"/>
    <w:rsid w:val="43AE0F00"/>
    <w:rsid w:val="43AF03C9"/>
    <w:rsid w:val="43B12337"/>
    <w:rsid w:val="43B14470"/>
    <w:rsid w:val="43B43EDE"/>
    <w:rsid w:val="43B47D4C"/>
    <w:rsid w:val="43C471BD"/>
    <w:rsid w:val="43CB16B2"/>
    <w:rsid w:val="43DF7E96"/>
    <w:rsid w:val="43E04F09"/>
    <w:rsid w:val="43E17880"/>
    <w:rsid w:val="43E30165"/>
    <w:rsid w:val="43E4084E"/>
    <w:rsid w:val="43E800C6"/>
    <w:rsid w:val="43F52C05"/>
    <w:rsid w:val="43F87E97"/>
    <w:rsid w:val="43FB7DF3"/>
    <w:rsid w:val="43FC346C"/>
    <w:rsid w:val="440E5844"/>
    <w:rsid w:val="44117846"/>
    <w:rsid w:val="441549CB"/>
    <w:rsid w:val="44250018"/>
    <w:rsid w:val="44257D8E"/>
    <w:rsid w:val="442A5D06"/>
    <w:rsid w:val="442E5908"/>
    <w:rsid w:val="4439540E"/>
    <w:rsid w:val="444D6F4C"/>
    <w:rsid w:val="44512364"/>
    <w:rsid w:val="44560305"/>
    <w:rsid w:val="44595BED"/>
    <w:rsid w:val="445D22A9"/>
    <w:rsid w:val="44651F6F"/>
    <w:rsid w:val="446636C5"/>
    <w:rsid w:val="447D1640"/>
    <w:rsid w:val="4480296D"/>
    <w:rsid w:val="4480655B"/>
    <w:rsid w:val="448166E9"/>
    <w:rsid w:val="448678B2"/>
    <w:rsid w:val="448D0AC7"/>
    <w:rsid w:val="448E51CC"/>
    <w:rsid w:val="4494624E"/>
    <w:rsid w:val="449848C7"/>
    <w:rsid w:val="44A6065D"/>
    <w:rsid w:val="44A678F3"/>
    <w:rsid w:val="44AF4BA1"/>
    <w:rsid w:val="44B253BE"/>
    <w:rsid w:val="44B2632E"/>
    <w:rsid w:val="44B2697E"/>
    <w:rsid w:val="44B55895"/>
    <w:rsid w:val="44BC1818"/>
    <w:rsid w:val="44BC1ADC"/>
    <w:rsid w:val="44BC6084"/>
    <w:rsid w:val="44BC623A"/>
    <w:rsid w:val="44C33C1C"/>
    <w:rsid w:val="44C77FE4"/>
    <w:rsid w:val="44CE7E45"/>
    <w:rsid w:val="44D11736"/>
    <w:rsid w:val="44D55756"/>
    <w:rsid w:val="44DD4355"/>
    <w:rsid w:val="44E00E0F"/>
    <w:rsid w:val="44E132FE"/>
    <w:rsid w:val="44EB27C8"/>
    <w:rsid w:val="44F70F49"/>
    <w:rsid w:val="44FA649B"/>
    <w:rsid w:val="44FB0C05"/>
    <w:rsid w:val="44FB7CD7"/>
    <w:rsid w:val="44FE7B0F"/>
    <w:rsid w:val="4504723A"/>
    <w:rsid w:val="450939CD"/>
    <w:rsid w:val="45097E82"/>
    <w:rsid w:val="450B3CA0"/>
    <w:rsid w:val="4510454F"/>
    <w:rsid w:val="4511711A"/>
    <w:rsid w:val="45185AF4"/>
    <w:rsid w:val="45206383"/>
    <w:rsid w:val="45234637"/>
    <w:rsid w:val="452D38D3"/>
    <w:rsid w:val="45335BE9"/>
    <w:rsid w:val="45343151"/>
    <w:rsid w:val="453E4193"/>
    <w:rsid w:val="454255CA"/>
    <w:rsid w:val="454B19E2"/>
    <w:rsid w:val="45577395"/>
    <w:rsid w:val="45602146"/>
    <w:rsid w:val="45606043"/>
    <w:rsid w:val="4561316A"/>
    <w:rsid w:val="45633AE3"/>
    <w:rsid w:val="45644225"/>
    <w:rsid w:val="45756713"/>
    <w:rsid w:val="4584775C"/>
    <w:rsid w:val="45916EEF"/>
    <w:rsid w:val="45A20CE2"/>
    <w:rsid w:val="45A81950"/>
    <w:rsid w:val="45AB2840"/>
    <w:rsid w:val="45AB71DA"/>
    <w:rsid w:val="45AD6A5F"/>
    <w:rsid w:val="45B2773B"/>
    <w:rsid w:val="45B44E5B"/>
    <w:rsid w:val="45B92244"/>
    <w:rsid w:val="45BA2A8F"/>
    <w:rsid w:val="45BE4FDB"/>
    <w:rsid w:val="45BE62C2"/>
    <w:rsid w:val="45C0705E"/>
    <w:rsid w:val="45C6245C"/>
    <w:rsid w:val="45D53732"/>
    <w:rsid w:val="45E27A68"/>
    <w:rsid w:val="45E42F61"/>
    <w:rsid w:val="45F01DCD"/>
    <w:rsid w:val="45F02CCE"/>
    <w:rsid w:val="45F62E65"/>
    <w:rsid w:val="45FD74ED"/>
    <w:rsid w:val="460174F3"/>
    <w:rsid w:val="46050349"/>
    <w:rsid w:val="460B16A1"/>
    <w:rsid w:val="46206E94"/>
    <w:rsid w:val="46221289"/>
    <w:rsid w:val="4628691C"/>
    <w:rsid w:val="46317690"/>
    <w:rsid w:val="46324558"/>
    <w:rsid w:val="46365564"/>
    <w:rsid w:val="46382CF3"/>
    <w:rsid w:val="463E4B6F"/>
    <w:rsid w:val="464B1905"/>
    <w:rsid w:val="46532225"/>
    <w:rsid w:val="4658217D"/>
    <w:rsid w:val="46610538"/>
    <w:rsid w:val="466C778C"/>
    <w:rsid w:val="4670530F"/>
    <w:rsid w:val="4670589E"/>
    <w:rsid w:val="46733DD7"/>
    <w:rsid w:val="468676F9"/>
    <w:rsid w:val="468A57C5"/>
    <w:rsid w:val="46AB4DBE"/>
    <w:rsid w:val="46AF5FB8"/>
    <w:rsid w:val="46B35B9F"/>
    <w:rsid w:val="46BF115D"/>
    <w:rsid w:val="46C44CB7"/>
    <w:rsid w:val="46C5380C"/>
    <w:rsid w:val="46C96A6C"/>
    <w:rsid w:val="46CA5815"/>
    <w:rsid w:val="46CB603F"/>
    <w:rsid w:val="46D21F34"/>
    <w:rsid w:val="46F100B8"/>
    <w:rsid w:val="46FA7FB8"/>
    <w:rsid w:val="47002DEF"/>
    <w:rsid w:val="47037841"/>
    <w:rsid w:val="470B0531"/>
    <w:rsid w:val="471F3210"/>
    <w:rsid w:val="47336C6F"/>
    <w:rsid w:val="473A5CEE"/>
    <w:rsid w:val="473F344A"/>
    <w:rsid w:val="47402DAA"/>
    <w:rsid w:val="4746716B"/>
    <w:rsid w:val="474750DC"/>
    <w:rsid w:val="474B2E49"/>
    <w:rsid w:val="474C419A"/>
    <w:rsid w:val="474E6907"/>
    <w:rsid w:val="474E7A5D"/>
    <w:rsid w:val="47544B14"/>
    <w:rsid w:val="47567017"/>
    <w:rsid w:val="475E0087"/>
    <w:rsid w:val="476140B1"/>
    <w:rsid w:val="476269FC"/>
    <w:rsid w:val="47666D38"/>
    <w:rsid w:val="476A7FF1"/>
    <w:rsid w:val="47763FFA"/>
    <w:rsid w:val="4780263C"/>
    <w:rsid w:val="478104EB"/>
    <w:rsid w:val="47863271"/>
    <w:rsid w:val="478839AE"/>
    <w:rsid w:val="47896D4F"/>
    <w:rsid w:val="47923EE6"/>
    <w:rsid w:val="4792415F"/>
    <w:rsid w:val="47982A36"/>
    <w:rsid w:val="479B0109"/>
    <w:rsid w:val="479E3F3F"/>
    <w:rsid w:val="47A21D03"/>
    <w:rsid w:val="47A3670C"/>
    <w:rsid w:val="47AC4635"/>
    <w:rsid w:val="47AD79A7"/>
    <w:rsid w:val="47B45F77"/>
    <w:rsid w:val="47B601F9"/>
    <w:rsid w:val="47B6609F"/>
    <w:rsid w:val="47BE2659"/>
    <w:rsid w:val="47C068CA"/>
    <w:rsid w:val="47C65B11"/>
    <w:rsid w:val="47C80021"/>
    <w:rsid w:val="47CC159F"/>
    <w:rsid w:val="47D31B17"/>
    <w:rsid w:val="47D535BF"/>
    <w:rsid w:val="47D64E19"/>
    <w:rsid w:val="47DC1575"/>
    <w:rsid w:val="47DD2D70"/>
    <w:rsid w:val="47E335C5"/>
    <w:rsid w:val="47EA7AF7"/>
    <w:rsid w:val="47F00544"/>
    <w:rsid w:val="47FA38B9"/>
    <w:rsid w:val="47FD1E39"/>
    <w:rsid w:val="480712F5"/>
    <w:rsid w:val="481968F7"/>
    <w:rsid w:val="482149DA"/>
    <w:rsid w:val="4826335E"/>
    <w:rsid w:val="482A6A56"/>
    <w:rsid w:val="482B534E"/>
    <w:rsid w:val="48352FA5"/>
    <w:rsid w:val="483639D2"/>
    <w:rsid w:val="483C2771"/>
    <w:rsid w:val="4844715C"/>
    <w:rsid w:val="484503C6"/>
    <w:rsid w:val="48492230"/>
    <w:rsid w:val="484D4424"/>
    <w:rsid w:val="485C4105"/>
    <w:rsid w:val="48651873"/>
    <w:rsid w:val="48652AF4"/>
    <w:rsid w:val="48682688"/>
    <w:rsid w:val="48725180"/>
    <w:rsid w:val="487E01DD"/>
    <w:rsid w:val="487E153D"/>
    <w:rsid w:val="48802857"/>
    <w:rsid w:val="48817770"/>
    <w:rsid w:val="488A12DA"/>
    <w:rsid w:val="488D31C1"/>
    <w:rsid w:val="4893319F"/>
    <w:rsid w:val="48971C07"/>
    <w:rsid w:val="489A3FC2"/>
    <w:rsid w:val="489A5DAA"/>
    <w:rsid w:val="48A27CAA"/>
    <w:rsid w:val="48A31B88"/>
    <w:rsid w:val="48A644C1"/>
    <w:rsid w:val="48AC2FFE"/>
    <w:rsid w:val="48BC04DD"/>
    <w:rsid w:val="48BD33D9"/>
    <w:rsid w:val="48BE1AC7"/>
    <w:rsid w:val="48BE2CF0"/>
    <w:rsid w:val="48C15D8D"/>
    <w:rsid w:val="48C25955"/>
    <w:rsid w:val="48C955E5"/>
    <w:rsid w:val="48CA6810"/>
    <w:rsid w:val="48D13B36"/>
    <w:rsid w:val="48D4248B"/>
    <w:rsid w:val="48D711E9"/>
    <w:rsid w:val="48DA439B"/>
    <w:rsid w:val="48DA4F01"/>
    <w:rsid w:val="48DE75E0"/>
    <w:rsid w:val="48E444DE"/>
    <w:rsid w:val="48E44E43"/>
    <w:rsid w:val="48E4724D"/>
    <w:rsid w:val="48E53924"/>
    <w:rsid w:val="48E63F8B"/>
    <w:rsid w:val="48E94329"/>
    <w:rsid w:val="48EF0F23"/>
    <w:rsid w:val="48FB4BC3"/>
    <w:rsid w:val="48FB5804"/>
    <w:rsid w:val="49086D1B"/>
    <w:rsid w:val="490E5926"/>
    <w:rsid w:val="490F4CC7"/>
    <w:rsid w:val="490F7C04"/>
    <w:rsid w:val="4915791B"/>
    <w:rsid w:val="491C3076"/>
    <w:rsid w:val="49324DD3"/>
    <w:rsid w:val="4939707B"/>
    <w:rsid w:val="493E5E9C"/>
    <w:rsid w:val="49414B4F"/>
    <w:rsid w:val="49417BEA"/>
    <w:rsid w:val="494A552B"/>
    <w:rsid w:val="494A7066"/>
    <w:rsid w:val="494B2F66"/>
    <w:rsid w:val="494B4A21"/>
    <w:rsid w:val="494B4E48"/>
    <w:rsid w:val="494E34D3"/>
    <w:rsid w:val="495077AD"/>
    <w:rsid w:val="49510F66"/>
    <w:rsid w:val="49532CF3"/>
    <w:rsid w:val="49581E86"/>
    <w:rsid w:val="4958391B"/>
    <w:rsid w:val="495D7302"/>
    <w:rsid w:val="496607B9"/>
    <w:rsid w:val="496C36CB"/>
    <w:rsid w:val="496D2BF3"/>
    <w:rsid w:val="49757894"/>
    <w:rsid w:val="49825EA3"/>
    <w:rsid w:val="4990798C"/>
    <w:rsid w:val="499402FE"/>
    <w:rsid w:val="499B6E75"/>
    <w:rsid w:val="49A13026"/>
    <w:rsid w:val="49A44CD1"/>
    <w:rsid w:val="49A81F15"/>
    <w:rsid w:val="49AD702E"/>
    <w:rsid w:val="49B07C49"/>
    <w:rsid w:val="49B24B36"/>
    <w:rsid w:val="49BA3A93"/>
    <w:rsid w:val="49BC5080"/>
    <w:rsid w:val="49BD004C"/>
    <w:rsid w:val="49BD1576"/>
    <w:rsid w:val="49BE7C01"/>
    <w:rsid w:val="49BF6B4D"/>
    <w:rsid w:val="49C3061F"/>
    <w:rsid w:val="49C97028"/>
    <w:rsid w:val="49CA5515"/>
    <w:rsid w:val="49D217A3"/>
    <w:rsid w:val="49DA5740"/>
    <w:rsid w:val="49DB093F"/>
    <w:rsid w:val="49DC0B0E"/>
    <w:rsid w:val="49DE64CC"/>
    <w:rsid w:val="49E05A1E"/>
    <w:rsid w:val="49E13015"/>
    <w:rsid w:val="49E4389B"/>
    <w:rsid w:val="49EC0B96"/>
    <w:rsid w:val="49EF6136"/>
    <w:rsid w:val="49F00F52"/>
    <w:rsid w:val="49F6497E"/>
    <w:rsid w:val="49FD72CF"/>
    <w:rsid w:val="4A082F2D"/>
    <w:rsid w:val="4A112DBB"/>
    <w:rsid w:val="4A122E59"/>
    <w:rsid w:val="4A235C8A"/>
    <w:rsid w:val="4A292935"/>
    <w:rsid w:val="4A2E6BA5"/>
    <w:rsid w:val="4A327D39"/>
    <w:rsid w:val="4A33120A"/>
    <w:rsid w:val="4A35109E"/>
    <w:rsid w:val="4A360ACF"/>
    <w:rsid w:val="4A377A65"/>
    <w:rsid w:val="4A385EDB"/>
    <w:rsid w:val="4A397CF0"/>
    <w:rsid w:val="4A3D4835"/>
    <w:rsid w:val="4A3E5075"/>
    <w:rsid w:val="4A3E5F17"/>
    <w:rsid w:val="4A471EB8"/>
    <w:rsid w:val="4A49367A"/>
    <w:rsid w:val="4A49431D"/>
    <w:rsid w:val="4A49683C"/>
    <w:rsid w:val="4A4A7180"/>
    <w:rsid w:val="4A4B7E78"/>
    <w:rsid w:val="4A4D16C6"/>
    <w:rsid w:val="4A58343D"/>
    <w:rsid w:val="4A5A367D"/>
    <w:rsid w:val="4A5A6DF6"/>
    <w:rsid w:val="4A64750C"/>
    <w:rsid w:val="4A7C3BA7"/>
    <w:rsid w:val="4A8C7C76"/>
    <w:rsid w:val="4A9326C8"/>
    <w:rsid w:val="4A981849"/>
    <w:rsid w:val="4AA81A72"/>
    <w:rsid w:val="4AA91EEB"/>
    <w:rsid w:val="4AAB34BB"/>
    <w:rsid w:val="4AAE3001"/>
    <w:rsid w:val="4AAF54B1"/>
    <w:rsid w:val="4AB00AB1"/>
    <w:rsid w:val="4AB26985"/>
    <w:rsid w:val="4AB838E8"/>
    <w:rsid w:val="4ABE4768"/>
    <w:rsid w:val="4AC07A88"/>
    <w:rsid w:val="4AC34B56"/>
    <w:rsid w:val="4AC866A3"/>
    <w:rsid w:val="4ACA2D1B"/>
    <w:rsid w:val="4AD056CA"/>
    <w:rsid w:val="4AD25834"/>
    <w:rsid w:val="4AD31BF7"/>
    <w:rsid w:val="4AD85CF3"/>
    <w:rsid w:val="4AE12695"/>
    <w:rsid w:val="4AE5063F"/>
    <w:rsid w:val="4AEA3ECE"/>
    <w:rsid w:val="4AEB4287"/>
    <w:rsid w:val="4AF201D5"/>
    <w:rsid w:val="4AF404FD"/>
    <w:rsid w:val="4AF51769"/>
    <w:rsid w:val="4AF67715"/>
    <w:rsid w:val="4AF87CD0"/>
    <w:rsid w:val="4AFA2105"/>
    <w:rsid w:val="4AFD1ED3"/>
    <w:rsid w:val="4B052044"/>
    <w:rsid w:val="4B124BB6"/>
    <w:rsid w:val="4B162370"/>
    <w:rsid w:val="4B1969EA"/>
    <w:rsid w:val="4B1E3E9D"/>
    <w:rsid w:val="4B2373E8"/>
    <w:rsid w:val="4B247B19"/>
    <w:rsid w:val="4B28699B"/>
    <w:rsid w:val="4B2B0B52"/>
    <w:rsid w:val="4B30654A"/>
    <w:rsid w:val="4B313770"/>
    <w:rsid w:val="4B320132"/>
    <w:rsid w:val="4B337729"/>
    <w:rsid w:val="4B371995"/>
    <w:rsid w:val="4B37776E"/>
    <w:rsid w:val="4B3C7520"/>
    <w:rsid w:val="4B3E2172"/>
    <w:rsid w:val="4B415F6D"/>
    <w:rsid w:val="4B53794C"/>
    <w:rsid w:val="4B5847DE"/>
    <w:rsid w:val="4B5C6F5D"/>
    <w:rsid w:val="4B5F2399"/>
    <w:rsid w:val="4B742639"/>
    <w:rsid w:val="4B77290E"/>
    <w:rsid w:val="4B7F43C2"/>
    <w:rsid w:val="4B8244EA"/>
    <w:rsid w:val="4B8678DE"/>
    <w:rsid w:val="4B8938A4"/>
    <w:rsid w:val="4B8A6570"/>
    <w:rsid w:val="4B8D47A7"/>
    <w:rsid w:val="4B8E31F5"/>
    <w:rsid w:val="4B947A37"/>
    <w:rsid w:val="4B990B42"/>
    <w:rsid w:val="4BA21CED"/>
    <w:rsid w:val="4BA47014"/>
    <w:rsid w:val="4BA56AD4"/>
    <w:rsid w:val="4BA95FB8"/>
    <w:rsid w:val="4BAA137B"/>
    <w:rsid w:val="4BAA58CE"/>
    <w:rsid w:val="4BB560F4"/>
    <w:rsid w:val="4BB64CD0"/>
    <w:rsid w:val="4BBF2974"/>
    <w:rsid w:val="4BC12085"/>
    <w:rsid w:val="4BC41A56"/>
    <w:rsid w:val="4BC774AF"/>
    <w:rsid w:val="4BC859C1"/>
    <w:rsid w:val="4BD40AAB"/>
    <w:rsid w:val="4BDC6B42"/>
    <w:rsid w:val="4BDE13D1"/>
    <w:rsid w:val="4BE50C4F"/>
    <w:rsid w:val="4BE84CBE"/>
    <w:rsid w:val="4BEB2C94"/>
    <w:rsid w:val="4BF1099C"/>
    <w:rsid w:val="4BF54CBC"/>
    <w:rsid w:val="4BF623B0"/>
    <w:rsid w:val="4BF86D6D"/>
    <w:rsid w:val="4BFB0607"/>
    <w:rsid w:val="4C0007D3"/>
    <w:rsid w:val="4C00522E"/>
    <w:rsid w:val="4C0424D5"/>
    <w:rsid w:val="4C0513A3"/>
    <w:rsid w:val="4C051F8F"/>
    <w:rsid w:val="4C08466C"/>
    <w:rsid w:val="4C085165"/>
    <w:rsid w:val="4C0A7829"/>
    <w:rsid w:val="4C12207D"/>
    <w:rsid w:val="4C1471C6"/>
    <w:rsid w:val="4C152CAE"/>
    <w:rsid w:val="4C1604D1"/>
    <w:rsid w:val="4C27778C"/>
    <w:rsid w:val="4C28045F"/>
    <w:rsid w:val="4C2C13E7"/>
    <w:rsid w:val="4C2F0A45"/>
    <w:rsid w:val="4C31433D"/>
    <w:rsid w:val="4C336E28"/>
    <w:rsid w:val="4C353FDB"/>
    <w:rsid w:val="4C3F1A17"/>
    <w:rsid w:val="4C3F668A"/>
    <w:rsid w:val="4C4125D9"/>
    <w:rsid w:val="4C4135CF"/>
    <w:rsid w:val="4C4437AE"/>
    <w:rsid w:val="4C485101"/>
    <w:rsid w:val="4C4E5B23"/>
    <w:rsid w:val="4C50471A"/>
    <w:rsid w:val="4C534C86"/>
    <w:rsid w:val="4C5D11D7"/>
    <w:rsid w:val="4C5E3199"/>
    <w:rsid w:val="4C5E6ACF"/>
    <w:rsid w:val="4C601E66"/>
    <w:rsid w:val="4C6A7D23"/>
    <w:rsid w:val="4C6B2FE2"/>
    <w:rsid w:val="4C787885"/>
    <w:rsid w:val="4C7B733C"/>
    <w:rsid w:val="4C7E409F"/>
    <w:rsid w:val="4C807EFC"/>
    <w:rsid w:val="4C831751"/>
    <w:rsid w:val="4C921493"/>
    <w:rsid w:val="4C96075E"/>
    <w:rsid w:val="4C960838"/>
    <w:rsid w:val="4CA86958"/>
    <w:rsid w:val="4CAD3C29"/>
    <w:rsid w:val="4CB210AA"/>
    <w:rsid w:val="4CB4376C"/>
    <w:rsid w:val="4CBC5D55"/>
    <w:rsid w:val="4CBD0B1F"/>
    <w:rsid w:val="4CC22A4A"/>
    <w:rsid w:val="4CC351E2"/>
    <w:rsid w:val="4CC64FB8"/>
    <w:rsid w:val="4CCA40FA"/>
    <w:rsid w:val="4CD2789C"/>
    <w:rsid w:val="4CD34FFD"/>
    <w:rsid w:val="4CD945DE"/>
    <w:rsid w:val="4CE601DA"/>
    <w:rsid w:val="4CE87889"/>
    <w:rsid w:val="4CEC2152"/>
    <w:rsid w:val="4CED710E"/>
    <w:rsid w:val="4CF17AA4"/>
    <w:rsid w:val="4CF87AFD"/>
    <w:rsid w:val="4CFF1A66"/>
    <w:rsid w:val="4D003857"/>
    <w:rsid w:val="4D05521E"/>
    <w:rsid w:val="4D065E39"/>
    <w:rsid w:val="4D076FF3"/>
    <w:rsid w:val="4D08414A"/>
    <w:rsid w:val="4D092506"/>
    <w:rsid w:val="4D0D7B68"/>
    <w:rsid w:val="4D0F0B7D"/>
    <w:rsid w:val="4D1E10A4"/>
    <w:rsid w:val="4D200666"/>
    <w:rsid w:val="4D2F3665"/>
    <w:rsid w:val="4D387556"/>
    <w:rsid w:val="4D3A7012"/>
    <w:rsid w:val="4D3D19D7"/>
    <w:rsid w:val="4D451508"/>
    <w:rsid w:val="4D47346B"/>
    <w:rsid w:val="4D495DF4"/>
    <w:rsid w:val="4D581CBD"/>
    <w:rsid w:val="4D69316A"/>
    <w:rsid w:val="4D7234EB"/>
    <w:rsid w:val="4D77007F"/>
    <w:rsid w:val="4D785A58"/>
    <w:rsid w:val="4D84736B"/>
    <w:rsid w:val="4D853E44"/>
    <w:rsid w:val="4D8744C7"/>
    <w:rsid w:val="4D8B0D5C"/>
    <w:rsid w:val="4D970124"/>
    <w:rsid w:val="4D992749"/>
    <w:rsid w:val="4DC2477B"/>
    <w:rsid w:val="4DC37AAD"/>
    <w:rsid w:val="4DCA410A"/>
    <w:rsid w:val="4DCF4404"/>
    <w:rsid w:val="4DD03A81"/>
    <w:rsid w:val="4DDE3DDB"/>
    <w:rsid w:val="4DE1012A"/>
    <w:rsid w:val="4DE56472"/>
    <w:rsid w:val="4DEA16B8"/>
    <w:rsid w:val="4DEB3178"/>
    <w:rsid w:val="4DED3E9B"/>
    <w:rsid w:val="4DF17ECD"/>
    <w:rsid w:val="4DF65554"/>
    <w:rsid w:val="4DFA077E"/>
    <w:rsid w:val="4DFC1243"/>
    <w:rsid w:val="4DFF6FBA"/>
    <w:rsid w:val="4E02229A"/>
    <w:rsid w:val="4E0710C2"/>
    <w:rsid w:val="4E121FED"/>
    <w:rsid w:val="4E132BF4"/>
    <w:rsid w:val="4E162BA9"/>
    <w:rsid w:val="4E1B7B7B"/>
    <w:rsid w:val="4E1E0460"/>
    <w:rsid w:val="4E1F2098"/>
    <w:rsid w:val="4E217883"/>
    <w:rsid w:val="4E231FB4"/>
    <w:rsid w:val="4E245FCD"/>
    <w:rsid w:val="4E2A37D7"/>
    <w:rsid w:val="4E2C0F3C"/>
    <w:rsid w:val="4E2E094F"/>
    <w:rsid w:val="4E2F4F0E"/>
    <w:rsid w:val="4E367870"/>
    <w:rsid w:val="4E3F0D8B"/>
    <w:rsid w:val="4E452F68"/>
    <w:rsid w:val="4E4C7EF8"/>
    <w:rsid w:val="4E4D75CC"/>
    <w:rsid w:val="4E4F602D"/>
    <w:rsid w:val="4E521DCC"/>
    <w:rsid w:val="4E563A79"/>
    <w:rsid w:val="4E5D37BF"/>
    <w:rsid w:val="4E5E7854"/>
    <w:rsid w:val="4E60113A"/>
    <w:rsid w:val="4E6F2203"/>
    <w:rsid w:val="4E7C40A4"/>
    <w:rsid w:val="4E8267E7"/>
    <w:rsid w:val="4E826B8B"/>
    <w:rsid w:val="4E915C83"/>
    <w:rsid w:val="4E920755"/>
    <w:rsid w:val="4E980798"/>
    <w:rsid w:val="4E9A5427"/>
    <w:rsid w:val="4E9A7B73"/>
    <w:rsid w:val="4E9E6AA4"/>
    <w:rsid w:val="4EA14672"/>
    <w:rsid w:val="4EA244DC"/>
    <w:rsid w:val="4EA3784C"/>
    <w:rsid w:val="4EB951BF"/>
    <w:rsid w:val="4EBB7642"/>
    <w:rsid w:val="4EBF5352"/>
    <w:rsid w:val="4EBF6B54"/>
    <w:rsid w:val="4EC0678A"/>
    <w:rsid w:val="4EC16EB7"/>
    <w:rsid w:val="4EC519C0"/>
    <w:rsid w:val="4EC935CE"/>
    <w:rsid w:val="4ECD2EF2"/>
    <w:rsid w:val="4ED11C95"/>
    <w:rsid w:val="4ED15594"/>
    <w:rsid w:val="4EDC019B"/>
    <w:rsid w:val="4EDD798C"/>
    <w:rsid w:val="4EE27137"/>
    <w:rsid w:val="4EEB6A39"/>
    <w:rsid w:val="4EF00A24"/>
    <w:rsid w:val="4EF44D23"/>
    <w:rsid w:val="4EF844EA"/>
    <w:rsid w:val="4EFB744F"/>
    <w:rsid w:val="4EFC3112"/>
    <w:rsid w:val="4EFD1701"/>
    <w:rsid w:val="4EFF66FB"/>
    <w:rsid w:val="4F040683"/>
    <w:rsid w:val="4F0F42E7"/>
    <w:rsid w:val="4F130C17"/>
    <w:rsid w:val="4F1530D8"/>
    <w:rsid w:val="4F166D4A"/>
    <w:rsid w:val="4F1D2EA8"/>
    <w:rsid w:val="4F270D2D"/>
    <w:rsid w:val="4F2737C5"/>
    <w:rsid w:val="4F31723C"/>
    <w:rsid w:val="4F340C63"/>
    <w:rsid w:val="4F3E1BA7"/>
    <w:rsid w:val="4F4A46C8"/>
    <w:rsid w:val="4F527868"/>
    <w:rsid w:val="4F632282"/>
    <w:rsid w:val="4F6709AC"/>
    <w:rsid w:val="4F6D642E"/>
    <w:rsid w:val="4F6F762E"/>
    <w:rsid w:val="4F74283C"/>
    <w:rsid w:val="4F767689"/>
    <w:rsid w:val="4F7E7397"/>
    <w:rsid w:val="4F9172C3"/>
    <w:rsid w:val="4F926827"/>
    <w:rsid w:val="4F92779E"/>
    <w:rsid w:val="4F98633D"/>
    <w:rsid w:val="4FA4623D"/>
    <w:rsid w:val="4FA86461"/>
    <w:rsid w:val="4FAA16EE"/>
    <w:rsid w:val="4FAB620C"/>
    <w:rsid w:val="4FB01B33"/>
    <w:rsid w:val="4FB25D36"/>
    <w:rsid w:val="4FB55FF8"/>
    <w:rsid w:val="4FC43323"/>
    <w:rsid w:val="4FCF79B6"/>
    <w:rsid w:val="4FD33566"/>
    <w:rsid w:val="4FDF4F74"/>
    <w:rsid w:val="4FE06869"/>
    <w:rsid w:val="4FE10AE9"/>
    <w:rsid w:val="4FE716C0"/>
    <w:rsid w:val="4FE87012"/>
    <w:rsid w:val="4FE9200A"/>
    <w:rsid w:val="4FF42752"/>
    <w:rsid w:val="4FF67560"/>
    <w:rsid w:val="4FF87BDA"/>
    <w:rsid w:val="4FFD4205"/>
    <w:rsid w:val="4FFF5603"/>
    <w:rsid w:val="500035DB"/>
    <w:rsid w:val="500117A6"/>
    <w:rsid w:val="50020B50"/>
    <w:rsid w:val="500554BB"/>
    <w:rsid w:val="50082791"/>
    <w:rsid w:val="500A21E7"/>
    <w:rsid w:val="5010424F"/>
    <w:rsid w:val="50153705"/>
    <w:rsid w:val="502318E5"/>
    <w:rsid w:val="502456DC"/>
    <w:rsid w:val="502913D8"/>
    <w:rsid w:val="50297A86"/>
    <w:rsid w:val="502E1C8A"/>
    <w:rsid w:val="502E37C2"/>
    <w:rsid w:val="5032028D"/>
    <w:rsid w:val="50334005"/>
    <w:rsid w:val="503E77A0"/>
    <w:rsid w:val="504967D4"/>
    <w:rsid w:val="504C56EA"/>
    <w:rsid w:val="50523597"/>
    <w:rsid w:val="50537E95"/>
    <w:rsid w:val="50583896"/>
    <w:rsid w:val="50585CC6"/>
    <w:rsid w:val="5059113E"/>
    <w:rsid w:val="50614DAC"/>
    <w:rsid w:val="506871A6"/>
    <w:rsid w:val="506B39C8"/>
    <w:rsid w:val="506F781F"/>
    <w:rsid w:val="50757758"/>
    <w:rsid w:val="507E4835"/>
    <w:rsid w:val="5080549C"/>
    <w:rsid w:val="50807FAC"/>
    <w:rsid w:val="508159F6"/>
    <w:rsid w:val="50841FF1"/>
    <w:rsid w:val="50962FF2"/>
    <w:rsid w:val="50984F92"/>
    <w:rsid w:val="509E4F4D"/>
    <w:rsid w:val="50A05669"/>
    <w:rsid w:val="50A07C67"/>
    <w:rsid w:val="50AC4DAF"/>
    <w:rsid w:val="50B54D9E"/>
    <w:rsid w:val="50B568B9"/>
    <w:rsid w:val="50B926E0"/>
    <w:rsid w:val="50C069B4"/>
    <w:rsid w:val="50C479A8"/>
    <w:rsid w:val="50D05C0A"/>
    <w:rsid w:val="50D101AA"/>
    <w:rsid w:val="50D6330E"/>
    <w:rsid w:val="50D71075"/>
    <w:rsid w:val="50DD3010"/>
    <w:rsid w:val="50E32A6C"/>
    <w:rsid w:val="50E93B81"/>
    <w:rsid w:val="510530E4"/>
    <w:rsid w:val="510D3CD7"/>
    <w:rsid w:val="51161C4E"/>
    <w:rsid w:val="511848E8"/>
    <w:rsid w:val="511A2EBF"/>
    <w:rsid w:val="51200A2D"/>
    <w:rsid w:val="51205736"/>
    <w:rsid w:val="51242D1A"/>
    <w:rsid w:val="51275130"/>
    <w:rsid w:val="512E0BB1"/>
    <w:rsid w:val="51332596"/>
    <w:rsid w:val="51332793"/>
    <w:rsid w:val="51360B87"/>
    <w:rsid w:val="513938C9"/>
    <w:rsid w:val="51394095"/>
    <w:rsid w:val="513A2A02"/>
    <w:rsid w:val="513E3F26"/>
    <w:rsid w:val="51401058"/>
    <w:rsid w:val="51415E8D"/>
    <w:rsid w:val="514C1FED"/>
    <w:rsid w:val="514E5AEA"/>
    <w:rsid w:val="5156081F"/>
    <w:rsid w:val="515768DE"/>
    <w:rsid w:val="515C5A7F"/>
    <w:rsid w:val="51600E24"/>
    <w:rsid w:val="51602B30"/>
    <w:rsid w:val="51657342"/>
    <w:rsid w:val="516B614C"/>
    <w:rsid w:val="516D2A04"/>
    <w:rsid w:val="51707B49"/>
    <w:rsid w:val="51722A42"/>
    <w:rsid w:val="5173706F"/>
    <w:rsid w:val="51774780"/>
    <w:rsid w:val="518358F0"/>
    <w:rsid w:val="51853637"/>
    <w:rsid w:val="518731F0"/>
    <w:rsid w:val="518A2050"/>
    <w:rsid w:val="518D1F26"/>
    <w:rsid w:val="519E2B14"/>
    <w:rsid w:val="51A055DC"/>
    <w:rsid w:val="51A647D1"/>
    <w:rsid w:val="51AA5DE3"/>
    <w:rsid w:val="51AC6764"/>
    <w:rsid w:val="51AD4B3B"/>
    <w:rsid w:val="51B52056"/>
    <w:rsid w:val="51B74F5A"/>
    <w:rsid w:val="51C36CCB"/>
    <w:rsid w:val="51C471B1"/>
    <w:rsid w:val="51CA613D"/>
    <w:rsid w:val="51DB1C8D"/>
    <w:rsid w:val="51E82B6A"/>
    <w:rsid w:val="51E83ED9"/>
    <w:rsid w:val="51EA1F81"/>
    <w:rsid w:val="51EA4CB0"/>
    <w:rsid w:val="51EC1D13"/>
    <w:rsid w:val="51EE435D"/>
    <w:rsid w:val="52000617"/>
    <w:rsid w:val="520A4783"/>
    <w:rsid w:val="520C18A6"/>
    <w:rsid w:val="520D4FCD"/>
    <w:rsid w:val="520E4EF5"/>
    <w:rsid w:val="520E792B"/>
    <w:rsid w:val="520F69D2"/>
    <w:rsid w:val="52100041"/>
    <w:rsid w:val="521072FC"/>
    <w:rsid w:val="52145799"/>
    <w:rsid w:val="521570C5"/>
    <w:rsid w:val="521D24AF"/>
    <w:rsid w:val="521F573E"/>
    <w:rsid w:val="52242841"/>
    <w:rsid w:val="52277D53"/>
    <w:rsid w:val="522B352E"/>
    <w:rsid w:val="522F41A9"/>
    <w:rsid w:val="52334459"/>
    <w:rsid w:val="52371585"/>
    <w:rsid w:val="52391DA6"/>
    <w:rsid w:val="523E6D57"/>
    <w:rsid w:val="52417FCE"/>
    <w:rsid w:val="52474E72"/>
    <w:rsid w:val="52517014"/>
    <w:rsid w:val="52557558"/>
    <w:rsid w:val="525E1819"/>
    <w:rsid w:val="525E2FC1"/>
    <w:rsid w:val="52614BA6"/>
    <w:rsid w:val="52656D4B"/>
    <w:rsid w:val="52690A8A"/>
    <w:rsid w:val="526B5D56"/>
    <w:rsid w:val="52702CC3"/>
    <w:rsid w:val="52742C67"/>
    <w:rsid w:val="52772838"/>
    <w:rsid w:val="527C0553"/>
    <w:rsid w:val="5285323E"/>
    <w:rsid w:val="528B1A7B"/>
    <w:rsid w:val="528B6909"/>
    <w:rsid w:val="528C47CF"/>
    <w:rsid w:val="528F7C18"/>
    <w:rsid w:val="52994479"/>
    <w:rsid w:val="529C787B"/>
    <w:rsid w:val="529F4903"/>
    <w:rsid w:val="52A10144"/>
    <w:rsid w:val="52A118F2"/>
    <w:rsid w:val="52A31916"/>
    <w:rsid w:val="52A62910"/>
    <w:rsid w:val="52AC196F"/>
    <w:rsid w:val="52BB751E"/>
    <w:rsid w:val="52BF0C6B"/>
    <w:rsid w:val="52BF7616"/>
    <w:rsid w:val="52D302DE"/>
    <w:rsid w:val="52D675F5"/>
    <w:rsid w:val="52DB1A4A"/>
    <w:rsid w:val="52DB37D2"/>
    <w:rsid w:val="52E112D6"/>
    <w:rsid w:val="52ED0DE3"/>
    <w:rsid w:val="52EF771A"/>
    <w:rsid w:val="52F23609"/>
    <w:rsid w:val="52F44785"/>
    <w:rsid w:val="52F703D5"/>
    <w:rsid w:val="52F725D3"/>
    <w:rsid w:val="53155FA7"/>
    <w:rsid w:val="53171F82"/>
    <w:rsid w:val="53243A84"/>
    <w:rsid w:val="532C2893"/>
    <w:rsid w:val="532E7557"/>
    <w:rsid w:val="53315C4B"/>
    <w:rsid w:val="533A00AA"/>
    <w:rsid w:val="533C7D22"/>
    <w:rsid w:val="534255BD"/>
    <w:rsid w:val="53476182"/>
    <w:rsid w:val="534F7E64"/>
    <w:rsid w:val="53575365"/>
    <w:rsid w:val="53582DCC"/>
    <w:rsid w:val="5359399F"/>
    <w:rsid w:val="5363236E"/>
    <w:rsid w:val="536F51A3"/>
    <w:rsid w:val="537321AC"/>
    <w:rsid w:val="53743ED1"/>
    <w:rsid w:val="53747AB0"/>
    <w:rsid w:val="53752E08"/>
    <w:rsid w:val="537D120F"/>
    <w:rsid w:val="53854B12"/>
    <w:rsid w:val="53920585"/>
    <w:rsid w:val="53961157"/>
    <w:rsid w:val="5396301E"/>
    <w:rsid w:val="539831F9"/>
    <w:rsid w:val="539A41B3"/>
    <w:rsid w:val="53A10FF9"/>
    <w:rsid w:val="53A40DD8"/>
    <w:rsid w:val="53A87319"/>
    <w:rsid w:val="53AA17A9"/>
    <w:rsid w:val="53B842AC"/>
    <w:rsid w:val="53BB5C95"/>
    <w:rsid w:val="53BE5711"/>
    <w:rsid w:val="53C075E6"/>
    <w:rsid w:val="53C42C43"/>
    <w:rsid w:val="53C5766A"/>
    <w:rsid w:val="53C579BC"/>
    <w:rsid w:val="53CB12B0"/>
    <w:rsid w:val="53DA26B0"/>
    <w:rsid w:val="53E62F2C"/>
    <w:rsid w:val="53EC1ECF"/>
    <w:rsid w:val="53F0400A"/>
    <w:rsid w:val="53F74AF6"/>
    <w:rsid w:val="53FD311C"/>
    <w:rsid w:val="53FD3B90"/>
    <w:rsid w:val="54084EF7"/>
    <w:rsid w:val="540A305C"/>
    <w:rsid w:val="5410110C"/>
    <w:rsid w:val="54131912"/>
    <w:rsid w:val="54196D00"/>
    <w:rsid w:val="541C1529"/>
    <w:rsid w:val="54222228"/>
    <w:rsid w:val="5422763A"/>
    <w:rsid w:val="542A4CF1"/>
    <w:rsid w:val="54393B83"/>
    <w:rsid w:val="544615CD"/>
    <w:rsid w:val="54500CBA"/>
    <w:rsid w:val="54510C43"/>
    <w:rsid w:val="54517EF0"/>
    <w:rsid w:val="54521272"/>
    <w:rsid w:val="54521A63"/>
    <w:rsid w:val="545346E9"/>
    <w:rsid w:val="54544C97"/>
    <w:rsid w:val="5456526D"/>
    <w:rsid w:val="545E3D46"/>
    <w:rsid w:val="546135C3"/>
    <w:rsid w:val="546B3A7C"/>
    <w:rsid w:val="546E71A0"/>
    <w:rsid w:val="547145DD"/>
    <w:rsid w:val="547609DD"/>
    <w:rsid w:val="547A42E0"/>
    <w:rsid w:val="547B5D3D"/>
    <w:rsid w:val="54805EAC"/>
    <w:rsid w:val="5482587D"/>
    <w:rsid w:val="548341C1"/>
    <w:rsid w:val="5484104F"/>
    <w:rsid w:val="54886400"/>
    <w:rsid w:val="548F2152"/>
    <w:rsid w:val="54922940"/>
    <w:rsid w:val="54923C71"/>
    <w:rsid w:val="549A6D07"/>
    <w:rsid w:val="54A6749B"/>
    <w:rsid w:val="54A75B90"/>
    <w:rsid w:val="54AE280E"/>
    <w:rsid w:val="54B3060F"/>
    <w:rsid w:val="54B40DB1"/>
    <w:rsid w:val="54B4518C"/>
    <w:rsid w:val="54B95A1A"/>
    <w:rsid w:val="54BC1B48"/>
    <w:rsid w:val="54C23274"/>
    <w:rsid w:val="54D26341"/>
    <w:rsid w:val="54D45BC4"/>
    <w:rsid w:val="54DB49C4"/>
    <w:rsid w:val="54DC1C2B"/>
    <w:rsid w:val="54DE1184"/>
    <w:rsid w:val="54DE3FA8"/>
    <w:rsid w:val="54DE7576"/>
    <w:rsid w:val="54E212F4"/>
    <w:rsid w:val="54E92EA3"/>
    <w:rsid w:val="54FB018C"/>
    <w:rsid w:val="550109C1"/>
    <w:rsid w:val="55054110"/>
    <w:rsid w:val="5508132B"/>
    <w:rsid w:val="55100B6A"/>
    <w:rsid w:val="55122FCC"/>
    <w:rsid w:val="55131049"/>
    <w:rsid w:val="55164C9A"/>
    <w:rsid w:val="551A15C6"/>
    <w:rsid w:val="551F2C7C"/>
    <w:rsid w:val="552F12F5"/>
    <w:rsid w:val="553A18C8"/>
    <w:rsid w:val="553C29B5"/>
    <w:rsid w:val="553F43DA"/>
    <w:rsid w:val="5546256D"/>
    <w:rsid w:val="554F3BDB"/>
    <w:rsid w:val="555946AB"/>
    <w:rsid w:val="555A6823"/>
    <w:rsid w:val="555C3C55"/>
    <w:rsid w:val="555C3E9A"/>
    <w:rsid w:val="556100F8"/>
    <w:rsid w:val="55627B08"/>
    <w:rsid w:val="55640CA7"/>
    <w:rsid w:val="5565088E"/>
    <w:rsid w:val="556D2C0F"/>
    <w:rsid w:val="556F7375"/>
    <w:rsid w:val="55721481"/>
    <w:rsid w:val="5579157E"/>
    <w:rsid w:val="5580275A"/>
    <w:rsid w:val="55825113"/>
    <w:rsid w:val="558D4E8E"/>
    <w:rsid w:val="55911E19"/>
    <w:rsid w:val="559601F5"/>
    <w:rsid w:val="559B253D"/>
    <w:rsid w:val="559E2967"/>
    <w:rsid w:val="559E4806"/>
    <w:rsid w:val="559F620B"/>
    <w:rsid w:val="55A03621"/>
    <w:rsid w:val="55A17B91"/>
    <w:rsid w:val="55A90FF1"/>
    <w:rsid w:val="55AD5540"/>
    <w:rsid w:val="55B00076"/>
    <w:rsid w:val="55BB3061"/>
    <w:rsid w:val="55C14F5E"/>
    <w:rsid w:val="55C37CDE"/>
    <w:rsid w:val="55C86BE5"/>
    <w:rsid w:val="55CC4F51"/>
    <w:rsid w:val="55D22539"/>
    <w:rsid w:val="55D911AB"/>
    <w:rsid w:val="55E34C3E"/>
    <w:rsid w:val="55E53845"/>
    <w:rsid w:val="55E61A70"/>
    <w:rsid w:val="55F720C6"/>
    <w:rsid w:val="5607285D"/>
    <w:rsid w:val="560C76EF"/>
    <w:rsid w:val="560F2F20"/>
    <w:rsid w:val="56120991"/>
    <w:rsid w:val="56191274"/>
    <w:rsid w:val="562D50DC"/>
    <w:rsid w:val="563D46B2"/>
    <w:rsid w:val="563E096D"/>
    <w:rsid w:val="56457704"/>
    <w:rsid w:val="564725B8"/>
    <w:rsid w:val="5648287B"/>
    <w:rsid w:val="5658153C"/>
    <w:rsid w:val="56583516"/>
    <w:rsid w:val="5660510F"/>
    <w:rsid w:val="5661649D"/>
    <w:rsid w:val="56665134"/>
    <w:rsid w:val="5667179F"/>
    <w:rsid w:val="5669552B"/>
    <w:rsid w:val="56710CA7"/>
    <w:rsid w:val="56756FEE"/>
    <w:rsid w:val="56765625"/>
    <w:rsid w:val="567A14B2"/>
    <w:rsid w:val="567B663A"/>
    <w:rsid w:val="567E1AA5"/>
    <w:rsid w:val="568A7075"/>
    <w:rsid w:val="568B0655"/>
    <w:rsid w:val="568F6105"/>
    <w:rsid w:val="569340BF"/>
    <w:rsid w:val="569B0445"/>
    <w:rsid w:val="569D7032"/>
    <w:rsid w:val="56A26CA4"/>
    <w:rsid w:val="56A769A9"/>
    <w:rsid w:val="56A90163"/>
    <w:rsid w:val="56AC09F4"/>
    <w:rsid w:val="56AD22B9"/>
    <w:rsid w:val="56BA554A"/>
    <w:rsid w:val="56BE0175"/>
    <w:rsid w:val="56C41E5B"/>
    <w:rsid w:val="56C768C1"/>
    <w:rsid w:val="56CA40F1"/>
    <w:rsid w:val="56CB20C5"/>
    <w:rsid w:val="56CF17A9"/>
    <w:rsid w:val="56D94BE3"/>
    <w:rsid w:val="56DB73FE"/>
    <w:rsid w:val="56DE774E"/>
    <w:rsid w:val="56E90F5B"/>
    <w:rsid w:val="56EB73E7"/>
    <w:rsid w:val="56EC3073"/>
    <w:rsid w:val="56ED3AE9"/>
    <w:rsid w:val="56ED5EE9"/>
    <w:rsid w:val="56EF6AA9"/>
    <w:rsid w:val="56F232A6"/>
    <w:rsid w:val="56FA587C"/>
    <w:rsid w:val="56FB3DE8"/>
    <w:rsid w:val="570C319C"/>
    <w:rsid w:val="57101D0B"/>
    <w:rsid w:val="57131037"/>
    <w:rsid w:val="57141600"/>
    <w:rsid w:val="571937B3"/>
    <w:rsid w:val="57263372"/>
    <w:rsid w:val="573556C2"/>
    <w:rsid w:val="574216EE"/>
    <w:rsid w:val="5752074F"/>
    <w:rsid w:val="575632CC"/>
    <w:rsid w:val="57606F87"/>
    <w:rsid w:val="57775D5C"/>
    <w:rsid w:val="577A6D2E"/>
    <w:rsid w:val="577E0893"/>
    <w:rsid w:val="577F0575"/>
    <w:rsid w:val="57803EB1"/>
    <w:rsid w:val="57823A2C"/>
    <w:rsid w:val="57825DF0"/>
    <w:rsid w:val="578840B1"/>
    <w:rsid w:val="578A4E52"/>
    <w:rsid w:val="578C073B"/>
    <w:rsid w:val="5791572F"/>
    <w:rsid w:val="57945726"/>
    <w:rsid w:val="579D34A4"/>
    <w:rsid w:val="57A2219C"/>
    <w:rsid w:val="57AC7F76"/>
    <w:rsid w:val="57B17ABA"/>
    <w:rsid w:val="57B37249"/>
    <w:rsid w:val="57B528A1"/>
    <w:rsid w:val="57BF6AF8"/>
    <w:rsid w:val="57C44EBD"/>
    <w:rsid w:val="57C77AC1"/>
    <w:rsid w:val="57C969E3"/>
    <w:rsid w:val="57D1642E"/>
    <w:rsid w:val="57D4705D"/>
    <w:rsid w:val="57D57D2F"/>
    <w:rsid w:val="57D60714"/>
    <w:rsid w:val="57D94111"/>
    <w:rsid w:val="57DC2BAD"/>
    <w:rsid w:val="57DC415B"/>
    <w:rsid w:val="57DE5499"/>
    <w:rsid w:val="57E61254"/>
    <w:rsid w:val="57E81DF8"/>
    <w:rsid w:val="57EA69B3"/>
    <w:rsid w:val="57F15865"/>
    <w:rsid w:val="57F67D0A"/>
    <w:rsid w:val="57FC7380"/>
    <w:rsid w:val="57FF2C6E"/>
    <w:rsid w:val="580112DD"/>
    <w:rsid w:val="58057B99"/>
    <w:rsid w:val="58075662"/>
    <w:rsid w:val="580815FA"/>
    <w:rsid w:val="5808676D"/>
    <w:rsid w:val="58086ABE"/>
    <w:rsid w:val="58164CFD"/>
    <w:rsid w:val="58201D40"/>
    <w:rsid w:val="582123FD"/>
    <w:rsid w:val="583A3C22"/>
    <w:rsid w:val="58430D07"/>
    <w:rsid w:val="584326B5"/>
    <w:rsid w:val="58611D04"/>
    <w:rsid w:val="58661251"/>
    <w:rsid w:val="586846EF"/>
    <w:rsid w:val="58693168"/>
    <w:rsid w:val="586D2962"/>
    <w:rsid w:val="5872759C"/>
    <w:rsid w:val="58872F30"/>
    <w:rsid w:val="588A0234"/>
    <w:rsid w:val="588B353C"/>
    <w:rsid w:val="588B7142"/>
    <w:rsid w:val="588D1887"/>
    <w:rsid w:val="589B5B49"/>
    <w:rsid w:val="589E3418"/>
    <w:rsid w:val="58A26071"/>
    <w:rsid w:val="58A67A6A"/>
    <w:rsid w:val="58AF3175"/>
    <w:rsid w:val="58B63D82"/>
    <w:rsid w:val="58B67BEB"/>
    <w:rsid w:val="58BB1A5E"/>
    <w:rsid w:val="58C00689"/>
    <w:rsid w:val="58CC7366"/>
    <w:rsid w:val="58CF1EE7"/>
    <w:rsid w:val="58D204C9"/>
    <w:rsid w:val="58D243DC"/>
    <w:rsid w:val="58D41491"/>
    <w:rsid w:val="58DF2335"/>
    <w:rsid w:val="58E3120B"/>
    <w:rsid w:val="58ED24DC"/>
    <w:rsid w:val="58EE7F4C"/>
    <w:rsid w:val="58F46DEA"/>
    <w:rsid w:val="58FB00D8"/>
    <w:rsid w:val="58FB7105"/>
    <w:rsid w:val="590A2C45"/>
    <w:rsid w:val="590B158E"/>
    <w:rsid w:val="590C4684"/>
    <w:rsid w:val="59107FD3"/>
    <w:rsid w:val="591401BA"/>
    <w:rsid w:val="59283577"/>
    <w:rsid w:val="592C532E"/>
    <w:rsid w:val="592D4E59"/>
    <w:rsid w:val="59495D0A"/>
    <w:rsid w:val="594A0F1E"/>
    <w:rsid w:val="594A1C5A"/>
    <w:rsid w:val="594B2650"/>
    <w:rsid w:val="59550077"/>
    <w:rsid w:val="595D42F7"/>
    <w:rsid w:val="596077B9"/>
    <w:rsid w:val="59695B0E"/>
    <w:rsid w:val="5971621F"/>
    <w:rsid w:val="597900D1"/>
    <w:rsid w:val="5984766D"/>
    <w:rsid w:val="598510B4"/>
    <w:rsid w:val="59895BCC"/>
    <w:rsid w:val="598D1CE2"/>
    <w:rsid w:val="59941933"/>
    <w:rsid w:val="59A114F8"/>
    <w:rsid w:val="59A3309B"/>
    <w:rsid w:val="59A44352"/>
    <w:rsid w:val="59A51405"/>
    <w:rsid w:val="59A72F26"/>
    <w:rsid w:val="59AD460E"/>
    <w:rsid w:val="59B764D9"/>
    <w:rsid w:val="59B76767"/>
    <w:rsid w:val="59B83EF9"/>
    <w:rsid w:val="59BA7DD3"/>
    <w:rsid w:val="59BF0470"/>
    <w:rsid w:val="59C12B00"/>
    <w:rsid w:val="59C5315A"/>
    <w:rsid w:val="59C85BBA"/>
    <w:rsid w:val="59D617DC"/>
    <w:rsid w:val="59DA1A0D"/>
    <w:rsid w:val="59DF73D7"/>
    <w:rsid w:val="59E01997"/>
    <w:rsid w:val="59E3084A"/>
    <w:rsid w:val="59E663FC"/>
    <w:rsid w:val="59E94659"/>
    <w:rsid w:val="59F112FE"/>
    <w:rsid w:val="59F26158"/>
    <w:rsid w:val="59FA1FEC"/>
    <w:rsid w:val="59FC4BAE"/>
    <w:rsid w:val="59FE00A6"/>
    <w:rsid w:val="5A010301"/>
    <w:rsid w:val="5A0B62FC"/>
    <w:rsid w:val="5A0B6D6A"/>
    <w:rsid w:val="5A0C522E"/>
    <w:rsid w:val="5A127FCF"/>
    <w:rsid w:val="5A136829"/>
    <w:rsid w:val="5A143FBA"/>
    <w:rsid w:val="5A2643CB"/>
    <w:rsid w:val="5A322816"/>
    <w:rsid w:val="5A345EE7"/>
    <w:rsid w:val="5A353E54"/>
    <w:rsid w:val="5A397DDF"/>
    <w:rsid w:val="5A425696"/>
    <w:rsid w:val="5A430B3E"/>
    <w:rsid w:val="5A450D3E"/>
    <w:rsid w:val="5A4D6621"/>
    <w:rsid w:val="5A4D708A"/>
    <w:rsid w:val="5A61231C"/>
    <w:rsid w:val="5A655CE7"/>
    <w:rsid w:val="5A6D3D2C"/>
    <w:rsid w:val="5A761225"/>
    <w:rsid w:val="5A8149AF"/>
    <w:rsid w:val="5A8A4153"/>
    <w:rsid w:val="5A8F4ABF"/>
    <w:rsid w:val="5A9038A8"/>
    <w:rsid w:val="5AA17C2A"/>
    <w:rsid w:val="5AAD1584"/>
    <w:rsid w:val="5AAE6328"/>
    <w:rsid w:val="5AAF7ED4"/>
    <w:rsid w:val="5AB62857"/>
    <w:rsid w:val="5AB67988"/>
    <w:rsid w:val="5AB91724"/>
    <w:rsid w:val="5ABD72ED"/>
    <w:rsid w:val="5ABF5901"/>
    <w:rsid w:val="5ABF7D64"/>
    <w:rsid w:val="5ACA5953"/>
    <w:rsid w:val="5ACB3A4A"/>
    <w:rsid w:val="5ACF19E6"/>
    <w:rsid w:val="5AD47477"/>
    <w:rsid w:val="5ADE798F"/>
    <w:rsid w:val="5AE3217B"/>
    <w:rsid w:val="5AE57817"/>
    <w:rsid w:val="5AE60D3F"/>
    <w:rsid w:val="5AE70490"/>
    <w:rsid w:val="5AE83DF8"/>
    <w:rsid w:val="5AEB10F9"/>
    <w:rsid w:val="5AED76EB"/>
    <w:rsid w:val="5AF4717F"/>
    <w:rsid w:val="5AF50BD0"/>
    <w:rsid w:val="5B060690"/>
    <w:rsid w:val="5B06430D"/>
    <w:rsid w:val="5B0C1DEE"/>
    <w:rsid w:val="5B173253"/>
    <w:rsid w:val="5B26453F"/>
    <w:rsid w:val="5B2A49AD"/>
    <w:rsid w:val="5B3B36C3"/>
    <w:rsid w:val="5B3E35E2"/>
    <w:rsid w:val="5B43724B"/>
    <w:rsid w:val="5B445513"/>
    <w:rsid w:val="5B463D2B"/>
    <w:rsid w:val="5B476CB1"/>
    <w:rsid w:val="5B496113"/>
    <w:rsid w:val="5B557042"/>
    <w:rsid w:val="5B59062D"/>
    <w:rsid w:val="5B6451A6"/>
    <w:rsid w:val="5B75731B"/>
    <w:rsid w:val="5B7E1EB2"/>
    <w:rsid w:val="5B847D3D"/>
    <w:rsid w:val="5B861444"/>
    <w:rsid w:val="5B8A50DE"/>
    <w:rsid w:val="5B8C73EB"/>
    <w:rsid w:val="5B912B50"/>
    <w:rsid w:val="5B953ED2"/>
    <w:rsid w:val="5B993928"/>
    <w:rsid w:val="5B9955E8"/>
    <w:rsid w:val="5B9A5925"/>
    <w:rsid w:val="5B9B4306"/>
    <w:rsid w:val="5B9D27C8"/>
    <w:rsid w:val="5B9E436E"/>
    <w:rsid w:val="5BA00103"/>
    <w:rsid w:val="5BA13C73"/>
    <w:rsid w:val="5BA24838"/>
    <w:rsid w:val="5BAA0E05"/>
    <w:rsid w:val="5BB3110B"/>
    <w:rsid w:val="5BB50DF9"/>
    <w:rsid w:val="5BBC76E7"/>
    <w:rsid w:val="5BC2290D"/>
    <w:rsid w:val="5BC90992"/>
    <w:rsid w:val="5BCB2B90"/>
    <w:rsid w:val="5BD3501A"/>
    <w:rsid w:val="5BD41E0C"/>
    <w:rsid w:val="5BD81FA8"/>
    <w:rsid w:val="5BE11178"/>
    <w:rsid w:val="5BED5D88"/>
    <w:rsid w:val="5BF204A7"/>
    <w:rsid w:val="5BF53049"/>
    <w:rsid w:val="5BF53B3D"/>
    <w:rsid w:val="5BF75553"/>
    <w:rsid w:val="5BFB7164"/>
    <w:rsid w:val="5C0A6C40"/>
    <w:rsid w:val="5C0B1C47"/>
    <w:rsid w:val="5C0B2E25"/>
    <w:rsid w:val="5C17648D"/>
    <w:rsid w:val="5C1A310B"/>
    <w:rsid w:val="5C1A753A"/>
    <w:rsid w:val="5C202F01"/>
    <w:rsid w:val="5C236E8E"/>
    <w:rsid w:val="5C2737D0"/>
    <w:rsid w:val="5C2A1043"/>
    <w:rsid w:val="5C312060"/>
    <w:rsid w:val="5C3929A3"/>
    <w:rsid w:val="5C461A91"/>
    <w:rsid w:val="5C4639E1"/>
    <w:rsid w:val="5C497FA1"/>
    <w:rsid w:val="5C4A39F7"/>
    <w:rsid w:val="5C4A4BB0"/>
    <w:rsid w:val="5C4B3F8B"/>
    <w:rsid w:val="5C545A2F"/>
    <w:rsid w:val="5C55563B"/>
    <w:rsid w:val="5C583E24"/>
    <w:rsid w:val="5C60208A"/>
    <w:rsid w:val="5C66535C"/>
    <w:rsid w:val="5C6D424E"/>
    <w:rsid w:val="5C7216E8"/>
    <w:rsid w:val="5C727C32"/>
    <w:rsid w:val="5C747913"/>
    <w:rsid w:val="5C774020"/>
    <w:rsid w:val="5C7A4311"/>
    <w:rsid w:val="5C836D63"/>
    <w:rsid w:val="5C847D9F"/>
    <w:rsid w:val="5C8A0E37"/>
    <w:rsid w:val="5C93198C"/>
    <w:rsid w:val="5C9747AB"/>
    <w:rsid w:val="5C98042B"/>
    <w:rsid w:val="5C9913E2"/>
    <w:rsid w:val="5C9B4B03"/>
    <w:rsid w:val="5CA66466"/>
    <w:rsid w:val="5CA93FCD"/>
    <w:rsid w:val="5CAD630E"/>
    <w:rsid w:val="5CB33015"/>
    <w:rsid w:val="5CB46F5A"/>
    <w:rsid w:val="5CB7639B"/>
    <w:rsid w:val="5CD10E53"/>
    <w:rsid w:val="5CD8308F"/>
    <w:rsid w:val="5CD91E24"/>
    <w:rsid w:val="5CD945FC"/>
    <w:rsid w:val="5CDE0C87"/>
    <w:rsid w:val="5CDF1DCE"/>
    <w:rsid w:val="5CE33758"/>
    <w:rsid w:val="5CE96194"/>
    <w:rsid w:val="5CF319DE"/>
    <w:rsid w:val="5CF50E0C"/>
    <w:rsid w:val="5CFA2EAA"/>
    <w:rsid w:val="5CFD6A0B"/>
    <w:rsid w:val="5D041404"/>
    <w:rsid w:val="5D05702F"/>
    <w:rsid w:val="5D0819AF"/>
    <w:rsid w:val="5D0B3DB3"/>
    <w:rsid w:val="5D131B22"/>
    <w:rsid w:val="5D15609A"/>
    <w:rsid w:val="5D1C153B"/>
    <w:rsid w:val="5D1E7F8A"/>
    <w:rsid w:val="5D1F0193"/>
    <w:rsid w:val="5D243C94"/>
    <w:rsid w:val="5D246DB0"/>
    <w:rsid w:val="5D264973"/>
    <w:rsid w:val="5D283218"/>
    <w:rsid w:val="5D2A41F3"/>
    <w:rsid w:val="5D3C3250"/>
    <w:rsid w:val="5D3E70CC"/>
    <w:rsid w:val="5D412E9E"/>
    <w:rsid w:val="5D457DEB"/>
    <w:rsid w:val="5D460812"/>
    <w:rsid w:val="5D4A3623"/>
    <w:rsid w:val="5D4C2DF3"/>
    <w:rsid w:val="5D503C55"/>
    <w:rsid w:val="5D5531B4"/>
    <w:rsid w:val="5D56233C"/>
    <w:rsid w:val="5D573A29"/>
    <w:rsid w:val="5D5E4BD3"/>
    <w:rsid w:val="5D610FBA"/>
    <w:rsid w:val="5D73062F"/>
    <w:rsid w:val="5D7519FB"/>
    <w:rsid w:val="5D754359"/>
    <w:rsid w:val="5D774C0D"/>
    <w:rsid w:val="5D795F6D"/>
    <w:rsid w:val="5D7B4288"/>
    <w:rsid w:val="5D7D61FF"/>
    <w:rsid w:val="5D7E072C"/>
    <w:rsid w:val="5D7E1D51"/>
    <w:rsid w:val="5D7F5B3F"/>
    <w:rsid w:val="5D810AA5"/>
    <w:rsid w:val="5D8374DA"/>
    <w:rsid w:val="5D9043C5"/>
    <w:rsid w:val="5D917380"/>
    <w:rsid w:val="5D965880"/>
    <w:rsid w:val="5D9671E2"/>
    <w:rsid w:val="5D976281"/>
    <w:rsid w:val="5D993BA7"/>
    <w:rsid w:val="5D9F66F5"/>
    <w:rsid w:val="5DBF03EB"/>
    <w:rsid w:val="5DBF5867"/>
    <w:rsid w:val="5DC04997"/>
    <w:rsid w:val="5DC53591"/>
    <w:rsid w:val="5DC85744"/>
    <w:rsid w:val="5DCF2F34"/>
    <w:rsid w:val="5DD2534B"/>
    <w:rsid w:val="5DD26328"/>
    <w:rsid w:val="5DDB0D13"/>
    <w:rsid w:val="5DEB2A8D"/>
    <w:rsid w:val="5DEB2D6E"/>
    <w:rsid w:val="5DEE2EBF"/>
    <w:rsid w:val="5DF54EBB"/>
    <w:rsid w:val="5DF85FBA"/>
    <w:rsid w:val="5DFA6520"/>
    <w:rsid w:val="5DFB5155"/>
    <w:rsid w:val="5DFC2939"/>
    <w:rsid w:val="5E027BA8"/>
    <w:rsid w:val="5E0A0BB4"/>
    <w:rsid w:val="5E0A3A10"/>
    <w:rsid w:val="5E1F6D05"/>
    <w:rsid w:val="5E23390B"/>
    <w:rsid w:val="5E257EA9"/>
    <w:rsid w:val="5E2860C8"/>
    <w:rsid w:val="5E2A0754"/>
    <w:rsid w:val="5E2B3F5E"/>
    <w:rsid w:val="5E2D6537"/>
    <w:rsid w:val="5E384323"/>
    <w:rsid w:val="5E3B2009"/>
    <w:rsid w:val="5E3B3903"/>
    <w:rsid w:val="5E3C3CAB"/>
    <w:rsid w:val="5E3E2839"/>
    <w:rsid w:val="5E41082B"/>
    <w:rsid w:val="5E425E09"/>
    <w:rsid w:val="5E445E81"/>
    <w:rsid w:val="5E451AD3"/>
    <w:rsid w:val="5E4E3305"/>
    <w:rsid w:val="5E561E50"/>
    <w:rsid w:val="5E693A13"/>
    <w:rsid w:val="5E6D2BC6"/>
    <w:rsid w:val="5E7516A9"/>
    <w:rsid w:val="5E757973"/>
    <w:rsid w:val="5E7C5C25"/>
    <w:rsid w:val="5E850121"/>
    <w:rsid w:val="5E8641B2"/>
    <w:rsid w:val="5E8B5B78"/>
    <w:rsid w:val="5E8D40BB"/>
    <w:rsid w:val="5E912506"/>
    <w:rsid w:val="5EA0790D"/>
    <w:rsid w:val="5EA20FD9"/>
    <w:rsid w:val="5EA96EBE"/>
    <w:rsid w:val="5EAC37CE"/>
    <w:rsid w:val="5EB47C6B"/>
    <w:rsid w:val="5EB505C8"/>
    <w:rsid w:val="5EB97BFE"/>
    <w:rsid w:val="5EBB4529"/>
    <w:rsid w:val="5EBC4050"/>
    <w:rsid w:val="5EBD6D92"/>
    <w:rsid w:val="5ECE4AD3"/>
    <w:rsid w:val="5ED76757"/>
    <w:rsid w:val="5ED90A4F"/>
    <w:rsid w:val="5EDB5760"/>
    <w:rsid w:val="5EE21ABA"/>
    <w:rsid w:val="5EE337C4"/>
    <w:rsid w:val="5EE35203"/>
    <w:rsid w:val="5EF04834"/>
    <w:rsid w:val="5EF4733D"/>
    <w:rsid w:val="5EF77A28"/>
    <w:rsid w:val="5EFA508F"/>
    <w:rsid w:val="5F0D0843"/>
    <w:rsid w:val="5F1A537B"/>
    <w:rsid w:val="5F1D035A"/>
    <w:rsid w:val="5F1D3DA3"/>
    <w:rsid w:val="5F1E6215"/>
    <w:rsid w:val="5F207D18"/>
    <w:rsid w:val="5F22545D"/>
    <w:rsid w:val="5F24765D"/>
    <w:rsid w:val="5F290D15"/>
    <w:rsid w:val="5F2B466E"/>
    <w:rsid w:val="5F357BCF"/>
    <w:rsid w:val="5F381638"/>
    <w:rsid w:val="5F385194"/>
    <w:rsid w:val="5F3F29C6"/>
    <w:rsid w:val="5F4209AC"/>
    <w:rsid w:val="5F424C71"/>
    <w:rsid w:val="5F432EAB"/>
    <w:rsid w:val="5F43507C"/>
    <w:rsid w:val="5F4420C1"/>
    <w:rsid w:val="5F445380"/>
    <w:rsid w:val="5F4E1724"/>
    <w:rsid w:val="5F58372D"/>
    <w:rsid w:val="5F5C17A0"/>
    <w:rsid w:val="5F5C25B3"/>
    <w:rsid w:val="5F5C28E2"/>
    <w:rsid w:val="5F651EBB"/>
    <w:rsid w:val="5F654B11"/>
    <w:rsid w:val="5F6649D0"/>
    <w:rsid w:val="5F67640E"/>
    <w:rsid w:val="5F755CC4"/>
    <w:rsid w:val="5F7A430A"/>
    <w:rsid w:val="5F7F1015"/>
    <w:rsid w:val="5F7F18C1"/>
    <w:rsid w:val="5F8124DD"/>
    <w:rsid w:val="5F8B58BB"/>
    <w:rsid w:val="5F94225B"/>
    <w:rsid w:val="5F946AD2"/>
    <w:rsid w:val="5F9840E4"/>
    <w:rsid w:val="5FAB0881"/>
    <w:rsid w:val="5FB872AD"/>
    <w:rsid w:val="5FB91101"/>
    <w:rsid w:val="5FBA585B"/>
    <w:rsid w:val="5FC111DF"/>
    <w:rsid w:val="5FC855FC"/>
    <w:rsid w:val="5FCE4357"/>
    <w:rsid w:val="5FD6077A"/>
    <w:rsid w:val="5FD6153C"/>
    <w:rsid w:val="5FD845D7"/>
    <w:rsid w:val="5FD91EC4"/>
    <w:rsid w:val="5FDA00BB"/>
    <w:rsid w:val="5FDC6830"/>
    <w:rsid w:val="5FE3786E"/>
    <w:rsid w:val="5FE57F90"/>
    <w:rsid w:val="5FF842D2"/>
    <w:rsid w:val="5FF96B92"/>
    <w:rsid w:val="5FFF6B3B"/>
    <w:rsid w:val="60010018"/>
    <w:rsid w:val="60033EF8"/>
    <w:rsid w:val="600F5E17"/>
    <w:rsid w:val="60103832"/>
    <w:rsid w:val="6011375B"/>
    <w:rsid w:val="60141CBF"/>
    <w:rsid w:val="60170FDD"/>
    <w:rsid w:val="60172FFB"/>
    <w:rsid w:val="601A4CAC"/>
    <w:rsid w:val="6021415F"/>
    <w:rsid w:val="60273240"/>
    <w:rsid w:val="602A33E5"/>
    <w:rsid w:val="602D12EB"/>
    <w:rsid w:val="60354303"/>
    <w:rsid w:val="603546FE"/>
    <w:rsid w:val="60381E7E"/>
    <w:rsid w:val="603B39E3"/>
    <w:rsid w:val="603C6F8F"/>
    <w:rsid w:val="603D123C"/>
    <w:rsid w:val="60405096"/>
    <w:rsid w:val="60430916"/>
    <w:rsid w:val="60433F1A"/>
    <w:rsid w:val="604638DA"/>
    <w:rsid w:val="604B2C00"/>
    <w:rsid w:val="60531BBE"/>
    <w:rsid w:val="6054424F"/>
    <w:rsid w:val="60566219"/>
    <w:rsid w:val="605A2653"/>
    <w:rsid w:val="605A6759"/>
    <w:rsid w:val="605B16EF"/>
    <w:rsid w:val="606030AA"/>
    <w:rsid w:val="60605A6F"/>
    <w:rsid w:val="606C4DAE"/>
    <w:rsid w:val="607029FA"/>
    <w:rsid w:val="60743486"/>
    <w:rsid w:val="607E4BAE"/>
    <w:rsid w:val="60820079"/>
    <w:rsid w:val="60866FAA"/>
    <w:rsid w:val="608951D9"/>
    <w:rsid w:val="608A3E83"/>
    <w:rsid w:val="60911AB1"/>
    <w:rsid w:val="60914E6D"/>
    <w:rsid w:val="60997EB4"/>
    <w:rsid w:val="609C2EF0"/>
    <w:rsid w:val="609D4A67"/>
    <w:rsid w:val="60A31E12"/>
    <w:rsid w:val="60A7051F"/>
    <w:rsid w:val="60A9624A"/>
    <w:rsid w:val="60AB53BD"/>
    <w:rsid w:val="60AE1332"/>
    <w:rsid w:val="60B051E5"/>
    <w:rsid w:val="60B06382"/>
    <w:rsid w:val="60B238E8"/>
    <w:rsid w:val="60B54C11"/>
    <w:rsid w:val="60C56A58"/>
    <w:rsid w:val="60D05951"/>
    <w:rsid w:val="60E40FCB"/>
    <w:rsid w:val="60E727D0"/>
    <w:rsid w:val="60F375C4"/>
    <w:rsid w:val="60F431B6"/>
    <w:rsid w:val="60F5654C"/>
    <w:rsid w:val="60F80E08"/>
    <w:rsid w:val="60F80F7E"/>
    <w:rsid w:val="61101393"/>
    <w:rsid w:val="61140262"/>
    <w:rsid w:val="6117277E"/>
    <w:rsid w:val="6125530C"/>
    <w:rsid w:val="613624C4"/>
    <w:rsid w:val="613876CD"/>
    <w:rsid w:val="61396C80"/>
    <w:rsid w:val="613B28D7"/>
    <w:rsid w:val="613C2142"/>
    <w:rsid w:val="61411BD9"/>
    <w:rsid w:val="6144456B"/>
    <w:rsid w:val="61520F1C"/>
    <w:rsid w:val="615858BA"/>
    <w:rsid w:val="615C2A71"/>
    <w:rsid w:val="61620211"/>
    <w:rsid w:val="616273AE"/>
    <w:rsid w:val="61647FDF"/>
    <w:rsid w:val="616D3F1F"/>
    <w:rsid w:val="616F7D6C"/>
    <w:rsid w:val="617B185C"/>
    <w:rsid w:val="6182718B"/>
    <w:rsid w:val="618B6600"/>
    <w:rsid w:val="618F3B50"/>
    <w:rsid w:val="619176D1"/>
    <w:rsid w:val="619A2136"/>
    <w:rsid w:val="619B1D96"/>
    <w:rsid w:val="619E3328"/>
    <w:rsid w:val="61A31CD2"/>
    <w:rsid w:val="61A84FD3"/>
    <w:rsid w:val="61AD6547"/>
    <w:rsid w:val="61B629E5"/>
    <w:rsid w:val="61B83BEB"/>
    <w:rsid w:val="61BA64FF"/>
    <w:rsid w:val="61BE455F"/>
    <w:rsid w:val="61C147F1"/>
    <w:rsid w:val="61C16E98"/>
    <w:rsid w:val="61D5316E"/>
    <w:rsid w:val="61D67110"/>
    <w:rsid w:val="61D67404"/>
    <w:rsid w:val="61D758C9"/>
    <w:rsid w:val="61DE2A86"/>
    <w:rsid w:val="61E044C2"/>
    <w:rsid w:val="61E54BC6"/>
    <w:rsid w:val="61E61E86"/>
    <w:rsid w:val="61F14599"/>
    <w:rsid w:val="61F72D39"/>
    <w:rsid w:val="61FA0D76"/>
    <w:rsid w:val="61FD12D7"/>
    <w:rsid w:val="61FE0B54"/>
    <w:rsid w:val="6202633D"/>
    <w:rsid w:val="62067684"/>
    <w:rsid w:val="620677CB"/>
    <w:rsid w:val="62072558"/>
    <w:rsid w:val="620956CC"/>
    <w:rsid w:val="620B0F65"/>
    <w:rsid w:val="620D48D5"/>
    <w:rsid w:val="62125C14"/>
    <w:rsid w:val="62231F46"/>
    <w:rsid w:val="622802D4"/>
    <w:rsid w:val="622C60B8"/>
    <w:rsid w:val="622F0784"/>
    <w:rsid w:val="62365A7B"/>
    <w:rsid w:val="62374F03"/>
    <w:rsid w:val="62396807"/>
    <w:rsid w:val="62421627"/>
    <w:rsid w:val="6243457B"/>
    <w:rsid w:val="62434609"/>
    <w:rsid w:val="624779E5"/>
    <w:rsid w:val="62485641"/>
    <w:rsid w:val="62487455"/>
    <w:rsid w:val="624A7EEB"/>
    <w:rsid w:val="625A4EAE"/>
    <w:rsid w:val="62606EDB"/>
    <w:rsid w:val="62632E08"/>
    <w:rsid w:val="627358D5"/>
    <w:rsid w:val="6276629E"/>
    <w:rsid w:val="627F535F"/>
    <w:rsid w:val="6287237F"/>
    <w:rsid w:val="628841ED"/>
    <w:rsid w:val="62894017"/>
    <w:rsid w:val="628D497B"/>
    <w:rsid w:val="628E051F"/>
    <w:rsid w:val="62915BF9"/>
    <w:rsid w:val="62935911"/>
    <w:rsid w:val="629B2D2F"/>
    <w:rsid w:val="629F4FFC"/>
    <w:rsid w:val="62A278D8"/>
    <w:rsid w:val="62AE35A5"/>
    <w:rsid w:val="62AF758F"/>
    <w:rsid w:val="62B74707"/>
    <w:rsid w:val="62C34792"/>
    <w:rsid w:val="62C4751A"/>
    <w:rsid w:val="62C50258"/>
    <w:rsid w:val="62C70051"/>
    <w:rsid w:val="62C76F5B"/>
    <w:rsid w:val="62CC117B"/>
    <w:rsid w:val="62CC1A55"/>
    <w:rsid w:val="62D033D7"/>
    <w:rsid w:val="62D24E91"/>
    <w:rsid w:val="62D56E87"/>
    <w:rsid w:val="62D64631"/>
    <w:rsid w:val="62DB42A1"/>
    <w:rsid w:val="62DC7633"/>
    <w:rsid w:val="62E15394"/>
    <w:rsid w:val="62E4189E"/>
    <w:rsid w:val="62F35A7A"/>
    <w:rsid w:val="62F43F2A"/>
    <w:rsid w:val="6300533B"/>
    <w:rsid w:val="63005D3D"/>
    <w:rsid w:val="63071650"/>
    <w:rsid w:val="63095F1A"/>
    <w:rsid w:val="630F2AE9"/>
    <w:rsid w:val="630F3E93"/>
    <w:rsid w:val="631779FB"/>
    <w:rsid w:val="63181EE7"/>
    <w:rsid w:val="631D0BDB"/>
    <w:rsid w:val="632150B7"/>
    <w:rsid w:val="63252AAA"/>
    <w:rsid w:val="63282367"/>
    <w:rsid w:val="632834A5"/>
    <w:rsid w:val="63292FE2"/>
    <w:rsid w:val="63361195"/>
    <w:rsid w:val="634250D9"/>
    <w:rsid w:val="63432EC0"/>
    <w:rsid w:val="63436FC8"/>
    <w:rsid w:val="634B54BD"/>
    <w:rsid w:val="634B676D"/>
    <w:rsid w:val="634F4786"/>
    <w:rsid w:val="63554566"/>
    <w:rsid w:val="63654F5B"/>
    <w:rsid w:val="6365621B"/>
    <w:rsid w:val="63690152"/>
    <w:rsid w:val="636B401B"/>
    <w:rsid w:val="636D5B47"/>
    <w:rsid w:val="6370314E"/>
    <w:rsid w:val="63711839"/>
    <w:rsid w:val="637146E1"/>
    <w:rsid w:val="637356EA"/>
    <w:rsid w:val="63743354"/>
    <w:rsid w:val="63770981"/>
    <w:rsid w:val="63774C12"/>
    <w:rsid w:val="63790EBC"/>
    <w:rsid w:val="637A1D49"/>
    <w:rsid w:val="637A221F"/>
    <w:rsid w:val="637D4470"/>
    <w:rsid w:val="637E2E17"/>
    <w:rsid w:val="638829E3"/>
    <w:rsid w:val="638A3FB7"/>
    <w:rsid w:val="638D18C7"/>
    <w:rsid w:val="639B3033"/>
    <w:rsid w:val="63AB6274"/>
    <w:rsid w:val="63B252AA"/>
    <w:rsid w:val="63B268A4"/>
    <w:rsid w:val="63BF01CA"/>
    <w:rsid w:val="63C26F97"/>
    <w:rsid w:val="63C72DA4"/>
    <w:rsid w:val="63CD52B1"/>
    <w:rsid w:val="63CF2BA1"/>
    <w:rsid w:val="63D346A3"/>
    <w:rsid w:val="63D81139"/>
    <w:rsid w:val="63DA30BD"/>
    <w:rsid w:val="63DE126E"/>
    <w:rsid w:val="63DE1E1F"/>
    <w:rsid w:val="63DF7591"/>
    <w:rsid w:val="63E24AFF"/>
    <w:rsid w:val="63EB4C72"/>
    <w:rsid w:val="63F0129C"/>
    <w:rsid w:val="63F518A5"/>
    <w:rsid w:val="64044497"/>
    <w:rsid w:val="640A7E6F"/>
    <w:rsid w:val="640D5592"/>
    <w:rsid w:val="640F111D"/>
    <w:rsid w:val="641070C0"/>
    <w:rsid w:val="6415471B"/>
    <w:rsid w:val="64184A94"/>
    <w:rsid w:val="641A24E2"/>
    <w:rsid w:val="641C62B2"/>
    <w:rsid w:val="641C6342"/>
    <w:rsid w:val="641D5D90"/>
    <w:rsid w:val="642024A3"/>
    <w:rsid w:val="64236444"/>
    <w:rsid w:val="642A4A6F"/>
    <w:rsid w:val="642A6742"/>
    <w:rsid w:val="642A69E2"/>
    <w:rsid w:val="642E14F0"/>
    <w:rsid w:val="643F187E"/>
    <w:rsid w:val="644106C9"/>
    <w:rsid w:val="64487864"/>
    <w:rsid w:val="6455416E"/>
    <w:rsid w:val="645A2BDF"/>
    <w:rsid w:val="645E43AA"/>
    <w:rsid w:val="64675F8C"/>
    <w:rsid w:val="646D1C1C"/>
    <w:rsid w:val="646E2ABD"/>
    <w:rsid w:val="64787BF2"/>
    <w:rsid w:val="647E2BEE"/>
    <w:rsid w:val="64821DEA"/>
    <w:rsid w:val="6484560E"/>
    <w:rsid w:val="648834FC"/>
    <w:rsid w:val="64933326"/>
    <w:rsid w:val="649A0BB7"/>
    <w:rsid w:val="649E604B"/>
    <w:rsid w:val="64A20B38"/>
    <w:rsid w:val="64A25691"/>
    <w:rsid w:val="64A67788"/>
    <w:rsid w:val="64AB4EC5"/>
    <w:rsid w:val="64B132E4"/>
    <w:rsid w:val="64B47BFE"/>
    <w:rsid w:val="64B855F8"/>
    <w:rsid w:val="64BF5725"/>
    <w:rsid w:val="64C202A5"/>
    <w:rsid w:val="64C82295"/>
    <w:rsid w:val="64CD091C"/>
    <w:rsid w:val="64D013F0"/>
    <w:rsid w:val="64D578D7"/>
    <w:rsid w:val="64D616D7"/>
    <w:rsid w:val="64D72494"/>
    <w:rsid w:val="64D76205"/>
    <w:rsid w:val="64D9683E"/>
    <w:rsid w:val="64E2648D"/>
    <w:rsid w:val="64E45FE6"/>
    <w:rsid w:val="64E830E1"/>
    <w:rsid w:val="64EA01BF"/>
    <w:rsid w:val="64EE4C72"/>
    <w:rsid w:val="64EF2F60"/>
    <w:rsid w:val="64F6737C"/>
    <w:rsid w:val="65040FBB"/>
    <w:rsid w:val="650A6B91"/>
    <w:rsid w:val="650A7524"/>
    <w:rsid w:val="650C1046"/>
    <w:rsid w:val="650C3283"/>
    <w:rsid w:val="650D597D"/>
    <w:rsid w:val="65146114"/>
    <w:rsid w:val="651A221F"/>
    <w:rsid w:val="651B2C2A"/>
    <w:rsid w:val="65247C56"/>
    <w:rsid w:val="652536AA"/>
    <w:rsid w:val="652930F2"/>
    <w:rsid w:val="65305B8D"/>
    <w:rsid w:val="653921B1"/>
    <w:rsid w:val="653C59A6"/>
    <w:rsid w:val="653E5583"/>
    <w:rsid w:val="653F64B5"/>
    <w:rsid w:val="653F727C"/>
    <w:rsid w:val="65442CBA"/>
    <w:rsid w:val="654900FB"/>
    <w:rsid w:val="65513C14"/>
    <w:rsid w:val="65584095"/>
    <w:rsid w:val="656514DA"/>
    <w:rsid w:val="65707C2C"/>
    <w:rsid w:val="6572029D"/>
    <w:rsid w:val="65741979"/>
    <w:rsid w:val="657C266B"/>
    <w:rsid w:val="657F2E63"/>
    <w:rsid w:val="65853AE9"/>
    <w:rsid w:val="658D62E6"/>
    <w:rsid w:val="659805C0"/>
    <w:rsid w:val="659A1697"/>
    <w:rsid w:val="659D1D0B"/>
    <w:rsid w:val="65A25AA3"/>
    <w:rsid w:val="65A2747D"/>
    <w:rsid w:val="65A5705B"/>
    <w:rsid w:val="65A87423"/>
    <w:rsid w:val="65AA4C86"/>
    <w:rsid w:val="65B363DF"/>
    <w:rsid w:val="65B43AEC"/>
    <w:rsid w:val="65BB400B"/>
    <w:rsid w:val="65C317F9"/>
    <w:rsid w:val="65C903FA"/>
    <w:rsid w:val="65CE0C9E"/>
    <w:rsid w:val="65D2419E"/>
    <w:rsid w:val="65D56B0E"/>
    <w:rsid w:val="65DB009A"/>
    <w:rsid w:val="65DD0843"/>
    <w:rsid w:val="65DD32BC"/>
    <w:rsid w:val="65E21CCA"/>
    <w:rsid w:val="65E310D2"/>
    <w:rsid w:val="65E73D86"/>
    <w:rsid w:val="65EC32E5"/>
    <w:rsid w:val="65F00576"/>
    <w:rsid w:val="65F061C8"/>
    <w:rsid w:val="65F441B3"/>
    <w:rsid w:val="65F65B2A"/>
    <w:rsid w:val="65FB7D6F"/>
    <w:rsid w:val="65FD4589"/>
    <w:rsid w:val="65FF7A90"/>
    <w:rsid w:val="66003EE4"/>
    <w:rsid w:val="66054BCB"/>
    <w:rsid w:val="66070283"/>
    <w:rsid w:val="660B3E3D"/>
    <w:rsid w:val="660C6E9F"/>
    <w:rsid w:val="66191177"/>
    <w:rsid w:val="6619154B"/>
    <w:rsid w:val="66255BFF"/>
    <w:rsid w:val="66263656"/>
    <w:rsid w:val="662639BA"/>
    <w:rsid w:val="662A6FA8"/>
    <w:rsid w:val="662B77A0"/>
    <w:rsid w:val="662F01E1"/>
    <w:rsid w:val="6630148C"/>
    <w:rsid w:val="66335280"/>
    <w:rsid w:val="66350E86"/>
    <w:rsid w:val="66447EBD"/>
    <w:rsid w:val="66457FF1"/>
    <w:rsid w:val="66475647"/>
    <w:rsid w:val="664775F0"/>
    <w:rsid w:val="664B6F71"/>
    <w:rsid w:val="664E23DC"/>
    <w:rsid w:val="664F3D0B"/>
    <w:rsid w:val="6652062B"/>
    <w:rsid w:val="665C1474"/>
    <w:rsid w:val="66615364"/>
    <w:rsid w:val="667014A0"/>
    <w:rsid w:val="66731E80"/>
    <w:rsid w:val="667810A9"/>
    <w:rsid w:val="66831332"/>
    <w:rsid w:val="668354CC"/>
    <w:rsid w:val="66860EDB"/>
    <w:rsid w:val="66860FFF"/>
    <w:rsid w:val="668F2D4B"/>
    <w:rsid w:val="66936969"/>
    <w:rsid w:val="6697363C"/>
    <w:rsid w:val="669A7682"/>
    <w:rsid w:val="66AE3E59"/>
    <w:rsid w:val="66BE5742"/>
    <w:rsid w:val="66D13795"/>
    <w:rsid w:val="66D7487B"/>
    <w:rsid w:val="66E05B79"/>
    <w:rsid w:val="66E5153A"/>
    <w:rsid w:val="66E61CE3"/>
    <w:rsid w:val="66E71872"/>
    <w:rsid w:val="66F2311B"/>
    <w:rsid w:val="66F66888"/>
    <w:rsid w:val="66F67E0E"/>
    <w:rsid w:val="66F727EF"/>
    <w:rsid w:val="66F77E3C"/>
    <w:rsid w:val="66F8124E"/>
    <w:rsid w:val="66FD3534"/>
    <w:rsid w:val="66FF280D"/>
    <w:rsid w:val="66FF5A8F"/>
    <w:rsid w:val="67020EA6"/>
    <w:rsid w:val="670359C1"/>
    <w:rsid w:val="67094206"/>
    <w:rsid w:val="670B3858"/>
    <w:rsid w:val="670D6659"/>
    <w:rsid w:val="67103B84"/>
    <w:rsid w:val="67136C12"/>
    <w:rsid w:val="67164B2F"/>
    <w:rsid w:val="671A2E3A"/>
    <w:rsid w:val="671B753A"/>
    <w:rsid w:val="6721001D"/>
    <w:rsid w:val="672226B7"/>
    <w:rsid w:val="6724186C"/>
    <w:rsid w:val="67267330"/>
    <w:rsid w:val="672D4731"/>
    <w:rsid w:val="673858C6"/>
    <w:rsid w:val="673D377B"/>
    <w:rsid w:val="674C7A41"/>
    <w:rsid w:val="674E7649"/>
    <w:rsid w:val="6755619C"/>
    <w:rsid w:val="675B102C"/>
    <w:rsid w:val="675B7579"/>
    <w:rsid w:val="675D55A7"/>
    <w:rsid w:val="675F2192"/>
    <w:rsid w:val="676845C8"/>
    <w:rsid w:val="676B1118"/>
    <w:rsid w:val="676B22CD"/>
    <w:rsid w:val="676F7460"/>
    <w:rsid w:val="67746652"/>
    <w:rsid w:val="677B3668"/>
    <w:rsid w:val="677B47B7"/>
    <w:rsid w:val="677C15A0"/>
    <w:rsid w:val="677F6056"/>
    <w:rsid w:val="677F65D8"/>
    <w:rsid w:val="67802EFA"/>
    <w:rsid w:val="678802ED"/>
    <w:rsid w:val="678E2ABA"/>
    <w:rsid w:val="67961046"/>
    <w:rsid w:val="67980139"/>
    <w:rsid w:val="679876DF"/>
    <w:rsid w:val="679B2F2F"/>
    <w:rsid w:val="67A05FCC"/>
    <w:rsid w:val="67A23989"/>
    <w:rsid w:val="67A74E48"/>
    <w:rsid w:val="67B657F0"/>
    <w:rsid w:val="67BA708E"/>
    <w:rsid w:val="67C026B9"/>
    <w:rsid w:val="67CA201D"/>
    <w:rsid w:val="67CA36CD"/>
    <w:rsid w:val="67CB5AE3"/>
    <w:rsid w:val="67CB7E43"/>
    <w:rsid w:val="67D01EEE"/>
    <w:rsid w:val="67D05F56"/>
    <w:rsid w:val="67D11F53"/>
    <w:rsid w:val="67D16185"/>
    <w:rsid w:val="67DD2D7C"/>
    <w:rsid w:val="67DF56A4"/>
    <w:rsid w:val="67E01BA5"/>
    <w:rsid w:val="67E03808"/>
    <w:rsid w:val="67E96AD1"/>
    <w:rsid w:val="67E97759"/>
    <w:rsid w:val="67EA1735"/>
    <w:rsid w:val="67EB0B9E"/>
    <w:rsid w:val="67F06F84"/>
    <w:rsid w:val="67FA3EA4"/>
    <w:rsid w:val="68006EC8"/>
    <w:rsid w:val="68094711"/>
    <w:rsid w:val="680F248D"/>
    <w:rsid w:val="681346F9"/>
    <w:rsid w:val="68160DEC"/>
    <w:rsid w:val="68266375"/>
    <w:rsid w:val="68295146"/>
    <w:rsid w:val="682B0D20"/>
    <w:rsid w:val="6836153B"/>
    <w:rsid w:val="683A21CA"/>
    <w:rsid w:val="683E1810"/>
    <w:rsid w:val="683E47B8"/>
    <w:rsid w:val="683F7AD2"/>
    <w:rsid w:val="68420858"/>
    <w:rsid w:val="684B55E1"/>
    <w:rsid w:val="684B56B4"/>
    <w:rsid w:val="6850056F"/>
    <w:rsid w:val="685112E9"/>
    <w:rsid w:val="68514113"/>
    <w:rsid w:val="685A5826"/>
    <w:rsid w:val="685F0A3E"/>
    <w:rsid w:val="68607763"/>
    <w:rsid w:val="686C4C12"/>
    <w:rsid w:val="686F092D"/>
    <w:rsid w:val="6874626F"/>
    <w:rsid w:val="68794E8B"/>
    <w:rsid w:val="687B1AA8"/>
    <w:rsid w:val="687F00C0"/>
    <w:rsid w:val="6890596A"/>
    <w:rsid w:val="68941AA2"/>
    <w:rsid w:val="689533A1"/>
    <w:rsid w:val="6895507A"/>
    <w:rsid w:val="68965998"/>
    <w:rsid w:val="68993147"/>
    <w:rsid w:val="689B6AE4"/>
    <w:rsid w:val="689D2BEF"/>
    <w:rsid w:val="689D5338"/>
    <w:rsid w:val="689F675E"/>
    <w:rsid w:val="68A20A77"/>
    <w:rsid w:val="68A5405A"/>
    <w:rsid w:val="68AC1535"/>
    <w:rsid w:val="68C1444C"/>
    <w:rsid w:val="68CD0A14"/>
    <w:rsid w:val="68D3413B"/>
    <w:rsid w:val="68D75378"/>
    <w:rsid w:val="68D85C67"/>
    <w:rsid w:val="68E751EB"/>
    <w:rsid w:val="68EA3C2B"/>
    <w:rsid w:val="68ED0A18"/>
    <w:rsid w:val="68F711BA"/>
    <w:rsid w:val="68FD6E33"/>
    <w:rsid w:val="6903697B"/>
    <w:rsid w:val="69117237"/>
    <w:rsid w:val="691B586A"/>
    <w:rsid w:val="691E41B2"/>
    <w:rsid w:val="69270094"/>
    <w:rsid w:val="692B6129"/>
    <w:rsid w:val="692F6AA9"/>
    <w:rsid w:val="69332C99"/>
    <w:rsid w:val="69341180"/>
    <w:rsid w:val="6934737D"/>
    <w:rsid w:val="693518FB"/>
    <w:rsid w:val="693C7BB9"/>
    <w:rsid w:val="693F7551"/>
    <w:rsid w:val="694110E9"/>
    <w:rsid w:val="69465531"/>
    <w:rsid w:val="6947220C"/>
    <w:rsid w:val="695157D0"/>
    <w:rsid w:val="69560380"/>
    <w:rsid w:val="695738BD"/>
    <w:rsid w:val="695816BB"/>
    <w:rsid w:val="695D7D9C"/>
    <w:rsid w:val="69715DBF"/>
    <w:rsid w:val="69766208"/>
    <w:rsid w:val="697D6156"/>
    <w:rsid w:val="697E134C"/>
    <w:rsid w:val="698C7818"/>
    <w:rsid w:val="6990544A"/>
    <w:rsid w:val="69A52143"/>
    <w:rsid w:val="69A56A29"/>
    <w:rsid w:val="69AE1441"/>
    <w:rsid w:val="69B4541D"/>
    <w:rsid w:val="69BA0787"/>
    <w:rsid w:val="69BC6CFF"/>
    <w:rsid w:val="69C4397C"/>
    <w:rsid w:val="69CB3757"/>
    <w:rsid w:val="69CF221A"/>
    <w:rsid w:val="69CF257E"/>
    <w:rsid w:val="69D71C14"/>
    <w:rsid w:val="69D96B71"/>
    <w:rsid w:val="69DF593D"/>
    <w:rsid w:val="69E11ACF"/>
    <w:rsid w:val="69E74168"/>
    <w:rsid w:val="69E90419"/>
    <w:rsid w:val="69ED4E05"/>
    <w:rsid w:val="69EE5336"/>
    <w:rsid w:val="69FB7D17"/>
    <w:rsid w:val="69FD3A97"/>
    <w:rsid w:val="6A034FCE"/>
    <w:rsid w:val="6A06076B"/>
    <w:rsid w:val="6A07144C"/>
    <w:rsid w:val="6A0C65D5"/>
    <w:rsid w:val="6A0E7AE3"/>
    <w:rsid w:val="6A171A02"/>
    <w:rsid w:val="6A1908E3"/>
    <w:rsid w:val="6A1909A6"/>
    <w:rsid w:val="6A1D1985"/>
    <w:rsid w:val="6A1E0C4C"/>
    <w:rsid w:val="6A2076C3"/>
    <w:rsid w:val="6A240F66"/>
    <w:rsid w:val="6A2D1C4E"/>
    <w:rsid w:val="6A3047AA"/>
    <w:rsid w:val="6A381952"/>
    <w:rsid w:val="6A420882"/>
    <w:rsid w:val="6A4254BB"/>
    <w:rsid w:val="6A436049"/>
    <w:rsid w:val="6A4A6A21"/>
    <w:rsid w:val="6A4E7B99"/>
    <w:rsid w:val="6A525926"/>
    <w:rsid w:val="6A5273D1"/>
    <w:rsid w:val="6A543885"/>
    <w:rsid w:val="6A57091D"/>
    <w:rsid w:val="6A6032F2"/>
    <w:rsid w:val="6A6910C1"/>
    <w:rsid w:val="6A7171D7"/>
    <w:rsid w:val="6A750AE2"/>
    <w:rsid w:val="6A782BBF"/>
    <w:rsid w:val="6A7A00D0"/>
    <w:rsid w:val="6A7B0556"/>
    <w:rsid w:val="6A803564"/>
    <w:rsid w:val="6A88614A"/>
    <w:rsid w:val="6A8A5C7F"/>
    <w:rsid w:val="6A8D7B0B"/>
    <w:rsid w:val="6A8F16D0"/>
    <w:rsid w:val="6A903F85"/>
    <w:rsid w:val="6A9279B6"/>
    <w:rsid w:val="6A9B2132"/>
    <w:rsid w:val="6A9D68FA"/>
    <w:rsid w:val="6A9D776B"/>
    <w:rsid w:val="6A9F22CE"/>
    <w:rsid w:val="6AA45DD3"/>
    <w:rsid w:val="6AAD3DCE"/>
    <w:rsid w:val="6ABC585C"/>
    <w:rsid w:val="6ABD0EED"/>
    <w:rsid w:val="6AC133C0"/>
    <w:rsid w:val="6AC338F4"/>
    <w:rsid w:val="6AC974D8"/>
    <w:rsid w:val="6ACD04C7"/>
    <w:rsid w:val="6ACF2ECE"/>
    <w:rsid w:val="6ACF3D34"/>
    <w:rsid w:val="6AD71D05"/>
    <w:rsid w:val="6AD77D3B"/>
    <w:rsid w:val="6AD85FE7"/>
    <w:rsid w:val="6AD87AE0"/>
    <w:rsid w:val="6AD93742"/>
    <w:rsid w:val="6AE875B9"/>
    <w:rsid w:val="6AEB7E41"/>
    <w:rsid w:val="6AED195F"/>
    <w:rsid w:val="6AEE0ED6"/>
    <w:rsid w:val="6AEE38D8"/>
    <w:rsid w:val="6AEF5059"/>
    <w:rsid w:val="6AF200A6"/>
    <w:rsid w:val="6AF512F4"/>
    <w:rsid w:val="6AF9600E"/>
    <w:rsid w:val="6AFB68EC"/>
    <w:rsid w:val="6AFD51CF"/>
    <w:rsid w:val="6AFD5828"/>
    <w:rsid w:val="6B0C4EA8"/>
    <w:rsid w:val="6B1062BA"/>
    <w:rsid w:val="6B144A78"/>
    <w:rsid w:val="6B147F48"/>
    <w:rsid w:val="6B15282D"/>
    <w:rsid w:val="6B160A7F"/>
    <w:rsid w:val="6B17632C"/>
    <w:rsid w:val="6B1A4248"/>
    <w:rsid w:val="6B1C06F6"/>
    <w:rsid w:val="6B1E01C9"/>
    <w:rsid w:val="6B1E7C2F"/>
    <w:rsid w:val="6B2769C2"/>
    <w:rsid w:val="6B2E56EE"/>
    <w:rsid w:val="6B2F380D"/>
    <w:rsid w:val="6B370BDA"/>
    <w:rsid w:val="6B3E1213"/>
    <w:rsid w:val="6B451619"/>
    <w:rsid w:val="6B4F2441"/>
    <w:rsid w:val="6B5837AB"/>
    <w:rsid w:val="6B6429DD"/>
    <w:rsid w:val="6B6510E0"/>
    <w:rsid w:val="6B661536"/>
    <w:rsid w:val="6B663FD5"/>
    <w:rsid w:val="6B673E74"/>
    <w:rsid w:val="6B6C6E76"/>
    <w:rsid w:val="6B743A82"/>
    <w:rsid w:val="6B7C0643"/>
    <w:rsid w:val="6B7F1B93"/>
    <w:rsid w:val="6B7F3B07"/>
    <w:rsid w:val="6B8D46FD"/>
    <w:rsid w:val="6B8E7A00"/>
    <w:rsid w:val="6B9031DA"/>
    <w:rsid w:val="6B926010"/>
    <w:rsid w:val="6B931943"/>
    <w:rsid w:val="6B970D25"/>
    <w:rsid w:val="6B9C6539"/>
    <w:rsid w:val="6B9F6E02"/>
    <w:rsid w:val="6BA31BB1"/>
    <w:rsid w:val="6BA5131C"/>
    <w:rsid w:val="6BAA4C8F"/>
    <w:rsid w:val="6BAA7061"/>
    <w:rsid w:val="6BBA1542"/>
    <w:rsid w:val="6BBB5C40"/>
    <w:rsid w:val="6BBD6A19"/>
    <w:rsid w:val="6BC664A0"/>
    <w:rsid w:val="6BD565AB"/>
    <w:rsid w:val="6BD80FCF"/>
    <w:rsid w:val="6BE24DFD"/>
    <w:rsid w:val="6BE52720"/>
    <w:rsid w:val="6BE906D5"/>
    <w:rsid w:val="6BF16DF6"/>
    <w:rsid w:val="6BF94813"/>
    <w:rsid w:val="6C005EE7"/>
    <w:rsid w:val="6C1D104B"/>
    <w:rsid w:val="6C2A4E5A"/>
    <w:rsid w:val="6C3111D6"/>
    <w:rsid w:val="6C312507"/>
    <w:rsid w:val="6C3219B1"/>
    <w:rsid w:val="6C3702A4"/>
    <w:rsid w:val="6C394FC3"/>
    <w:rsid w:val="6C3D0992"/>
    <w:rsid w:val="6C417D7E"/>
    <w:rsid w:val="6C441988"/>
    <w:rsid w:val="6C467A32"/>
    <w:rsid w:val="6C481D33"/>
    <w:rsid w:val="6C492842"/>
    <w:rsid w:val="6C4A6009"/>
    <w:rsid w:val="6C4F21FC"/>
    <w:rsid w:val="6C570557"/>
    <w:rsid w:val="6C7337CD"/>
    <w:rsid w:val="6C735652"/>
    <w:rsid w:val="6C7F5660"/>
    <w:rsid w:val="6C851344"/>
    <w:rsid w:val="6C857B97"/>
    <w:rsid w:val="6C891D4F"/>
    <w:rsid w:val="6C8A2C02"/>
    <w:rsid w:val="6C8E0AE9"/>
    <w:rsid w:val="6C976618"/>
    <w:rsid w:val="6CA21B6A"/>
    <w:rsid w:val="6CAF490C"/>
    <w:rsid w:val="6CBD2908"/>
    <w:rsid w:val="6CC9331B"/>
    <w:rsid w:val="6CD401EC"/>
    <w:rsid w:val="6CDC1854"/>
    <w:rsid w:val="6CE9267E"/>
    <w:rsid w:val="6CED230E"/>
    <w:rsid w:val="6CED2B28"/>
    <w:rsid w:val="6CF03AEE"/>
    <w:rsid w:val="6CF50B68"/>
    <w:rsid w:val="6CF91D8C"/>
    <w:rsid w:val="6CFE4DC0"/>
    <w:rsid w:val="6D051620"/>
    <w:rsid w:val="6D0737CE"/>
    <w:rsid w:val="6D075075"/>
    <w:rsid w:val="6D08270F"/>
    <w:rsid w:val="6D09091E"/>
    <w:rsid w:val="6D1652A1"/>
    <w:rsid w:val="6D1A0DA5"/>
    <w:rsid w:val="6D2341E0"/>
    <w:rsid w:val="6D25364D"/>
    <w:rsid w:val="6D2A4F0D"/>
    <w:rsid w:val="6D2C31D6"/>
    <w:rsid w:val="6D330529"/>
    <w:rsid w:val="6D38423A"/>
    <w:rsid w:val="6D3C511D"/>
    <w:rsid w:val="6D3F5697"/>
    <w:rsid w:val="6D3F766C"/>
    <w:rsid w:val="6D5652DD"/>
    <w:rsid w:val="6D57499A"/>
    <w:rsid w:val="6D5768B7"/>
    <w:rsid w:val="6D5A3393"/>
    <w:rsid w:val="6D5B61DA"/>
    <w:rsid w:val="6D683D05"/>
    <w:rsid w:val="6D6A2C2F"/>
    <w:rsid w:val="6D6B5B7D"/>
    <w:rsid w:val="6D7375D5"/>
    <w:rsid w:val="6D7C77B7"/>
    <w:rsid w:val="6D7E02BC"/>
    <w:rsid w:val="6D83283D"/>
    <w:rsid w:val="6D84075D"/>
    <w:rsid w:val="6D897165"/>
    <w:rsid w:val="6D8E4518"/>
    <w:rsid w:val="6D951ED6"/>
    <w:rsid w:val="6D9B1CAE"/>
    <w:rsid w:val="6D9D75F7"/>
    <w:rsid w:val="6D9D7AA1"/>
    <w:rsid w:val="6DA0748B"/>
    <w:rsid w:val="6DA27507"/>
    <w:rsid w:val="6DB207D0"/>
    <w:rsid w:val="6DBC5712"/>
    <w:rsid w:val="6DBE64B8"/>
    <w:rsid w:val="6DCC2F3C"/>
    <w:rsid w:val="6DCC6136"/>
    <w:rsid w:val="6DD8502D"/>
    <w:rsid w:val="6DDC381E"/>
    <w:rsid w:val="6DE005A7"/>
    <w:rsid w:val="6DE24784"/>
    <w:rsid w:val="6DE32556"/>
    <w:rsid w:val="6DE42232"/>
    <w:rsid w:val="6DE9770C"/>
    <w:rsid w:val="6E0018F5"/>
    <w:rsid w:val="6E002C80"/>
    <w:rsid w:val="6E0E59CE"/>
    <w:rsid w:val="6E115DE8"/>
    <w:rsid w:val="6E142D35"/>
    <w:rsid w:val="6E151D5A"/>
    <w:rsid w:val="6E171279"/>
    <w:rsid w:val="6E1F4036"/>
    <w:rsid w:val="6E2128BE"/>
    <w:rsid w:val="6E246E46"/>
    <w:rsid w:val="6E297B9D"/>
    <w:rsid w:val="6E2F1C57"/>
    <w:rsid w:val="6E31146B"/>
    <w:rsid w:val="6E3418C4"/>
    <w:rsid w:val="6E4B6C92"/>
    <w:rsid w:val="6E533829"/>
    <w:rsid w:val="6E5D013A"/>
    <w:rsid w:val="6E605C81"/>
    <w:rsid w:val="6E614566"/>
    <w:rsid w:val="6E6D7918"/>
    <w:rsid w:val="6E701E8C"/>
    <w:rsid w:val="6E712C93"/>
    <w:rsid w:val="6E7B234E"/>
    <w:rsid w:val="6E7B658E"/>
    <w:rsid w:val="6E855289"/>
    <w:rsid w:val="6E8727B5"/>
    <w:rsid w:val="6E8E2CF2"/>
    <w:rsid w:val="6E94767F"/>
    <w:rsid w:val="6E991824"/>
    <w:rsid w:val="6E9947B3"/>
    <w:rsid w:val="6E9A775F"/>
    <w:rsid w:val="6E9E3FA6"/>
    <w:rsid w:val="6E9F03D8"/>
    <w:rsid w:val="6EA30CA8"/>
    <w:rsid w:val="6EAB7671"/>
    <w:rsid w:val="6EBE195F"/>
    <w:rsid w:val="6EBF45C8"/>
    <w:rsid w:val="6EC06586"/>
    <w:rsid w:val="6ED042F3"/>
    <w:rsid w:val="6EE20D79"/>
    <w:rsid w:val="6EE3488B"/>
    <w:rsid w:val="6EEA2389"/>
    <w:rsid w:val="6EF1606D"/>
    <w:rsid w:val="6EF71452"/>
    <w:rsid w:val="6EF86CF7"/>
    <w:rsid w:val="6EFB1A58"/>
    <w:rsid w:val="6EFE5A58"/>
    <w:rsid w:val="6F036E5D"/>
    <w:rsid w:val="6F050BC0"/>
    <w:rsid w:val="6F097FDF"/>
    <w:rsid w:val="6F0D0E0B"/>
    <w:rsid w:val="6F0D1CD6"/>
    <w:rsid w:val="6F0F4C4D"/>
    <w:rsid w:val="6F1E06D8"/>
    <w:rsid w:val="6F1E7E69"/>
    <w:rsid w:val="6F243731"/>
    <w:rsid w:val="6F2868C8"/>
    <w:rsid w:val="6F293789"/>
    <w:rsid w:val="6F2B0496"/>
    <w:rsid w:val="6F2C5348"/>
    <w:rsid w:val="6F2F090E"/>
    <w:rsid w:val="6F324291"/>
    <w:rsid w:val="6F40431D"/>
    <w:rsid w:val="6F4240B2"/>
    <w:rsid w:val="6F433BCC"/>
    <w:rsid w:val="6F484C43"/>
    <w:rsid w:val="6F5615D5"/>
    <w:rsid w:val="6F5942E0"/>
    <w:rsid w:val="6F5F2937"/>
    <w:rsid w:val="6F647E89"/>
    <w:rsid w:val="6F6B7A4C"/>
    <w:rsid w:val="6F6E46E3"/>
    <w:rsid w:val="6F882B72"/>
    <w:rsid w:val="6F8F4E86"/>
    <w:rsid w:val="6F906926"/>
    <w:rsid w:val="6F950C88"/>
    <w:rsid w:val="6F95188A"/>
    <w:rsid w:val="6F9D4679"/>
    <w:rsid w:val="6FB0589B"/>
    <w:rsid w:val="6FB63D4C"/>
    <w:rsid w:val="6FB64E3E"/>
    <w:rsid w:val="6FB71C35"/>
    <w:rsid w:val="6FB856B9"/>
    <w:rsid w:val="6FBB4317"/>
    <w:rsid w:val="6FBB6995"/>
    <w:rsid w:val="6FBD0418"/>
    <w:rsid w:val="6FC048BC"/>
    <w:rsid w:val="6FC44BE1"/>
    <w:rsid w:val="6FC70A73"/>
    <w:rsid w:val="6FCB24DF"/>
    <w:rsid w:val="6FD1766A"/>
    <w:rsid w:val="6FD40F09"/>
    <w:rsid w:val="6FD5651B"/>
    <w:rsid w:val="6FD66065"/>
    <w:rsid w:val="6FD67575"/>
    <w:rsid w:val="6FD7411F"/>
    <w:rsid w:val="6FDD4897"/>
    <w:rsid w:val="6FDF0FC9"/>
    <w:rsid w:val="6FE729EA"/>
    <w:rsid w:val="6FEA1419"/>
    <w:rsid w:val="6FEF0689"/>
    <w:rsid w:val="6FFD46A9"/>
    <w:rsid w:val="70041191"/>
    <w:rsid w:val="70055A2E"/>
    <w:rsid w:val="7009479F"/>
    <w:rsid w:val="70094861"/>
    <w:rsid w:val="70116EF3"/>
    <w:rsid w:val="701A5543"/>
    <w:rsid w:val="701D5921"/>
    <w:rsid w:val="70253512"/>
    <w:rsid w:val="702543A4"/>
    <w:rsid w:val="70271646"/>
    <w:rsid w:val="70293475"/>
    <w:rsid w:val="702A3801"/>
    <w:rsid w:val="70332A45"/>
    <w:rsid w:val="70350188"/>
    <w:rsid w:val="703E1363"/>
    <w:rsid w:val="70445721"/>
    <w:rsid w:val="704936A5"/>
    <w:rsid w:val="70532079"/>
    <w:rsid w:val="705423B6"/>
    <w:rsid w:val="705501EE"/>
    <w:rsid w:val="70576DAB"/>
    <w:rsid w:val="705D33AB"/>
    <w:rsid w:val="706B2C4C"/>
    <w:rsid w:val="706F76FE"/>
    <w:rsid w:val="707137F1"/>
    <w:rsid w:val="70732A2D"/>
    <w:rsid w:val="70766CF4"/>
    <w:rsid w:val="70803921"/>
    <w:rsid w:val="70861C0E"/>
    <w:rsid w:val="70881160"/>
    <w:rsid w:val="708D466D"/>
    <w:rsid w:val="70904285"/>
    <w:rsid w:val="7096018B"/>
    <w:rsid w:val="7098290A"/>
    <w:rsid w:val="70983EB2"/>
    <w:rsid w:val="709D2060"/>
    <w:rsid w:val="70A42689"/>
    <w:rsid w:val="70AA0F73"/>
    <w:rsid w:val="70AD7087"/>
    <w:rsid w:val="70B84826"/>
    <w:rsid w:val="70C25F11"/>
    <w:rsid w:val="70C75C1B"/>
    <w:rsid w:val="70CB4C66"/>
    <w:rsid w:val="70CC695F"/>
    <w:rsid w:val="70D07E34"/>
    <w:rsid w:val="70D1066A"/>
    <w:rsid w:val="70D14DB1"/>
    <w:rsid w:val="70D64348"/>
    <w:rsid w:val="70DE2209"/>
    <w:rsid w:val="70E06E29"/>
    <w:rsid w:val="70E41363"/>
    <w:rsid w:val="70EA2DB6"/>
    <w:rsid w:val="70EC5AB1"/>
    <w:rsid w:val="70F0560F"/>
    <w:rsid w:val="70F242A0"/>
    <w:rsid w:val="70F369FB"/>
    <w:rsid w:val="70F72A90"/>
    <w:rsid w:val="70F93503"/>
    <w:rsid w:val="71015D2D"/>
    <w:rsid w:val="71073280"/>
    <w:rsid w:val="71092F0B"/>
    <w:rsid w:val="71105785"/>
    <w:rsid w:val="71185F33"/>
    <w:rsid w:val="711C3351"/>
    <w:rsid w:val="711F364D"/>
    <w:rsid w:val="71231EB3"/>
    <w:rsid w:val="71276BFD"/>
    <w:rsid w:val="712C665B"/>
    <w:rsid w:val="713E37CA"/>
    <w:rsid w:val="71415607"/>
    <w:rsid w:val="71480353"/>
    <w:rsid w:val="71497D42"/>
    <w:rsid w:val="714D2A1E"/>
    <w:rsid w:val="714E0C12"/>
    <w:rsid w:val="71533507"/>
    <w:rsid w:val="7166498F"/>
    <w:rsid w:val="716979A3"/>
    <w:rsid w:val="716B53BA"/>
    <w:rsid w:val="716C7460"/>
    <w:rsid w:val="716F7B87"/>
    <w:rsid w:val="71811901"/>
    <w:rsid w:val="71815A56"/>
    <w:rsid w:val="718657BA"/>
    <w:rsid w:val="718A2D0C"/>
    <w:rsid w:val="718C51B4"/>
    <w:rsid w:val="718F3246"/>
    <w:rsid w:val="71914168"/>
    <w:rsid w:val="71940B11"/>
    <w:rsid w:val="71AD4DCE"/>
    <w:rsid w:val="71B132B0"/>
    <w:rsid w:val="71B46667"/>
    <w:rsid w:val="71B61B68"/>
    <w:rsid w:val="71BC7B23"/>
    <w:rsid w:val="71C22B3A"/>
    <w:rsid w:val="71C304FB"/>
    <w:rsid w:val="71C52870"/>
    <w:rsid w:val="71CA2F8E"/>
    <w:rsid w:val="71CB1C7C"/>
    <w:rsid w:val="71D04246"/>
    <w:rsid w:val="71D747B4"/>
    <w:rsid w:val="71D93505"/>
    <w:rsid w:val="71E008CD"/>
    <w:rsid w:val="71E06553"/>
    <w:rsid w:val="71E70440"/>
    <w:rsid w:val="7201728A"/>
    <w:rsid w:val="72035AD5"/>
    <w:rsid w:val="720965F3"/>
    <w:rsid w:val="720F2993"/>
    <w:rsid w:val="72155B21"/>
    <w:rsid w:val="721D249D"/>
    <w:rsid w:val="72203D1C"/>
    <w:rsid w:val="72281098"/>
    <w:rsid w:val="722B2C07"/>
    <w:rsid w:val="72342D06"/>
    <w:rsid w:val="72362B15"/>
    <w:rsid w:val="72394BFF"/>
    <w:rsid w:val="723A1D4B"/>
    <w:rsid w:val="723C28FC"/>
    <w:rsid w:val="723D3A8D"/>
    <w:rsid w:val="723F0DBE"/>
    <w:rsid w:val="723F67BB"/>
    <w:rsid w:val="7245554A"/>
    <w:rsid w:val="72475B75"/>
    <w:rsid w:val="72556D83"/>
    <w:rsid w:val="725839D3"/>
    <w:rsid w:val="725B146D"/>
    <w:rsid w:val="72621A7F"/>
    <w:rsid w:val="726D6CAB"/>
    <w:rsid w:val="72700DF5"/>
    <w:rsid w:val="72705CB2"/>
    <w:rsid w:val="72711126"/>
    <w:rsid w:val="72732F9F"/>
    <w:rsid w:val="7273651B"/>
    <w:rsid w:val="727A7C8D"/>
    <w:rsid w:val="727B1F2D"/>
    <w:rsid w:val="727B319C"/>
    <w:rsid w:val="727E7B9E"/>
    <w:rsid w:val="72811CEE"/>
    <w:rsid w:val="72945A53"/>
    <w:rsid w:val="72B047B2"/>
    <w:rsid w:val="72C31B2D"/>
    <w:rsid w:val="72C8493B"/>
    <w:rsid w:val="72CB2CD0"/>
    <w:rsid w:val="72CD144E"/>
    <w:rsid w:val="72D15A1F"/>
    <w:rsid w:val="72D57966"/>
    <w:rsid w:val="72D76E46"/>
    <w:rsid w:val="72DD01BE"/>
    <w:rsid w:val="72DD1BDE"/>
    <w:rsid w:val="72E316E7"/>
    <w:rsid w:val="72E44DF3"/>
    <w:rsid w:val="72E713C1"/>
    <w:rsid w:val="72EB0725"/>
    <w:rsid w:val="72F73362"/>
    <w:rsid w:val="72FA752B"/>
    <w:rsid w:val="72FD6392"/>
    <w:rsid w:val="72FF6B34"/>
    <w:rsid w:val="73013BB9"/>
    <w:rsid w:val="73070F3B"/>
    <w:rsid w:val="730833A3"/>
    <w:rsid w:val="730B4C41"/>
    <w:rsid w:val="730F4FBA"/>
    <w:rsid w:val="731A4C2B"/>
    <w:rsid w:val="73213812"/>
    <w:rsid w:val="73290E10"/>
    <w:rsid w:val="732950C8"/>
    <w:rsid w:val="732B1540"/>
    <w:rsid w:val="732C0F37"/>
    <w:rsid w:val="732E071F"/>
    <w:rsid w:val="732F34C5"/>
    <w:rsid w:val="733C129F"/>
    <w:rsid w:val="733C60FD"/>
    <w:rsid w:val="7348540A"/>
    <w:rsid w:val="73495B32"/>
    <w:rsid w:val="734B54A4"/>
    <w:rsid w:val="735A3627"/>
    <w:rsid w:val="7364132F"/>
    <w:rsid w:val="73666F58"/>
    <w:rsid w:val="736953A2"/>
    <w:rsid w:val="736C0412"/>
    <w:rsid w:val="737A1E5B"/>
    <w:rsid w:val="737E18B7"/>
    <w:rsid w:val="73817E51"/>
    <w:rsid w:val="73892637"/>
    <w:rsid w:val="738A76C2"/>
    <w:rsid w:val="738B6694"/>
    <w:rsid w:val="738D49B5"/>
    <w:rsid w:val="738E14FD"/>
    <w:rsid w:val="73A6581B"/>
    <w:rsid w:val="73AE1BE5"/>
    <w:rsid w:val="73AF37DA"/>
    <w:rsid w:val="73B344B6"/>
    <w:rsid w:val="73BD1EB7"/>
    <w:rsid w:val="73C31078"/>
    <w:rsid w:val="73CB1409"/>
    <w:rsid w:val="73CB6089"/>
    <w:rsid w:val="73CE790A"/>
    <w:rsid w:val="73D23222"/>
    <w:rsid w:val="73D32C6F"/>
    <w:rsid w:val="73D5156F"/>
    <w:rsid w:val="73DA4A9F"/>
    <w:rsid w:val="73DF1670"/>
    <w:rsid w:val="73E003D1"/>
    <w:rsid w:val="73E23B6D"/>
    <w:rsid w:val="73ED2599"/>
    <w:rsid w:val="73F0491D"/>
    <w:rsid w:val="73FB375D"/>
    <w:rsid w:val="73FE428D"/>
    <w:rsid w:val="740272D5"/>
    <w:rsid w:val="74077FCD"/>
    <w:rsid w:val="740873D3"/>
    <w:rsid w:val="740873D5"/>
    <w:rsid w:val="740B3EAE"/>
    <w:rsid w:val="740C0D95"/>
    <w:rsid w:val="740D0733"/>
    <w:rsid w:val="740E228F"/>
    <w:rsid w:val="740E7F30"/>
    <w:rsid w:val="741C0D36"/>
    <w:rsid w:val="741C619B"/>
    <w:rsid w:val="74221EBD"/>
    <w:rsid w:val="74275AAB"/>
    <w:rsid w:val="74295BD7"/>
    <w:rsid w:val="742D6863"/>
    <w:rsid w:val="7432542B"/>
    <w:rsid w:val="74347BE6"/>
    <w:rsid w:val="743562A5"/>
    <w:rsid w:val="7437463E"/>
    <w:rsid w:val="743F6BC3"/>
    <w:rsid w:val="7446369E"/>
    <w:rsid w:val="744B103D"/>
    <w:rsid w:val="74552352"/>
    <w:rsid w:val="745B0F15"/>
    <w:rsid w:val="74632A5E"/>
    <w:rsid w:val="746874EC"/>
    <w:rsid w:val="746E7D68"/>
    <w:rsid w:val="7470586B"/>
    <w:rsid w:val="74720851"/>
    <w:rsid w:val="74720C8F"/>
    <w:rsid w:val="7478139A"/>
    <w:rsid w:val="747B3828"/>
    <w:rsid w:val="748162CE"/>
    <w:rsid w:val="748202F8"/>
    <w:rsid w:val="74834279"/>
    <w:rsid w:val="7484084D"/>
    <w:rsid w:val="74850408"/>
    <w:rsid w:val="74877914"/>
    <w:rsid w:val="74896D89"/>
    <w:rsid w:val="749642FF"/>
    <w:rsid w:val="749811BB"/>
    <w:rsid w:val="749D23FA"/>
    <w:rsid w:val="74A30BE9"/>
    <w:rsid w:val="74A7099A"/>
    <w:rsid w:val="74AE7F7A"/>
    <w:rsid w:val="74BC310B"/>
    <w:rsid w:val="74BC781F"/>
    <w:rsid w:val="74BF3B31"/>
    <w:rsid w:val="74BF4B59"/>
    <w:rsid w:val="74C24B57"/>
    <w:rsid w:val="74C65346"/>
    <w:rsid w:val="74D0590E"/>
    <w:rsid w:val="74D07EF1"/>
    <w:rsid w:val="74D97635"/>
    <w:rsid w:val="74E92D60"/>
    <w:rsid w:val="74E97B45"/>
    <w:rsid w:val="74EA0887"/>
    <w:rsid w:val="74EA12BC"/>
    <w:rsid w:val="74EF2AE7"/>
    <w:rsid w:val="74F016BD"/>
    <w:rsid w:val="75066890"/>
    <w:rsid w:val="750E2891"/>
    <w:rsid w:val="750F1CF5"/>
    <w:rsid w:val="75126749"/>
    <w:rsid w:val="75142D9F"/>
    <w:rsid w:val="752000AC"/>
    <w:rsid w:val="75220300"/>
    <w:rsid w:val="75237703"/>
    <w:rsid w:val="752539F4"/>
    <w:rsid w:val="752C6330"/>
    <w:rsid w:val="752E10BB"/>
    <w:rsid w:val="75337796"/>
    <w:rsid w:val="75342D58"/>
    <w:rsid w:val="75381CB1"/>
    <w:rsid w:val="753C6ECE"/>
    <w:rsid w:val="754108DA"/>
    <w:rsid w:val="75453D02"/>
    <w:rsid w:val="754629E6"/>
    <w:rsid w:val="754A0877"/>
    <w:rsid w:val="75521659"/>
    <w:rsid w:val="75533FDA"/>
    <w:rsid w:val="755706DF"/>
    <w:rsid w:val="75581C24"/>
    <w:rsid w:val="755C101E"/>
    <w:rsid w:val="756B7033"/>
    <w:rsid w:val="756C0ECD"/>
    <w:rsid w:val="757728D2"/>
    <w:rsid w:val="757A2D9A"/>
    <w:rsid w:val="75847CAB"/>
    <w:rsid w:val="75856712"/>
    <w:rsid w:val="758753A2"/>
    <w:rsid w:val="758E2AA6"/>
    <w:rsid w:val="758E7272"/>
    <w:rsid w:val="759115EC"/>
    <w:rsid w:val="75913ABF"/>
    <w:rsid w:val="759B498C"/>
    <w:rsid w:val="759F3282"/>
    <w:rsid w:val="759F4143"/>
    <w:rsid w:val="75A212FA"/>
    <w:rsid w:val="75A46D13"/>
    <w:rsid w:val="75A7723F"/>
    <w:rsid w:val="75AB1E72"/>
    <w:rsid w:val="75B60ECF"/>
    <w:rsid w:val="75B64F3F"/>
    <w:rsid w:val="75B908EE"/>
    <w:rsid w:val="75C87B64"/>
    <w:rsid w:val="75C9386F"/>
    <w:rsid w:val="75CA2C48"/>
    <w:rsid w:val="75D106D7"/>
    <w:rsid w:val="75D66DBB"/>
    <w:rsid w:val="75D831F0"/>
    <w:rsid w:val="75DB323C"/>
    <w:rsid w:val="75E1615B"/>
    <w:rsid w:val="75E83018"/>
    <w:rsid w:val="75EC30C0"/>
    <w:rsid w:val="75F2380A"/>
    <w:rsid w:val="760D5CD0"/>
    <w:rsid w:val="7610431D"/>
    <w:rsid w:val="7616020E"/>
    <w:rsid w:val="761806BD"/>
    <w:rsid w:val="76227E09"/>
    <w:rsid w:val="76276092"/>
    <w:rsid w:val="76295220"/>
    <w:rsid w:val="762A1199"/>
    <w:rsid w:val="762A60A0"/>
    <w:rsid w:val="762A6A1E"/>
    <w:rsid w:val="762C5997"/>
    <w:rsid w:val="762D0EFC"/>
    <w:rsid w:val="76323F47"/>
    <w:rsid w:val="7634605A"/>
    <w:rsid w:val="76436971"/>
    <w:rsid w:val="76492863"/>
    <w:rsid w:val="764D2D48"/>
    <w:rsid w:val="7652295A"/>
    <w:rsid w:val="765859FE"/>
    <w:rsid w:val="76591F00"/>
    <w:rsid w:val="765B1A3C"/>
    <w:rsid w:val="765B28D5"/>
    <w:rsid w:val="765C6931"/>
    <w:rsid w:val="765D2E2D"/>
    <w:rsid w:val="76641FF3"/>
    <w:rsid w:val="766C76F7"/>
    <w:rsid w:val="76734F12"/>
    <w:rsid w:val="76760B78"/>
    <w:rsid w:val="767B67E1"/>
    <w:rsid w:val="767D1A60"/>
    <w:rsid w:val="76834910"/>
    <w:rsid w:val="76854545"/>
    <w:rsid w:val="768F064E"/>
    <w:rsid w:val="769E62A4"/>
    <w:rsid w:val="76A12452"/>
    <w:rsid w:val="76A62318"/>
    <w:rsid w:val="76AD22C2"/>
    <w:rsid w:val="76AF1D88"/>
    <w:rsid w:val="76B919C3"/>
    <w:rsid w:val="76BB697E"/>
    <w:rsid w:val="76BD1590"/>
    <w:rsid w:val="76CA2B96"/>
    <w:rsid w:val="76D052E3"/>
    <w:rsid w:val="76D654E3"/>
    <w:rsid w:val="76E11B21"/>
    <w:rsid w:val="76F4274E"/>
    <w:rsid w:val="76F468C1"/>
    <w:rsid w:val="77057AC7"/>
    <w:rsid w:val="77091C1D"/>
    <w:rsid w:val="770A310D"/>
    <w:rsid w:val="77176176"/>
    <w:rsid w:val="77184DBB"/>
    <w:rsid w:val="77194B2C"/>
    <w:rsid w:val="77273EF9"/>
    <w:rsid w:val="772810EA"/>
    <w:rsid w:val="772B7C4A"/>
    <w:rsid w:val="77353F3A"/>
    <w:rsid w:val="77355FF8"/>
    <w:rsid w:val="77370EEF"/>
    <w:rsid w:val="773B3B6C"/>
    <w:rsid w:val="773E690B"/>
    <w:rsid w:val="77400703"/>
    <w:rsid w:val="7756121A"/>
    <w:rsid w:val="7758133C"/>
    <w:rsid w:val="775B68E4"/>
    <w:rsid w:val="77606A50"/>
    <w:rsid w:val="7763584A"/>
    <w:rsid w:val="777668F5"/>
    <w:rsid w:val="777B48D8"/>
    <w:rsid w:val="777B6635"/>
    <w:rsid w:val="777D7E26"/>
    <w:rsid w:val="777E21DF"/>
    <w:rsid w:val="777F7BCB"/>
    <w:rsid w:val="77815231"/>
    <w:rsid w:val="7785679F"/>
    <w:rsid w:val="77867822"/>
    <w:rsid w:val="778E4C1A"/>
    <w:rsid w:val="778F7D27"/>
    <w:rsid w:val="77930878"/>
    <w:rsid w:val="77A00DF4"/>
    <w:rsid w:val="77A15356"/>
    <w:rsid w:val="77A2369A"/>
    <w:rsid w:val="77A44713"/>
    <w:rsid w:val="77A87F21"/>
    <w:rsid w:val="77AE3264"/>
    <w:rsid w:val="77B935E5"/>
    <w:rsid w:val="77BC6466"/>
    <w:rsid w:val="77D72A16"/>
    <w:rsid w:val="77D77B93"/>
    <w:rsid w:val="77DC1C29"/>
    <w:rsid w:val="77E749ED"/>
    <w:rsid w:val="77E74DE9"/>
    <w:rsid w:val="77EE0CEA"/>
    <w:rsid w:val="77EF091C"/>
    <w:rsid w:val="77F109E8"/>
    <w:rsid w:val="77F56FD2"/>
    <w:rsid w:val="77FE37C0"/>
    <w:rsid w:val="780C6B05"/>
    <w:rsid w:val="780E2EA0"/>
    <w:rsid w:val="781A6637"/>
    <w:rsid w:val="78213EEA"/>
    <w:rsid w:val="782A457F"/>
    <w:rsid w:val="78335386"/>
    <w:rsid w:val="78356BC8"/>
    <w:rsid w:val="783B305E"/>
    <w:rsid w:val="783D7A4E"/>
    <w:rsid w:val="783E55CA"/>
    <w:rsid w:val="78466FFC"/>
    <w:rsid w:val="784758CF"/>
    <w:rsid w:val="784937C3"/>
    <w:rsid w:val="784D5F27"/>
    <w:rsid w:val="784E3B4B"/>
    <w:rsid w:val="7857163D"/>
    <w:rsid w:val="785A41C8"/>
    <w:rsid w:val="785B7BF1"/>
    <w:rsid w:val="785C7C68"/>
    <w:rsid w:val="785D3204"/>
    <w:rsid w:val="7861169D"/>
    <w:rsid w:val="786609D2"/>
    <w:rsid w:val="78671B47"/>
    <w:rsid w:val="78693FFC"/>
    <w:rsid w:val="787F34C3"/>
    <w:rsid w:val="78811BD8"/>
    <w:rsid w:val="78862191"/>
    <w:rsid w:val="78864B66"/>
    <w:rsid w:val="788823C6"/>
    <w:rsid w:val="788F1E71"/>
    <w:rsid w:val="78920B5A"/>
    <w:rsid w:val="78954C16"/>
    <w:rsid w:val="7898512E"/>
    <w:rsid w:val="78990247"/>
    <w:rsid w:val="789B6C35"/>
    <w:rsid w:val="78A75ED7"/>
    <w:rsid w:val="78A90A5A"/>
    <w:rsid w:val="78AB19FF"/>
    <w:rsid w:val="78B6638E"/>
    <w:rsid w:val="78C347C2"/>
    <w:rsid w:val="78C410EC"/>
    <w:rsid w:val="78C62E83"/>
    <w:rsid w:val="78CE0448"/>
    <w:rsid w:val="78D05AFB"/>
    <w:rsid w:val="78D479CB"/>
    <w:rsid w:val="78D5211B"/>
    <w:rsid w:val="78D64D9E"/>
    <w:rsid w:val="78E026CC"/>
    <w:rsid w:val="78E83B81"/>
    <w:rsid w:val="78E97A5B"/>
    <w:rsid w:val="78EB019C"/>
    <w:rsid w:val="78EC2E1F"/>
    <w:rsid w:val="78EC73CE"/>
    <w:rsid w:val="78F522F0"/>
    <w:rsid w:val="78F66947"/>
    <w:rsid w:val="78FD39FA"/>
    <w:rsid w:val="790B0C35"/>
    <w:rsid w:val="792B1C50"/>
    <w:rsid w:val="792C0101"/>
    <w:rsid w:val="792D0F75"/>
    <w:rsid w:val="79375CA0"/>
    <w:rsid w:val="793D5D03"/>
    <w:rsid w:val="79435236"/>
    <w:rsid w:val="79442C5B"/>
    <w:rsid w:val="79443176"/>
    <w:rsid w:val="79447590"/>
    <w:rsid w:val="794637B7"/>
    <w:rsid w:val="79501B57"/>
    <w:rsid w:val="79595B42"/>
    <w:rsid w:val="7969495B"/>
    <w:rsid w:val="796E0E48"/>
    <w:rsid w:val="796E3111"/>
    <w:rsid w:val="79771EB0"/>
    <w:rsid w:val="797A140D"/>
    <w:rsid w:val="797B0594"/>
    <w:rsid w:val="797D7D49"/>
    <w:rsid w:val="79846BBF"/>
    <w:rsid w:val="799A5AD2"/>
    <w:rsid w:val="799D3504"/>
    <w:rsid w:val="799F0BFC"/>
    <w:rsid w:val="79A143D1"/>
    <w:rsid w:val="79A872C0"/>
    <w:rsid w:val="79AF6F1F"/>
    <w:rsid w:val="79B00387"/>
    <w:rsid w:val="79B13DC0"/>
    <w:rsid w:val="79B17F93"/>
    <w:rsid w:val="79BE5D52"/>
    <w:rsid w:val="79CB4676"/>
    <w:rsid w:val="79CC73D5"/>
    <w:rsid w:val="79CD74FE"/>
    <w:rsid w:val="79D033A0"/>
    <w:rsid w:val="79D0629D"/>
    <w:rsid w:val="79D5076B"/>
    <w:rsid w:val="79D55C9B"/>
    <w:rsid w:val="79D66E10"/>
    <w:rsid w:val="79D87769"/>
    <w:rsid w:val="79DE28E7"/>
    <w:rsid w:val="79E370AE"/>
    <w:rsid w:val="79E65A0C"/>
    <w:rsid w:val="79EB1840"/>
    <w:rsid w:val="79EC0EC1"/>
    <w:rsid w:val="79EF70E4"/>
    <w:rsid w:val="79F3603F"/>
    <w:rsid w:val="79FB0B3C"/>
    <w:rsid w:val="7A000746"/>
    <w:rsid w:val="7A0467B1"/>
    <w:rsid w:val="7A0744D1"/>
    <w:rsid w:val="7A0C60E7"/>
    <w:rsid w:val="7A0D74F1"/>
    <w:rsid w:val="7A1258C5"/>
    <w:rsid w:val="7A19518C"/>
    <w:rsid w:val="7A1F19FA"/>
    <w:rsid w:val="7A260A8F"/>
    <w:rsid w:val="7A2A5AA4"/>
    <w:rsid w:val="7A3966EF"/>
    <w:rsid w:val="7A3A7147"/>
    <w:rsid w:val="7A3C369B"/>
    <w:rsid w:val="7A3F2AE4"/>
    <w:rsid w:val="7A3F54B4"/>
    <w:rsid w:val="7A436F7C"/>
    <w:rsid w:val="7A437B15"/>
    <w:rsid w:val="7A454286"/>
    <w:rsid w:val="7A4574B2"/>
    <w:rsid w:val="7A467EA8"/>
    <w:rsid w:val="7A5A4E87"/>
    <w:rsid w:val="7A653600"/>
    <w:rsid w:val="7A670DC1"/>
    <w:rsid w:val="7A677B7A"/>
    <w:rsid w:val="7A6C57E5"/>
    <w:rsid w:val="7A774DAF"/>
    <w:rsid w:val="7A7F15E3"/>
    <w:rsid w:val="7A830726"/>
    <w:rsid w:val="7A83138F"/>
    <w:rsid w:val="7A8840DF"/>
    <w:rsid w:val="7A8D3EE5"/>
    <w:rsid w:val="7A940F25"/>
    <w:rsid w:val="7A94577D"/>
    <w:rsid w:val="7A9462B6"/>
    <w:rsid w:val="7A961A4D"/>
    <w:rsid w:val="7A9D7A39"/>
    <w:rsid w:val="7AA92120"/>
    <w:rsid w:val="7AB363D7"/>
    <w:rsid w:val="7AB54D14"/>
    <w:rsid w:val="7AB67D8C"/>
    <w:rsid w:val="7AB77180"/>
    <w:rsid w:val="7AC14589"/>
    <w:rsid w:val="7AC83FC8"/>
    <w:rsid w:val="7ACB43A1"/>
    <w:rsid w:val="7ACE310B"/>
    <w:rsid w:val="7ACE6E75"/>
    <w:rsid w:val="7ADA0DC6"/>
    <w:rsid w:val="7AE82445"/>
    <w:rsid w:val="7AE912CF"/>
    <w:rsid w:val="7AF0377F"/>
    <w:rsid w:val="7AF17BCA"/>
    <w:rsid w:val="7AFD6738"/>
    <w:rsid w:val="7AFF72F6"/>
    <w:rsid w:val="7B095FE9"/>
    <w:rsid w:val="7B106685"/>
    <w:rsid w:val="7B195822"/>
    <w:rsid w:val="7B1B5C3E"/>
    <w:rsid w:val="7B1E559E"/>
    <w:rsid w:val="7B25518C"/>
    <w:rsid w:val="7B3F1555"/>
    <w:rsid w:val="7B4600E8"/>
    <w:rsid w:val="7B507E0D"/>
    <w:rsid w:val="7B571C68"/>
    <w:rsid w:val="7B5764AF"/>
    <w:rsid w:val="7B660E1E"/>
    <w:rsid w:val="7B6A39F0"/>
    <w:rsid w:val="7B714987"/>
    <w:rsid w:val="7B71585E"/>
    <w:rsid w:val="7B744F90"/>
    <w:rsid w:val="7B821168"/>
    <w:rsid w:val="7B8E1F50"/>
    <w:rsid w:val="7B903451"/>
    <w:rsid w:val="7B97514F"/>
    <w:rsid w:val="7B99368A"/>
    <w:rsid w:val="7B9E07F1"/>
    <w:rsid w:val="7BA040F1"/>
    <w:rsid w:val="7BA14A1C"/>
    <w:rsid w:val="7BA47084"/>
    <w:rsid w:val="7BA54215"/>
    <w:rsid w:val="7BAA1F2C"/>
    <w:rsid w:val="7BAE260E"/>
    <w:rsid w:val="7BB67F96"/>
    <w:rsid w:val="7BB7779F"/>
    <w:rsid w:val="7BBE732B"/>
    <w:rsid w:val="7BC02341"/>
    <w:rsid w:val="7BCB0D94"/>
    <w:rsid w:val="7BD12079"/>
    <w:rsid w:val="7BD44407"/>
    <w:rsid w:val="7BE026AA"/>
    <w:rsid w:val="7BE14743"/>
    <w:rsid w:val="7BE36225"/>
    <w:rsid w:val="7BE839B7"/>
    <w:rsid w:val="7BEB4059"/>
    <w:rsid w:val="7BED4CCC"/>
    <w:rsid w:val="7BEE1668"/>
    <w:rsid w:val="7BF04785"/>
    <w:rsid w:val="7BF214C1"/>
    <w:rsid w:val="7BFB5DC4"/>
    <w:rsid w:val="7BFF10BB"/>
    <w:rsid w:val="7C0529D9"/>
    <w:rsid w:val="7C07358D"/>
    <w:rsid w:val="7C176405"/>
    <w:rsid w:val="7C1B4269"/>
    <w:rsid w:val="7C1D1AC9"/>
    <w:rsid w:val="7C227EB8"/>
    <w:rsid w:val="7C232DD9"/>
    <w:rsid w:val="7C2A55A2"/>
    <w:rsid w:val="7C2B4E0C"/>
    <w:rsid w:val="7C314D89"/>
    <w:rsid w:val="7C3364BB"/>
    <w:rsid w:val="7C446A13"/>
    <w:rsid w:val="7C4934A5"/>
    <w:rsid w:val="7C4A0658"/>
    <w:rsid w:val="7C4B536B"/>
    <w:rsid w:val="7C4E7A29"/>
    <w:rsid w:val="7C52551B"/>
    <w:rsid w:val="7C58030D"/>
    <w:rsid w:val="7C664EC1"/>
    <w:rsid w:val="7C695FB8"/>
    <w:rsid w:val="7C6C36CE"/>
    <w:rsid w:val="7C78742B"/>
    <w:rsid w:val="7C873497"/>
    <w:rsid w:val="7C8768C5"/>
    <w:rsid w:val="7C8A5C27"/>
    <w:rsid w:val="7C8B5447"/>
    <w:rsid w:val="7C932453"/>
    <w:rsid w:val="7C934DE7"/>
    <w:rsid w:val="7C953BE3"/>
    <w:rsid w:val="7C9D54D2"/>
    <w:rsid w:val="7CA2449E"/>
    <w:rsid w:val="7CAD45BC"/>
    <w:rsid w:val="7CB116A9"/>
    <w:rsid w:val="7CB127A0"/>
    <w:rsid w:val="7CB2301F"/>
    <w:rsid w:val="7CBE3A51"/>
    <w:rsid w:val="7CC05BC2"/>
    <w:rsid w:val="7CC87BC1"/>
    <w:rsid w:val="7CCD1B4F"/>
    <w:rsid w:val="7CD132A4"/>
    <w:rsid w:val="7CD86F80"/>
    <w:rsid w:val="7CD92172"/>
    <w:rsid w:val="7CE02118"/>
    <w:rsid w:val="7CE0772A"/>
    <w:rsid w:val="7CE25338"/>
    <w:rsid w:val="7CEB1193"/>
    <w:rsid w:val="7CF02985"/>
    <w:rsid w:val="7CF03A0A"/>
    <w:rsid w:val="7CF237D7"/>
    <w:rsid w:val="7CF84B94"/>
    <w:rsid w:val="7D030A4F"/>
    <w:rsid w:val="7D056582"/>
    <w:rsid w:val="7D0C5E81"/>
    <w:rsid w:val="7D0D5073"/>
    <w:rsid w:val="7D176B5E"/>
    <w:rsid w:val="7D1924AE"/>
    <w:rsid w:val="7D2C0077"/>
    <w:rsid w:val="7D2C0EC1"/>
    <w:rsid w:val="7D2C20B6"/>
    <w:rsid w:val="7D332EF4"/>
    <w:rsid w:val="7D34140C"/>
    <w:rsid w:val="7D393DF7"/>
    <w:rsid w:val="7D4352DB"/>
    <w:rsid w:val="7D4B0519"/>
    <w:rsid w:val="7D4F5A86"/>
    <w:rsid w:val="7D5250FF"/>
    <w:rsid w:val="7D5721C5"/>
    <w:rsid w:val="7D575FCD"/>
    <w:rsid w:val="7D5D262F"/>
    <w:rsid w:val="7D6D6672"/>
    <w:rsid w:val="7D711B46"/>
    <w:rsid w:val="7D715FE9"/>
    <w:rsid w:val="7D747887"/>
    <w:rsid w:val="7D7A4997"/>
    <w:rsid w:val="7D7C34F2"/>
    <w:rsid w:val="7D843283"/>
    <w:rsid w:val="7D875C50"/>
    <w:rsid w:val="7D8B036D"/>
    <w:rsid w:val="7D8E1A04"/>
    <w:rsid w:val="7D91049C"/>
    <w:rsid w:val="7D925CA6"/>
    <w:rsid w:val="7D9D6767"/>
    <w:rsid w:val="7DA76092"/>
    <w:rsid w:val="7DB51208"/>
    <w:rsid w:val="7DB62A23"/>
    <w:rsid w:val="7DB65E6F"/>
    <w:rsid w:val="7DC050DC"/>
    <w:rsid w:val="7DC40AC5"/>
    <w:rsid w:val="7DC55815"/>
    <w:rsid w:val="7DCA7547"/>
    <w:rsid w:val="7DD24A07"/>
    <w:rsid w:val="7DD412D2"/>
    <w:rsid w:val="7DD47685"/>
    <w:rsid w:val="7DD6794C"/>
    <w:rsid w:val="7DDC707F"/>
    <w:rsid w:val="7DE11004"/>
    <w:rsid w:val="7DE2584F"/>
    <w:rsid w:val="7DE37E98"/>
    <w:rsid w:val="7DEB5EEA"/>
    <w:rsid w:val="7DF0441B"/>
    <w:rsid w:val="7DF17F81"/>
    <w:rsid w:val="7DFF492A"/>
    <w:rsid w:val="7DFF788D"/>
    <w:rsid w:val="7E01023E"/>
    <w:rsid w:val="7E0263DA"/>
    <w:rsid w:val="7E061337"/>
    <w:rsid w:val="7E0B0110"/>
    <w:rsid w:val="7E0D5661"/>
    <w:rsid w:val="7E105CE8"/>
    <w:rsid w:val="7E1E49FA"/>
    <w:rsid w:val="7E340F89"/>
    <w:rsid w:val="7E366539"/>
    <w:rsid w:val="7E3C2153"/>
    <w:rsid w:val="7E3C65F7"/>
    <w:rsid w:val="7E4048AC"/>
    <w:rsid w:val="7E48758C"/>
    <w:rsid w:val="7E49178E"/>
    <w:rsid w:val="7E4E42BE"/>
    <w:rsid w:val="7E510BDD"/>
    <w:rsid w:val="7E536C69"/>
    <w:rsid w:val="7E5D449D"/>
    <w:rsid w:val="7E5F3432"/>
    <w:rsid w:val="7E602721"/>
    <w:rsid w:val="7E607448"/>
    <w:rsid w:val="7E613294"/>
    <w:rsid w:val="7E623997"/>
    <w:rsid w:val="7E6512BF"/>
    <w:rsid w:val="7E675E9D"/>
    <w:rsid w:val="7E7136CC"/>
    <w:rsid w:val="7E740F7D"/>
    <w:rsid w:val="7E744041"/>
    <w:rsid w:val="7E76359A"/>
    <w:rsid w:val="7E763966"/>
    <w:rsid w:val="7E7C2E24"/>
    <w:rsid w:val="7E8055E4"/>
    <w:rsid w:val="7E815EE3"/>
    <w:rsid w:val="7E827C4B"/>
    <w:rsid w:val="7E852C56"/>
    <w:rsid w:val="7E873097"/>
    <w:rsid w:val="7E8965B1"/>
    <w:rsid w:val="7E8A7EF6"/>
    <w:rsid w:val="7E8C1F3E"/>
    <w:rsid w:val="7EA65DA5"/>
    <w:rsid w:val="7EA954B0"/>
    <w:rsid w:val="7EAD2F22"/>
    <w:rsid w:val="7EAF255B"/>
    <w:rsid w:val="7EAF7397"/>
    <w:rsid w:val="7EB07BF7"/>
    <w:rsid w:val="7EB2579D"/>
    <w:rsid w:val="7EB67F24"/>
    <w:rsid w:val="7EBB57F9"/>
    <w:rsid w:val="7EBD1FB1"/>
    <w:rsid w:val="7EC07259"/>
    <w:rsid w:val="7EC27154"/>
    <w:rsid w:val="7EC60FC9"/>
    <w:rsid w:val="7ED2210B"/>
    <w:rsid w:val="7ED71E7C"/>
    <w:rsid w:val="7ED76320"/>
    <w:rsid w:val="7EDA0B2E"/>
    <w:rsid w:val="7EDB65A7"/>
    <w:rsid w:val="7EDB7D56"/>
    <w:rsid w:val="7EDD7534"/>
    <w:rsid w:val="7EE44903"/>
    <w:rsid w:val="7EEE656E"/>
    <w:rsid w:val="7EFA764E"/>
    <w:rsid w:val="7EFB6A11"/>
    <w:rsid w:val="7F011DF8"/>
    <w:rsid w:val="7F085E81"/>
    <w:rsid w:val="7F0F02E9"/>
    <w:rsid w:val="7F116CEC"/>
    <w:rsid w:val="7F124A5E"/>
    <w:rsid w:val="7F1F284B"/>
    <w:rsid w:val="7F257AF9"/>
    <w:rsid w:val="7F271055"/>
    <w:rsid w:val="7F3215EA"/>
    <w:rsid w:val="7F334275"/>
    <w:rsid w:val="7F375567"/>
    <w:rsid w:val="7F3B5BA9"/>
    <w:rsid w:val="7F4120DD"/>
    <w:rsid w:val="7F4412FD"/>
    <w:rsid w:val="7F4A32B5"/>
    <w:rsid w:val="7F4A651E"/>
    <w:rsid w:val="7F512408"/>
    <w:rsid w:val="7F5417F6"/>
    <w:rsid w:val="7F700B74"/>
    <w:rsid w:val="7F7109D4"/>
    <w:rsid w:val="7F841B51"/>
    <w:rsid w:val="7F8504DC"/>
    <w:rsid w:val="7F8E33B3"/>
    <w:rsid w:val="7F906DA2"/>
    <w:rsid w:val="7F934B69"/>
    <w:rsid w:val="7F9566B1"/>
    <w:rsid w:val="7F9B62CF"/>
    <w:rsid w:val="7FA0574E"/>
    <w:rsid w:val="7FA2124B"/>
    <w:rsid w:val="7FA7098F"/>
    <w:rsid w:val="7FAC731C"/>
    <w:rsid w:val="7FBE6720"/>
    <w:rsid w:val="7FC134F1"/>
    <w:rsid w:val="7FC458F9"/>
    <w:rsid w:val="7FCA5619"/>
    <w:rsid w:val="7FCF1612"/>
    <w:rsid w:val="7FD52433"/>
    <w:rsid w:val="7FD75A57"/>
    <w:rsid w:val="7FDB3C42"/>
    <w:rsid w:val="7FDF1520"/>
    <w:rsid w:val="7FDF3365"/>
    <w:rsid w:val="7FE06151"/>
    <w:rsid w:val="7FE2771A"/>
    <w:rsid w:val="7FE81533"/>
    <w:rsid w:val="7FF2459A"/>
    <w:rsid w:val="7FF81CAC"/>
  </w:rsids>
  <m:mathPr>
    <m:mathFont m:val="Cambria Math"/>
    <m:brkBin m:val="before"/>
    <m:brkBinSub m:val="--"/>
    <m:smallFrac m:val="0"/>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0"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iPriority="99" w:semiHidden="0" w:name="Body Text 3"/>
    <w:lsdException w:qFormat="1" w:unhideWhenUsed="0"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宋体" w:cs="Times New Roman"/>
      <w:sz w:val="21"/>
      <w:szCs w:val="21"/>
      <w:lang w:val="en-US" w:eastAsia="zh-CN" w:bidi="ar-SA"/>
    </w:rPr>
  </w:style>
  <w:style w:type="paragraph" w:styleId="2">
    <w:name w:val="heading 1"/>
    <w:basedOn w:val="1"/>
    <w:next w:val="1"/>
    <w:link w:val="50"/>
    <w:autoRedefine/>
    <w:qFormat/>
    <w:uiPriority w:val="99"/>
    <w:pPr>
      <w:keepNext/>
      <w:keepLines/>
      <w:widowControl w:val="0"/>
      <w:spacing w:before="340" w:after="330" w:line="576" w:lineRule="auto"/>
      <w:outlineLvl w:val="0"/>
    </w:pPr>
    <w:rPr>
      <w:rFonts w:ascii="Calibri" w:hAnsi="Calibri"/>
      <w:b/>
      <w:bCs/>
      <w:kern w:val="44"/>
      <w:sz w:val="44"/>
      <w:szCs w:val="44"/>
      <w:lang w:val="zh-CN"/>
    </w:rPr>
  </w:style>
  <w:style w:type="paragraph" w:styleId="3">
    <w:name w:val="heading 2"/>
    <w:basedOn w:val="1"/>
    <w:next w:val="1"/>
    <w:link w:val="51"/>
    <w:autoRedefine/>
    <w:qFormat/>
    <w:uiPriority w:val="99"/>
    <w:pPr>
      <w:keepNext/>
      <w:keepLines/>
      <w:widowControl w:val="0"/>
      <w:spacing w:before="260" w:after="260" w:line="412" w:lineRule="auto"/>
      <w:outlineLvl w:val="1"/>
    </w:pPr>
    <w:rPr>
      <w:rFonts w:ascii="Arial" w:hAnsi="Arial" w:eastAsia="黑体"/>
      <w:b/>
      <w:bCs/>
      <w:sz w:val="32"/>
      <w:szCs w:val="32"/>
      <w:lang w:val="zh-CN"/>
    </w:rPr>
  </w:style>
  <w:style w:type="paragraph" w:styleId="4">
    <w:name w:val="heading 3"/>
    <w:basedOn w:val="1"/>
    <w:next w:val="1"/>
    <w:link w:val="52"/>
    <w:autoRedefine/>
    <w:qFormat/>
    <w:uiPriority w:val="99"/>
    <w:pPr>
      <w:keepNext/>
      <w:keepLines/>
      <w:widowControl w:val="0"/>
      <w:spacing w:before="380" w:after="380" w:line="412" w:lineRule="auto"/>
      <w:jc w:val="center"/>
      <w:outlineLvl w:val="2"/>
    </w:pPr>
    <w:rPr>
      <w:b/>
      <w:bCs/>
      <w:sz w:val="28"/>
      <w:szCs w:val="32"/>
      <w:lang w:val="zh-CN"/>
    </w:rPr>
  </w:style>
  <w:style w:type="paragraph" w:styleId="5">
    <w:name w:val="heading 4"/>
    <w:basedOn w:val="1"/>
    <w:next w:val="1"/>
    <w:autoRedefine/>
    <w:qFormat/>
    <w:uiPriority w:val="0"/>
    <w:pPr>
      <w:keepNext/>
      <w:keepLines/>
      <w:numPr>
        <w:ilvl w:val="3"/>
        <w:numId w:val="1"/>
      </w:numPr>
      <w:tabs>
        <w:tab w:val="clear" w:pos="1080"/>
      </w:tabs>
      <w:spacing w:line="360" w:lineRule="auto"/>
      <w:ind w:left="0" w:firstLine="0"/>
      <w:outlineLvl w:val="3"/>
    </w:pPr>
    <w:rPr>
      <w:rFonts w:ascii="Arial" w:hAnsi="Arial" w:eastAsia="宋体" w:cs="Times New Roman"/>
      <w:b/>
      <w:bCs/>
      <w:color w:val="1F497D"/>
      <w:kern w:val="2"/>
      <w:sz w:val="24"/>
      <w:szCs w:val="28"/>
      <w:lang w:val="en-US" w:eastAsia="zh-CN" w:bidi="ar-SA"/>
    </w:rPr>
  </w:style>
  <w:style w:type="paragraph" w:styleId="6">
    <w:name w:val="heading 5"/>
    <w:basedOn w:val="1"/>
    <w:next w:val="1"/>
    <w:unhideWhenUsed/>
    <w:qFormat/>
    <w:uiPriority w:val="9"/>
    <w:pPr>
      <w:keepNext/>
      <w:keepLines/>
      <w:spacing w:before="280" w:beforeLines="0" w:beforeAutospacing="0" w:after="290" w:afterLines="0" w:afterAutospacing="0" w:line="372" w:lineRule="auto"/>
      <w:outlineLvl w:val="4"/>
    </w:pPr>
    <w:rPr>
      <w:b/>
      <w:sz w:val="28"/>
    </w:rPr>
  </w:style>
  <w:style w:type="character" w:default="1" w:styleId="40">
    <w:name w:val="Default Paragraph Font"/>
    <w:autoRedefine/>
    <w:unhideWhenUsed/>
    <w:qFormat/>
    <w:uiPriority w:val="1"/>
  </w:style>
  <w:style w:type="table" w:default="1" w:styleId="38">
    <w:name w:val="Normal Table"/>
    <w:autoRedefine/>
    <w:unhideWhenUsed/>
    <w:qFormat/>
    <w:uiPriority w:val="99"/>
    <w:tblPr>
      <w:tblCellMar>
        <w:top w:w="0" w:type="dxa"/>
        <w:left w:w="108" w:type="dxa"/>
        <w:bottom w:w="0" w:type="dxa"/>
        <w:right w:w="108" w:type="dxa"/>
      </w:tblCellMar>
    </w:tblPr>
  </w:style>
  <w:style w:type="paragraph" w:styleId="7">
    <w:name w:val="toc 7"/>
    <w:basedOn w:val="1"/>
    <w:next w:val="1"/>
    <w:autoRedefine/>
    <w:unhideWhenUsed/>
    <w:qFormat/>
    <w:uiPriority w:val="39"/>
    <w:pPr>
      <w:ind w:left="1260"/>
    </w:pPr>
    <w:rPr>
      <w:rFonts w:ascii="Calibri" w:hAnsi="Calibri" w:cs="Calibri"/>
      <w:sz w:val="18"/>
      <w:szCs w:val="18"/>
    </w:rPr>
  </w:style>
  <w:style w:type="paragraph" w:styleId="8">
    <w:name w:val="Normal Indent"/>
    <w:basedOn w:val="1"/>
    <w:next w:val="1"/>
    <w:autoRedefine/>
    <w:unhideWhenUsed/>
    <w:qFormat/>
    <w:uiPriority w:val="0"/>
    <w:pPr>
      <w:ind w:firstLine="420" w:firstLineChars="200"/>
    </w:pPr>
  </w:style>
  <w:style w:type="paragraph" w:styleId="9">
    <w:name w:val="Document Map"/>
    <w:basedOn w:val="1"/>
    <w:link w:val="53"/>
    <w:autoRedefine/>
    <w:unhideWhenUsed/>
    <w:qFormat/>
    <w:uiPriority w:val="99"/>
    <w:rPr>
      <w:rFonts w:ascii="宋体"/>
      <w:sz w:val="18"/>
      <w:szCs w:val="18"/>
      <w:lang w:val="zh-CN"/>
    </w:rPr>
  </w:style>
  <w:style w:type="paragraph" w:styleId="10">
    <w:name w:val="toa heading"/>
    <w:basedOn w:val="1"/>
    <w:next w:val="1"/>
    <w:autoRedefine/>
    <w:semiHidden/>
    <w:qFormat/>
    <w:uiPriority w:val="0"/>
    <w:pPr>
      <w:widowControl w:val="0"/>
      <w:spacing w:before="120"/>
      <w:jc w:val="both"/>
    </w:pPr>
    <w:rPr>
      <w:rFonts w:ascii="Arial" w:hAnsi="Arial" w:cs="Arial"/>
      <w:kern w:val="2"/>
      <w:sz w:val="24"/>
      <w:szCs w:val="24"/>
    </w:rPr>
  </w:style>
  <w:style w:type="paragraph" w:styleId="11">
    <w:name w:val="annotation text"/>
    <w:basedOn w:val="1"/>
    <w:link w:val="54"/>
    <w:autoRedefine/>
    <w:unhideWhenUsed/>
    <w:qFormat/>
    <w:uiPriority w:val="99"/>
    <w:rPr>
      <w:lang w:val="zh-CN"/>
    </w:rPr>
  </w:style>
  <w:style w:type="paragraph" w:styleId="12">
    <w:name w:val="Body Text 3"/>
    <w:basedOn w:val="1"/>
    <w:link w:val="55"/>
    <w:autoRedefine/>
    <w:unhideWhenUsed/>
    <w:qFormat/>
    <w:uiPriority w:val="99"/>
    <w:rPr>
      <w:rFonts w:ascii="宋体" w:hAnsi="Calibri"/>
      <w:sz w:val="24"/>
      <w:szCs w:val="24"/>
      <w:lang w:val="zh-CN"/>
    </w:rPr>
  </w:style>
  <w:style w:type="paragraph" w:styleId="13">
    <w:name w:val="Body Text"/>
    <w:basedOn w:val="1"/>
    <w:next w:val="14"/>
    <w:autoRedefine/>
    <w:qFormat/>
    <w:uiPriority w:val="0"/>
    <w:pPr>
      <w:spacing w:line="360" w:lineRule="auto"/>
    </w:pPr>
    <w:rPr>
      <w:kern w:val="2"/>
      <w:szCs w:val="24"/>
    </w:rPr>
  </w:style>
  <w:style w:type="paragraph" w:styleId="14">
    <w:name w:val="toc 5"/>
    <w:basedOn w:val="1"/>
    <w:next w:val="1"/>
    <w:autoRedefine/>
    <w:unhideWhenUsed/>
    <w:qFormat/>
    <w:uiPriority w:val="39"/>
    <w:pPr>
      <w:ind w:left="840"/>
    </w:pPr>
    <w:rPr>
      <w:rFonts w:ascii="Calibri" w:hAnsi="Calibri" w:cs="Calibri"/>
      <w:sz w:val="18"/>
      <w:szCs w:val="18"/>
    </w:rPr>
  </w:style>
  <w:style w:type="paragraph" w:styleId="15">
    <w:name w:val="Body Text Indent"/>
    <w:basedOn w:val="1"/>
    <w:next w:val="16"/>
    <w:link w:val="56"/>
    <w:autoRedefine/>
    <w:unhideWhenUsed/>
    <w:qFormat/>
    <w:uiPriority w:val="99"/>
    <w:pPr>
      <w:spacing w:line="460" w:lineRule="exact"/>
      <w:ind w:firstLine="510"/>
    </w:pPr>
    <w:rPr>
      <w:rFonts w:ascii="Calibri" w:hAnsi="Calibri"/>
      <w:sz w:val="20"/>
      <w:lang w:val="zh-CN"/>
    </w:rPr>
  </w:style>
  <w:style w:type="paragraph" w:styleId="16">
    <w:name w:val="annotation subject"/>
    <w:basedOn w:val="11"/>
    <w:next w:val="1"/>
    <w:link w:val="60"/>
    <w:autoRedefine/>
    <w:unhideWhenUsed/>
    <w:qFormat/>
    <w:uiPriority w:val="99"/>
    <w:rPr>
      <w:b/>
      <w:bCs/>
    </w:rPr>
  </w:style>
  <w:style w:type="paragraph" w:styleId="17">
    <w:name w:val="toc 3"/>
    <w:basedOn w:val="1"/>
    <w:next w:val="1"/>
    <w:autoRedefine/>
    <w:unhideWhenUsed/>
    <w:qFormat/>
    <w:uiPriority w:val="39"/>
    <w:pPr>
      <w:ind w:left="420"/>
    </w:pPr>
    <w:rPr>
      <w:rFonts w:ascii="Calibri" w:hAnsi="Calibri" w:cs="Calibri"/>
      <w:i/>
      <w:iCs/>
      <w:sz w:val="20"/>
      <w:szCs w:val="20"/>
    </w:rPr>
  </w:style>
  <w:style w:type="paragraph" w:styleId="18">
    <w:name w:val="Plain Text"/>
    <w:basedOn w:val="1"/>
    <w:next w:val="1"/>
    <w:autoRedefine/>
    <w:qFormat/>
    <w:uiPriority w:val="0"/>
    <w:rPr>
      <w:rFonts w:ascii="宋体" w:hAnsi="Courier New"/>
      <w:szCs w:val="20"/>
    </w:rPr>
  </w:style>
  <w:style w:type="paragraph" w:styleId="19">
    <w:name w:val="toc 8"/>
    <w:basedOn w:val="1"/>
    <w:next w:val="1"/>
    <w:autoRedefine/>
    <w:unhideWhenUsed/>
    <w:qFormat/>
    <w:uiPriority w:val="39"/>
    <w:pPr>
      <w:ind w:left="1470"/>
    </w:pPr>
    <w:rPr>
      <w:rFonts w:ascii="Calibri" w:hAnsi="Calibri" w:cs="Calibri"/>
      <w:sz w:val="18"/>
      <w:szCs w:val="18"/>
    </w:rPr>
  </w:style>
  <w:style w:type="paragraph" w:styleId="20">
    <w:name w:val="Body Text Indent 2"/>
    <w:basedOn w:val="1"/>
    <w:autoRedefine/>
    <w:semiHidden/>
    <w:qFormat/>
    <w:uiPriority w:val="99"/>
    <w:pPr>
      <w:spacing w:after="120" w:line="480" w:lineRule="auto"/>
      <w:ind w:left="420" w:leftChars="200"/>
    </w:pPr>
  </w:style>
  <w:style w:type="paragraph" w:styleId="21">
    <w:name w:val="Balloon Text"/>
    <w:basedOn w:val="1"/>
    <w:link w:val="57"/>
    <w:autoRedefine/>
    <w:unhideWhenUsed/>
    <w:qFormat/>
    <w:uiPriority w:val="99"/>
    <w:rPr>
      <w:sz w:val="18"/>
      <w:szCs w:val="18"/>
      <w:lang w:val="zh-CN"/>
    </w:rPr>
  </w:style>
  <w:style w:type="paragraph" w:styleId="22">
    <w:name w:val="footer"/>
    <w:basedOn w:val="1"/>
    <w:link w:val="58"/>
    <w:autoRedefine/>
    <w:unhideWhenUsed/>
    <w:qFormat/>
    <w:uiPriority w:val="99"/>
    <w:pPr>
      <w:tabs>
        <w:tab w:val="center" w:pos="4153"/>
        <w:tab w:val="right" w:pos="8306"/>
      </w:tabs>
      <w:snapToGrid w:val="0"/>
    </w:pPr>
    <w:rPr>
      <w:sz w:val="18"/>
      <w:szCs w:val="18"/>
      <w:lang w:val="zh-CN"/>
    </w:rPr>
  </w:style>
  <w:style w:type="paragraph" w:styleId="23">
    <w:name w:val="header"/>
    <w:basedOn w:val="1"/>
    <w:link w:val="59"/>
    <w:autoRedefine/>
    <w:unhideWhenUsed/>
    <w:qFormat/>
    <w:uiPriority w:val="99"/>
    <w:pPr>
      <w:pBdr>
        <w:bottom w:val="single" w:color="auto" w:sz="6" w:space="1"/>
      </w:pBdr>
      <w:tabs>
        <w:tab w:val="center" w:pos="4153"/>
        <w:tab w:val="right" w:pos="8306"/>
      </w:tabs>
      <w:snapToGrid w:val="0"/>
      <w:jc w:val="center"/>
    </w:pPr>
    <w:rPr>
      <w:sz w:val="18"/>
      <w:szCs w:val="18"/>
      <w:lang w:val="zh-CN"/>
    </w:rPr>
  </w:style>
  <w:style w:type="paragraph" w:styleId="24">
    <w:name w:val="toc 1"/>
    <w:basedOn w:val="1"/>
    <w:next w:val="1"/>
    <w:autoRedefine/>
    <w:unhideWhenUsed/>
    <w:qFormat/>
    <w:uiPriority w:val="39"/>
    <w:pPr>
      <w:spacing w:before="120" w:after="120"/>
    </w:pPr>
    <w:rPr>
      <w:rFonts w:ascii="Calibri" w:hAnsi="Calibri" w:cs="Calibri"/>
      <w:b/>
      <w:bCs/>
      <w:caps/>
      <w:sz w:val="20"/>
      <w:szCs w:val="20"/>
    </w:rPr>
  </w:style>
  <w:style w:type="paragraph" w:styleId="25">
    <w:name w:val="toc 4"/>
    <w:basedOn w:val="1"/>
    <w:next w:val="1"/>
    <w:autoRedefine/>
    <w:unhideWhenUsed/>
    <w:qFormat/>
    <w:uiPriority w:val="39"/>
    <w:pPr>
      <w:ind w:left="630"/>
    </w:pPr>
    <w:rPr>
      <w:rFonts w:ascii="Calibri" w:hAnsi="Calibri" w:cs="Calibri"/>
      <w:sz w:val="18"/>
      <w:szCs w:val="18"/>
    </w:rPr>
  </w:style>
  <w:style w:type="paragraph" w:styleId="26">
    <w:name w:val="footnote text"/>
    <w:basedOn w:val="1"/>
    <w:autoRedefine/>
    <w:qFormat/>
    <w:uiPriority w:val="0"/>
    <w:pPr>
      <w:adjustRightInd w:val="0"/>
      <w:spacing w:line="312" w:lineRule="atLeast"/>
      <w:textAlignment w:val="baseline"/>
    </w:pPr>
    <w:rPr>
      <w:sz w:val="18"/>
      <w:szCs w:val="20"/>
    </w:rPr>
  </w:style>
  <w:style w:type="paragraph" w:styleId="27">
    <w:name w:val="toc 6"/>
    <w:basedOn w:val="1"/>
    <w:next w:val="1"/>
    <w:autoRedefine/>
    <w:unhideWhenUsed/>
    <w:qFormat/>
    <w:uiPriority w:val="39"/>
    <w:pPr>
      <w:ind w:left="1050"/>
    </w:pPr>
    <w:rPr>
      <w:rFonts w:ascii="Calibri" w:hAnsi="Calibri" w:cs="Calibri"/>
      <w:sz w:val="18"/>
      <w:szCs w:val="18"/>
    </w:rPr>
  </w:style>
  <w:style w:type="paragraph" w:styleId="28">
    <w:name w:val="List 5"/>
    <w:basedOn w:val="1"/>
    <w:next w:val="29"/>
    <w:autoRedefine/>
    <w:qFormat/>
    <w:uiPriority w:val="0"/>
    <w:pPr>
      <w:ind w:left="100" w:leftChars="800" w:hanging="200" w:hangingChars="200"/>
    </w:pPr>
  </w:style>
  <w:style w:type="paragraph" w:customStyle="1" w:styleId="29">
    <w:name w:val="目录 51"/>
    <w:basedOn w:val="1"/>
    <w:next w:val="1"/>
    <w:autoRedefine/>
    <w:qFormat/>
    <w:uiPriority w:val="0"/>
    <w:pPr>
      <w:ind w:left="630"/>
    </w:pPr>
    <w:rPr>
      <w:sz w:val="20"/>
    </w:rPr>
  </w:style>
  <w:style w:type="paragraph" w:styleId="30">
    <w:name w:val="toc 2"/>
    <w:basedOn w:val="1"/>
    <w:next w:val="1"/>
    <w:autoRedefine/>
    <w:unhideWhenUsed/>
    <w:qFormat/>
    <w:uiPriority w:val="39"/>
    <w:pPr>
      <w:ind w:left="210"/>
    </w:pPr>
    <w:rPr>
      <w:rFonts w:ascii="Calibri" w:hAnsi="Calibri" w:cs="Calibri"/>
      <w:smallCaps/>
      <w:sz w:val="20"/>
      <w:szCs w:val="20"/>
    </w:rPr>
  </w:style>
  <w:style w:type="paragraph" w:styleId="31">
    <w:name w:val="toc 9"/>
    <w:basedOn w:val="1"/>
    <w:next w:val="1"/>
    <w:autoRedefine/>
    <w:unhideWhenUsed/>
    <w:qFormat/>
    <w:uiPriority w:val="39"/>
    <w:pPr>
      <w:ind w:left="1680"/>
    </w:pPr>
    <w:rPr>
      <w:rFonts w:ascii="Calibri" w:hAnsi="Calibri" w:cs="Calibri"/>
      <w:sz w:val="18"/>
      <w:szCs w:val="18"/>
    </w:rPr>
  </w:style>
  <w:style w:type="paragraph" w:styleId="32">
    <w:name w:val="Body Text 2"/>
    <w:basedOn w:val="1"/>
    <w:autoRedefine/>
    <w:qFormat/>
    <w:uiPriority w:val="0"/>
    <w:pPr>
      <w:spacing w:line="400" w:lineRule="exact"/>
    </w:pPr>
    <w:rPr>
      <w:rFonts w:ascii="宋体"/>
      <w:color w:val="FF00FF"/>
      <w:sz w:val="24"/>
      <w:shd w:val="pct10" w:color="auto" w:fill="FFFFFF"/>
    </w:rPr>
  </w:style>
  <w:style w:type="paragraph" w:styleId="33">
    <w:name w:val="Message Header"/>
    <w:basedOn w:val="1"/>
    <w:autoRedefine/>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34">
    <w:name w:val="Normal (Web)"/>
    <w:basedOn w:val="1"/>
    <w:autoRedefine/>
    <w:unhideWhenUsed/>
    <w:qFormat/>
    <w:uiPriority w:val="99"/>
    <w:pPr>
      <w:spacing w:before="100" w:beforeAutospacing="1" w:after="100" w:afterAutospacing="1"/>
    </w:pPr>
    <w:rPr>
      <w:sz w:val="24"/>
      <w:szCs w:val="24"/>
    </w:rPr>
  </w:style>
  <w:style w:type="paragraph" w:styleId="35">
    <w:name w:val="Title"/>
    <w:basedOn w:val="1"/>
    <w:next w:val="1"/>
    <w:autoRedefine/>
    <w:qFormat/>
    <w:uiPriority w:val="0"/>
    <w:pPr>
      <w:spacing w:before="240" w:after="60"/>
      <w:jc w:val="center"/>
      <w:outlineLvl w:val="0"/>
    </w:pPr>
    <w:rPr>
      <w:rFonts w:ascii="Cambria" w:hAnsi="Cambria"/>
      <w:b/>
      <w:bCs/>
      <w:sz w:val="32"/>
      <w:szCs w:val="32"/>
    </w:rPr>
  </w:style>
  <w:style w:type="paragraph" w:styleId="36">
    <w:name w:val="Body Text First Indent"/>
    <w:basedOn w:val="13"/>
    <w:next w:val="1"/>
    <w:autoRedefine/>
    <w:unhideWhenUsed/>
    <w:qFormat/>
    <w:uiPriority w:val="99"/>
    <w:pPr>
      <w:ind w:firstLine="420" w:firstLineChars="100"/>
    </w:pPr>
  </w:style>
  <w:style w:type="paragraph" w:styleId="37">
    <w:name w:val="Body Text First Indent 2"/>
    <w:basedOn w:val="15"/>
    <w:autoRedefine/>
    <w:unhideWhenUsed/>
    <w:qFormat/>
    <w:uiPriority w:val="99"/>
    <w:pPr>
      <w:spacing w:after="120" w:line="240" w:lineRule="auto"/>
      <w:ind w:left="420" w:leftChars="200" w:firstLine="420" w:firstLineChars="200"/>
    </w:pPr>
    <w:rPr>
      <w:sz w:val="21"/>
      <w:szCs w:val="24"/>
    </w:rPr>
  </w:style>
  <w:style w:type="table" w:styleId="39">
    <w:name w:val="Table Grid"/>
    <w:basedOn w:val="38"/>
    <w:autoRedefine/>
    <w:unhideWhenUsed/>
    <w:qFormat/>
    <w:uiPriority w:val="99"/>
    <w:pPr>
      <w:widowControl w:val="0"/>
      <w:jc w:val="both"/>
    </w:pPr>
    <w:rPr>
      <w:rFonts w:ascii="Calibri" w:hAnsi="Calibri" w:eastAsia="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autoRedefine/>
    <w:qFormat/>
    <w:uiPriority w:val="0"/>
    <w:rPr>
      <w:b/>
    </w:rPr>
  </w:style>
  <w:style w:type="character" w:styleId="42">
    <w:name w:val="page number"/>
    <w:basedOn w:val="40"/>
    <w:qFormat/>
    <w:uiPriority w:val="0"/>
  </w:style>
  <w:style w:type="character" w:styleId="43">
    <w:name w:val="FollowedHyperlink"/>
    <w:autoRedefine/>
    <w:unhideWhenUsed/>
    <w:qFormat/>
    <w:uiPriority w:val="99"/>
    <w:rPr>
      <w:color w:val="333333"/>
      <w:u w:val="none"/>
    </w:rPr>
  </w:style>
  <w:style w:type="character" w:styleId="44">
    <w:name w:val="Emphasis"/>
    <w:autoRedefine/>
    <w:qFormat/>
    <w:uiPriority w:val="20"/>
    <w:rPr>
      <w:i/>
    </w:rPr>
  </w:style>
  <w:style w:type="character" w:styleId="45">
    <w:name w:val="Hyperlink"/>
    <w:basedOn w:val="40"/>
    <w:autoRedefine/>
    <w:unhideWhenUsed/>
    <w:qFormat/>
    <w:uiPriority w:val="99"/>
    <w:rPr>
      <w:color w:val="333333"/>
      <w:u w:val="none"/>
    </w:rPr>
  </w:style>
  <w:style w:type="character" w:styleId="46">
    <w:name w:val="annotation reference"/>
    <w:autoRedefine/>
    <w:unhideWhenUsed/>
    <w:qFormat/>
    <w:uiPriority w:val="99"/>
    <w:rPr>
      <w:sz w:val="21"/>
      <w:szCs w:val="21"/>
    </w:rPr>
  </w:style>
  <w:style w:type="paragraph" w:customStyle="1" w:styleId="47">
    <w:name w:val="正文1"/>
    <w:next w:val="1"/>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48">
    <w:name w:val="Default"/>
    <w:autoRedefine/>
    <w:qFormat/>
    <w:uiPriority w:val="0"/>
    <w:pPr>
      <w:widowControl w:val="0"/>
      <w:autoSpaceDE w:val="0"/>
      <w:autoSpaceDN w:val="0"/>
      <w:adjustRightInd w:val="0"/>
      <w:spacing w:after="200" w:line="276" w:lineRule="auto"/>
    </w:pPr>
    <w:rPr>
      <w:rFonts w:ascii="宋体" w:hAnsi="Times New Roman" w:eastAsia="宋体" w:cs="宋体"/>
      <w:color w:val="000000"/>
      <w:sz w:val="24"/>
      <w:szCs w:val="24"/>
      <w:lang w:val="en-US" w:eastAsia="zh-CN" w:bidi="ar-SA"/>
    </w:rPr>
  </w:style>
  <w:style w:type="paragraph" w:customStyle="1" w:styleId="49">
    <w:name w:val="正文缩进1"/>
    <w:basedOn w:val="1"/>
    <w:next w:val="28"/>
    <w:autoRedefine/>
    <w:qFormat/>
    <w:uiPriority w:val="0"/>
    <w:pPr>
      <w:autoSpaceDE w:val="0"/>
      <w:autoSpaceDN w:val="0"/>
      <w:adjustRightInd w:val="0"/>
      <w:ind w:firstLine="420"/>
    </w:pPr>
    <w:rPr>
      <w:rFonts w:ascii="宋体" w:hAnsi="Calibri"/>
      <w:sz w:val="24"/>
      <w:szCs w:val="22"/>
    </w:rPr>
  </w:style>
  <w:style w:type="character" w:customStyle="1" w:styleId="50">
    <w:name w:val="标题 1 Char"/>
    <w:link w:val="2"/>
    <w:autoRedefine/>
    <w:qFormat/>
    <w:uiPriority w:val="99"/>
    <w:rPr>
      <w:rFonts w:ascii="Calibri" w:hAnsi="Calibri" w:eastAsia="宋体" w:cs="Times New Roman"/>
      <w:b/>
      <w:bCs/>
      <w:kern w:val="44"/>
      <w:sz w:val="44"/>
      <w:szCs w:val="44"/>
    </w:rPr>
  </w:style>
  <w:style w:type="character" w:customStyle="1" w:styleId="51">
    <w:name w:val="标题 2 Char"/>
    <w:link w:val="3"/>
    <w:autoRedefine/>
    <w:qFormat/>
    <w:uiPriority w:val="99"/>
    <w:rPr>
      <w:rFonts w:ascii="Arial" w:hAnsi="Arial" w:eastAsia="黑体" w:cs="Times New Roman"/>
      <w:b/>
      <w:bCs/>
      <w:kern w:val="0"/>
      <w:sz w:val="32"/>
      <w:szCs w:val="32"/>
    </w:rPr>
  </w:style>
  <w:style w:type="character" w:customStyle="1" w:styleId="52">
    <w:name w:val="标题 3 Char"/>
    <w:link w:val="4"/>
    <w:autoRedefine/>
    <w:qFormat/>
    <w:uiPriority w:val="99"/>
    <w:rPr>
      <w:rFonts w:ascii="Times New Roman" w:hAnsi="Times New Roman" w:eastAsia="宋体" w:cs="Times New Roman"/>
      <w:b/>
      <w:bCs/>
      <w:kern w:val="0"/>
      <w:sz w:val="28"/>
      <w:szCs w:val="32"/>
    </w:rPr>
  </w:style>
  <w:style w:type="character" w:customStyle="1" w:styleId="53">
    <w:name w:val="文档结构图 Char"/>
    <w:link w:val="9"/>
    <w:autoRedefine/>
    <w:semiHidden/>
    <w:qFormat/>
    <w:uiPriority w:val="99"/>
    <w:rPr>
      <w:rFonts w:ascii="宋体"/>
      <w:sz w:val="18"/>
      <w:szCs w:val="18"/>
    </w:rPr>
  </w:style>
  <w:style w:type="character" w:customStyle="1" w:styleId="54">
    <w:name w:val="批注文字 Char"/>
    <w:link w:val="11"/>
    <w:autoRedefine/>
    <w:qFormat/>
    <w:uiPriority w:val="99"/>
    <w:rPr>
      <w:sz w:val="21"/>
      <w:szCs w:val="21"/>
    </w:rPr>
  </w:style>
  <w:style w:type="character" w:customStyle="1" w:styleId="55">
    <w:name w:val="正文文本 3 Char"/>
    <w:link w:val="12"/>
    <w:autoRedefine/>
    <w:qFormat/>
    <w:uiPriority w:val="99"/>
    <w:rPr>
      <w:rFonts w:ascii="宋体" w:hAnsi="Calibri" w:eastAsia="宋体" w:cs="Times New Roman"/>
      <w:kern w:val="0"/>
      <w:sz w:val="24"/>
      <w:szCs w:val="24"/>
    </w:rPr>
  </w:style>
  <w:style w:type="character" w:customStyle="1" w:styleId="56">
    <w:name w:val="正文文本缩进 Char"/>
    <w:link w:val="15"/>
    <w:autoRedefine/>
    <w:qFormat/>
    <w:uiPriority w:val="99"/>
    <w:rPr>
      <w:rFonts w:ascii="Calibri" w:hAnsi="Calibri" w:eastAsia="宋体" w:cs="Times New Roman"/>
      <w:kern w:val="0"/>
      <w:szCs w:val="21"/>
    </w:rPr>
  </w:style>
  <w:style w:type="character" w:customStyle="1" w:styleId="57">
    <w:name w:val="批注框文本 Char"/>
    <w:link w:val="21"/>
    <w:autoRedefine/>
    <w:semiHidden/>
    <w:qFormat/>
    <w:uiPriority w:val="99"/>
    <w:rPr>
      <w:sz w:val="18"/>
      <w:szCs w:val="18"/>
    </w:rPr>
  </w:style>
  <w:style w:type="character" w:customStyle="1" w:styleId="58">
    <w:name w:val="页脚 Char"/>
    <w:link w:val="22"/>
    <w:autoRedefine/>
    <w:qFormat/>
    <w:uiPriority w:val="99"/>
    <w:rPr>
      <w:sz w:val="18"/>
      <w:szCs w:val="18"/>
    </w:rPr>
  </w:style>
  <w:style w:type="character" w:customStyle="1" w:styleId="59">
    <w:name w:val="页眉 Char"/>
    <w:link w:val="23"/>
    <w:autoRedefine/>
    <w:qFormat/>
    <w:uiPriority w:val="99"/>
    <w:rPr>
      <w:sz w:val="18"/>
      <w:szCs w:val="18"/>
    </w:rPr>
  </w:style>
  <w:style w:type="character" w:customStyle="1" w:styleId="60">
    <w:name w:val="批注主题 Char"/>
    <w:link w:val="16"/>
    <w:autoRedefine/>
    <w:semiHidden/>
    <w:qFormat/>
    <w:uiPriority w:val="99"/>
    <w:rPr>
      <w:b/>
      <w:bCs/>
      <w:sz w:val="21"/>
      <w:szCs w:val="21"/>
    </w:rPr>
  </w:style>
  <w:style w:type="character" w:customStyle="1" w:styleId="61">
    <w:name w:val="15"/>
    <w:autoRedefine/>
    <w:qFormat/>
    <w:uiPriority w:val="0"/>
    <w:rPr>
      <w:rFonts w:hint="default" w:ascii="Times New Roman" w:hAnsi="Times New Roman" w:cs="Times New Roman"/>
      <w:b/>
      <w:bCs/>
      <w:kern w:val="44"/>
      <w:sz w:val="44"/>
      <w:szCs w:val="44"/>
    </w:rPr>
  </w:style>
  <w:style w:type="character" w:customStyle="1" w:styleId="62">
    <w:name w:val="16"/>
    <w:autoRedefine/>
    <w:qFormat/>
    <w:uiPriority w:val="0"/>
    <w:rPr>
      <w:rFonts w:hint="default" w:ascii="Times New Roman" w:hAnsi="Times New Roman" w:cs="Times New Roman"/>
      <w:b/>
      <w:bCs/>
      <w:sz w:val="32"/>
      <w:szCs w:val="32"/>
    </w:rPr>
  </w:style>
  <w:style w:type="paragraph" w:customStyle="1" w:styleId="63">
    <w:name w:val="纯文本1"/>
    <w:basedOn w:val="1"/>
    <w:autoRedefine/>
    <w:qFormat/>
    <w:uiPriority w:val="0"/>
    <w:rPr>
      <w:rFonts w:ascii="宋体" w:hAnsi="Courier New"/>
      <w:szCs w:val="22"/>
    </w:rPr>
  </w:style>
  <w:style w:type="paragraph" w:customStyle="1" w:styleId="64">
    <w:name w:val="索引 11"/>
    <w:basedOn w:val="1"/>
    <w:next w:val="1"/>
    <w:autoRedefine/>
    <w:qFormat/>
    <w:uiPriority w:val="0"/>
    <w:pPr>
      <w:spacing w:line="360" w:lineRule="auto"/>
    </w:pPr>
    <w:rPr>
      <w:rFonts w:ascii="仿宋_GB2312" w:eastAsia="仿宋_GB2312"/>
      <w:sz w:val="24"/>
      <w:szCs w:val="20"/>
    </w:rPr>
  </w:style>
  <w:style w:type="paragraph" w:customStyle="1" w:styleId="65">
    <w:name w:val="样式 样式 首行缩进:  2.57 字符 + 首行缩进:  2.57 字符"/>
    <w:basedOn w:val="1"/>
    <w:autoRedefine/>
    <w:qFormat/>
    <w:uiPriority w:val="0"/>
    <w:pPr>
      <w:spacing w:line="360" w:lineRule="auto"/>
      <w:ind w:firstLine="771" w:firstLineChars="257"/>
    </w:pPr>
    <w:rPr>
      <w:rFonts w:eastAsia="仿宋" w:cs="宋体"/>
      <w:sz w:val="30"/>
      <w:szCs w:val="30"/>
    </w:rPr>
  </w:style>
  <w:style w:type="paragraph" w:customStyle="1" w:styleId="66">
    <w:name w:val="_Style 2"/>
    <w:basedOn w:val="1"/>
    <w:autoRedefine/>
    <w:qFormat/>
    <w:uiPriority w:val="0"/>
  </w:style>
  <w:style w:type="paragraph" w:customStyle="1" w:styleId="67">
    <w:name w:val="p2"/>
    <w:basedOn w:val="1"/>
    <w:autoRedefine/>
    <w:qFormat/>
    <w:uiPriority w:val="0"/>
    <w:pPr>
      <w:spacing w:line="480" w:lineRule="auto"/>
      <w:ind w:firstLine="420"/>
    </w:pPr>
    <w:rPr>
      <w:rFonts w:ascii="宋体" w:hAnsi="宋体" w:cs="宋体"/>
    </w:rPr>
  </w:style>
  <w:style w:type="character" w:customStyle="1" w:styleId="68">
    <w:name w:val="font31"/>
    <w:autoRedefine/>
    <w:qFormat/>
    <w:uiPriority w:val="0"/>
    <w:rPr>
      <w:rFonts w:hint="eastAsia" w:ascii="微软雅黑" w:hAnsi="微软雅黑" w:eastAsia="微软雅黑" w:cs="微软雅黑"/>
      <w:color w:val="000000"/>
      <w:sz w:val="16"/>
      <w:szCs w:val="16"/>
      <w:u w:val="none"/>
    </w:rPr>
  </w:style>
  <w:style w:type="character" w:customStyle="1" w:styleId="69">
    <w:name w:val="font21"/>
    <w:autoRedefine/>
    <w:qFormat/>
    <w:uiPriority w:val="0"/>
    <w:rPr>
      <w:rFonts w:hint="eastAsia" w:ascii="微软雅黑" w:hAnsi="微软雅黑" w:eastAsia="微软雅黑" w:cs="微软雅黑"/>
      <w:color w:val="000000"/>
      <w:sz w:val="16"/>
      <w:szCs w:val="16"/>
      <w:u w:val="single"/>
    </w:rPr>
  </w:style>
  <w:style w:type="character" w:customStyle="1" w:styleId="70">
    <w:name w:val="font81"/>
    <w:autoRedefine/>
    <w:qFormat/>
    <w:uiPriority w:val="0"/>
    <w:rPr>
      <w:rFonts w:ascii="Arial" w:hAnsi="Arial" w:cs="Arial"/>
      <w:color w:val="000000"/>
      <w:sz w:val="16"/>
      <w:szCs w:val="16"/>
      <w:u w:val="none"/>
    </w:rPr>
  </w:style>
  <w:style w:type="character" w:customStyle="1" w:styleId="71">
    <w:name w:val="font51"/>
    <w:autoRedefine/>
    <w:qFormat/>
    <w:uiPriority w:val="0"/>
    <w:rPr>
      <w:rFonts w:hint="eastAsia" w:ascii="微软雅黑" w:hAnsi="微软雅黑" w:eastAsia="微软雅黑" w:cs="微软雅黑"/>
      <w:color w:val="000000"/>
      <w:sz w:val="18"/>
      <w:szCs w:val="18"/>
      <w:u w:val="single"/>
    </w:rPr>
  </w:style>
  <w:style w:type="character" w:customStyle="1" w:styleId="72">
    <w:name w:val="font71"/>
    <w:autoRedefine/>
    <w:qFormat/>
    <w:uiPriority w:val="0"/>
    <w:rPr>
      <w:rFonts w:hint="eastAsia" w:ascii="微软雅黑" w:hAnsi="微软雅黑" w:eastAsia="微软雅黑" w:cs="微软雅黑"/>
      <w:color w:val="000000"/>
      <w:sz w:val="18"/>
      <w:szCs w:val="18"/>
      <w:u w:val="none"/>
    </w:rPr>
  </w:style>
  <w:style w:type="character" w:customStyle="1" w:styleId="73">
    <w:name w:val="font121"/>
    <w:autoRedefine/>
    <w:qFormat/>
    <w:uiPriority w:val="0"/>
    <w:rPr>
      <w:rFonts w:hint="eastAsia" w:ascii="微软雅黑" w:hAnsi="微软雅黑" w:eastAsia="微软雅黑" w:cs="微软雅黑"/>
      <w:color w:val="000000"/>
      <w:sz w:val="18"/>
      <w:szCs w:val="18"/>
      <w:u w:val="single"/>
    </w:rPr>
  </w:style>
  <w:style w:type="character" w:customStyle="1" w:styleId="74">
    <w:name w:val="font91"/>
    <w:autoRedefine/>
    <w:qFormat/>
    <w:uiPriority w:val="0"/>
    <w:rPr>
      <w:rFonts w:hint="eastAsia" w:ascii="微软雅黑" w:hAnsi="微软雅黑" w:eastAsia="微软雅黑" w:cs="微软雅黑"/>
      <w:color w:val="000000"/>
      <w:sz w:val="18"/>
      <w:szCs w:val="18"/>
      <w:u w:val="none"/>
    </w:rPr>
  </w:style>
  <w:style w:type="character" w:customStyle="1" w:styleId="75">
    <w:name w:val="font101"/>
    <w:autoRedefine/>
    <w:qFormat/>
    <w:uiPriority w:val="0"/>
    <w:rPr>
      <w:rFonts w:hint="eastAsia" w:ascii="微软雅黑" w:hAnsi="微软雅黑" w:eastAsia="微软雅黑" w:cs="微软雅黑"/>
      <w:color w:val="000000"/>
      <w:sz w:val="18"/>
      <w:szCs w:val="18"/>
      <w:u w:val="none"/>
    </w:rPr>
  </w:style>
  <w:style w:type="paragraph" w:customStyle="1" w:styleId="76">
    <w:name w:val="文档结构图1"/>
    <w:basedOn w:val="1"/>
    <w:autoRedefine/>
    <w:qFormat/>
    <w:uiPriority w:val="0"/>
    <w:pPr>
      <w:widowControl w:val="0"/>
      <w:jc w:val="both"/>
    </w:pPr>
    <w:rPr>
      <w:kern w:val="2"/>
      <w:szCs w:val="24"/>
    </w:rPr>
  </w:style>
  <w:style w:type="paragraph" w:customStyle="1" w:styleId="77">
    <w:name w:val="正文3"/>
    <w:basedOn w:val="1"/>
    <w:autoRedefine/>
    <w:qFormat/>
    <w:uiPriority w:val="0"/>
    <w:pPr>
      <w:spacing w:line="400" w:lineRule="exact"/>
      <w:ind w:firstLine="200" w:firstLineChars="200"/>
    </w:pPr>
    <w:rPr>
      <w:rFonts w:ascii="Calibri" w:hAnsi="Calibri"/>
      <w:kern w:val="0"/>
      <w:sz w:val="20"/>
      <w:szCs w:val="20"/>
    </w:rPr>
  </w:style>
  <w:style w:type="paragraph" w:customStyle="1" w:styleId="78">
    <w:name w:val=" Char Char Char Char Char Char Char"/>
    <w:basedOn w:val="1"/>
    <w:autoRedefine/>
    <w:qFormat/>
    <w:uiPriority w:val="0"/>
    <w:pPr>
      <w:spacing w:after="160" w:line="240" w:lineRule="exact"/>
    </w:pPr>
    <w:rPr>
      <w:rFonts w:ascii="Verdana" w:hAnsi="Verdana" w:eastAsia="仿宋_GB2312"/>
      <w:sz w:val="24"/>
      <w:szCs w:val="20"/>
      <w:lang w:eastAsia="en-US"/>
    </w:rPr>
  </w:style>
  <w:style w:type="paragraph" w:customStyle="1" w:styleId="79">
    <w:name w:val="p0"/>
    <w:basedOn w:val="1"/>
    <w:autoRedefine/>
    <w:qFormat/>
    <w:uiPriority w:val="0"/>
    <w:pPr>
      <w:widowControl/>
    </w:pPr>
    <w:rPr>
      <w:rFonts w:ascii="Times New Roman" w:hAnsi="Times New Roman" w:eastAsia="宋体" w:cs="Times New Roman"/>
      <w:kern w:val="0"/>
      <w:szCs w:val="21"/>
    </w:rPr>
  </w:style>
  <w:style w:type="paragraph" w:customStyle="1" w:styleId="80">
    <w:name w:val="标题4"/>
    <w:basedOn w:val="35"/>
    <w:autoRedefine/>
    <w:qFormat/>
    <w:uiPriority w:val="0"/>
    <w:pPr>
      <w:spacing w:beforeLines="50" w:afterLines="50" w:line="360" w:lineRule="auto"/>
      <w:jc w:val="left"/>
    </w:pPr>
    <w:rPr>
      <w:rFonts w:ascii="新宋体" w:hAnsi="新宋体" w:eastAsia="新宋体"/>
      <w:sz w:val="21"/>
      <w:szCs w:val="21"/>
    </w:rPr>
  </w:style>
  <w:style w:type="paragraph" w:customStyle="1" w:styleId="81">
    <w:name w:val="Table Paragraph"/>
    <w:basedOn w:val="1"/>
    <w:autoRedefine/>
    <w:qFormat/>
    <w:uiPriority w:val="1"/>
    <w:rPr>
      <w:rFonts w:ascii="宋体" w:hAnsi="宋体" w:eastAsia="宋体" w:cs="宋体"/>
      <w:lang w:val="zh-CN" w:eastAsia="zh-CN" w:bidi="zh-CN"/>
    </w:rPr>
  </w:style>
  <w:style w:type="paragraph" w:customStyle="1" w:styleId="82">
    <w:name w:val="WPSOffice手动目录 1"/>
    <w:autoRedefine/>
    <w:qFormat/>
    <w:uiPriority w:val="0"/>
    <w:pPr>
      <w:ind w:leftChars="0"/>
    </w:pPr>
    <w:rPr>
      <w:rFonts w:asciiTheme="minorHAnsi" w:hAnsiTheme="minorHAnsi" w:eastAsiaTheme="minorEastAsia" w:cstheme="minorBidi"/>
      <w:sz w:val="20"/>
      <w:szCs w:val="20"/>
    </w:rPr>
  </w:style>
  <w:style w:type="paragraph" w:styleId="83">
    <w:name w:val="List Paragraph"/>
    <w:basedOn w:val="1"/>
    <w:autoRedefine/>
    <w:qFormat/>
    <w:uiPriority w:val="34"/>
    <w:pPr>
      <w:ind w:firstLine="420" w:firstLineChars="200"/>
    </w:pPr>
  </w:style>
  <w:style w:type="paragraph" w:customStyle="1" w:styleId="84">
    <w:name w:val="正文文本首行缩进 21"/>
    <w:basedOn w:val="85"/>
    <w:autoRedefine/>
    <w:qFormat/>
    <w:uiPriority w:val="0"/>
    <w:pPr>
      <w:spacing w:after="0" w:line="500" w:lineRule="exact"/>
      <w:ind w:left="0" w:leftChars="0" w:firstLine="420" w:firstLineChars="200"/>
    </w:pPr>
  </w:style>
  <w:style w:type="paragraph" w:customStyle="1" w:styleId="85">
    <w:name w:val="正文文本缩进1"/>
    <w:basedOn w:val="1"/>
    <w:autoRedefine/>
    <w:qFormat/>
    <w:uiPriority w:val="99"/>
    <w:pPr>
      <w:spacing w:after="120"/>
      <w:ind w:left="420" w:leftChars="200"/>
    </w:pPr>
    <w:rPr>
      <w:sz w:val="24"/>
    </w:rPr>
  </w:style>
  <w:style w:type="character" w:customStyle="1" w:styleId="86">
    <w:name w:val="font61"/>
    <w:basedOn w:val="40"/>
    <w:qFormat/>
    <w:uiPriority w:val="0"/>
    <w:rPr>
      <w:rFonts w:hint="default" w:ascii="方正仿宋_GBK" w:hAnsi="方正仿宋_GBK" w:eastAsia="方正仿宋_GBK" w:cs="方正仿宋_GBK"/>
      <w:color w:val="000000"/>
      <w:sz w:val="22"/>
      <w:szCs w:val="22"/>
      <w:u w:val="none"/>
    </w:rPr>
  </w:style>
  <w:style w:type="character" w:customStyle="1" w:styleId="87">
    <w:name w:val="font41"/>
    <w:basedOn w:val="40"/>
    <w:qFormat/>
    <w:uiPriority w:val="0"/>
    <w:rPr>
      <w:rFonts w:hint="eastAsia" w:ascii="仿宋" w:hAnsi="仿宋" w:eastAsia="仿宋" w:cs="仿宋"/>
      <w:color w:val="000000"/>
      <w:sz w:val="21"/>
      <w:szCs w:val="21"/>
      <w:u w:val="none"/>
    </w:rPr>
  </w:style>
  <w:style w:type="character" w:customStyle="1" w:styleId="88">
    <w:name w:val="font112"/>
    <w:basedOn w:val="40"/>
    <w:qFormat/>
    <w:uiPriority w:val="0"/>
    <w:rPr>
      <w:rFonts w:hint="eastAsia" w:ascii="仿宋" w:hAnsi="仿宋" w:eastAsia="仿宋" w:cs="仿宋"/>
      <w:b/>
      <w:bCs/>
      <w:color w:val="000000"/>
      <w:sz w:val="22"/>
      <w:szCs w:val="22"/>
      <w:u w:val="none"/>
    </w:rPr>
  </w:style>
  <w:style w:type="character" w:customStyle="1" w:styleId="89">
    <w:name w:val="font12"/>
    <w:basedOn w:val="40"/>
    <w:qFormat/>
    <w:uiPriority w:val="0"/>
    <w:rPr>
      <w:rFonts w:hint="eastAsia" w:ascii="微软雅黑 Light" w:hAnsi="微软雅黑 Light" w:eastAsia="微软雅黑 Light" w:cs="微软雅黑 Light"/>
      <w:color w:val="000000"/>
      <w:sz w:val="20"/>
      <w:szCs w:val="20"/>
      <w:u w:val="none"/>
    </w:rPr>
  </w:style>
  <w:style w:type="paragraph" w:customStyle="1" w:styleId="90">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91">
    <w:name w:val="grame"/>
    <w:qFormat/>
    <w:uiPriority w:val="0"/>
  </w:style>
  <w:style w:type="paragraph" w:customStyle="1" w:styleId="92">
    <w:name w:val="正文文本 21"/>
    <w:basedOn w:val="1"/>
    <w:qFormat/>
    <w:uiPriority w:val="0"/>
    <w:pPr>
      <w:spacing w:line="500" w:lineRule="exact"/>
    </w:pPr>
    <w:rPr>
      <w:color w:val="000000"/>
      <w:sz w:val="30"/>
      <w:szCs w:val="24"/>
    </w:rPr>
  </w:style>
  <w:style w:type="paragraph" w:customStyle="1" w:styleId="93">
    <w:name w:val="Body text|1"/>
    <w:basedOn w:val="1"/>
    <w:autoRedefine/>
    <w:qFormat/>
    <w:uiPriority w:val="0"/>
    <w:pPr>
      <w:spacing w:line="425" w:lineRule="auto"/>
      <w:ind w:firstLine="400"/>
    </w:pPr>
    <w:rPr>
      <w:rFonts w:ascii="宋体" w:hAnsi="宋体" w:cs="宋体"/>
      <w:sz w:val="30"/>
      <w:szCs w:val="30"/>
      <w:lang w:val="zh-TW" w:eastAsia="zh-TW" w:bidi="zh-TW"/>
    </w:rPr>
  </w:style>
  <w:style w:type="paragraph" w:customStyle="1" w:styleId="94">
    <w:name w:val="Style1"/>
    <w:basedOn w:val="1"/>
    <w:autoRedefine/>
    <w:qFormat/>
    <w:uiPriority w:val="0"/>
    <w:pPr>
      <w:tabs>
        <w:tab w:val="left" w:pos="-720"/>
      </w:tabs>
      <w:spacing w:after="120"/>
    </w:pPr>
    <w:rPr>
      <w:spacing w:val="-3"/>
      <w:sz w:val="24"/>
      <w:szCs w:val="20"/>
      <w:lang w:val="en-AU" w:eastAsia="en-US"/>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153</Pages>
  <Words>1147</Words>
  <Characters>1333</Characters>
  <Lines>389</Lines>
  <Paragraphs>109</Paragraphs>
  <TotalTime>826</TotalTime>
  <ScaleCrop>false</ScaleCrop>
  <LinksUpToDate>false</LinksUpToDate>
  <CharactersWithSpaces>1420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2022-07-28T16:51:00Z</dcterms:created>
  <dc:creator>jsb</dc:creator>
  <cp:lastModifiedBy>Administrator</cp:lastModifiedBy>
  <cp:lastPrinted>2024-04-16T10:16:00Z</cp:lastPrinted>
  <dcterms:modified xsi:type="dcterms:W3CDTF">2026-06-21T16:11:30Z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0FFD27586BCC482485D77B97CC1FB097_13</vt:lpwstr>
  </property>
  <property fmtid="{D5CDD505-2E9C-101B-9397-08002B2CF9AE}" pid="3" name="KSOProductBuildVer">
    <vt:lpwstr>2052-12.1.0.26895</vt:lpwstr>
  </property>
  <property fmtid="{D5CDD505-2E9C-101B-9397-08002B2CF9AE}" pid="4" name="KSOTemplateDocerSaveRecord">
    <vt:lpwstr>eyJoZGlkIjoiMjM3NzllMTllN2I3NTk5N2I4OWI0ZWUzNzA5ZDA5ZWIiLCJ1c2VySWQiOiI3MjcyNzcxNDMifQ==</vt:lpwstr>
  </property>
</Properties>
</file>