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版本号：N510101202600102120260715001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主席台空间打造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N5101012026001021</w:t>
      </w:r>
    </w:p>
    <w:p>
      <w:pPr>
        <w:pStyle w:val="null3"/>
        <w:jc w:val="left"/>
        <w:outlineLvl w:val="2"/>
      </w:pPr>
      <w:r>
        <w:rPr>
          <w:rFonts w:ascii="仿宋_GB2312" w:hAnsi="仿宋_GB2312" w:cs="仿宋_GB2312" w:eastAsia="仿宋_GB2312"/>
          <w:sz w:val="28"/>
          <w:b/>
        </w:rPr>
        <w:t>四川省成都市第二中学</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四川省成都市第二中学</w:t>
      </w:r>
      <w:r>
        <w:rPr>
          <w:rFonts w:ascii="仿宋_GB2312" w:hAnsi="仿宋_GB2312" w:cs="仿宋_GB2312" w:eastAsia="仿宋_GB2312"/>
        </w:rPr>
        <w:t xml:space="preserve"> 委托，拟对 </w:t>
      </w:r>
      <w:r>
        <w:rPr>
          <w:rFonts w:ascii="仿宋_GB2312" w:hAnsi="仿宋_GB2312" w:cs="仿宋_GB2312" w:eastAsia="仿宋_GB2312"/>
        </w:rPr>
        <w:t>主席台空间打造</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N5101012026001021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主席台空间打造</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提升学生实践功能，提升育人功能，提升教育品质。满足现代教育教学需求。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1、一、本项目允许合同分包。分包内容为：环境与文化集成2。 1、供应商如分包履行合同的,应提供分包意向协议,分包供应商应满足的资格条件： （1）《中华人民共和国政府采购法》第二十二条。 （2）具有有效的行政主管部门颁发的建筑工程施工总承包三级及以上资质（原钢结构工程专业承包资质在有效期内可视为满足本项要求）； （3）具有有效的《安全生产许可证》； （4）分包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 2、供应商如不分包履行合同的： （1）供应商应具有有效的行政主管部门颁发的建筑工程施工总承包三级及以上资质（原钢结构工程专业承包资质在有效期内可视为满足本项要求）； （2）供应商应具有有效的《安全生产许可证》； （3）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 （描述：一、本项目允许合同分包。分包内容为：环境与文化集成2。 1、供应商如分包履行合同的,应提供分包意向协议,分包供应商应满足的资格条件： （1）《中华人民共和国政府采购法》第二十二条。（提供承诺函并加盖公章，承诺函格式自拟） （2）具有有效的行政主管部门颁发的建筑工程施工总承包三级及以上资质（原钢结构工程专业承包资质在有效期内可视为满足本项要求）；（提供有效的证明材料扫描件并加盖公章） （3）具有有效的《安全生产许可证》；（提供有效的证明材料扫描件并加盖公章） （4）分包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 2、供应商如不分包履行合同的： （1）供应商应具有有效的行政主管部门颁发的建筑工程施工总承包三级及以上资质（原钢结构工程专业承包资质在有效期内可视为满足本项要求）；（提供有效的证明材料扫描件并加盖公章） （2）供应商应具有有效的《安全生产许可证》； （提供有效的证明材料扫描件并加盖公章）（3）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四川省成都市第二中学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成都市锦江区红星路一段37号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610021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028-86945017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曹洋、谭周菊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028-86661810/65731881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采购包1：934,000.00元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代理服务费以成交金额作为收费的计算基数采用差额定率累进法（货物类项目金额100万元以下费率为1.5%，100万元至500万元费率为1.1%）下浮20%收取。中标(成交)金额15万元以上的代理服务费用不足6000元的，按6000元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四川省成都市第二中学</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四川省成都市第二中学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本项目允许合同分包。分包内容为：环境与文化集成2。</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按照招标文件技术要求、投标文件情况及合同约定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按照招标文件商务要求，投标文件情况及合同约定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按照招标文件技术、商务要求，投标文件情况及合同约定严格验收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其他未尽事宜参照《财政部关于进一步加强政府采购需求和履约验收管理的指导意见》(财库〔2016〕205号)、《政府采购需求管理办法》(财库〔2021〕22 号)及招标文件、投标人的其他投标文件及承诺以及合同约定标准进行验收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四川省成都市第二中学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联系人：曹老师、谭老师</w:t>
      </w:r>
    </w:p>
    <w:p>
      <w:pPr>
        <w:pStyle w:val="null3"/>
        <w:jc w:val="left"/>
      </w:pPr>
      <w:r>
        <w:rPr>
          <w:rFonts w:ascii="仿宋_GB2312" w:hAnsi="仿宋_GB2312" w:cs="仿宋_GB2312" w:eastAsia="仿宋_GB2312"/>
        </w:rPr>
        <w:t>联系电话：028-86661810</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934,000.00</w:t>
      </w:r>
    </w:p>
    <w:p>
      <w:pPr>
        <w:pStyle w:val="null3"/>
        <w:jc w:val="left"/>
      </w:pPr>
      <w:r>
        <w:rPr>
          <w:rFonts w:ascii="仿宋_GB2312" w:hAnsi="仿宋_GB2312" w:cs="仿宋_GB2312" w:eastAsia="仿宋_GB2312"/>
        </w:rPr>
        <w:t>采购包最高限价（元）: 934,000.00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A01022400 罩棚</w:t>
            </w:r>
          </w:p>
        </w:tc>
        <w:tc>
          <w:tcPr>
            <w:tcW w:type="dxa" w:w="821"/>
          </w:tcPr>
          <w:p>
            <w:pPr>
              <w:pStyle w:val="null3"/>
              <w:jc w:val="left"/>
            </w:pPr>
            <w:r>
              <w:rPr>
                <w:rFonts w:ascii="仿宋_GB2312" w:hAnsi="仿宋_GB2312" w:cs="仿宋_GB2312" w:eastAsia="仿宋_GB2312"/>
              </w:rPr>
              <w:t>主席台空间打造</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934,000.00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主席台空间打造</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934,000.00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A01022400 罩棚</w:t>
            </w:r>
          </w:p>
        </w:tc>
        <w:tc>
          <w:tcPr>
            <w:tcW w:type="dxa" w:w="2492"/>
          </w:tcPr>
          <w:p>
            <w:pPr>
              <w:pStyle w:val="null3"/>
              <w:jc w:val="left"/>
            </w:pPr>
            <w:r>
              <w:rPr>
                <w:rFonts w:ascii="仿宋_GB2312" w:hAnsi="仿宋_GB2312" w:cs="仿宋_GB2312" w:eastAsia="仿宋_GB2312"/>
              </w:rPr>
              <w:t>主席台空间打造</w:t>
            </w:r>
          </w:p>
        </w:tc>
        <w:tc>
          <w:tcPr>
            <w:tcW w:type="dxa" w:w="2492"/>
          </w:tcPr>
          <w:p>
            <w:pPr>
              <w:pStyle w:val="null3"/>
              <w:jc w:val="left"/>
            </w:pPr>
            <w:r>
              <w:rPr>
                <w:rFonts w:ascii="仿宋_GB2312" w:hAnsi="仿宋_GB2312" w:cs="仿宋_GB2312" w:eastAsia="仿宋_GB2312"/>
              </w:rPr>
              <w:t>攀岩墙</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A01022400 罩棚</w:t>
            </w:r>
          </w:p>
        </w:tc>
        <w:tc>
          <w:tcPr>
            <w:tcW w:type="dxa" w:w="2492"/>
          </w:tcPr>
          <w:p>
            <w:pPr>
              <w:pStyle w:val="null3"/>
              <w:jc w:val="left"/>
            </w:pPr>
            <w:r>
              <w:rPr>
                <w:rFonts w:ascii="仿宋_GB2312" w:hAnsi="仿宋_GB2312" w:cs="仿宋_GB2312" w:eastAsia="仿宋_GB2312"/>
              </w:rPr>
              <w:t>主席台空间打造</w:t>
            </w:r>
          </w:p>
        </w:tc>
        <w:tc>
          <w:tcPr>
            <w:tcW w:type="dxa" w:w="2492"/>
          </w:tcPr>
          <w:p>
            <w:pPr>
              <w:pStyle w:val="null3"/>
              <w:jc w:val="left"/>
            </w:pPr>
            <w:r>
              <w:rPr>
                <w:rFonts w:ascii="仿宋_GB2312" w:hAnsi="仿宋_GB2312" w:cs="仿宋_GB2312" w:eastAsia="仿宋_GB2312"/>
              </w:rPr>
              <w:t>仿水磨石瓷砖</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标的名称：主席台空间打造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jc w:val="left"/>
            </w:pPr>
            <w:r>
              <w:rPr>
                <w:rFonts w:ascii="仿宋_GB2312" w:hAnsi="仿宋_GB2312" w:cs="仿宋_GB2312" w:eastAsia="仿宋_GB2312"/>
              </w:rPr>
              <w:t>注：因一体化平台系统固化原因，本项目标的名称、数量、单位、单价最高限价（元）、核心产品、所属行业以本表为准。</w:t>
            </w:r>
          </w:p>
          <w:tbl>
            <w:tblPr>
              <w:tblBorders>
                <w:top w:val="none" w:color="000000" w:sz="4"/>
                <w:left w:val="none" w:color="000000" w:sz="4"/>
                <w:bottom w:val="none" w:color="000000" w:sz="4"/>
                <w:right w:val="none" w:color="000000" w:sz="4"/>
                <w:insideH w:val="none"/>
                <w:insideV w:val="none"/>
              </w:tblBorders>
            </w:tblPr>
            <w:tblGrid>
              <w:gridCol w:w="418"/>
              <w:gridCol w:w="1395"/>
              <w:gridCol w:w="418"/>
              <w:gridCol w:w="418"/>
              <w:gridCol w:w="777"/>
              <w:gridCol w:w="458"/>
              <w:gridCol w:w="558"/>
            </w:tblGrid>
            <w:tr>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标的名称</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7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单价最高限价（元）</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核心产品</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所属行业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PVDF建筑专用膜材</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钢材</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7.35</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4224</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红砖</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8500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匹</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连砂石</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芝麻灰花岗石</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仿水磨石瓷砖</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铝合金重型推拉门</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樘</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旗杆电动升降装置</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汉白玉栏杆</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攀岩墙</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480000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shd w:fill="FFFF00" w:val="clear"/>
                    </w:rPr>
                    <w:t>是</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工业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环境与文化集成</w:t>
                  </w:r>
                  <w:r>
                    <w:rPr>
                      <w:rFonts w:ascii="仿宋_GB2312" w:hAnsi="仿宋_GB2312" w:cs="仿宋_GB2312" w:eastAsia="仿宋_GB2312"/>
                      <w:sz w:val="21"/>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92500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其他未列明行业</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环境与文化集成</w:t>
                  </w:r>
                  <w:r>
                    <w:rPr>
                      <w:rFonts w:ascii="仿宋_GB2312" w:hAnsi="仿宋_GB2312" w:cs="仿宋_GB2312" w:eastAsia="仿宋_GB2312"/>
                      <w:sz w:val="21"/>
                      <w:color w:val="000000"/>
                    </w:rPr>
                    <w:t>2</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53623.6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color w:val="000000"/>
                    </w:rPr>
                    <w:t>否</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其他未列明行业</w:t>
                  </w:r>
                </w:p>
              </w:tc>
            </w:tr>
          </w:tbl>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09"/>
              <w:gridCol w:w="736"/>
              <w:gridCol w:w="4452"/>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4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技术参数</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PVDF建筑专用膜材</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1.PVDF建筑专用膜材（聚偏氟乙烯建筑膜材），结构为基材+PVDF涂层。</w:t>
                  </w:r>
                </w:p>
                <w:p>
                  <w:pPr>
                    <w:pStyle w:val="null3"/>
                    <w:jc w:val="left"/>
                  </w:pPr>
                  <w:r>
                    <w:rPr>
                      <w:rFonts w:ascii="仿宋_GB2312" w:hAnsi="仿宋_GB2312" w:cs="仿宋_GB2312" w:eastAsia="仿宋_GB2312"/>
                      <w:sz w:val="24"/>
                    </w:rPr>
                    <w:t>▲2.基材要求：采用聚酯纤维（PET）或玻璃纤维作为基材，基材需经过抗紫外线、抗老化处理，无破损、起毛、跳线等缺陷。</w:t>
                  </w:r>
                </w:p>
                <w:p>
                  <w:pPr>
                    <w:pStyle w:val="null3"/>
                    <w:jc w:val="left"/>
                  </w:pPr>
                  <w:r>
                    <w:rPr>
                      <w:rFonts w:ascii="仿宋_GB2312" w:hAnsi="仿宋_GB2312" w:cs="仿宋_GB2312" w:eastAsia="仿宋_GB2312"/>
                      <w:sz w:val="24"/>
                    </w:rPr>
                    <w:t>3.外观要求：膜材表面平整光滑，色泽均匀，无明显色差、划痕、污渍、破损、折痕及杂质，边缘整齐，无毛刺、脱丝现象；颜色为白色。</w:t>
                  </w:r>
                </w:p>
                <w:p>
                  <w:pPr>
                    <w:pStyle w:val="null3"/>
                    <w:jc w:val="left"/>
                  </w:pPr>
                  <w:r>
                    <w:rPr>
                      <w:rFonts w:ascii="仿宋_GB2312" w:hAnsi="仿宋_GB2312" w:cs="仿宋_GB2312" w:eastAsia="仿宋_GB2312"/>
                      <w:sz w:val="24"/>
                    </w:rPr>
                    <w:t>4.规格尺寸:800-1000g/㎡,厚度≥0.7mm。</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钢材</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1.材质：Q235B碳素结构钢；</w:t>
                  </w:r>
                </w:p>
                <w:p>
                  <w:pPr>
                    <w:pStyle w:val="null3"/>
                    <w:jc w:val="left"/>
                  </w:pPr>
                  <w:r>
                    <w:rPr>
                      <w:rFonts w:ascii="仿宋_GB2312" w:hAnsi="仿宋_GB2312" w:cs="仿宋_GB2312" w:eastAsia="仿宋_GB2312"/>
                      <w:sz w:val="24"/>
                    </w:rPr>
                    <w:t>2.外观：表面平整无裂纹、锈蚀、结疤，切口无毛刺，无油污杂质，除锈等级≥Sa2.5级；</w:t>
                  </w:r>
                </w:p>
                <w:p>
                  <w:pPr>
                    <w:pStyle w:val="null3"/>
                    <w:jc w:val="left"/>
                  </w:pPr>
                  <w:r>
                    <w:rPr>
                      <w:rFonts w:ascii="仿宋_GB2312" w:hAnsi="仿宋_GB2312" w:cs="仿宋_GB2312" w:eastAsia="仿宋_GB2312"/>
                      <w:sz w:val="24"/>
                    </w:rPr>
                    <w:t>3.规格尺寸（壁厚±0.3mm)：Φ165mm×4mm：2.5吨、Φ140mm×3mm:0.9吨、Φ89mm×3mm:0.5吨、Φ76mm×3mm:0.5吨、Φ60mm×3mm:0.45吨,Φ377mm×10mm:2.5吨；</w:t>
                  </w:r>
                </w:p>
                <w:p>
                  <w:pPr>
                    <w:pStyle w:val="null3"/>
                    <w:jc w:val="left"/>
                  </w:pPr>
                  <w:r>
                    <w:rPr>
                      <w:rFonts w:ascii="仿宋_GB2312" w:hAnsi="仿宋_GB2312" w:cs="仿宋_GB2312" w:eastAsia="仿宋_GB2312"/>
                      <w:sz w:val="24"/>
                    </w:rPr>
                    <w:t>★4.主立柱、主梁、次梁、撑管、节点材料需满足</w:t>
                  </w:r>
                  <w:r>
                    <w:rPr>
                      <w:rFonts w:ascii="仿宋_GB2312" w:hAnsi="仿宋_GB2312" w:cs="仿宋_GB2312" w:eastAsia="仿宋_GB2312"/>
                      <w:sz w:val="24"/>
                    </w:rPr>
                    <w:t>GB/T 700《碳素结构钢》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★5.化学成分（按重量计）：C≤0.20%，Mn 0.35%-1.40%，Si≤0.35%，S≤0.045%，P≤0.045%；</w:t>
                  </w:r>
                </w:p>
                <w:p>
                  <w:pPr>
                    <w:pStyle w:val="null3"/>
                    <w:jc w:val="left"/>
                  </w:pPr>
                  <w:r>
                    <w:rPr>
                      <w:rFonts w:ascii="仿宋_GB2312" w:hAnsi="仿宋_GB2312" w:cs="仿宋_GB2312" w:eastAsia="仿宋_GB2312"/>
                      <w:sz w:val="24"/>
                    </w:rPr>
                    <w:t>★6.力学性能：屈服强度≥235N/mm²（厚度≤16mm），抗拉强度≥375N/mm²，常温冲击功≥34J，焊接接头强度不低于母材90%；</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红砖</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1.规格尺寸:</w:t>
                  </w:r>
                  <w:r>
                    <w:rPr>
                      <w:rFonts w:ascii="仿宋_GB2312" w:hAnsi="仿宋_GB2312" w:cs="仿宋_GB2312" w:eastAsia="仿宋_GB2312"/>
                      <w:sz w:val="24"/>
                    </w:rPr>
                    <w:t>空心砖</w:t>
                  </w:r>
                  <w:r>
                    <w:rPr>
                      <w:rFonts w:ascii="仿宋_GB2312" w:hAnsi="仿宋_GB2312" w:cs="仿宋_GB2312" w:eastAsia="仿宋_GB2312"/>
                      <w:sz w:val="24"/>
                    </w:rPr>
                    <w:t>，</w:t>
                  </w:r>
                  <w:r>
                    <w:rPr>
                      <w:rFonts w:ascii="仿宋_GB2312" w:hAnsi="仿宋_GB2312" w:cs="仿宋_GB2312" w:eastAsia="仿宋_GB2312"/>
                      <w:sz w:val="19"/>
                    </w:rPr>
                    <w:t xml:space="preserve"> </w:t>
                  </w:r>
                  <w:r>
                    <w:rPr>
                      <w:rFonts w:ascii="仿宋_GB2312" w:hAnsi="仿宋_GB2312" w:cs="仿宋_GB2312" w:eastAsia="仿宋_GB2312"/>
                      <w:sz w:val="24"/>
                    </w:rPr>
                    <w:t>240mm × 115mm × 53mm（长 × 宽 × 高）（±2mm）</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连砂石</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1.淤泥含量≤3%，泥土含量≤2%，杂草、垃圾等杂质含量≤0.5%，严禁含有硫化物、硫酸盐、有机物等有害成分;</w:t>
                  </w:r>
                </w:p>
                <w:p>
                  <w:pPr>
                    <w:pStyle w:val="null3"/>
                    <w:jc w:val="left"/>
                  </w:pPr>
                  <w:r>
                    <w:rPr>
                      <w:rFonts w:ascii="仿宋_GB2312" w:hAnsi="仿宋_GB2312" w:cs="仿宋_GB2312" w:eastAsia="仿宋_GB2312"/>
                      <w:sz w:val="24"/>
                    </w:rPr>
                    <w:t>2.规格尺寸：颗粒粒径范围5mm-31.5mm</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芝麻灰花岗石</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1.规格：600</w:t>
                  </w:r>
                  <w:r>
                    <w:rPr>
                      <w:rFonts w:ascii="仿宋_GB2312" w:hAnsi="仿宋_GB2312" w:cs="仿宋_GB2312" w:eastAsia="仿宋_GB2312"/>
                      <w:sz w:val="24"/>
                    </w:rPr>
                    <w:t>×</w:t>
                  </w:r>
                  <w:r>
                    <w:rPr>
                      <w:rFonts w:ascii="仿宋_GB2312" w:hAnsi="仿宋_GB2312" w:cs="仿宋_GB2312" w:eastAsia="仿宋_GB2312"/>
                      <w:sz w:val="24"/>
                    </w:rPr>
                    <w:t>600</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1"/>
                    </w:rPr>
                    <w:t>（</w:t>
                  </w:r>
                  <w:r>
                    <w:rPr>
                      <w:rFonts w:ascii="仿宋_GB2312" w:hAnsi="仿宋_GB2312" w:cs="仿宋_GB2312" w:eastAsia="仿宋_GB2312"/>
                      <w:sz w:val="21"/>
                    </w:rPr>
                    <w:t>±5mm）</w:t>
                  </w:r>
                </w:p>
                <w:p>
                  <w:pPr>
                    <w:pStyle w:val="null3"/>
                    <w:jc w:val="left"/>
                  </w:pPr>
                  <w:r>
                    <w:rPr>
                      <w:rFonts w:ascii="仿宋_GB2312" w:hAnsi="仿宋_GB2312" w:cs="仿宋_GB2312" w:eastAsia="仿宋_GB2312"/>
                      <w:sz w:val="24"/>
                    </w:rPr>
                    <w:t>2.材质要求：天然花岗岩，不得染色、电解、人工改色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3.质量：符合GB/T 18601标准</w:t>
                  </w:r>
                  <w:r>
                    <w:rPr>
                      <w:rFonts w:ascii="仿宋_GB2312" w:hAnsi="仿宋_GB2312" w:cs="仿宋_GB2312" w:eastAsia="仿宋_GB2312"/>
                      <w:sz w:val="24"/>
                    </w:rPr>
                    <w:t>，</w:t>
                  </w:r>
                  <w:r>
                    <w:rPr>
                      <w:rFonts w:ascii="仿宋_GB2312" w:hAnsi="仿宋_GB2312" w:cs="仿宋_GB2312" w:eastAsia="仿宋_GB2312"/>
                      <w:sz w:val="24"/>
                    </w:rPr>
                    <w:t>符合</w:t>
                  </w:r>
                  <w:r>
                    <w:rPr>
                      <w:rFonts w:ascii="仿宋_GB2312" w:hAnsi="仿宋_GB2312" w:cs="仿宋_GB2312" w:eastAsia="仿宋_GB2312"/>
                      <w:sz w:val="24"/>
                    </w:rPr>
                    <w:t>GB 6566《建筑材料放射性核素限量》</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仿水磨石瓷砖</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1.产品规格：600mm×600mm（±0.5mm），厚度≥10mm，翘曲度≤0.2%，单块瓷砖重量均匀，表面平整度误差≤0.3mm；</w:t>
                  </w:r>
                </w:p>
                <w:p>
                  <w:pPr>
                    <w:pStyle w:val="null3"/>
                    <w:jc w:val="left"/>
                  </w:pPr>
                  <w:r>
                    <w:rPr>
                      <w:rFonts w:ascii="仿宋_GB2312" w:hAnsi="仿宋_GB2312" w:cs="仿宋_GB2312" w:eastAsia="仿宋_GB2312"/>
                      <w:sz w:val="24"/>
                    </w:rPr>
                    <w:t>2.材质：采用高纯度瓷土+天然石粉烧制，仿水磨石纹理，无明显色差，质感贴近天然水磨石，表面光滑平整，无气孔、针孔、裂纹等缺陷；</w:t>
                  </w:r>
                </w:p>
                <w:p>
                  <w:pPr>
                    <w:pStyle w:val="null3"/>
                    <w:jc w:val="left"/>
                  </w:pPr>
                  <w:r>
                    <w:rPr>
                      <w:rFonts w:ascii="仿宋_GB2312" w:hAnsi="仿宋_GB2312" w:cs="仿宋_GB2312" w:eastAsia="仿宋_GB2312"/>
                      <w:sz w:val="24"/>
                    </w:rPr>
                    <w:t>3.外观：色泽均匀，纹理清晰连贯，无缺角、崩边、划痕、污渍；表面无明显杂质，边缘整齐，无毛刺、变形，正反面平整，无翘曲现象。</w:t>
                  </w:r>
                </w:p>
                <w:p>
                  <w:pPr>
                    <w:pStyle w:val="null3"/>
                    <w:jc w:val="left"/>
                  </w:pPr>
                  <w:r>
                    <w:rPr>
                      <w:rFonts w:ascii="仿宋_GB2312" w:hAnsi="仿宋_GB2312" w:cs="仿宋_GB2312" w:eastAsia="仿宋_GB2312"/>
                      <w:sz w:val="24"/>
                    </w:rPr>
                    <w:t>4.致密度高，具有耐磨性、抗污性，不易褪色、变形。</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铝合金重型推拉门</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1.铝合金重型推拉门;</w:t>
                  </w:r>
                </w:p>
                <w:p>
                  <w:pPr>
                    <w:pStyle w:val="null3"/>
                    <w:jc w:val="left"/>
                  </w:pPr>
                  <w:r>
                    <w:rPr>
                      <w:rFonts w:ascii="仿宋_GB2312" w:hAnsi="仿宋_GB2312" w:cs="仿宋_GB2312" w:eastAsia="仿宋_GB2312"/>
                      <w:sz w:val="24"/>
                    </w:rPr>
                    <w:t>2.规格：2750mm×2765mm（±2mm);</w:t>
                  </w:r>
                </w:p>
                <w:p>
                  <w:pPr>
                    <w:pStyle w:val="null3"/>
                    <w:jc w:val="left"/>
                  </w:pPr>
                  <w:r>
                    <w:rPr>
                      <w:rFonts w:ascii="仿宋_GB2312" w:hAnsi="仿宋_GB2312" w:cs="仿宋_GB2312" w:eastAsia="仿宋_GB2312"/>
                      <w:sz w:val="24"/>
                    </w:rPr>
                    <w:t>3.材质：采用6063-T5铝合金型材，材质符合GB/T 5237.1标准，表面无氧化、色差、划痕、变形等缺陷，耐腐蚀、抗老化;</w:t>
                  </w:r>
                </w:p>
                <w:p>
                  <w:pPr>
                    <w:pStyle w:val="null3"/>
                    <w:jc w:val="left"/>
                  </w:pPr>
                  <w:r>
                    <w:rPr>
                      <w:rFonts w:ascii="仿宋_GB2312" w:hAnsi="仿宋_GB2312" w:cs="仿宋_GB2312" w:eastAsia="仿宋_GB2312"/>
                      <w:sz w:val="24"/>
                    </w:rPr>
                    <w:t>4.外观：整体色泽均匀，表面光滑平整，无毛刺、磕碰、掉漆现象；门框、门扇拼接严密，缝隙均匀，无松动、变形；五金配件安装牢固，表面无氧化、锈蚀;</w:t>
                  </w:r>
                </w:p>
                <w:p>
                  <w:pPr>
                    <w:pStyle w:val="null3"/>
                    <w:jc w:val="left"/>
                  </w:pPr>
                  <w:r>
                    <w:rPr>
                      <w:rFonts w:ascii="仿宋_GB2312" w:hAnsi="仿宋_GB2312" w:cs="仿宋_GB2312" w:eastAsia="仿宋_GB2312"/>
                      <w:sz w:val="24"/>
                    </w:rPr>
                    <w:t>5.组角缝隙≤0.3mm，拼接牢固，无松动；</w:t>
                  </w:r>
                </w:p>
                <w:p>
                  <w:pPr>
                    <w:pStyle w:val="null3"/>
                    <w:jc w:val="left"/>
                  </w:pPr>
                  <w:r>
                    <w:rPr>
                      <w:rFonts w:ascii="仿宋_GB2312" w:hAnsi="仿宋_GB2312" w:cs="仿宋_GB2312" w:eastAsia="仿宋_GB2312"/>
                      <w:sz w:val="24"/>
                    </w:rPr>
                    <w:t>6.型材规格40mm×100mm（±</w:t>
                  </w:r>
                  <w:r>
                    <w:rPr>
                      <w:rFonts w:ascii="仿宋_GB2312" w:hAnsi="仿宋_GB2312" w:cs="仿宋_GB2312" w:eastAsia="仿宋_GB2312"/>
                      <w:sz w:val="24"/>
                    </w:rPr>
                    <w:t>0.15</w:t>
                  </w:r>
                  <w:r>
                    <w:rPr>
                      <w:rFonts w:ascii="仿宋_GB2312" w:hAnsi="仿宋_GB2312" w:cs="仿宋_GB2312" w:eastAsia="仿宋_GB2312"/>
                      <w:sz w:val="24"/>
                    </w:rPr>
                    <w:t>mm）,边框型材厚度≥1.2mm（±0.15mm），扇料型材厚度≥3.0mm;</w:t>
                  </w:r>
                </w:p>
                <w:p>
                  <w:pPr>
                    <w:pStyle w:val="null3"/>
                    <w:jc w:val="left"/>
                  </w:pPr>
                  <w:r>
                    <w:rPr>
                      <w:rFonts w:ascii="仿宋_GB2312" w:hAnsi="仿宋_GB2312" w:cs="仿宋_GB2312" w:eastAsia="仿宋_GB2312"/>
                      <w:sz w:val="24"/>
                    </w:rPr>
                    <w:t>7.玻璃要求：采用单透玻璃，厚度6+12A+6mm，正面（单透面）可见率≥90%，背面隐蔽率≥85%，光线反射率30%-40%，无明显透视、漏光现象;</w:t>
                  </w:r>
                </w:p>
                <w:p>
                  <w:pPr>
                    <w:pStyle w:val="null3"/>
                    <w:jc w:val="left"/>
                  </w:pPr>
                  <w:r>
                    <w:rPr>
                      <w:rFonts w:ascii="仿宋_GB2312" w:hAnsi="仿宋_GB2312" w:cs="仿宋_GB2312" w:eastAsia="仿宋_GB2312"/>
                      <w:sz w:val="24"/>
                    </w:rPr>
                    <w:t>8.五金配件：采用不锈钢五金配件（滑轮、导轨、把手、锁具等），滑轮承重≥150kg，滑动顺畅无卡顿、异响；导轨耐腐蚀、抗磨损，使用寿命≥10年。</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旗杆电动升降装置</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1.输入电压:AC220(±10%)V；</w:t>
                  </w:r>
                </w:p>
                <w:p>
                  <w:pPr>
                    <w:pStyle w:val="null3"/>
                    <w:jc w:val="left"/>
                  </w:pPr>
                  <w:r>
                    <w:rPr>
                      <w:rFonts w:ascii="仿宋_GB2312" w:hAnsi="仿宋_GB2312" w:cs="仿宋_GB2312" w:eastAsia="仿宋_GB2312"/>
                      <w:sz w:val="24"/>
                    </w:rPr>
                    <w:t>2.额定电流:10A；</w:t>
                  </w:r>
                </w:p>
                <w:p>
                  <w:pPr>
                    <w:pStyle w:val="null3"/>
                    <w:jc w:val="left"/>
                  </w:pPr>
                  <w:r>
                    <w:rPr>
                      <w:rFonts w:ascii="仿宋_GB2312" w:hAnsi="仿宋_GB2312" w:cs="仿宋_GB2312" w:eastAsia="仿宋_GB2312"/>
                      <w:sz w:val="24"/>
                    </w:rPr>
                    <w:t>3.输出电压:AC220(±10%)V；</w:t>
                  </w:r>
                </w:p>
                <w:p>
                  <w:pPr>
                    <w:pStyle w:val="null3"/>
                    <w:jc w:val="left"/>
                  </w:pPr>
                  <w:r>
                    <w:rPr>
                      <w:rFonts w:ascii="仿宋_GB2312" w:hAnsi="仿宋_GB2312" w:cs="仿宋_GB2312" w:eastAsia="仿宋_GB2312"/>
                      <w:sz w:val="24"/>
                    </w:rPr>
                    <w:t>4.操作方式:无线遥控；</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汉白玉栏杆</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1.规格：栏杆立柱截面尺寸：120mm×120mm（±1mm），高度1000mm-1200mm。栏杆扶手直径80mm(±0.5mm)（圆形），长度适配立柱间距。栏杆栏板厚度30mm(±0.5mm)，宽度适配立柱间距；</w:t>
                  </w:r>
                </w:p>
                <w:p>
                  <w:pPr>
                    <w:pStyle w:val="null3"/>
                    <w:jc w:val="left"/>
                  </w:pPr>
                  <w:r>
                    <w:rPr>
                      <w:rFonts w:ascii="仿宋_GB2312" w:hAnsi="仿宋_GB2312" w:cs="仿宋_GB2312" w:eastAsia="仿宋_GB2312"/>
                      <w:sz w:val="24"/>
                    </w:rPr>
                    <w:t>2. 材质：采用天然汉白玉（碳酸钙含量≥95%），质地细腻、色泽温润，呈乳白色或米白色，无明显杂色、色差；无裂纹、孔洞、杂质、风化斑点，质地均匀，密度≥2.6g/cm³，韧性良好，不易断裂；</w:t>
                  </w:r>
                </w:p>
                <w:p>
                  <w:pPr>
                    <w:pStyle w:val="null3"/>
                    <w:jc w:val="left"/>
                  </w:pPr>
                  <w:r>
                    <w:rPr>
                      <w:rFonts w:ascii="仿宋_GB2312" w:hAnsi="仿宋_GB2312" w:cs="仿宋_GB2312" w:eastAsia="仿宋_GB2312"/>
                      <w:sz w:val="24"/>
                    </w:rPr>
                    <w:t>3.外观：表面光滑平整，打磨抛光度≥80°，无毛刺、划痕、磕碰、缺角、崩边现象；线条流畅，造型规整，雕刻图案（若有）清晰细腻，无残缺、变形，整体色泽均匀一致;</w:t>
                  </w:r>
                </w:p>
                <w:p>
                  <w:pPr>
                    <w:pStyle w:val="null3"/>
                    <w:jc w:val="left"/>
                  </w:pPr>
                  <w:r>
                    <w:rPr>
                      <w:rFonts w:ascii="仿宋_GB2312" w:hAnsi="仿宋_GB2312" w:cs="仿宋_GB2312" w:eastAsia="仿宋_GB2312"/>
                      <w:sz w:val="24"/>
                    </w:rPr>
                    <w:t>★4.力学性能：抗压强度≥100MPa，抗折强度≥15MPa，抗冲击强度≥1.5kJ/m²，承重能力≥2.5kN/m，适配户外使用，无断裂、破损隐患;</w:t>
                  </w:r>
                </w:p>
                <w:p>
                  <w:pPr>
                    <w:pStyle w:val="null3"/>
                    <w:jc w:val="left"/>
                  </w:pPr>
                  <w:r>
                    <w:rPr>
                      <w:rFonts w:ascii="仿宋_GB2312" w:hAnsi="仿宋_GB2312" w:cs="仿宋_GB2312" w:eastAsia="仿宋_GB2312"/>
                      <w:sz w:val="24"/>
                    </w:rPr>
                    <w:t>5.耐候性能：耐酸碱腐蚀，经雨水、阳光长期照射无褪色、风化、开裂现象；耐冻融性能达标（-20℃~20℃循环15次无破损）;</w:t>
                  </w:r>
                </w:p>
                <w:p>
                  <w:pPr>
                    <w:pStyle w:val="null3"/>
                    <w:jc w:val="left"/>
                  </w:pPr>
                  <w:r>
                    <w:rPr>
                      <w:rFonts w:ascii="仿宋_GB2312" w:hAnsi="仿宋_GB2312" w:cs="仿宋_GB2312" w:eastAsia="仿宋_GB2312"/>
                      <w:sz w:val="24"/>
                    </w:rPr>
                    <w:t>6.耐磨性能：无明显划痕、磨损，长期使用仍能保持光滑平整;</w:t>
                  </w:r>
                </w:p>
                <w:p>
                  <w:pPr>
                    <w:pStyle w:val="null3"/>
                    <w:jc w:val="left"/>
                  </w:pPr>
                  <w:r>
                    <w:rPr>
                      <w:rFonts w:ascii="仿宋_GB2312" w:hAnsi="仿宋_GB2312" w:cs="仿宋_GB2312" w:eastAsia="仿宋_GB2312"/>
                      <w:sz w:val="24"/>
                    </w:rPr>
                    <w:t>★7.无放射性污染，符合国家环保标准（GB 6566）；吸水率≤0.5%，不易吸水返潮，无泛碱现象。</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攀岩墙</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一、攀岩板：</w:t>
                  </w:r>
                </w:p>
                <w:p>
                  <w:pPr>
                    <w:pStyle w:val="null3"/>
                    <w:jc w:val="left"/>
                  </w:pPr>
                  <w:r>
                    <w:rPr>
                      <w:rFonts w:ascii="仿宋_GB2312" w:hAnsi="仿宋_GB2312" w:cs="仿宋_GB2312" w:eastAsia="仿宋_GB2312"/>
                      <w:sz w:val="24"/>
                    </w:rPr>
                    <w:t>★1.岩壁规格1：长6m，高15.5m，总投影面积约93㎡； 岩壁规格2：长13m，高4.5m, 总投影面积约58.5㎡；</w:t>
                  </w:r>
                </w:p>
                <w:p>
                  <w:pPr>
                    <w:pStyle w:val="null3"/>
                    <w:jc w:val="left"/>
                  </w:pPr>
                  <w:r>
                    <w:rPr>
                      <w:rFonts w:ascii="仿宋_GB2312" w:hAnsi="仿宋_GB2312" w:cs="仿宋_GB2312" w:eastAsia="仿宋_GB2312"/>
                      <w:sz w:val="24"/>
                    </w:rPr>
                    <w:t>2.岩板材质：玻璃钢复合板；尺寸：1.2m(±3mm)</w:t>
                  </w:r>
                  <w:r>
                    <w:rPr>
                      <w:rFonts w:ascii="仿宋_GB2312" w:hAnsi="仿宋_GB2312" w:cs="仿宋_GB2312" w:eastAsia="仿宋_GB2312"/>
                      <w:sz w:val="24"/>
                    </w:rPr>
                    <w:t>×</w:t>
                  </w:r>
                  <w:r>
                    <w:rPr>
                      <w:rFonts w:ascii="仿宋_GB2312" w:hAnsi="仿宋_GB2312" w:cs="仿宋_GB2312" w:eastAsia="仿宋_GB2312"/>
                      <w:sz w:val="24"/>
                    </w:rPr>
                    <w:t>2.4m(±3mm)</w:t>
                  </w:r>
                  <w:r>
                    <w:rPr>
                      <w:rFonts w:ascii="仿宋_GB2312" w:hAnsi="仿宋_GB2312" w:cs="仿宋_GB2312" w:eastAsia="仿宋_GB2312"/>
                      <w:sz w:val="24"/>
                    </w:rPr>
                    <w:t>×</w:t>
                  </w:r>
                  <w:r>
                    <w:rPr>
                      <w:rFonts w:ascii="仿宋_GB2312" w:hAnsi="仿宋_GB2312" w:cs="仿宋_GB2312" w:eastAsia="仿宋_GB2312"/>
                      <w:sz w:val="24"/>
                    </w:rPr>
                    <w:t>18mm(±1mm)；岩板间依据钢结构框架造型几何拼接而成；</w:t>
                  </w:r>
                  <w:r>
                    <w:rPr>
                      <w:rFonts w:ascii="仿宋_GB2312" w:hAnsi="仿宋_GB2312" w:cs="仿宋_GB2312" w:eastAsia="仿宋_GB2312"/>
                      <w:sz w:val="24"/>
                    </w:rPr>
                    <w:t>上端锚点最大受力</w:t>
                  </w:r>
                  <w:r>
                    <w:rPr>
                      <w:rFonts w:ascii="仿宋_GB2312" w:hAnsi="仿宋_GB2312" w:cs="仿宋_GB2312" w:eastAsia="仿宋_GB2312"/>
                      <w:sz w:val="24"/>
                    </w:rPr>
                    <w:t>≥</w:t>
                  </w:r>
                  <w:r>
                    <w:rPr>
                      <w:rFonts w:ascii="仿宋_GB2312" w:hAnsi="仿宋_GB2312" w:cs="仿宋_GB2312" w:eastAsia="仿宋_GB2312"/>
                      <w:sz w:val="24"/>
                    </w:rPr>
                    <w:t>8KN</w:t>
                  </w:r>
                  <w:r>
                    <w:rPr>
                      <w:rFonts w:ascii="仿宋_GB2312" w:hAnsi="仿宋_GB2312" w:cs="仿宋_GB2312" w:eastAsia="仿宋_GB2312"/>
                      <w:sz w:val="24"/>
                    </w:rPr>
                    <w:t>；岩板耐受静压力</w:t>
                  </w:r>
                  <w:r>
                    <w:rPr>
                      <w:rFonts w:ascii="仿宋_GB2312" w:hAnsi="仿宋_GB2312" w:cs="仿宋_GB2312" w:eastAsia="仿宋_GB2312"/>
                      <w:sz w:val="24"/>
                    </w:rPr>
                    <w:t>≥4kN；岩板最大耐受冲击力≥6kN、支点孔最大抗拉力≥3kN;</w:t>
                  </w:r>
                </w:p>
                <w:p>
                  <w:pPr>
                    <w:pStyle w:val="null3"/>
                    <w:jc w:val="left"/>
                  </w:pPr>
                  <w:r>
                    <w:rPr>
                      <w:rFonts w:ascii="仿宋_GB2312" w:hAnsi="仿宋_GB2312" w:cs="仿宋_GB2312" w:eastAsia="仿宋_GB2312"/>
                      <w:sz w:val="24"/>
                    </w:rPr>
                    <w:t>★3.攀岩板满足</w:t>
                  </w:r>
                  <w:r>
                    <w:rPr>
                      <w:rFonts w:ascii="仿宋_GB2312" w:hAnsi="仿宋_GB2312" w:cs="仿宋_GB2312" w:eastAsia="仿宋_GB2312"/>
                      <w:sz w:val="24"/>
                    </w:rPr>
                    <w:t>GB19079.4</w:t>
                  </w:r>
                  <w:r>
                    <w:rPr>
                      <w:rFonts w:ascii="仿宋_GB2312" w:hAnsi="仿宋_GB2312" w:cs="仿宋_GB2312" w:eastAsia="仿宋_GB2312"/>
                      <w:sz w:val="24"/>
                    </w:rPr>
                    <w:t>-2025</w:t>
                  </w:r>
                  <w:r>
                    <w:rPr>
                      <w:rFonts w:ascii="仿宋_GB2312" w:hAnsi="仿宋_GB2312" w:cs="仿宋_GB2312" w:eastAsia="仿宋_GB2312"/>
                      <w:sz w:val="19"/>
                    </w:rPr>
                    <w:t>《</w:t>
                  </w:r>
                  <w:r>
                    <w:rPr>
                      <w:rFonts w:ascii="仿宋_GB2312" w:hAnsi="仿宋_GB2312" w:cs="仿宋_GB2312" w:eastAsia="仿宋_GB2312"/>
                      <w:sz w:val="24"/>
                    </w:rPr>
                    <w:t>体育场所开放条件与技术要求</w:t>
                  </w:r>
                  <w:r>
                    <w:rPr>
                      <w:rFonts w:ascii="仿宋_GB2312" w:hAnsi="仿宋_GB2312" w:cs="仿宋_GB2312" w:eastAsia="仿宋_GB2312"/>
                      <w:sz w:val="24"/>
                    </w:rPr>
                    <w:t>第</w:t>
                  </w:r>
                  <w:r>
                    <w:rPr>
                      <w:rFonts w:ascii="仿宋_GB2312" w:hAnsi="仿宋_GB2312" w:cs="仿宋_GB2312" w:eastAsia="仿宋_GB2312"/>
                      <w:sz w:val="24"/>
                    </w:rPr>
                    <w:t>4部分：攀岩场所</w:t>
                  </w:r>
                  <w:r>
                    <w:rPr>
                      <w:rFonts w:ascii="仿宋_GB2312" w:hAnsi="仿宋_GB2312" w:cs="仿宋_GB2312" w:eastAsia="仿宋_GB2312"/>
                      <w:sz w:val="19"/>
                    </w:rPr>
                    <w:t>》</w:t>
                  </w:r>
                  <w:r>
                    <w:rPr>
                      <w:rFonts w:ascii="仿宋_GB2312" w:hAnsi="仿宋_GB2312" w:cs="仿宋_GB2312" w:eastAsia="仿宋_GB2312"/>
                      <w:sz w:val="24"/>
                    </w:rPr>
                    <w:t>的要求。投标时提供第三方检测</w:t>
                  </w:r>
                  <w:r>
                    <w:rPr>
                      <w:rFonts w:ascii="仿宋_GB2312" w:hAnsi="仿宋_GB2312" w:cs="仿宋_GB2312" w:eastAsia="仿宋_GB2312"/>
                      <w:sz w:val="24"/>
                    </w:rPr>
                    <w:t>机构</w:t>
                  </w:r>
                  <w:r>
                    <w:rPr>
                      <w:rFonts w:ascii="仿宋_GB2312" w:hAnsi="仿宋_GB2312" w:cs="仿宋_GB2312" w:eastAsia="仿宋_GB2312"/>
                      <w:sz w:val="24"/>
                    </w:rPr>
                    <w:t>出具的</w:t>
                  </w:r>
                  <w:r>
                    <w:rPr>
                      <w:rFonts w:ascii="仿宋_GB2312" w:hAnsi="仿宋_GB2312" w:cs="仿宋_GB2312" w:eastAsia="仿宋_GB2312"/>
                      <w:sz w:val="24"/>
                    </w:rPr>
                    <w:t>“攀岩板”检测报告扫描件并进行电子签章。</w:t>
                  </w:r>
                </w:p>
                <w:p>
                  <w:pPr>
                    <w:pStyle w:val="null3"/>
                    <w:jc w:val="left"/>
                  </w:pPr>
                  <w:r>
                    <w:rPr>
                      <w:rFonts w:ascii="仿宋_GB2312" w:hAnsi="仿宋_GB2312" w:cs="仿宋_GB2312" w:eastAsia="仿宋_GB2312"/>
                      <w:sz w:val="24"/>
                    </w:rPr>
                    <w:t>▲4.提供【玻璃钢攀岩板】放射性核素限量判定的检测报告（</w:t>
                  </w:r>
                  <w:r>
                    <w:rPr>
                      <w:rFonts w:ascii="仿宋_GB2312" w:hAnsi="仿宋_GB2312" w:cs="仿宋_GB2312" w:eastAsia="仿宋_GB2312"/>
                      <w:sz w:val="24"/>
                    </w:rPr>
                    <w:t>投标时</w:t>
                  </w:r>
                  <w:r>
                    <w:rPr>
                      <w:rFonts w:ascii="仿宋_GB2312" w:hAnsi="仿宋_GB2312" w:cs="仿宋_GB2312" w:eastAsia="仿宋_GB2312"/>
                      <w:sz w:val="24"/>
                    </w:rPr>
                    <w:t>提供具有国家认可的检测机构出具的检测报告扫描件并进行电子签章）。</w:t>
                  </w:r>
                </w:p>
                <w:p>
                  <w:pPr>
                    <w:pStyle w:val="null3"/>
                    <w:jc w:val="left"/>
                  </w:pPr>
                  <w:r>
                    <w:rPr>
                      <w:rFonts w:ascii="仿宋_GB2312" w:hAnsi="仿宋_GB2312" w:cs="仿宋_GB2312" w:eastAsia="仿宋_GB2312"/>
                      <w:sz w:val="24"/>
                    </w:rPr>
                    <w:t>▲5.提供【玻璃钢攀岩板】通过干燥器法检测甲醛释放量的检测报告（</w:t>
                  </w:r>
                  <w:r>
                    <w:rPr>
                      <w:rFonts w:ascii="仿宋_GB2312" w:hAnsi="仿宋_GB2312" w:cs="仿宋_GB2312" w:eastAsia="仿宋_GB2312"/>
                      <w:sz w:val="24"/>
                    </w:rPr>
                    <w:t>投标时</w:t>
                  </w:r>
                  <w:r>
                    <w:rPr>
                      <w:rFonts w:ascii="仿宋_GB2312" w:hAnsi="仿宋_GB2312" w:cs="仿宋_GB2312" w:eastAsia="仿宋_GB2312"/>
                      <w:sz w:val="24"/>
                    </w:rPr>
                    <w:t>提供具有国家认可的检测机构出具的检测报告扫描件并进行电子签章）。</w:t>
                  </w:r>
                </w:p>
                <w:p>
                  <w:pPr>
                    <w:pStyle w:val="null3"/>
                    <w:jc w:val="left"/>
                  </w:pPr>
                  <w:r>
                    <w:rPr>
                      <w:rFonts w:ascii="仿宋_GB2312" w:hAnsi="仿宋_GB2312" w:cs="仿宋_GB2312" w:eastAsia="仿宋_GB2312"/>
                      <w:sz w:val="24"/>
                    </w:rPr>
                    <w:t>▲6.提供【玻璃钢攀岩板】耐化学腐蚀性的检测报告（</w:t>
                  </w:r>
                  <w:r>
                    <w:rPr>
                      <w:rFonts w:ascii="仿宋_GB2312" w:hAnsi="仿宋_GB2312" w:cs="仿宋_GB2312" w:eastAsia="仿宋_GB2312"/>
                      <w:sz w:val="24"/>
                    </w:rPr>
                    <w:t>投标时</w:t>
                  </w:r>
                  <w:r>
                    <w:rPr>
                      <w:rFonts w:ascii="仿宋_GB2312" w:hAnsi="仿宋_GB2312" w:cs="仿宋_GB2312" w:eastAsia="仿宋_GB2312"/>
                      <w:sz w:val="24"/>
                    </w:rPr>
                    <w:t>提供具有国家认可的检测机构出具的检测报告扫描件并进行电子签章）。</w:t>
                  </w:r>
                </w:p>
                <w:p>
                  <w:pPr>
                    <w:pStyle w:val="null3"/>
                    <w:jc w:val="left"/>
                  </w:pPr>
                  <w:r>
                    <w:rPr>
                      <w:rFonts w:ascii="仿宋_GB2312" w:hAnsi="仿宋_GB2312" w:cs="仿宋_GB2312" w:eastAsia="仿宋_GB2312"/>
                      <w:sz w:val="24"/>
                    </w:rPr>
                    <w:t>▲7.提供【玻璃钢攀岩板】硬度检测报告，依据GB/T3854-2017</w:t>
                  </w:r>
                  <w:r>
                    <w:rPr>
                      <w:rFonts w:ascii="仿宋_GB2312" w:hAnsi="仿宋_GB2312" w:cs="仿宋_GB2312" w:eastAsia="仿宋_GB2312"/>
                      <w:sz w:val="19"/>
                    </w:rPr>
                    <w:t>《</w:t>
                  </w:r>
                  <w:r>
                    <w:rPr>
                      <w:rFonts w:ascii="仿宋_GB2312" w:hAnsi="仿宋_GB2312" w:cs="仿宋_GB2312" w:eastAsia="仿宋_GB2312"/>
                      <w:sz w:val="24"/>
                    </w:rPr>
                    <w:t>增强塑料巴柯尔硬度试验方法</w:t>
                  </w:r>
                  <w:r>
                    <w:rPr>
                      <w:rFonts w:ascii="仿宋_GB2312" w:hAnsi="仿宋_GB2312" w:cs="仿宋_GB2312" w:eastAsia="仿宋_GB2312"/>
                      <w:sz w:val="19"/>
                    </w:rPr>
                    <w:t>》</w:t>
                  </w:r>
                  <w:r>
                    <w:rPr>
                      <w:rFonts w:ascii="仿宋_GB2312" w:hAnsi="仿宋_GB2312" w:cs="仿宋_GB2312" w:eastAsia="仿宋_GB2312"/>
                      <w:sz w:val="24"/>
                    </w:rPr>
                    <w:t>的检测报告（</w:t>
                  </w:r>
                  <w:r>
                    <w:rPr>
                      <w:rFonts w:ascii="仿宋_GB2312" w:hAnsi="仿宋_GB2312" w:cs="仿宋_GB2312" w:eastAsia="仿宋_GB2312"/>
                      <w:sz w:val="24"/>
                    </w:rPr>
                    <w:t>投标时</w:t>
                  </w:r>
                  <w:r>
                    <w:rPr>
                      <w:rFonts w:ascii="仿宋_GB2312" w:hAnsi="仿宋_GB2312" w:cs="仿宋_GB2312" w:eastAsia="仿宋_GB2312"/>
                      <w:sz w:val="24"/>
                    </w:rPr>
                    <w:t>提供具有国家认可的检测机构出具的检测报告扫描件并进行电子签章）。</w:t>
                  </w:r>
                </w:p>
                <w:p>
                  <w:pPr>
                    <w:pStyle w:val="null3"/>
                    <w:jc w:val="left"/>
                  </w:pPr>
                  <w:r>
                    <w:rPr>
                      <w:rFonts w:ascii="仿宋_GB2312" w:hAnsi="仿宋_GB2312" w:cs="仿宋_GB2312" w:eastAsia="仿宋_GB2312"/>
                      <w:sz w:val="24"/>
                    </w:rPr>
                    <w:t>二、侧封板</w:t>
                  </w:r>
                </w:p>
                <w:p>
                  <w:pPr>
                    <w:pStyle w:val="null3"/>
                    <w:jc w:val="left"/>
                  </w:pPr>
                  <w:r>
                    <w:rPr>
                      <w:rFonts w:ascii="仿宋_GB2312" w:hAnsi="仿宋_GB2312" w:cs="仿宋_GB2312" w:eastAsia="仿宋_GB2312"/>
                      <w:sz w:val="24"/>
                    </w:rPr>
                    <w:t>1.侧封板为1220mm</w:t>
                  </w:r>
                  <w:r>
                    <w:rPr>
                      <w:rFonts w:ascii="仿宋_GB2312" w:hAnsi="仿宋_GB2312" w:cs="仿宋_GB2312" w:eastAsia="仿宋_GB2312"/>
                      <w:sz w:val="24"/>
                    </w:rPr>
                    <w:t>×</w:t>
                  </w:r>
                  <w:r>
                    <w:rPr>
                      <w:rFonts w:ascii="仿宋_GB2312" w:hAnsi="仿宋_GB2312" w:cs="仿宋_GB2312" w:eastAsia="仿宋_GB2312"/>
                      <w:sz w:val="24"/>
                    </w:rPr>
                    <w:t>2440mm</w:t>
                  </w:r>
                  <w:r>
                    <w:rPr>
                      <w:rFonts w:ascii="仿宋_GB2312" w:hAnsi="仿宋_GB2312" w:cs="仿宋_GB2312" w:eastAsia="仿宋_GB2312"/>
                      <w:sz w:val="24"/>
                    </w:rPr>
                    <w:t>×</w:t>
                  </w:r>
                  <w:r>
                    <w:rPr>
                      <w:rFonts w:ascii="仿宋_GB2312" w:hAnsi="仿宋_GB2312" w:cs="仿宋_GB2312" w:eastAsia="仿宋_GB2312"/>
                      <w:sz w:val="24"/>
                    </w:rPr>
                    <w:t>12mm（±1mm）PVC板；</w:t>
                  </w:r>
                </w:p>
                <w:p>
                  <w:pPr>
                    <w:pStyle w:val="null3"/>
                    <w:jc w:val="left"/>
                  </w:pPr>
                  <w:r>
                    <w:rPr>
                      <w:rFonts w:ascii="仿宋_GB2312" w:hAnsi="仿宋_GB2312" w:cs="仿宋_GB2312" w:eastAsia="仿宋_GB2312"/>
                      <w:sz w:val="24"/>
                    </w:rPr>
                    <w:t>三、常规点</w:t>
                  </w:r>
                </w:p>
                <w:p>
                  <w:pPr>
                    <w:pStyle w:val="null3"/>
                    <w:jc w:val="left"/>
                  </w:pPr>
                  <w:r>
                    <w:rPr>
                      <w:rFonts w:ascii="仿宋_GB2312" w:hAnsi="仿宋_GB2312" w:cs="仿宋_GB2312" w:eastAsia="仿宋_GB2312"/>
                      <w:sz w:val="24"/>
                    </w:rPr>
                    <w:t>★1.攀岩常规点：常规攀岩点岩点规格大小不一，尺寸大小约10cm-20cm，200个，竞技岩点5-30cm，60个， 合计260个。</w:t>
                  </w:r>
                </w:p>
                <w:p>
                  <w:pPr>
                    <w:pStyle w:val="null3"/>
                    <w:jc w:val="left"/>
                  </w:pPr>
                  <w:r>
                    <w:rPr>
                      <w:rFonts w:ascii="仿宋_GB2312" w:hAnsi="仿宋_GB2312" w:cs="仿宋_GB2312" w:eastAsia="仿宋_GB2312"/>
                      <w:sz w:val="24"/>
                    </w:rPr>
                    <w:t>四、造型点</w:t>
                  </w:r>
                </w:p>
                <w:p>
                  <w:pPr>
                    <w:pStyle w:val="null3"/>
                    <w:jc w:val="left"/>
                  </w:pPr>
                  <w:r>
                    <w:rPr>
                      <w:rFonts w:ascii="仿宋_GB2312" w:hAnsi="仿宋_GB2312" w:cs="仿宋_GB2312" w:eastAsia="仿宋_GB2312"/>
                      <w:sz w:val="24"/>
                    </w:rPr>
                    <w:t>★1.攀岩造型点：30-50cm的12个，50cm以上的6个；</w:t>
                  </w:r>
                </w:p>
                <w:p>
                  <w:pPr>
                    <w:pStyle w:val="null3"/>
                    <w:jc w:val="left"/>
                  </w:pPr>
                  <w:r>
                    <w:rPr>
                      <w:rFonts w:ascii="仿宋_GB2312" w:hAnsi="仿宋_GB2312" w:cs="仿宋_GB2312" w:eastAsia="仿宋_GB2312"/>
                      <w:sz w:val="24"/>
                    </w:rPr>
                    <w:t>五、速度点</w:t>
                  </w:r>
                </w:p>
                <w:p>
                  <w:pPr>
                    <w:pStyle w:val="null3"/>
                    <w:jc w:val="left"/>
                  </w:pPr>
                  <w:r>
                    <w:rPr>
                      <w:rFonts w:ascii="仿宋_GB2312" w:hAnsi="仿宋_GB2312" w:cs="仿宋_GB2312" w:eastAsia="仿宋_GB2312"/>
                      <w:sz w:val="24"/>
                    </w:rPr>
                    <w:t>★1.速度点：岩点为标准速度赛道专用速度手点和脚点，安装：标准速度赛道位置安装；单条赛道需要20组速度点；</w:t>
                  </w:r>
                </w:p>
                <w:p>
                  <w:pPr>
                    <w:pStyle w:val="null3"/>
                    <w:jc w:val="left"/>
                  </w:pPr>
                  <w:r>
                    <w:rPr>
                      <w:rFonts w:ascii="仿宋_GB2312" w:hAnsi="仿宋_GB2312" w:cs="仿宋_GB2312" w:eastAsia="仿宋_GB2312"/>
                      <w:sz w:val="24"/>
                    </w:rPr>
                    <w:t>六、架攀岩钢架</w:t>
                  </w:r>
                </w:p>
                <w:p>
                  <w:pPr>
                    <w:pStyle w:val="null3"/>
                    <w:jc w:val="left"/>
                  </w:pPr>
                  <w:r>
                    <w:rPr>
                      <w:rFonts w:ascii="仿宋_GB2312" w:hAnsi="仿宋_GB2312" w:cs="仿宋_GB2312" w:eastAsia="仿宋_GB2312"/>
                      <w:sz w:val="24"/>
                    </w:rPr>
                    <w:t>1.架攀岩钢架：6</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17m+13</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5.5m(±</w:t>
                  </w:r>
                  <w:r>
                    <w:rPr>
                      <w:rFonts w:ascii="仿宋_GB2312" w:hAnsi="仿宋_GB2312" w:cs="仿宋_GB2312" w:eastAsia="仿宋_GB2312"/>
                      <w:sz w:val="24"/>
                    </w:rPr>
                    <w:t>20</w:t>
                  </w:r>
                  <w:r>
                    <w:rPr>
                      <w:rFonts w:ascii="仿宋_GB2312" w:hAnsi="仿宋_GB2312" w:cs="仿宋_GB2312" w:eastAsia="仿宋_GB2312"/>
                      <w:sz w:val="24"/>
                    </w:rPr>
                    <w:t>mm)，共计约173.5㎡。攀岩主体钢结构框架采用≥120</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3.5mm方管、≥80</w:t>
                  </w: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w:t>
                  </w:r>
                  <w:r>
                    <w:rPr>
                      <w:rFonts w:ascii="仿宋_GB2312" w:hAnsi="仿宋_GB2312" w:cs="仿宋_GB2312" w:eastAsia="仿宋_GB2312"/>
                      <w:sz w:val="24"/>
                    </w:rPr>
                    <w:t>3.0mm、≥60</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rPr>
                      <w:rFonts w:ascii="仿宋_GB2312" w:hAnsi="仿宋_GB2312" w:cs="仿宋_GB2312" w:eastAsia="仿宋_GB2312"/>
                      <w:sz w:val="24"/>
                    </w:rPr>
                    <w:t>2.5mm方管、≥30</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2.0mm等焊接而成。攀岩上方保护横梁为≥φ76</w:t>
                  </w:r>
                  <w:r>
                    <w:rPr>
                      <w:rFonts w:ascii="仿宋_GB2312" w:hAnsi="仿宋_GB2312" w:cs="仿宋_GB2312" w:eastAsia="仿宋_GB2312"/>
                      <w:sz w:val="24"/>
                    </w:rPr>
                    <w:t>×</w:t>
                  </w:r>
                  <w:r>
                    <w:rPr>
                      <w:rFonts w:ascii="仿宋_GB2312" w:hAnsi="仿宋_GB2312" w:cs="仿宋_GB2312" w:eastAsia="仿宋_GB2312"/>
                      <w:sz w:val="24"/>
                    </w:rPr>
                    <w:t>3.5mm的钢管制作而成。整体钢结构原材料均采用热镀锌钢材，整体做防腐处理。</w:t>
                  </w:r>
                </w:p>
                <w:p>
                  <w:pPr>
                    <w:pStyle w:val="null3"/>
                    <w:jc w:val="left"/>
                  </w:pPr>
                  <w:r>
                    <w:rPr>
                      <w:rFonts w:ascii="仿宋_GB2312" w:hAnsi="仿宋_GB2312" w:cs="仿宋_GB2312" w:eastAsia="仿宋_GB2312"/>
                      <w:sz w:val="24"/>
                    </w:rPr>
                    <w:t>七、岩板涂装：</w:t>
                  </w:r>
                </w:p>
                <w:p>
                  <w:pPr>
                    <w:pStyle w:val="null3"/>
                    <w:jc w:val="left"/>
                  </w:pPr>
                  <w:r>
                    <w:rPr>
                      <w:rFonts w:ascii="仿宋_GB2312" w:hAnsi="仿宋_GB2312" w:cs="仿宋_GB2312" w:eastAsia="仿宋_GB2312"/>
                      <w:sz w:val="24"/>
                    </w:rPr>
                    <w:t>▲1.耐水性（96h无异常）检验依据：GB/T1733中甲法；耐碱性（48h无异常）检验依据：GB/T9265；涂层耐变温性（3次循环）检验依据：JG/T25；耐人工气候老化性（250h不起泡、不剥落、无裂纹）检验依据：GB/T1865中循环A；耐洗刷性（2000次漆膜未损坏）；检验依据：GB/T9755中附录C；耐沾污性（白色和浅色）依据GB/T9780中第五章刷涂法B法，检验结果≤20%；（</w:t>
                  </w:r>
                  <w:r>
                    <w:rPr>
                      <w:rFonts w:ascii="仿宋_GB2312" w:hAnsi="仿宋_GB2312" w:cs="仿宋_GB2312" w:eastAsia="仿宋_GB2312"/>
                      <w:sz w:val="24"/>
                    </w:rPr>
                    <w:t>投标时</w:t>
                  </w:r>
                  <w:r>
                    <w:rPr>
                      <w:rFonts w:ascii="仿宋_GB2312" w:hAnsi="仿宋_GB2312" w:cs="仿宋_GB2312" w:eastAsia="仿宋_GB2312"/>
                      <w:sz w:val="24"/>
                    </w:rPr>
                    <w:t>提供具有国家认可的检测机构出具的检测报告扫描件并进行电子签章）</w:t>
                  </w:r>
                </w:p>
                <w:p>
                  <w:pPr>
                    <w:pStyle w:val="null3"/>
                    <w:jc w:val="left"/>
                  </w:pPr>
                  <w:r>
                    <w:rPr>
                      <w:rFonts w:ascii="仿宋_GB2312" w:hAnsi="仿宋_GB2312" w:cs="仿宋_GB2312" w:eastAsia="仿宋_GB2312"/>
                      <w:sz w:val="24"/>
                    </w:rPr>
                    <w:t>八、环保攀岩保护垫：</w:t>
                  </w:r>
                </w:p>
                <w:p>
                  <w:pPr>
                    <w:pStyle w:val="null3"/>
                    <w:jc w:val="left"/>
                  </w:pPr>
                  <w:r>
                    <w:rPr>
                      <w:rFonts w:ascii="仿宋_GB2312" w:hAnsi="仿宋_GB2312" w:cs="仿宋_GB2312" w:eastAsia="仿宋_GB2312"/>
                      <w:sz w:val="24"/>
                    </w:rPr>
                    <w:t>1.材料：采用海绵做内胆，PVC做外皮；</w:t>
                  </w:r>
                </w:p>
                <w:p>
                  <w:pPr>
                    <w:pStyle w:val="null3"/>
                    <w:jc w:val="left"/>
                  </w:pPr>
                  <w:r>
                    <w:rPr>
                      <w:rFonts w:ascii="仿宋_GB2312" w:hAnsi="仿宋_GB2312" w:cs="仿宋_GB2312" w:eastAsia="仿宋_GB2312"/>
                      <w:sz w:val="24"/>
                    </w:rPr>
                    <w:t>2.规格：长6m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2.5m+13m</w:t>
                  </w:r>
                  <w:r>
                    <w:rPr>
                      <w:rFonts w:ascii="仿宋_GB2312" w:hAnsi="仿宋_GB2312" w:cs="仿宋_GB2312" w:eastAsia="仿宋_GB2312"/>
                      <w:sz w:val="24"/>
                    </w:rPr>
                    <w:t>×</w:t>
                  </w:r>
                  <w:r>
                    <w:rPr>
                      <w:rFonts w:ascii="仿宋_GB2312" w:hAnsi="仿宋_GB2312" w:cs="仿宋_GB2312" w:eastAsia="仿宋_GB2312"/>
                      <w:sz w:val="24"/>
                    </w:rPr>
                    <w:t>2.5m（整体尺寸误差±5cm），厚度≥40cm；合计约47.5㎡</w:t>
                  </w:r>
                </w:p>
                <w:p>
                  <w:pPr>
                    <w:pStyle w:val="null3"/>
                    <w:jc w:val="left"/>
                  </w:pPr>
                  <w:r>
                    <w:rPr>
                      <w:rFonts w:ascii="仿宋_GB2312" w:hAnsi="仿宋_GB2312" w:cs="仿宋_GB2312" w:eastAsia="仿宋_GB2312"/>
                      <w:sz w:val="24"/>
                    </w:rPr>
                    <w:t>▲3.提供攀岩垫关于垫子中海绵甲醛含量的检测报告，满足游离和水解的甲醛含量≤75mg/</w:t>
                  </w:r>
                  <w:r>
                    <w:rPr>
                      <w:rFonts w:ascii="仿宋_GB2312" w:hAnsi="仿宋_GB2312" w:cs="仿宋_GB2312" w:eastAsia="仿宋_GB2312"/>
                      <w:sz w:val="24"/>
                    </w:rPr>
                    <w:t>kg</w:t>
                  </w:r>
                  <w:r>
                    <w:rPr>
                      <w:rFonts w:ascii="仿宋_GB2312" w:hAnsi="仿宋_GB2312" w:cs="仿宋_GB2312" w:eastAsia="仿宋_GB2312"/>
                      <w:sz w:val="24"/>
                    </w:rPr>
                    <w:t>；（投标时提供具有国家认可的检测机构出具的检测报告扫描件并进行电子签章）</w:t>
                  </w:r>
                </w:p>
                <w:p>
                  <w:pPr>
                    <w:pStyle w:val="null3"/>
                    <w:jc w:val="left"/>
                  </w:pPr>
                  <w:r>
                    <w:rPr>
                      <w:rFonts w:ascii="仿宋_GB2312" w:hAnsi="仿宋_GB2312" w:cs="仿宋_GB2312" w:eastAsia="仿宋_GB2312"/>
                      <w:sz w:val="24"/>
                    </w:rPr>
                    <w:t>九、自动保护器：</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.平均下降速度：1 m/s ± 0.1m/s</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.平均收绳速度：1 m/s ± 0.1m/s</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.承重：最大攀登重量120</w:t>
                  </w:r>
                  <w:r>
                    <w:rPr>
                      <w:rFonts w:ascii="仿宋_GB2312" w:hAnsi="仿宋_GB2312" w:cs="仿宋_GB2312" w:eastAsia="仿宋_GB2312"/>
                      <w:sz w:val="24"/>
                    </w:rPr>
                    <w:t>kg</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.材质：铝合金，合金钢，弹簧钢，工程塑料</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.中标人针对本项目</w:t>
                  </w:r>
                  <w:r>
                    <w:rPr>
                      <w:rFonts w:ascii="仿宋_GB2312" w:hAnsi="仿宋_GB2312" w:cs="仿宋_GB2312" w:eastAsia="仿宋_GB2312"/>
                      <w:sz w:val="24"/>
                    </w:rPr>
                    <w:t>自动保护器</w:t>
                  </w:r>
                  <w:r>
                    <w:rPr>
                      <w:rFonts w:ascii="仿宋_GB2312" w:hAnsi="仿宋_GB2312" w:cs="仿宋_GB2312" w:eastAsia="仿宋_GB2312"/>
                      <w:sz w:val="24"/>
                    </w:rPr>
                    <w:t>产品购买累计赔偿限额不低于</w:t>
                  </w:r>
                  <w:r>
                    <w:rPr>
                      <w:rFonts w:ascii="仿宋_GB2312" w:hAnsi="仿宋_GB2312" w:cs="仿宋_GB2312" w:eastAsia="仿宋_GB2312"/>
                      <w:sz w:val="24"/>
                    </w:rPr>
                    <w:t>300万元的产品责任险；（投标时提供承诺函并进行电子签章，承诺函须明确具体金额，格式自拟）</w:t>
                  </w:r>
                </w:p>
                <w:p>
                  <w:pPr>
                    <w:pStyle w:val="null3"/>
                    <w:jc w:val="left"/>
                  </w:pPr>
                  <w:r>
                    <w:rPr>
                      <w:rFonts w:ascii="仿宋_GB2312" w:hAnsi="仿宋_GB2312" w:cs="仿宋_GB2312" w:eastAsia="仿宋_GB2312"/>
                      <w:sz w:val="24"/>
                    </w:rPr>
                    <w:t>★十、检测要求</w:t>
                  </w:r>
                </w:p>
                <w:p>
                  <w:pPr>
                    <w:pStyle w:val="null3"/>
                    <w:jc w:val="left"/>
                  </w:pPr>
                  <w:r>
                    <w:rPr>
                      <w:rFonts w:ascii="仿宋_GB2312" w:hAnsi="仿宋_GB2312" w:cs="仿宋_GB2312" w:eastAsia="仿宋_GB2312"/>
                      <w:sz w:val="24"/>
                    </w:rPr>
                    <w:t>1.攀岩墙安装完成后，依照GB19079.4要求，由双方协商确认的</w:t>
                  </w:r>
                  <w:r>
                    <w:rPr>
                      <w:rFonts w:ascii="仿宋_GB2312" w:hAnsi="仿宋_GB2312" w:cs="仿宋_GB2312" w:eastAsia="仿宋_GB2312"/>
                      <w:sz w:val="24"/>
                    </w:rPr>
                    <w:t>资质认定范围涵盖相应检测项目的第三方检测机构</w:t>
                  </w:r>
                  <w:r>
                    <w:rPr>
                      <w:rFonts w:ascii="仿宋_GB2312" w:hAnsi="仿宋_GB2312" w:cs="仿宋_GB2312" w:eastAsia="仿宋_GB2312"/>
                      <w:sz w:val="24"/>
                    </w:rPr>
                    <w:t>进行现场岩场的安全验收测试并出具检测报告且为合格。费用包含在报价中，采购人无需另行支付费用。（投标时提供承诺函并进行电子签章，承诺函格式自拟）</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环境与文化集成</w:t>
                  </w:r>
                  <w:r>
                    <w:rPr>
                      <w:rFonts w:ascii="仿宋_GB2312" w:hAnsi="仿宋_GB2312" w:cs="仿宋_GB2312" w:eastAsia="仿宋_GB2312"/>
                      <w:sz w:val="21"/>
                    </w:rPr>
                    <w:t>1</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1.集成范围：主席台及升旗台区域空间优化，主席台长约25.4m，宽约8.9m，升旗台长约4m，宽约1.9m。</w:t>
                  </w:r>
                </w:p>
                <w:p>
                  <w:pPr>
                    <w:pStyle w:val="null3"/>
                    <w:jc w:val="left"/>
                  </w:pPr>
                  <w:r>
                    <w:rPr>
                      <w:rFonts w:ascii="仿宋_GB2312" w:hAnsi="仿宋_GB2312" w:cs="仿宋_GB2312" w:eastAsia="仿宋_GB2312"/>
                      <w:sz w:val="24"/>
                    </w:rPr>
                    <w:t>2.集成内容：拆除主席台及升旗台区域部分原有石材面及种植土</w:t>
                  </w:r>
                  <w:r>
                    <w:rPr>
                      <w:rFonts w:ascii="仿宋_GB2312" w:hAnsi="仿宋_GB2312" w:cs="仿宋_GB2312" w:eastAsia="仿宋_GB2312"/>
                      <w:sz w:val="24"/>
                    </w:rPr>
                    <w:t>，</w:t>
                  </w:r>
                  <w:r>
                    <w:rPr>
                      <w:rFonts w:ascii="仿宋_GB2312" w:hAnsi="仿宋_GB2312" w:cs="仿宋_GB2312" w:eastAsia="仿宋_GB2312"/>
                      <w:sz w:val="24"/>
                    </w:rPr>
                    <w:t>石材面约</w:t>
                  </w:r>
                  <w:r>
                    <w:rPr>
                      <w:rFonts w:ascii="仿宋_GB2312" w:hAnsi="仿宋_GB2312" w:cs="仿宋_GB2312" w:eastAsia="仿宋_GB2312"/>
                      <w:sz w:val="24"/>
                    </w:rPr>
                    <w:t>25.4*8.9+4*0.8=229.26平方米，种植土约4*1*1.2=4.8m³</w:t>
                  </w:r>
                  <w:r>
                    <w:rPr>
                      <w:rFonts w:ascii="仿宋_GB2312" w:hAnsi="仿宋_GB2312" w:cs="仿宋_GB2312" w:eastAsia="仿宋_GB2312"/>
                      <w:sz w:val="24"/>
                    </w:rPr>
                    <w:t>，主席台区域填高</w:t>
                  </w:r>
                  <w:r>
                    <w:rPr>
                      <w:rFonts w:ascii="仿宋_GB2312" w:hAnsi="仿宋_GB2312" w:cs="仿宋_GB2312" w:eastAsia="仿宋_GB2312"/>
                      <w:sz w:val="24"/>
                    </w:rPr>
                    <w:t>600mm，升旗台区域扩宽500mm；集成过程中的优化设计、人工转运、拆除、建渣清运，红砖砌筑、石材铺贴、绿植补栽、设备安装调试以及所需辅材（包括但不限于预埋铁件、三角构件、直角座、龙骨架连接件、挂件、胶水、水泥砂浆、线管、螺丝、钉子、热熔胶、纸胶带、钢钉、膨胀螺丝等。）均包含在报价内，结算时不做调整。</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环境与文化集成</w:t>
                  </w:r>
                  <w:r>
                    <w:rPr>
                      <w:rFonts w:ascii="仿宋_GB2312" w:hAnsi="仿宋_GB2312" w:cs="仿宋_GB2312" w:eastAsia="仿宋_GB2312"/>
                      <w:sz w:val="21"/>
                    </w:rPr>
                    <w:t>2</w:t>
                  </w:r>
                </w:p>
              </w:tc>
              <w:tc>
                <w:tcPr>
                  <w:tcW w:type="dxa" w:w="4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1.集成范围：膜结构雨棚长约23m，宽约13m，面积约300㎡</w:t>
                  </w:r>
                  <w:r>
                    <w:rPr>
                      <w:rFonts w:ascii="仿宋_GB2312" w:hAnsi="仿宋_GB2312" w:cs="仿宋_GB2312" w:eastAsia="仿宋_GB2312"/>
                      <w:sz w:val="19"/>
                    </w:rPr>
                    <w:t>，</w:t>
                  </w:r>
                  <w:r>
                    <w:rPr>
                      <w:rFonts w:ascii="仿宋_GB2312" w:hAnsi="仿宋_GB2312" w:cs="仿宋_GB2312" w:eastAsia="仿宋_GB2312"/>
                      <w:sz w:val="24"/>
                    </w:rPr>
                    <w:t>净空高度</w:t>
                  </w:r>
                  <w:r>
                    <w:rPr>
                      <w:rFonts w:ascii="仿宋_GB2312" w:hAnsi="仿宋_GB2312" w:cs="仿宋_GB2312" w:eastAsia="仿宋_GB2312"/>
                      <w:sz w:val="24"/>
                    </w:rPr>
                    <w:t>≥8800mm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集成内容：包括钢材的加工、专业抛丸机除锈、钢结构喷漆、钢结构运输、吊装、钢结构立柱基础以及膜材的高频热合、裁剪加工、背贴条、绳套、安装等集成过程中的人工转运、机械吊装、焊接、建渣清运、安装调试以及所需辅材（包括但不限于防锈环氧富锌底漆、白色氟碳漆、预埋铁件、PE钢丝绳、锚具、铝压条、焊条、水泥砂浆、线管、螺丝、钉子、热熔胶、纸胶带、钢钉、膨胀螺丝等。）均包含在报价内，结算时不做调整。</w:t>
                  </w:r>
                </w:p>
                <w:p>
                  <w:pPr>
                    <w:pStyle w:val="null3"/>
                    <w:jc w:val="left"/>
                  </w:pPr>
                  <w:r>
                    <w:rPr>
                      <w:rFonts w:ascii="仿宋_GB2312" w:hAnsi="仿宋_GB2312" w:cs="仿宋_GB2312" w:eastAsia="仿宋_GB2312"/>
                      <w:sz w:val="24"/>
                    </w:rPr>
                    <w:t>3.由于该项为定制结构，货物安装必须满足现场的抗风性和结构稳定，使用安全。</w:t>
                  </w:r>
                </w:p>
                <w:p>
                  <w:pPr>
                    <w:pStyle w:val="null3"/>
                    <w:jc w:val="left"/>
                  </w:pPr>
                  <w:r>
                    <w:rPr>
                      <w:rFonts w:ascii="仿宋_GB2312" w:hAnsi="仿宋_GB2312" w:cs="仿宋_GB2312" w:eastAsia="仿宋_GB2312"/>
                      <w:sz w:val="24"/>
                    </w:rPr>
                    <w:t>4.本项目的数量为预估值，所需基础、预埋件、辅材、其他设备无法详细明确（标准：国标，数量：满足项目安装需要）由投标人自行测算，费用包含在报价中，采购人无需另行支付费用。</w:t>
                  </w:r>
                </w:p>
                <w:p>
                  <w:pPr>
                    <w:pStyle w:val="null3"/>
                    <w:jc w:val="left"/>
                  </w:pPr>
                  <w:r>
                    <w:rPr>
                      <w:rFonts w:ascii="仿宋_GB2312" w:hAnsi="仿宋_GB2312" w:cs="仿宋_GB2312" w:eastAsia="仿宋_GB2312"/>
                      <w:sz w:val="24"/>
                    </w:rPr>
                    <w:t>★5.中标人在安装前应出具实施方案及设计图，经采购人审核通过后组织实施。</w:t>
                  </w:r>
                  <w:r>
                    <w:rPr>
                      <w:rFonts w:ascii="仿宋_GB2312" w:hAnsi="仿宋_GB2312" w:cs="仿宋_GB2312" w:eastAsia="仿宋_GB2312"/>
                      <w:sz w:val="24"/>
                    </w:rPr>
                    <w:t>安装施工验收标准（如</w:t>
                  </w:r>
                  <w:r>
                    <w:rPr>
                      <w:rFonts w:ascii="仿宋_GB2312" w:hAnsi="仿宋_GB2312" w:cs="仿宋_GB2312" w:eastAsia="仿宋_GB2312"/>
                      <w:sz w:val="24"/>
                    </w:rPr>
                    <w:t>GB 50205《钢结构工程施工质量验收标准》</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1.投标人承担拆除、安装作业的全部安全责任，须严格遵守相关安全法规及现场管理规定，实施期间的现场管理和实施人员的安全均由投标人全权负责。拆除产生的所有材料（含废旧设备、构件等）归</w:t>
            </w:r>
            <w:r>
              <w:rPr>
                <w:rFonts w:ascii="仿宋_GB2312" w:hAnsi="仿宋_GB2312" w:cs="仿宋_GB2312" w:eastAsia="仿宋_GB2312"/>
                <w:sz w:val="24"/>
              </w:rPr>
              <w:t>采购人</w:t>
            </w:r>
            <w:r>
              <w:rPr>
                <w:rFonts w:ascii="仿宋_GB2312" w:hAnsi="仿宋_GB2312" w:cs="仿宋_GB2312" w:eastAsia="仿宋_GB2312"/>
                <w:sz w:val="24"/>
              </w:rPr>
              <w:t>所有，投标人应按</w:t>
            </w:r>
            <w:r>
              <w:rPr>
                <w:rFonts w:ascii="仿宋_GB2312" w:hAnsi="仿宋_GB2312" w:cs="仿宋_GB2312" w:eastAsia="仿宋_GB2312"/>
                <w:sz w:val="24"/>
              </w:rPr>
              <w:t>采购人</w:t>
            </w:r>
            <w:r>
              <w:rPr>
                <w:rFonts w:ascii="仿宋_GB2312" w:hAnsi="仿宋_GB2312" w:cs="仿宋_GB2312" w:eastAsia="仿宋_GB2312"/>
                <w:sz w:val="24"/>
              </w:rPr>
              <w:t>要求分类堆放、运至指定地点，并负责合法合规处置，不得擅自变卖或丢弃。（投标时提供承诺函并进行电子签章，承诺函格式自拟）</w:t>
            </w:r>
          </w:p>
          <w:p>
            <w:pPr>
              <w:pStyle w:val="null3"/>
              <w:ind w:firstLine="480"/>
              <w:jc w:val="both"/>
            </w:pPr>
            <w:r>
              <w:rPr>
                <w:rFonts w:ascii="仿宋_GB2312" w:hAnsi="仿宋_GB2312" w:cs="仿宋_GB2312" w:eastAsia="仿宋_GB2312"/>
                <w:sz w:val="24"/>
              </w:rPr>
              <w:t>2.中标人在进行货物安装时，如涉及电工、焊工、高空作业等或其他本项目设备安装过程中需要的特种作业，须由持有效的特种作业操作证书的人员进行相关工作（投标时提供承诺函并进行电子签章，承诺函格式自拟）</w:t>
            </w:r>
          </w:p>
          <w:p>
            <w:pPr>
              <w:pStyle w:val="null3"/>
              <w:ind w:firstLine="480"/>
              <w:jc w:val="both"/>
            </w:pPr>
            <w:r>
              <w:rPr>
                <w:rFonts w:ascii="仿宋_GB2312" w:hAnsi="仿宋_GB2312" w:cs="仿宋_GB2312" w:eastAsia="仿宋_GB2312"/>
                <w:sz w:val="24"/>
              </w:rPr>
              <w:t>3.本项目涉及企业资质、产品认证、人员执业资格、国家或行业标准等描述与最新要求不一致时以最新要求为准。</w:t>
            </w:r>
          </w:p>
          <w:p>
            <w:pPr>
              <w:pStyle w:val="null3"/>
              <w:ind w:firstLine="480"/>
              <w:jc w:val="both"/>
            </w:pPr>
            <w:r>
              <w:rPr>
                <w:rFonts w:ascii="仿宋_GB2312" w:hAnsi="仿宋_GB2312" w:cs="仿宋_GB2312" w:eastAsia="仿宋_GB2312"/>
                <w:sz w:val="24"/>
              </w:rPr>
              <w:t>4.凡涉及如CCC、进网许可、生产许可、销售许可证等国家针对产品的强制认证或许可或其他强制性要求，供应商须确保其所投产品在投标截止时间前已实际符合国家相关强制性规定。中标（成交）供应商须在采购合同签订时提交相关证明材料给采购人核验，未提供或不能提供的视为虚假响应。（供应商在投标时提供承诺函并电子签章，承诺函格式自拟）</w:t>
            </w:r>
          </w:p>
          <w:p>
            <w:pPr>
              <w:pStyle w:val="null3"/>
              <w:ind w:firstLine="480"/>
              <w:jc w:val="both"/>
            </w:pPr>
            <w:r>
              <w:rPr>
                <w:rFonts w:ascii="仿宋_GB2312" w:hAnsi="仿宋_GB2312" w:cs="仿宋_GB2312" w:eastAsia="仿宋_GB2312"/>
                <w:sz w:val="24"/>
              </w:rPr>
              <w:t>5.供应商须为本项目配备一名项目负责人，项目负责人须具备建筑工程专业二级及以上注册建造师资格，持有有效的安全生产考核合格证书（B证）。</w:t>
            </w:r>
            <w:r>
              <w:rPr>
                <w:rFonts w:ascii="仿宋_GB2312" w:hAnsi="仿宋_GB2312" w:cs="仿宋_GB2312" w:eastAsia="仿宋_GB2312"/>
                <w:sz w:val="24"/>
              </w:rPr>
              <w:t>（不分包的由供应商项目负责人满足本条，分包的由分包供应商项目负责人满足）</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自合同签订之日起30日内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四川省成都市第二中学（凤凰校区）校内指定区域</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1、合同签订后，采购人收到中标人提供的请款函、等额发票等资料后，达到付款条件起10日内，支付合同总金额的40.00%</w:t>
            </w:r>
          </w:p>
          <w:p>
            <w:pPr>
              <w:pStyle w:val="null3"/>
              <w:jc w:val="left"/>
            </w:pPr>
            <w:r>
              <w:rPr>
                <w:rFonts w:ascii="仿宋_GB2312" w:hAnsi="仿宋_GB2312" w:cs="仿宋_GB2312" w:eastAsia="仿宋_GB2312"/>
              </w:rPr>
              <w:t>2、合同中所有设备到达采购人指定收货地点，安装完毕并验收合格，采购人收到中标供应商提供的请款函、等额发票及验收相关资料后，达到付款条件起10日内，支付合同总金额的60.00%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1、中标供应商交货期限为合同签订生效后的30日交货到采购人指定地点。 2、验收由采购人组织，中标供应商配合进行。 3、按照招标文件技术、商务要求，投标文件响应情况及合同约定严格验收。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（1）质保期：自最终验收合格之日算起，项目整体质量保证期2年（若涉及国家强制性规定或标准高于2年，则从其规定），其中膜材质量保证期10年。 （2）从最终验收合格之日起算，质保期内出现质量问题，中标人在接到通知后8小时内响应到场，24小时内完成维修或更换，并承担修理更换产生的费用；如货物经中标人2次维修仍不能达到本合同约定的质量标准，视作中标人未能按时交货，采购人有权追究中标人的违约责任，造成采购人损失的，中标人全额赔偿。 （3）中标人应有售后服务保障，指派专人负责与采购人联系售后服务事宜。中标人应能提供正常的技术、备品备件服务，质保期内中标人应负责产品的维修、维护，相关费用包含在报价中，采购人无需另行支付费用。 （4）质保期外，中标人提供的产品发生故障，中标人有义务进行维修，并向采购人提供技术服务和备品备件供应，并只收取成本费用。在产品的设计使用寿命期内，中标人应能保证采购人可以更换到原厂零部件，确保产品的正常使用。 （5）中标人需配合采购人设备统一管理，完成设备在系统入库等工作。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1、质量瑕疵的违约责任 中标人提供的产品不符合合同约定的质量标准或存在产品质量缺陷，采购人有权要求中标人及时修理、重作、更换。若中标人未按上述要求履行修理、重作、更换义务，采购人有权委托第三方完成，产生的费用由中标人承担，同时中标人需支付合同总金额5%的违约金，违约金不足以弥补采购人损失的，中标人需补足差额，采购人亦有权解除合同并要求中标人承担全部违约责任。 2、迟延交货的违约责任 2.1中标人应按照本合同规定的时间、地点交货和提供相关服务。在履行合同过程中，如果中标人遇到可能影响按时交货和提供服务的情形时，应及时以书面形式将迟延的事实、可能迟延的期限和理由通知采购人。采购人在收到中标人通知后，应尽快对情况进行评价，并确定是否同意延长交货时间或延期提供服务。 2.2如果中标人没有按照合同规定的时间交货和提供相关服务，采购人有权从货款中扣除误期赔偿费，按逾期交付货物或服务对应金额的日万分之五计算，每日赔偿费=逾期交付对应金额×0.05%，逾期天数自合同约定交货/服务期限届满次日起至实际交付/提供完毕之日止，误期赔偿费累计最高不超过合同总金额的30%。如果涉及公共利益，且赔偿金额无法弥补公共利益损失，采购人可要求继续履行或者采取其他补救措施。 3、迟延支付的违约责任 采购人应按照合同约定及国库集中支付制度相关规定，在验收合格、收到中标人合法有效完税发票后10个工作日内支付款项，不得以内部人员变更、履行内部付款流程等为由拒绝或迟延支付。因财政预算调整、不可抗力等特殊情形导致迟延支付的，采购人应提前3个工作日书面通知中标人，说明迟延原因及预计支付时间，无需承担逾期付款利息，但应在合理期限内完成支付。若采购人逾期支付超过90个工作日，中标人有权要求采购人加快支付进度，并可暂停提供后续服务（不影响已履约部分），由此造成的损失由采购人承担。</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1.供应商应结合本项目概况、技术服务要求制定详细的技术实施方案，内容至少包含：①项目组织、人员安排；②建设计划方案（进度计划、进度保障、配送）；③安装调试；④质量控制措施。 2.供应商应结合本项目概况、技术服务要求制定详细的售后服务方案，内容至少包含：①售后人员配置方案及分工（提供人员清单、售后经验）；②售后巡检方案；③售后质量保证制度措施；④紧急维修措施。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一、本项目允许合同分包。分包内容为：环境与文化集成2。 1、供应商如分包履行合同的,应提供分包意向协议,分包供应商应满足的资格条件： （1）《中华人民共和国政府采购法》第二十二条。 （2）具有有效的行政主管部门颁发的建筑工程施工总承包三级及以上资质（原钢结构工程专业承包资质在有效期内可视为满足本项要求）； （3）具有有效的《安全生产许可证》； （4）分包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 2、供应商如不分包履行合同的： （1）供应商应具有有效的行政主管部门颁发的建筑工程施工总承包三级及以上资质（原钢结构工程专业承包资质在有效期内可视为满足本项要求）； （2）供应商应具有有效的《安全生产许可证》； （3）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w:t>
            </w:r>
          </w:p>
        </w:tc>
        <w:tc>
          <w:tcPr>
            <w:tcW w:type="dxa" w:w="3322"/>
          </w:tcPr>
          <w:p>
            <w:pPr>
              <w:pStyle w:val="null3"/>
              <w:jc w:val="left"/>
            </w:pPr>
            <w:r>
              <w:rPr>
                <w:rFonts w:ascii="仿宋_GB2312" w:hAnsi="仿宋_GB2312" w:cs="仿宋_GB2312" w:eastAsia="仿宋_GB2312"/>
              </w:rPr>
              <w:t>一、本项目允许合同分包。分包内容为：环境与文化集成2。 1、供应商如分包履行合同的,应提供分包意向协议,分包供应商应满足的资格条件： （1）《中华人民共和国政府采购法》第二十二条。（提供承诺函并加盖公章，承诺函格式自拟） （2）具有有效的行政主管部门颁发的建筑工程施工总承包三级及以上资质（原钢结构工程专业承包资质在有效期内可视为满足本项要求）；（提供有效的证明材料扫描件并加盖公章） （3）具有有效的《安全生产许可证》；（提供有效的证明材料扫描件并加盖公章） （4）分包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 2、供应商如不分包履行合同的： （1）供应商应具有有效的行政主管部门颁发的建筑工程施工总承包三级及以上资质（原钢结构工程专业承包资质在有效期内可视为满足本项要求）；（提供有效的证明材料扫描件并加盖公章） （2）供应商应具有有效的《安全生产许可证》； （提供有效的证明材料扫描件并加盖公章）（3）供应商注册地不在四川省行政区域内的，应当提供有效期内的四川省住房和城乡建设厅官网已公开的入川信息网页截图，或提供“如取得本项目成交资格，在政府采购合同签订前向采购人提交在有效期内的四川省住房和城乡建设厅官网已公开的入川信息网页截图”的承诺函。</w:t>
            </w:r>
          </w:p>
        </w:tc>
        <w:tc>
          <w:tcPr>
            <w:tcW w:type="dxa" w:w="1661"/>
          </w:tcPr>
          <w:p>
            <w:pPr>
              <w:pStyle w:val="null3"/>
              <w:jc w:val="left"/>
            </w:pPr>
            <w:r>
              <w:rPr>
                <w:rFonts w:ascii="仿宋_GB2312" w:hAnsi="仿宋_GB2312" w:cs="仿宋_GB2312" w:eastAsia="仿宋_GB2312"/>
              </w:rPr>
              <w:t>分包意向协议.docx,投标人认为需要提供的其它相关资料.docx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1、采购文件中没有要求供应商需要提供承诺函或证明资料进行响应的实质性条款，供应商根据系统给定的格式文件“《投标（响应）函》、技术要求应答表、商务要求应答表、报价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报价明细表,投标文件封面,报价表,商务应答表.docx,投标（响应）函,技术要求应答表.docx,投标人认为需要提供的其它相关资料.docx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投标人针对招标文件技术参数条款的响应得分规则如下： 1、“▲”技术参数分值28分，一般技术参数（是指未标示“▲”和“★”的参数）分值22分。 2、投标人技术参数条款响应得分=（投标人满足“▲”技术参数条款的数量÷“▲”技术参数条款的总数量）×28+（投标人满足一般技术参数条款的数量÷一般技术参数条款的总数量）×22。 注：①★号条款作为实质性要求，不进行评分。②针对“▲”条款的技术响应，如果招标文件“技术参数要求”中的“▲”技术条款对技术支撑材料有要求，应按要求提供，否则对应技术参数条款将视为不满足。③一般技术参数条款指未标注 “▲”和“★”的条款，针对一般技术参数条款的技术响应，供应商如需提供技术支撑材料，若招标文件“技术参数要求”中的一般技术参数条款对技术支撑材料有要求，应按要求提供，否则对应技术参数条款将视为不满足。技术参数的项数以编号“1”“2”“3”……计算（其上一级或下一级序号仅作为本级技术参数所包含的内容不作为项数计算）。</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tc>
      </w:tr>
      <w:tr>
        <w:tc>
          <w:tcPr>
            <w:tcW w:type="dxa" w:w="831"/>
            <w:vMerge/>
          </w:tcPr>
          <w:p/>
        </w:tc>
        <w:tc>
          <w:tcPr>
            <w:tcW w:type="dxa" w:w="1661"/>
          </w:tcPr>
          <w:p>
            <w:pPr>
              <w:pStyle w:val="null3"/>
              <w:jc w:val="left"/>
            </w:pPr>
            <w:r>
              <w:rPr>
                <w:rFonts w:ascii="仿宋_GB2312" w:hAnsi="仿宋_GB2312" w:cs="仿宋_GB2312" w:eastAsia="仿宋_GB2312"/>
              </w:rPr>
              <w:t>技术实施方案</w:t>
            </w:r>
          </w:p>
        </w:tc>
        <w:tc>
          <w:tcPr>
            <w:tcW w:type="dxa" w:w="2575"/>
          </w:tcPr>
          <w:p>
            <w:pPr>
              <w:pStyle w:val="null3"/>
              <w:jc w:val="left"/>
            </w:pPr>
            <w:r>
              <w:rPr>
                <w:rFonts w:ascii="仿宋_GB2312" w:hAnsi="仿宋_GB2312" w:cs="仿宋_GB2312" w:eastAsia="仿宋_GB2312"/>
              </w:rPr>
              <w:t>供应商应结合本项目概况、技术服务要求制定详细的技术实施方案，内容至少包含：①项目组织、人员安排；②建设计划方案（进度计划、进度保障、送货及配送）；③布线及设备安装调试；④质量控制措施；完全满足要求得12分，每缺一项扣3分，每项内容每存在1个缺陷扣1.5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投标人认为需要提供的其它相关资料.docx</w:t>
            </w:r>
          </w:p>
        </w:tc>
      </w:tr>
      <w:tr>
        <w:tc>
          <w:tcPr>
            <w:tcW w:type="dxa" w:w="831"/>
            <w:vMerge/>
          </w:tcPr>
          <w:p/>
        </w:tc>
        <w:tc>
          <w:tcPr>
            <w:tcW w:type="dxa" w:w="1661"/>
          </w:tcPr>
          <w:p>
            <w:pPr>
              <w:pStyle w:val="null3"/>
              <w:jc w:val="left"/>
            </w:pPr>
            <w:r>
              <w:rPr>
                <w:rFonts w:ascii="仿宋_GB2312" w:hAnsi="仿宋_GB2312" w:cs="仿宋_GB2312" w:eastAsia="仿宋_GB2312"/>
              </w:rPr>
              <w:t>售后服务保障</w:t>
            </w:r>
          </w:p>
        </w:tc>
        <w:tc>
          <w:tcPr>
            <w:tcW w:type="dxa" w:w="2575"/>
          </w:tcPr>
          <w:p>
            <w:pPr>
              <w:pStyle w:val="null3"/>
              <w:jc w:val="left"/>
            </w:pPr>
            <w:r>
              <w:rPr>
                <w:rFonts w:ascii="仿宋_GB2312" w:hAnsi="仿宋_GB2312" w:cs="仿宋_GB2312" w:eastAsia="仿宋_GB2312"/>
              </w:rPr>
              <w:t>供应商应结合本项目概况、技术服务要求制定详细的售后服务方案，内容至少包含：①售后人员配置方案及分工（提供人员清单、售后经验）；②售后巡检方案；③售后质量保证制度措施；④紧急维修措施。完全满足要求得8分，每缺一项扣2分，每项内容每存在1个缺陷扣1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投标人认为需要提供的其它相关资料.docx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投标人认为需要提供的其它相关资料.docx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详见附件：分包意向协议.docx</w:t>
      </w:r>
    </w:p>
    <w:p>
      <w:pPr>
        <w:pStyle w:val="null3"/>
        <w:ind w:firstLine="960"/>
        <w:jc w:val="left"/>
      </w:pPr>
      <w:r>
        <w:rPr>
          <w:rFonts w:ascii="仿宋_GB2312" w:hAnsi="仿宋_GB2312" w:cs="仿宋_GB2312" w:eastAsia="仿宋_GB2312"/>
        </w:rPr>
        <w:t>详见附件：投标人认为需要提供的其它相关资料.docx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