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C6C680">
      <w:pPr>
        <w:pStyle w:val="14"/>
        <w:rPr>
          <w:rFonts w:ascii="宋体" w:hAnsi="宋体" w:cs="宋体"/>
          <w:b/>
          <w:bCs/>
          <w:color w:val="auto"/>
          <w:sz w:val="28"/>
          <w:szCs w:val="28"/>
          <w:highlight w:val="none"/>
        </w:rPr>
      </w:pPr>
      <w:r>
        <w:rPr>
          <w:rFonts w:hint="eastAsia" w:ascii="宋体" w:hAnsi="宋体" w:cs="宋体"/>
          <w:color w:val="auto"/>
          <w:sz w:val="28"/>
          <w:szCs w:val="28"/>
          <w:highlight w:val="none"/>
        </w:rPr>
        <w:t xml:space="preserve">                                      </w:t>
      </w:r>
      <w:r>
        <w:rPr>
          <w:rFonts w:hint="eastAsia" w:ascii="宋体" w:hAnsi="宋体" w:cs="宋体"/>
          <w:b/>
          <w:bCs/>
          <w:color w:val="auto"/>
          <w:sz w:val="28"/>
          <w:szCs w:val="28"/>
          <w:highlight w:val="none"/>
        </w:rPr>
        <w:t xml:space="preserve">                   </w:t>
      </w:r>
    </w:p>
    <w:p w14:paraId="1F3A8F27">
      <w:pPr>
        <w:spacing w:line="480" w:lineRule="auto"/>
        <w:jc w:val="center"/>
        <w:rPr>
          <w:rFonts w:hint="eastAsia" w:ascii="宋体" w:hAnsi="宋体" w:eastAsia="宋体" w:cs="宋体"/>
          <w:b/>
          <w:bCs/>
          <w:color w:val="auto"/>
          <w:sz w:val="48"/>
          <w:szCs w:val="48"/>
          <w:highlight w:val="none"/>
          <w:lang w:eastAsia="zh-CN"/>
        </w:rPr>
      </w:pPr>
      <w:r>
        <w:rPr>
          <w:rFonts w:hint="eastAsia" w:ascii="宋体" w:hAnsi="宋体" w:eastAsia="宋体" w:cs="宋体"/>
          <w:b/>
          <w:bCs/>
          <w:color w:val="auto"/>
          <w:sz w:val="40"/>
          <w:szCs w:val="40"/>
          <w:highlight w:val="none"/>
          <w:lang w:eastAsia="zh-CN"/>
        </w:rPr>
        <w:t>昆明铁道职业技术学院2025年物联网综合实训室建设（1标段 设备采购）</w:t>
      </w:r>
    </w:p>
    <w:p w14:paraId="3E44A28C">
      <w:pPr>
        <w:pStyle w:val="14"/>
        <w:rPr>
          <w:rFonts w:ascii="宋体" w:hAnsi="宋体" w:cs="宋体"/>
          <w:color w:val="auto"/>
          <w:sz w:val="28"/>
          <w:szCs w:val="28"/>
          <w:highlight w:val="none"/>
        </w:rPr>
      </w:pPr>
    </w:p>
    <w:p w14:paraId="47B080F3">
      <w:pPr>
        <w:pStyle w:val="15"/>
      </w:pPr>
    </w:p>
    <w:p w14:paraId="213F1077">
      <w:pPr>
        <w:pStyle w:val="14"/>
        <w:rPr>
          <w:rFonts w:ascii="宋体" w:hAnsi="宋体" w:cs="宋体"/>
          <w:color w:val="auto"/>
          <w:sz w:val="28"/>
          <w:szCs w:val="28"/>
          <w:highlight w:val="none"/>
        </w:rPr>
      </w:pPr>
    </w:p>
    <w:p w14:paraId="60CF861A">
      <w:pPr>
        <w:jc w:val="center"/>
        <w:rPr>
          <w:rFonts w:hint="eastAsia" w:ascii="宋体" w:hAnsi="宋体" w:cs="宋体"/>
          <w:b/>
          <w:bCs/>
          <w:color w:val="auto"/>
          <w:sz w:val="96"/>
          <w:szCs w:val="96"/>
          <w:highlight w:val="none"/>
        </w:rPr>
      </w:pPr>
    </w:p>
    <w:p w14:paraId="17E83D51">
      <w:pPr>
        <w:jc w:val="center"/>
        <w:rPr>
          <w:rFonts w:ascii="宋体" w:hAnsi="宋体" w:cs="宋体"/>
          <w:color w:val="auto"/>
          <w:sz w:val="28"/>
          <w:szCs w:val="28"/>
          <w:highlight w:val="none"/>
        </w:rPr>
      </w:pPr>
      <w:r>
        <w:rPr>
          <w:rFonts w:hint="eastAsia" w:ascii="宋体" w:hAnsi="宋体" w:cs="宋体"/>
          <w:b/>
          <w:bCs/>
          <w:color w:val="auto"/>
          <w:sz w:val="96"/>
          <w:szCs w:val="96"/>
          <w:highlight w:val="none"/>
        </w:rPr>
        <w:t>招</w:t>
      </w:r>
      <w:r>
        <w:rPr>
          <w:rFonts w:hint="eastAsia" w:ascii="宋体" w:hAnsi="宋体" w:cs="宋体"/>
          <w:b/>
          <w:bCs/>
          <w:color w:val="auto"/>
          <w:sz w:val="96"/>
          <w:szCs w:val="96"/>
          <w:highlight w:val="none"/>
          <w:lang w:val="en-US" w:eastAsia="zh-CN"/>
        </w:rPr>
        <w:t xml:space="preserve"> </w:t>
      </w:r>
      <w:r>
        <w:rPr>
          <w:rFonts w:hint="eastAsia" w:ascii="宋体" w:hAnsi="宋体" w:cs="宋体"/>
          <w:b/>
          <w:bCs/>
          <w:color w:val="auto"/>
          <w:sz w:val="96"/>
          <w:szCs w:val="96"/>
          <w:highlight w:val="none"/>
        </w:rPr>
        <w:t>标</w:t>
      </w:r>
      <w:r>
        <w:rPr>
          <w:rFonts w:hint="eastAsia" w:ascii="宋体" w:hAnsi="宋体" w:cs="宋体"/>
          <w:b/>
          <w:bCs/>
          <w:color w:val="auto"/>
          <w:sz w:val="96"/>
          <w:szCs w:val="96"/>
          <w:highlight w:val="none"/>
          <w:lang w:val="en-US" w:eastAsia="zh-CN"/>
        </w:rPr>
        <w:t xml:space="preserve"> </w:t>
      </w:r>
      <w:r>
        <w:rPr>
          <w:rFonts w:hint="eastAsia" w:ascii="宋体" w:hAnsi="宋体" w:cs="宋体"/>
          <w:b/>
          <w:bCs/>
          <w:color w:val="auto"/>
          <w:sz w:val="96"/>
          <w:szCs w:val="96"/>
          <w:highlight w:val="none"/>
        </w:rPr>
        <w:t>文</w:t>
      </w:r>
      <w:r>
        <w:rPr>
          <w:rFonts w:hint="eastAsia" w:ascii="宋体" w:hAnsi="宋体" w:cs="宋体"/>
          <w:b/>
          <w:bCs/>
          <w:color w:val="auto"/>
          <w:sz w:val="96"/>
          <w:szCs w:val="96"/>
          <w:highlight w:val="none"/>
          <w:lang w:val="en-US" w:eastAsia="zh-CN"/>
        </w:rPr>
        <w:t xml:space="preserve"> </w:t>
      </w:r>
      <w:r>
        <w:rPr>
          <w:rFonts w:hint="eastAsia" w:ascii="宋体" w:hAnsi="宋体" w:cs="宋体"/>
          <w:b/>
          <w:bCs/>
          <w:color w:val="auto"/>
          <w:sz w:val="96"/>
          <w:szCs w:val="96"/>
          <w:highlight w:val="none"/>
        </w:rPr>
        <w:t>件</w:t>
      </w:r>
    </w:p>
    <w:p w14:paraId="4E686045">
      <w:pPr>
        <w:pStyle w:val="14"/>
        <w:jc w:val="center"/>
        <w:rPr>
          <w:rFonts w:ascii="宋体" w:hAnsi="宋体" w:cs="宋体"/>
          <w:color w:val="auto"/>
          <w:sz w:val="28"/>
          <w:szCs w:val="28"/>
          <w:highlight w:val="none"/>
        </w:rPr>
      </w:pPr>
      <w:r>
        <w:rPr>
          <w:rFonts w:hint="eastAsia" w:ascii="宋体" w:hAnsi="宋体" w:cs="宋体"/>
          <w:b/>
          <w:bCs/>
          <w:color w:val="auto"/>
          <w:sz w:val="28"/>
          <w:szCs w:val="28"/>
          <w:highlight w:val="none"/>
        </w:rPr>
        <w:t>项目编号：</w:t>
      </w:r>
      <w:r>
        <w:rPr>
          <w:rFonts w:hint="eastAsia" w:ascii="宋体" w:hAnsi="宋体" w:cs="宋体"/>
          <w:b/>
          <w:bCs/>
          <w:color w:val="auto"/>
          <w:sz w:val="28"/>
          <w:szCs w:val="28"/>
          <w:highlight w:val="none"/>
          <w:lang w:eastAsia="zh-CN"/>
        </w:rPr>
        <w:t>KMZC2025-G1-01361-YNXY-0043</w:t>
      </w:r>
    </w:p>
    <w:p w14:paraId="2EF1AEBB">
      <w:pPr>
        <w:pStyle w:val="14"/>
        <w:tabs>
          <w:tab w:val="left" w:pos="6808"/>
        </w:tabs>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eastAsia="zh-CN"/>
        </w:rPr>
        <w:tab/>
      </w:r>
    </w:p>
    <w:p w14:paraId="2B86963D">
      <w:pPr>
        <w:pStyle w:val="14"/>
        <w:rPr>
          <w:rFonts w:ascii="宋体" w:hAnsi="宋体" w:cs="宋体"/>
          <w:color w:val="auto"/>
          <w:sz w:val="28"/>
          <w:szCs w:val="28"/>
          <w:highlight w:val="none"/>
        </w:rPr>
      </w:pPr>
    </w:p>
    <w:p w14:paraId="7D0B1649">
      <w:pPr>
        <w:rPr>
          <w:rFonts w:ascii="宋体" w:hAnsi="宋体" w:cs="宋体"/>
          <w:b/>
          <w:color w:val="auto"/>
          <w:sz w:val="36"/>
          <w:szCs w:val="36"/>
          <w:highlight w:val="none"/>
        </w:rPr>
      </w:pPr>
    </w:p>
    <w:p w14:paraId="1C555FE7">
      <w:pPr>
        <w:rPr>
          <w:rFonts w:ascii="宋体" w:hAnsi="宋体" w:cs="宋体"/>
          <w:b/>
          <w:color w:val="auto"/>
          <w:sz w:val="36"/>
          <w:szCs w:val="36"/>
          <w:highlight w:val="none"/>
        </w:rPr>
      </w:pPr>
    </w:p>
    <w:p w14:paraId="52032225">
      <w:pPr>
        <w:pStyle w:val="8"/>
      </w:pPr>
    </w:p>
    <w:p w14:paraId="436A27AD">
      <w:pPr>
        <w:pStyle w:val="8"/>
      </w:pPr>
    </w:p>
    <w:p w14:paraId="6920AEA6">
      <w:pPr>
        <w:pStyle w:val="14"/>
        <w:jc w:val="center"/>
        <w:rPr>
          <w:rFonts w:hint="eastAsia" w:ascii="宋体" w:hAnsi="宋体" w:cs="宋体"/>
          <w:b/>
          <w:color w:val="auto"/>
          <w:sz w:val="40"/>
          <w:szCs w:val="40"/>
          <w:highlight w:val="none"/>
        </w:rPr>
      </w:pPr>
    </w:p>
    <w:p w14:paraId="6760F693">
      <w:pPr>
        <w:pStyle w:val="14"/>
        <w:jc w:val="center"/>
        <w:rPr>
          <w:rFonts w:ascii="宋体" w:hAnsi="宋体" w:cs="宋体"/>
          <w:b/>
          <w:color w:val="auto"/>
          <w:sz w:val="40"/>
          <w:szCs w:val="40"/>
          <w:highlight w:val="none"/>
        </w:rPr>
      </w:pPr>
      <w:r>
        <w:rPr>
          <w:rFonts w:hint="eastAsia" w:ascii="宋体" w:hAnsi="宋体" w:cs="宋体"/>
          <w:b/>
          <w:color w:val="auto"/>
          <w:sz w:val="40"/>
          <w:szCs w:val="40"/>
          <w:highlight w:val="none"/>
        </w:rPr>
        <w:t>采</w:t>
      </w:r>
      <w:r>
        <w:rPr>
          <w:rFonts w:hint="eastAsia" w:ascii="宋体" w:hAnsi="宋体" w:cs="宋体"/>
          <w:b/>
          <w:color w:val="auto"/>
          <w:sz w:val="40"/>
          <w:szCs w:val="40"/>
          <w:highlight w:val="none"/>
          <w:lang w:val="en-US" w:eastAsia="zh-CN"/>
        </w:rPr>
        <w:t xml:space="preserve">   </w:t>
      </w:r>
      <w:r>
        <w:rPr>
          <w:rFonts w:hint="eastAsia" w:ascii="宋体" w:hAnsi="宋体" w:cs="宋体"/>
          <w:b/>
          <w:color w:val="auto"/>
          <w:sz w:val="40"/>
          <w:szCs w:val="40"/>
          <w:highlight w:val="none"/>
        </w:rPr>
        <w:t>购</w:t>
      </w:r>
      <w:r>
        <w:rPr>
          <w:rFonts w:hint="eastAsia" w:ascii="宋体" w:hAnsi="宋体" w:cs="宋体"/>
          <w:b/>
          <w:color w:val="auto"/>
          <w:sz w:val="40"/>
          <w:szCs w:val="40"/>
          <w:highlight w:val="none"/>
          <w:lang w:val="en-US" w:eastAsia="zh-CN"/>
        </w:rPr>
        <w:t xml:space="preserve">   </w:t>
      </w:r>
      <w:r>
        <w:rPr>
          <w:rFonts w:hint="eastAsia" w:ascii="宋体" w:hAnsi="宋体" w:cs="宋体"/>
          <w:b/>
          <w:color w:val="auto"/>
          <w:sz w:val="40"/>
          <w:szCs w:val="40"/>
          <w:highlight w:val="none"/>
        </w:rPr>
        <w:t>人：</w:t>
      </w:r>
      <w:r>
        <w:rPr>
          <w:rFonts w:hint="eastAsia" w:ascii="宋体" w:hAnsi="宋体" w:cs="宋体"/>
          <w:b/>
          <w:color w:val="auto"/>
          <w:sz w:val="40"/>
          <w:szCs w:val="40"/>
          <w:highlight w:val="none"/>
          <w:lang w:eastAsia="zh-CN"/>
        </w:rPr>
        <w:t>昆明铁道职业技术学院</w:t>
      </w:r>
    </w:p>
    <w:p w14:paraId="6E63CA89">
      <w:pPr>
        <w:pStyle w:val="14"/>
        <w:jc w:val="center"/>
        <w:rPr>
          <w:rFonts w:hint="eastAsia" w:ascii="宋体" w:hAnsi="宋体" w:eastAsia="宋体" w:cs="宋体"/>
          <w:bCs/>
          <w:color w:val="auto"/>
          <w:sz w:val="40"/>
          <w:szCs w:val="40"/>
          <w:highlight w:val="none"/>
          <w:lang w:eastAsia="zh-CN"/>
        </w:rPr>
      </w:pPr>
      <w:r>
        <w:rPr>
          <w:rFonts w:hint="eastAsia" w:ascii="宋体" w:hAnsi="宋体" w:cs="宋体"/>
          <w:b/>
          <w:color w:val="auto"/>
          <w:sz w:val="40"/>
          <w:szCs w:val="40"/>
          <w:highlight w:val="none"/>
        </w:rPr>
        <w:t>采购代理机构：</w:t>
      </w:r>
      <w:r>
        <w:rPr>
          <w:rFonts w:hint="eastAsia" w:ascii="宋体" w:hAnsi="宋体" w:cs="宋体"/>
          <w:b/>
          <w:color w:val="auto"/>
          <w:sz w:val="40"/>
          <w:szCs w:val="40"/>
          <w:highlight w:val="none"/>
          <w:lang w:eastAsia="zh-CN"/>
        </w:rPr>
        <w:t>云南兴语招标有限公司</w:t>
      </w:r>
    </w:p>
    <w:p w14:paraId="47D9EFEC">
      <w:pPr>
        <w:pStyle w:val="14"/>
        <w:jc w:val="center"/>
        <w:rPr>
          <w:rFonts w:ascii="宋体" w:hAnsi="宋体" w:cs="宋体"/>
          <w:b/>
          <w:color w:val="auto"/>
          <w:sz w:val="32"/>
          <w:szCs w:val="32"/>
          <w:highlight w:val="none"/>
        </w:rPr>
      </w:pPr>
      <w:r>
        <w:rPr>
          <w:rFonts w:hint="eastAsia" w:ascii="宋体" w:hAnsi="宋体" w:cs="宋体"/>
          <w:b/>
          <w:color w:val="auto"/>
          <w:sz w:val="40"/>
          <w:szCs w:val="40"/>
          <w:highlight w:val="none"/>
        </w:rPr>
        <w:t>日期：202</w:t>
      </w:r>
      <w:r>
        <w:rPr>
          <w:rFonts w:hint="eastAsia" w:ascii="宋体" w:hAnsi="宋体" w:cs="宋体"/>
          <w:b/>
          <w:color w:val="auto"/>
          <w:sz w:val="40"/>
          <w:szCs w:val="40"/>
          <w:highlight w:val="none"/>
          <w:lang w:val="en-US" w:eastAsia="zh-CN"/>
        </w:rPr>
        <w:t>5</w:t>
      </w:r>
      <w:r>
        <w:rPr>
          <w:rFonts w:hint="eastAsia" w:ascii="宋体" w:hAnsi="宋体" w:cs="宋体"/>
          <w:b/>
          <w:color w:val="auto"/>
          <w:sz w:val="40"/>
          <w:szCs w:val="40"/>
          <w:highlight w:val="none"/>
        </w:rPr>
        <w:t>年</w:t>
      </w:r>
      <w:r>
        <w:rPr>
          <w:rFonts w:hint="eastAsia" w:ascii="宋体" w:hAnsi="宋体" w:cs="宋体"/>
          <w:b/>
          <w:color w:val="auto"/>
          <w:sz w:val="40"/>
          <w:szCs w:val="40"/>
          <w:highlight w:val="none"/>
          <w:lang w:val="en-US" w:eastAsia="zh-CN"/>
        </w:rPr>
        <w:t>6</w:t>
      </w:r>
      <w:r>
        <w:rPr>
          <w:rFonts w:hint="eastAsia" w:ascii="宋体" w:hAnsi="宋体" w:cs="宋体"/>
          <w:b/>
          <w:color w:val="auto"/>
          <w:sz w:val="40"/>
          <w:szCs w:val="40"/>
          <w:highlight w:val="none"/>
        </w:rPr>
        <w:t>月</w:t>
      </w:r>
    </w:p>
    <w:p w14:paraId="0DC2F35A">
      <w:pPr>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br w:type="page"/>
      </w:r>
    </w:p>
    <w:p w14:paraId="4B006C4B">
      <w:pPr>
        <w:spacing w:line="360" w:lineRule="auto"/>
        <w:jc w:val="center"/>
        <w:rPr>
          <w:rFonts w:hint="eastAsia" w:ascii="仿宋" w:hAnsi="仿宋" w:eastAsia="仿宋" w:cs="仿宋"/>
          <w:bCs/>
          <w:caps/>
          <w:color w:val="auto"/>
          <w:sz w:val="24"/>
          <w:szCs w:val="24"/>
          <w:highlight w:val="none"/>
          <w:lang w:val="en-US" w:eastAsia="zh-CN" w:bidi="ar-SA"/>
        </w:rPr>
      </w:pPr>
      <w:r>
        <w:rPr>
          <w:rFonts w:hint="eastAsia" w:ascii="仿宋" w:hAnsi="仿宋" w:eastAsia="仿宋" w:cs="仿宋"/>
          <w:b/>
          <w:bCs/>
          <w:color w:val="auto"/>
          <w:sz w:val="44"/>
          <w:szCs w:val="44"/>
          <w:highlight w:val="none"/>
        </w:rPr>
        <w:t>目  录</w:t>
      </w:r>
      <w:r>
        <w:rPr>
          <w:rFonts w:hint="eastAsia" w:ascii="仿宋" w:hAnsi="仿宋" w:eastAsia="仿宋" w:cs="仿宋"/>
          <w:b/>
          <w:bCs/>
          <w:caps/>
          <w:color w:val="auto"/>
          <w:sz w:val="24"/>
          <w:szCs w:val="24"/>
          <w:highlight w:val="none"/>
        </w:rPr>
        <w:fldChar w:fldCharType="begin"/>
      </w:r>
      <w:r>
        <w:rPr>
          <w:rFonts w:hint="eastAsia" w:ascii="仿宋" w:hAnsi="仿宋" w:eastAsia="仿宋" w:cs="仿宋"/>
          <w:b/>
          <w:bCs/>
          <w:caps/>
          <w:color w:val="auto"/>
          <w:sz w:val="24"/>
          <w:szCs w:val="24"/>
          <w:highlight w:val="none"/>
        </w:rPr>
        <w:instrText xml:space="preserve"> TOC \o "1-3" \h \z \u </w:instrText>
      </w:r>
      <w:r>
        <w:rPr>
          <w:rFonts w:hint="eastAsia" w:ascii="仿宋" w:hAnsi="仿宋" w:eastAsia="仿宋" w:cs="仿宋"/>
          <w:b/>
          <w:bCs/>
          <w:caps/>
          <w:color w:val="auto"/>
          <w:sz w:val="24"/>
          <w:szCs w:val="24"/>
          <w:highlight w:val="none"/>
        </w:rPr>
        <w:fldChar w:fldCharType="separate"/>
      </w:r>
    </w:p>
    <w:p w14:paraId="7B25CDE1">
      <w:pPr>
        <w:pStyle w:val="23"/>
        <w:tabs>
          <w:tab w:val="right" w:leader="dot" w:pos="9740"/>
        </w:tabs>
      </w:pPr>
      <w:r>
        <w:rPr>
          <w:rFonts w:hint="eastAsia" w:ascii="仿宋" w:hAnsi="仿宋" w:eastAsia="仿宋" w:cs="仿宋"/>
          <w:bCs/>
          <w:caps/>
          <w:color w:val="auto"/>
          <w:szCs w:val="24"/>
          <w:highlight w:val="none"/>
        </w:rPr>
        <w:fldChar w:fldCharType="begin"/>
      </w:r>
      <w:r>
        <w:rPr>
          <w:rFonts w:hint="eastAsia" w:ascii="仿宋" w:hAnsi="仿宋" w:eastAsia="仿宋" w:cs="仿宋"/>
          <w:bCs/>
          <w:caps/>
          <w:szCs w:val="24"/>
          <w:highlight w:val="none"/>
        </w:rPr>
        <w:instrText xml:space="preserve"> HYPERLINK \l _Toc6776 </w:instrText>
      </w:r>
      <w:r>
        <w:rPr>
          <w:rFonts w:hint="eastAsia" w:ascii="仿宋" w:hAnsi="仿宋" w:eastAsia="仿宋" w:cs="仿宋"/>
          <w:bCs/>
          <w:caps/>
          <w:szCs w:val="24"/>
          <w:highlight w:val="none"/>
        </w:rPr>
        <w:fldChar w:fldCharType="separate"/>
      </w:r>
      <w:r>
        <w:rPr>
          <w:rFonts w:hint="eastAsia" w:ascii="宋体" w:hAnsi="宋体" w:cs="宋体"/>
          <w:szCs w:val="32"/>
          <w:highlight w:val="none"/>
        </w:rPr>
        <w:t>第一章 公开招标公告</w:t>
      </w:r>
      <w:r>
        <w:tab/>
      </w:r>
      <w:r>
        <w:fldChar w:fldCharType="begin"/>
      </w:r>
      <w:r>
        <w:instrText xml:space="preserve"> PAGEREF _Toc6776 \h </w:instrText>
      </w:r>
      <w:r>
        <w:fldChar w:fldCharType="separate"/>
      </w:r>
      <w:r>
        <w:t>- 1 -</w:t>
      </w:r>
      <w:r>
        <w:fldChar w:fldCharType="end"/>
      </w:r>
      <w:r>
        <w:rPr>
          <w:rFonts w:hint="eastAsia" w:ascii="仿宋" w:hAnsi="仿宋" w:eastAsia="仿宋" w:cs="仿宋"/>
          <w:bCs/>
          <w:caps/>
          <w:color w:val="auto"/>
          <w:szCs w:val="24"/>
          <w:highlight w:val="none"/>
        </w:rPr>
        <w:fldChar w:fldCharType="end"/>
      </w:r>
    </w:p>
    <w:p w14:paraId="22B5FB7B">
      <w:pPr>
        <w:pStyle w:val="27"/>
        <w:tabs>
          <w:tab w:val="right" w:leader="dot" w:pos="9740"/>
        </w:tabs>
      </w:pPr>
      <w:r>
        <w:rPr>
          <w:rFonts w:hint="eastAsia" w:ascii="仿宋" w:hAnsi="仿宋" w:eastAsia="仿宋" w:cs="仿宋"/>
          <w:bCs/>
          <w:caps/>
          <w:color w:val="auto"/>
          <w:szCs w:val="24"/>
          <w:highlight w:val="none"/>
        </w:rPr>
        <w:fldChar w:fldCharType="begin"/>
      </w:r>
      <w:r>
        <w:rPr>
          <w:rFonts w:hint="eastAsia" w:ascii="仿宋" w:hAnsi="仿宋" w:eastAsia="仿宋" w:cs="仿宋"/>
          <w:bCs/>
          <w:caps/>
          <w:szCs w:val="24"/>
          <w:highlight w:val="none"/>
        </w:rPr>
        <w:instrText xml:space="preserve"> HYPERLINK \l _Toc6467 </w:instrText>
      </w:r>
      <w:r>
        <w:rPr>
          <w:rFonts w:hint="eastAsia" w:ascii="仿宋" w:hAnsi="仿宋" w:eastAsia="仿宋" w:cs="仿宋"/>
          <w:bCs/>
          <w:caps/>
          <w:szCs w:val="24"/>
          <w:highlight w:val="none"/>
        </w:rPr>
        <w:fldChar w:fldCharType="separate"/>
      </w:r>
      <w:r>
        <w:rPr>
          <w:rFonts w:hint="eastAsia" w:ascii="宋体" w:hAnsi="宋体" w:eastAsia="宋体" w:cs="宋体"/>
          <w:szCs w:val="28"/>
          <w:highlight w:val="none"/>
        </w:rPr>
        <w:t>一、项目基本情况</w:t>
      </w:r>
      <w:r>
        <w:tab/>
      </w:r>
      <w:r>
        <w:fldChar w:fldCharType="begin"/>
      </w:r>
      <w:r>
        <w:instrText xml:space="preserve"> PAGEREF _Toc6467 \h </w:instrText>
      </w:r>
      <w:r>
        <w:fldChar w:fldCharType="separate"/>
      </w:r>
      <w:r>
        <w:t>- 1 -</w:t>
      </w:r>
      <w:r>
        <w:fldChar w:fldCharType="end"/>
      </w:r>
      <w:r>
        <w:rPr>
          <w:rFonts w:hint="eastAsia" w:ascii="仿宋" w:hAnsi="仿宋" w:eastAsia="仿宋" w:cs="仿宋"/>
          <w:bCs/>
          <w:caps/>
          <w:color w:val="auto"/>
          <w:szCs w:val="24"/>
          <w:highlight w:val="none"/>
        </w:rPr>
        <w:fldChar w:fldCharType="end"/>
      </w:r>
    </w:p>
    <w:p w14:paraId="3AB94472">
      <w:pPr>
        <w:pStyle w:val="27"/>
        <w:tabs>
          <w:tab w:val="right" w:leader="dot" w:pos="9740"/>
        </w:tabs>
      </w:pPr>
      <w:r>
        <w:rPr>
          <w:rFonts w:hint="eastAsia" w:ascii="仿宋" w:hAnsi="仿宋" w:eastAsia="仿宋" w:cs="仿宋"/>
          <w:bCs/>
          <w:caps/>
          <w:color w:val="auto"/>
          <w:szCs w:val="24"/>
          <w:highlight w:val="none"/>
        </w:rPr>
        <w:fldChar w:fldCharType="begin"/>
      </w:r>
      <w:r>
        <w:rPr>
          <w:rFonts w:hint="eastAsia" w:ascii="仿宋" w:hAnsi="仿宋" w:eastAsia="仿宋" w:cs="仿宋"/>
          <w:bCs/>
          <w:caps/>
          <w:szCs w:val="24"/>
          <w:highlight w:val="none"/>
        </w:rPr>
        <w:instrText xml:space="preserve"> HYPERLINK \l _Toc31340 </w:instrText>
      </w:r>
      <w:r>
        <w:rPr>
          <w:rFonts w:hint="eastAsia" w:ascii="仿宋" w:hAnsi="仿宋" w:eastAsia="仿宋" w:cs="仿宋"/>
          <w:bCs/>
          <w:caps/>
          <w:szCs w:val="24"/>
          <w:highlight w:val="none"/>
        </w:rPr>
        <w:fldChar w:fldCharType="separate"/>
      </w:r>
      <w:r>
        <w:rPr>
          <w:rFonts w:hint="eastAsia" w:ascii="宋体" w:hAnsi="宋体" w:eastAsia="宋体" w:cs="宋体"/>
          <w:szCs w:val="28"/>
          <w:highlight w:val="none"/>
        </w:rPr>
        <w:t>二、</w:t>
      </w:r>
      <w:r>
        <w:rPr>
          <w:rFonts w:hint="eastAsia" w:ascii="宋体" w:hAnsi="宋体" w:eastAsia="宋体" w:cs="宋体"/>
          <w:szCs w:val="28"/>
          <w:highlight w:val="none"/>
          <w:lang w:val="en-US" w:eastAsia="zh-CN"/>
        </w:rPr>
        <w:t>投标人</w:t>
      </w:r>
      <w:r>
        <w:rPr>
          <w:rFonts w:hint="eastAsia" w:ascii="宋体" w:hAnsi="宋体" w:eastAsia="宋体" w:cs="宋体"/>
          <w:szCs w:val="28"/>
          <w:highlight w:val="none"/>
        </w:rPr>
        <w:t>的资格要求</w:t>
      </w:r>
      <w:r>
        <w:tab/>
      </w:r>
      <w:r>
        <w:fldChar w:fldCharType="begin"/>
      </w:r>
      <w:r>
        <w:instrText xml:space="preserve"> PAGEREF _Toc31340 \h </w:instrText>
      </w:r>
      <w:r>
        <w:fldChar w:fldCharType="separate"/>
      </w:r>
      <w:r>
        <w:t>- 2 -</w:t>
      </w:r>
      <w:r>
        <w:fldChar w:fldCharType="end"/>
      </w:r>
      <w:r>
        <w:rPr>
          <w:rFonts w:hint="eastAsia" w:ascii="仿宋" w:hAnsi="仿宋" w:eastAsia="仿宋" w:cs="仿宋"/>
          <w:bCs/>
          <w:caps/>
          <w:color w:val="auto"/>
          <w:szCs w:val="24"/>
          <w:highlight w:val="none"/>
        </w:rPr>
        <w:fldChar w:fldCharType="end"/>
      </w:r>
    </w:p>
    <w:p w14:paraId="3F2BB149">
      <w:pPr>
        <w:pStyle w:val="27"/>
        <w:tabs>
          <w:tab w:val="right" w:leader="dot" w:pos="9740"/>
        </w:tabs>
      </w:pPr>
      <w:r>
        <w:rPr>
          <w:rFonts w:hint="eastAsia" w:ascii="仿宋" w:hAnsi="仿宋" w:eastAsia="仿宋" w:cs="仿宋"/>
          <w:bCs/>
          <w:caps/>
          <w:color w:val="auto"/>
          <w:szCs w:val="24"/>
          <w:highlight w:val="none"/>
        </w:rPr>
        <w:fldChar w:fldCharType="begin"/>
      </w:r>
      <w:r>
        <w:rPr>
          <w:rFonts w:hint="eastAsia" w:ascii="仿宋" w:hAnsi="仿宋" w:eastAsia="仿宋" w:cs="仿宋"/>
          <w:bCs/>
          <w:caps/>
          <w:szCs w:val="24"/>
          <w:highlight w:val="none"/>
        </w:rPr>
        <w:instrText xml:space="preserve"> HYPERLINK \l _Toc25538 </w:instrText>
      </w:r>
      <w:r>
        <w:rPr>
          <w:rFonts w:hint="eastAsia" w:ascii="仿宋" w:hAnsi="仿宋" w:eastAsia="仿宋" w:cs="仿宋"/>
          <w:bCs/>
          <w:caps/>
          <w:szCs w:val="24"/>
          <w:highlight w:val="none"/>
        </w:rPr>
        <w:fldChar w:fldCharType="separate"/>
      </w:r>
      <w:r>
        <w:rPr>
          <w:rFonts w:hint="eastAsia" w:ascii="宋体" w:hAnsi="宋体" w:eastAsia="宋体" w:cs="宋体"/>
          <w:szCs w:val="28"/>
          <w:highlight w:val="none"/>
        </w:rPr>
        <w:t>三、获取招标文件</w:t>
      </w:r>
      <w:r>
        <w:tab/>
      </w:r>
      <w:r>
        <w:fldChar w:fldCharType="begin"/>
      </w:r>
      <w:r>
        <w:instrText xml:space="preserve"> PAGEREF _Toc25538 \h </w:instrText>
      </w:r>
      <w:r>
        <w:fldChar w:fldCharType="separate"/>
      </w:r>
      <w:r>
        <w:t>- 3 -</w:t>
      </w:r>
      <w:r>
        <w:fldChar w:fldCharType="end"/>
      </w:r>
      <w:r>
        <w:rPr>
          <w:rFonts w:hint="eastAsia" w:ascii="仿宋" w:hAnsi="仿宋" w:eastAsia="仿宋" w:cs="仿宋"/>
          <w:bCs/>
          <w:caps/>
          <w:color w:val="auto"/>
          <w:szCs w:val="24"/>
          <w:highlight w:val="none"/>
        </w:rPr>
        <w:fldChar w:fldCharType="end"/>
      </w:r>
    </w:p>
    <w:p w14:paraId="7253191C">
      <w:pPr>
        <w:pStyle w:val="27"/>
        <w:tabs>
          <w:tab w:val="right" w:leader="dot" w:pos="9740"/>
        </w:tabs>
      </w:pPr>
      <w:r>
        <w:rPr>
          <w:rFonts w:hint="eastAsia" w:ascii="仿宋" w:hAnsi="仿宋" w:eastAsia="仿宋" w:cs="仿宋"/>
          <w:bCs/>
          <w:caps/>
          <w:color w:val="auto"/>
          <w:szCs w:val="24"/>
          <w:highlight w:val="none"/>
        </w:rPr>
        <w:fldChar w:fldCharType="begin"/>
      </w:r>
      <w:r>
        <w:rPr>
          <w:rFonts w:hint="eastAsia" w:ascii="仿宋" w:hAnsi="仿宋" w:eastAsia="仿宋" w:cs="仿宋"/>
          <w:bCs/>
          <w:caps/>
          <w:szCs w:val="24"/>
          <w:highlight w:val="none"/>
        </w:rPr>
        <w:instrText xml:space="preserve"> HYPERLINK \l _Toc20736 </w:instrText>
      </w:r>
      <w:r>
        <w:rPr>
          <w:rFonts w:hint="eastAsia" w:ascii="仿宋" w:hAnsi="仿宋" w:eastAsia="仿宋" w:cs="仿宋"/>
          <w:bCs/>
          <w:caps/>
          <w:szCs w:val="24"/>
          <w:highlight w:val="none"/>
        </w:rPr>
        <w:fldChar w:fldCharType="separate"/>
      </w:r>
      <w:r>
        <w:rPr>
          <w:rFonts w:hint="eastAsia" w:ascii="宋体" w:hAnsi="宋体" w:eastAsia="宋体" w:cs="宋体"/>
          <w:szCs w:val="28"/>
          <w:highlight w:val="none"/>
        </w:rPr>
        <w:t>四、提交投标文件截止时间、开标时间和地点</w:t>
      </w:r>
      <w:r>
        <w:tab/>
      </w:r>
      <w:r>
        <w:fldChar w:fldCharType="begin"/>
      </w:r>
      <w:r>
        <w:instrText xml:space="preserve"> PAGEREF _Toc20736 \h </w:instrText>
      </w:r>
      <w:r>
        <w:fldChar w:fldCharType="separate"/>
      </w:r>
      <w:r>
        <w:t>- 4 -</w:t>
      </w:r>
      <w:r>
        <w:fldChar w:fldCharType="end"/>
      </w:r>
      <w:r>
        <w:rPr>
          <w:rFonts w:hint="eastAsia" w:ascii="仿宋" w:hAnsi="仿宋" w:eastAsia="仿宋" w:cs="仿宋"/>
          <w:bCs/>
          <w:caps/>
          <w:color w:val="auto"/>
          <w:szCs w:val="24"/>
          <w:highlight w:val="none"/>
        </w:rPr>
        <w:fldChar w:fldCharType="end"/>
      </w:r>
    </w:p>
    <w:p w14:paraId="6D428A83">
      <w:pPr>
        <w:pStyle w:val="27"/>
        <w:tabs>
          <w:tab w:val="right" w:leader="dot" w:pos="9740"/>
        </w:tabs>
      </w:pPr>
      <w:r>
        <w:rPr>
          <w:rFonts w:hint="eastAsia" w:ascii="仿宋" w:hAnsi="仿宋" w:eastAsia="仿宋" w:cs="仿宋"/>
          <w:bCs/>
          <w:caps/>
          <w:color w:val="auto"/>
          <w:szCs w:val="24"/>
          <w:highlight w:val="none"/>
        </w:rPr>
        <w:fldChar w:fldCharType="begin"/>
      </w:r>
      <w:r>
        <w:rPr>
          <w:rFonts w:hint="eastAsia" w:ascii="仿宋" w:hAnsi="仿宋" w:eastAsia="仿宋" w:cs="仿宋"/>
          <w:bCs/>
          <w:caps/>
          <w:szCs w:val="24"/>
          <w:highlight w:val="none"/>
        </w:rPr>
        <w:instrText xml:space="preserve"> HYPERLINK \l _Toc24184 </w:instrText>
      </w:r>
      <w:r>
        <w:rPr>
          <w:rFonts w:hint="eastAsia" w:ascii="仿宋" w:hAnsi="仿宋" w:eastAsia="仿宋" w:cs="仿宋"/>
          <w:bCs/>
          <w:caps/>
          <w:szCs w:val="24"/>
          <w:highlight w:val="none"/>
        </w:rPr>
        <w:fldChar w:fldCharType="separate"/>
      </w:r>
      <w:r>
        <w:rPr>
          <w:rFonts w:hint="eastAsia" w:ascii="宋体" w:hAnsi="宋体" w:eastAsia="宋体" w:cs="宋体"/>
          <w:szCs w:val="28"/>
          <w:highlight w:val="none"/>
        </w:rPr>
        <w:t>五、公告期限</w:t>
      </w:r>
      <w:r>
        <w:tab/>
      </w:r>
      <w:r>
        <w:fldChar w:fldCharType="begin"/>
      </w:r>
      <w:r>
        <w:instrText xml:space="preserve"> PAGEREF _Toc24184 \h </w:instrText>
      </w:r>
      <w:r>
        <w:fldChar w:fldCharType="separate"/>
      </w:r>
      <w:r>
        <w:t>- 4 -</w:t>
      </w:r>
      <w:r>
        <w:fldChar w:fldCharType="end"/>
      </w:r>
      <w:r>
        <w:rPr>
          <w:rFonts w:hint="eastAsia" w:ascii="仿宋" w:hAnsi="仿宋" w:eastAsia="仿宋" w:cs="仿宋"/>
          <w:bCs/>
          <w:caps/>
          <w:color w:val="auto"/>
          <w:szCs w:val="24"/>
          <w:highlight w:val="none"/>
        </w:rPr>
        <w:fldChar w:fldCharType="end"/>
      </w:r>
    </w:p>
    <w:p w14:paraId="279A5590">
      <w:pPr>
        <w:pStyle w:val="27"/>
        <w:tabs>
          <w:tab w:val="right" w:leader="dot" w:pos="9740"/>
        </w:tabs>
      </w:pPr>
      <w:r>
        <w:rPr>
          <w:rFonts w:hint="eastAsia" w:ascii="仿宋" w:hAnsi="仿宋" w:eastAsia="仿宋" w:cs="仿宋"/>
          <w:bCs/>
          <w:caps/>
          <w:color w:val="auto"/>
          <w:szCs w:val="24"/>
          <w:highlight w:val="none"/>
        </w:rPr>
        <w:fldChar w:fldCharType="begin"/>
      </w:r>
      <w:r>
        <w:rPr>
          <w:rFonts w:hint="eastAsia" w:ascii="仿宋" w:hAnsi="仿宋" w:eastAsia="仿宋" w:cs="仿宋"/>
          <w:bCs/>
          <w:caps/>
          <w:szCs w:val="24"/>
          <w:highlight w:val="none"/>
        </w:rPr>
        <w:instrText xml:space="preserve"> HYPERLINK \l _Toc938 </w:instrText>
      </w:r>
      <w:r>
        <w:rPr>
          <w:rFonts w:hint="eastAsia" w:ascii="仿宋" w:hAnsi="仿宋" w:eastAsia="仿宋" w:cs="仿宋"/>
          <w:bCs/>
          <w:caps/>
          <w:szCs w:val="24"/>
          <w:highlight w:val="none"/>
        </w:rPr>
        <w:fldChar w:fldCharType="separate"/>
      </w:r>
      <w:r>
        <w:rPr>
          <w:rFonts w:hint="eastAsia" w:ascii="宋体" w:hAnsi="宋体" w:eastAsia="宋体" w:cs="宋体"/>
          <w:szCs w:val="28"/>
          <w:highlight w:val="none"/>
        </w:rPr>
        <w:t>六、其他补充事宜</w:t>
      </w:r>
      <w:r>
        <w:tab/>
      </w:r>
      <w:r>
        <w:fldChar w:fldCharType="begin"/>
      </w:r>
      <w:r>
        <w:instrText xml:space="preserve"> PAGEREF _Toc938 \h </w:instrText>
      </w:r>
      <w:r>
        <w:fldChar w:fldCharType="separate"/>
      </w:r>
      <w:r>
        <w:t>- 4 -</w:t>
      </w:r>
      <w:r>
        <w:fldChar w:fldCharType="end"/>
      </w:r>
      <w:r>
        <w:rPr>
          <w:rFonts w:hint="eastAsia" w:ascii="仿宋" w:hAnsi="仿宋" w:eastAsia="仿宋" w:cs="仿宋"/>
          <w:bCs/>
          <w:caps/>
          <w:color w:val="auto"/>
          <w:szCs w:val="24"/>
          <w:highlight w:val="none"/>
        </w:rPr>
        <w:fldChar w:fldCharType="end"/>
      </w:r>
    </w:p>
    <w:p w14:paraId="15708C16">
      <w:pPr>
        <w:pStyle w:val="27"/>
        <w:tabs>
          <w:tab w:val="right" w:leader="dot" w:pos="9740"/>
        </w:tabs>
      </w:pPr>
      <w:r>
        <w:rPr>
          <w:rFonts w:hint="eastAsia" w:ascii="仿宋" w:hAnsi="仿宋" w:eastAsia="仿宋" w:cs="仿宋"/>
          <w:bCs/>
          <w:caps/>
          <w:color w:val="auto"/>
          <w:szCs w:val="24"/>
          <w:highlight w:val="none"/>
        </w:rPr>
        <w:fldChar w:fldCharType="begin"/>
      </w:r>
      <w:r>
        <w:rPr>
          <w:rFonts w:hint="eastAsia" w:ascii="仿宋" w:hAnsi="仿宋" w:eastAsia="仿宋" w:cs="仿宋"/>
          <w:bCs/>
          <w:caps/>
          <w:szCs w:val="24"/>
          <w:highlight w:val="none"/>
        </w:rPr>
        <w:instrText xml:space="preserve"> HYPERLINK \l _Toc947 </w:instrText>
      </w:r>
      <w:r>
        <w:rPr>
          <w:rFonts w:hint="eastAsia" w:ascii="仿宋" w:hAnsi="仿宋" w:eastAsia="仿宋" w:cs="仿宋"/>
          <w:bCs/>
          <w:caps/>
          <w:szCs w:val="24"/>
          <w:highlight w:val="none"/>
        </w:rPr>
        <w:fldChar w:fldCharType="separate"/>
      </w:r>
      <w:r>
        <w:rPr>
          <w:rFonts w:hint="eastAsia" w:ascii="宋体" w:hAnsi="宋体" w:eastAsia="宋体" w:cs="宋体"/>
          <w:szCs w:val="28"/>
          <w:highlight w:val="none"/>
        </w:rPr>
        <w:t>七、对本次招标提出询问，请按以下方式联系</w:t>
      </w:r>
      <w:r>
        <w:tab/>
      </w:r>
      <w:r>
        <w:fldChar w:fldCharType="begin"/>
      </w:r>
      <w:r>
        <w:instrText xml:space="preserve"> PAGEREF _Toc947 \h </w:instrText>
      </w:r>
      <w:r>
        <w:fldChar w:fldCharType="separate"/>
      </w:r>
      <w:r>
        <w:t>- 4 -</w:t>
      </w:r>
      <w:r>
        <w:fldChar w:fldCharType="end"/>
      </w:r>
      <w:r>
        <w:rPr>
          <w:rFonts w:hint="eastAsia" w:ascii="仿宋" w:hAnsi="仿宋" w:eastAsia="仿宋" w:cs="仿宋"/>
          <w:bCs/>
          <w:caps/>
          <w:color w:val="auto"/>
          <w:szCs w:val="24"/>
          <w:highlight w:val="none"/>
        </w:rPr>
        <w:fldChar w:fldCharType="end"/>
      </w:r>
    </w:p>
    <w:p w14:paraId="6B5381EC">
      <w:pPr>
        <w:pStyle w:val="23"/>
        <w:tabs>
          <w:tab w:val="right" w:leader="dot" w:pos="9740"/>
        </w:tabs>
      </w:pPr>
      <w:r>
        <w:rPr>
          <w:rFonts w:hint="eastAsia" w:ascii="仿宋" w:hAnsi="仿宋" w:eastAsia="仿宋" w:cs="仿宋"/>
          <w:bCs/>
          <w:caps/>
          <w:color w:val="auto"/>
          <w:szCs w:val="24"/>
          <w:highlight w:val="none"/>
        </w:rPr>
        <w:fldChar w:fldCharType="begin"/>
      </w:r>
      <w:r>
        <w:rPr>
          <w:rFonts w:hint="eastAsia" w:ascii="仿宋" w:hAnsi="仿宋" w:eastAsia="仿宋" w:cs="仿宋"/>
          <w:bCs/>
          <w:caps/>
          <w:szCs w:val="24"/>
          <w:highlight w:val="none"/>
        </w:rPr>
        <w:instrText xml:space="preserve"> HYPERLINK \l _Toc27502 </w:instrText>
      </w:r>
      <w:r>
        <w:rPr>
          <w:rFonts w:hint="eastAsia" w:ascii="仿宋" w:hAnsi="仿宋" w:eastAsia="仿宋" w:cs="仿宋"/>
          <w:bCs/>
          <w:caps/>
          <w:szCs w:val="24"/>
          <w:highlight w:val="none"/>
        </w:rPr>
        <w:fldChar w:fldCharType="separate"/>
      </w:r>
      <w:r>
        <w:rPr>
          <w:rFonts w:hint="eastAsia" w:ascii="宋体" w:hAnsi="宋体" w:cs="宋体"/>
          <w:szCs w:val="32"/>
          <w:highlight w:val="none"/>
        </w:rPr>
        <w:t>第二章 投标人须知</w:t>
      </w:r>
      <w:r>
        <w:tab/>
      </w:r>
      <w:r>
        <w:fldChar w:fldCharType="begin"/>
      </w:r>
      <w:r>
        <w:instrText xml:space="preserve"> PAGEREF _Toc27502 \h </w:instrText>
      </w:r>
      <w:r>
        <w:fldChar w:fldCharType="separate"/>
      </w:r>
      <w:r>
        <w:t>- 6 -</w:t>
      </w:r>
      <w:r>
        <w:fldChar w:fldCharType="end"/>
      </w:r>
      <w:r>
        <w:rPr>
          <w:rFonts w:hint="eastAsia" w:ascii="仿宋" w:hAnsi="仿宋" w:eastAsia="仿宋" w:cs="仿宋"/>
          <w:bCs/>
          <w:caps/>
          <w:color w:val="auto"/>
          <w:szCs w:val="24"/>
          <w:highlight w:val="none"/>
        </w:rPr>
        <w:fldChar w:fldCharType="end"/>
      </w:r>
    </w:p>
    <w:p w14:paraId="4404B1CE">
      <w:pPr>
        <w:pStyle w:val="27"/>
        <w:tabs>
          <w:tab w:val="right" w:leader="dot" w:pos="9740"/>
        </w:tabs>
      </w:pPr>
      <w:r>
        <w:rPr>
          <w:rFonts w:hint="eastAsia" w:ascii="仿宋" w:hAnsi="仿宋" w:eastAsia="仿宋" w:cs="仿宋"/>
          <w:bCs/>
          <w:caps/>
          <w:color w:val="auto"/>
          <w:szCs w:val="24"/>
          <w:highlight w:val="none"/>
        </w:rPr>
        <w:fldChar w:fldCharType="begin"/>
      </w:r>
      <w:r>
        <w:rPr>
          <w:rFonts w:hint="eastAsia" w:ascii="仿宋" w:hAnsi="仿宋" w:eastAsia="仿宋" w:cs="仿宋"/>
          <w:bCs/>
          <w:caps/>
          <w:szCs w:val="24"/>
          <w:highlight w:val="none"/>
        </w:rPr>
        <w:instrText xml:space="preserve"> HYPERLINK \l _Toc6315 </w:instrText>
      </w:r>
      <w:r>
        <w:rPr>
          <w:rFonts w:hint="eastAsia" w:ascii="仿宋" w:hAnsi="仿宋" w:eastAsia="仿宋" w:cs="仿宋"/>
          <w:bCs/>
          <w:caps/>
          <w:szCs w:val="24"/>
          <w:highlight w:val="none"/>
        </w:rPr>
        <w:fldChar w:fldCharType="separate"/>
      </w:r>
      <w:r>
        <w:rPr>
          <w:rFonts w:hint="eastAsia" w:ascii="宋体" w:hAnsi="宋体" w:eastAsia="宋体" w:cs="宋体"/>
          <w:szCs w:val="28"/>
          <w:highlight w:val="none"/>
        </w:rPr>
        <w:t>投标人须知前附表</w:t>
      </w:r>
      <w:r>
        <w:tab/>
      </w:r>
      <w:r>
        <w:fldChar w:fldCharType="begin"/>
      </w:r>
      <w:r>
        <w:instrText xml:space="preserve"> PAGEREF _Toc6315 \h </w:instrText>
      </w:r>
      <w:r>
        <w:fldChar w:fldCharType="separate"/>
      </w:r>
      <w:r>
        <w:t>- 6 -</w:t>
      </w:r>
      <w:r>
        <w:fldChar w:fldCharType="end"/>
      </w:r>
      <w:r>
        <w:rPr>
          <w:rFonts w:hint="eastAsia" w:ascii="仿宋" w:hAnsi="仿宋" w:eastAsia="仿宋" w:cs="仿宋"/>
          <w:bCs/>
          <w:caps/>
          <w:color w:val="auto"/>
          <w:szCs w:val="24"/>
          <w:highlight w:val="none"/>
        </w:rPr>
        <w:fldChar w:fldCharType="end"/>
      </w:r>
    </w:p>
    <w:p w14:paraId="5DE31AEA">
      <w:pPr>
        <w:pStyle w:val="27"/>
        <w:tabs>
          <w:tab w:val="right" w:leader="dot" w:pos="9740"/>
        </w:tabs>
      </w:pPr>
      <w:r>
        <w:rPr>
          <w:rFonts w:hint="eastAsia" w:ascii="仿宋" w:hAnsi="仿宋" w:eastAsia="仿宋" w:cs="仿宋"/>
          <w:bCs/>
          <w:caps/>
          <w:color w:val="auto"/>
          <w:szCs w:val="24"/>
          <w:highlight w:val="none"/>
        </w:rPr>
        <w:fldChar w:fldCharType="begin"/>
      </w:r>
      <w:r>
        <w:rPr>
          <w:rFonts w:hint="eastAsia" w:ascii="仿宋" w:hAnsi="仿宋" w:eastAsia="仿宋" w:cs="仿宋"/>
          <w:bCs/>
          <w:caps/>
          <w:szCs w:val="24"/>
          <w:highlight w:val="none"/>
        </w:rPr>
        <w:instrText xml:space="preserve"> HYPERLINK \l _Toc20444 </w:instrText>
      </w:r>
      <w:r>
        <w:rPr>
          <w:rFonts w:hint="eastAsia" w:ascii="仿宋" w:hAnsi="仿宋" w:eastAsia="仿宋" w:cs="仿宋"/>
          <w:bCs/>
          <w:caps/>
          <w:szCs w:val="24"/>
          <w:highlight w:val="none"/>
        </w:rPr>
        <w:fldChar w:fldCharType="separate"/>
      </w:r>
      <w:r>
        <w:rPr>
          <w:rFonts w:hint="eastAsia" w:ascii="宋体" w:hAnsi="宋体" w:eastAsia="宋体" w:cs="宋体"/>
          <w:szCs w:val="28"/>
          <w:highlight w:val="none"/>
        </w:rPr>
        <w:t>1. 总则</w:t>
      </w:r>
      <w:r>
        <w:tab/>
      </w:r>
      <w:r>
        <w:fldChar w:fldCharType="begin"/>
      </w:r>
      <w:r>
        <w:instrText xml:space="preserve"> PAGEREF _Toc20444 \h </w:instrText>
      </w:r>
      <w:r>
        <w:fldChar w:fldCharType="separate"/>
      </w:r>
      <w:r>
        <w:t>- 11 -</w:t>
      </w:r>
      <w:r>
        <w:fldChar w:fldCharType="end"/>
      </w:r>
      <w:r>
        <w:rPr>
          <w:rFonts w:hint="eastAsia" w:ascii="仿宋" w:hAnsi="仿宋" w:eastAsia="仿宋" w:cs="仿宋"/>
          <w:bCs/>
          <w:caps/>
          <w:color w:val="auto"/>
          <w:szCs w:val="24"/>
          <w:highlight w:val="none"/>
        </w:rPr>
        <w:fldChar w:fldCharType="end"/>
      </w:r>
    </w:p>
    <w:p w14:paraId="79E86E1C">
      <w:pPr>
        <w:pStyle w:val="27"/>
        <w:tabs>
          <w:tab w:val="right" w:leader="dot" w:pos="9740"/>
        </w:tabs>
      </w:pPr>
      <w:r>
        <w:rPr>
          <w:rFonts w:hint="eastAsia" w:ascii="仿宋" w:hAnsi="仿宋" w:eastAsia="仿宋" w:cs="仿宋"/>
          <w:bCs/>
          <w:caps/>
          <w:color w:val="auto"/>
          <w:szCs w:val="24"/>
          <w:highlight w:val="none"/>
        </w:rPr>
        <w:fldChar w:fldCharType="begin"/>
      </w:r>
      <w:r>
        <w:rPr>
          <w:rFonts w:hint="eastAsia" w:ascii="仿宋" w:hAnsi="仿宋" w:eastAsia="仿宋" w:cs="仿宋"/>
          <w:bCs/>
          <w:caps/>
          <w:szCs w:val="24"/>
          <w:highlight w:val="none"/>
        </w:rPr>
        <w:instrText xml:space="preserve"> HYPERLINK \l _Toc26880 </w:instrText>
      </w:r>
      <w:r>
        <w:rPr>
          <w:rFonts w:hint="eastAsia" w:ascii="仿宋" w:hAnsi="仿宋" w:eastAsia="仿宋" w:cs="仿宋"/>
          <w:bCs/>
          <w:caps/>
          <w:szCs w:val="24"/>
          <w:highlight w:val="none"/>
        </w:rPr>
        <w:fldChar w:fldCharType="separate"/>
      </w:r>
      <w:r>
        <w:rPr>
          <w:rFonts w:hint="eastAsia" w:ascii="宋体" w:hAnsi="宋体" w:eastAsia="宋体" w:cs="宋体"/>
          <w:szCs w:val="28"/>
          <w:highlight w:val="none"/>
        </w:rPr>
        <w:t>2. 招标文件</w:t>
      </w:r>
      <w:r>
        <w:tab/>
      </w:r>
      <w:r>
        <w:fldChar w:fldCharType="begin"/>
      </w:r>
      <w:r>
        <w:instrText xml:space="preserve"> PAGEREF _Toc26880 \h </w:instrText>
      </w:r>
      <w:r>
        <w:fldChar w:fldCharType="separate"/>
      </w:r>
      <w:r>
        <w:t>- 12 -</w:t>
      </w:r>
      <w:r>
        <w:fldChar w:fldCharType="end"/>
      </w:r>
      <w:r>
        <w:rPr>
          <w:rFonts w:hint="eastAsia" w:ascii="仿宋" w:hAnsi="仿宋" w:eastAsia="仿宋" w:cs="仿宋"/>
          <w:bCs/>
          <w:caps/>
          <w:color w:val="auto"/>
          <w:szCs w:val="24"/>
          <w:highlight w:val="none"/>
        </w:rPr>
        <w:fldChar w:fldCharType="end"/>
      </w:r>
    </w:p>
    <w:p w14:paraId="39F9160F">
      <w:pPr>
        <w:pStyle w:val="27"/>
        <w:tabs>
          <w:tab w:val="right" w:leader="dot" w:pos="9740"/>
        </w:tabs>
      </w:pPr>
      <w:r>
        <w:rPr>
          <w:rFonts w:hint="eastAsia" w:ascii="仿宋" w:hAnsi="仿宋" w:eastAsia="仿宋" w:cs="仿宋"/>
          <w:bCs/>
          <w:caps/>
          <w:color w:val="auto"/>
          <w:szCs w:val="24"/>
          <w:highlight w:val="none"/>
        </w:rPr>
        <w:fldChar w:fldCharType="begin"/>
      </w:r>
      <w:r>
        <w:rPr>
          <w:rFonts w:hint="eastAsia" w:ascii="仿宋" w:hAnsi="仿宋" w:eastAsia="仿宋" w:cs="仿宋"/>
          <w:bCs/>
          <w:caps/>
          <w:szCs w:val="24"/>
          <w:highlight w:val="none"/>
        </w:rPr>
        <w:instrText xml:space="preserve"> HYPERLINK \l _Toc12060 </w:instrText>
      </w:r>
      <w:r>
        <w:rPr>
          <w:rFonts w:hint="eastAsia" w:ascii="仿宋" w:hAnsi="仿宋" w:eastAsia="仿宋" w:cs="仿宋"/>
          <w:bCs/>
          <w:caps/>
          <w:szCs w:val="24"/>
          <w:highlight w:val="none"/>
        </w:rPr>
        <w:fldChar w:fldCharType="separate"/>
      </w:r>
      <w:r>
        <w:rPr>
          <w:rFonts w:hint="eastAsia" w:ascii="宋体" w:hAnsi="宋体" w:eastAsia="宋体" w:cs="宋体"/>
          <w:szCs w:val="28"/>
          <w:highlight w:val="none"/>
        </w:rPr>
        <w:t>3. 投标文件</w:t>
      </w:r>
      <w:r>
        <w:tab/>
      </w:r>
      <w:r>
        <w:fldChar w:fldCharType="begin"/>
      </w:r>
      <w:r>
        <w:instrText xml:space="preserve"> PAGEREF _Toc12060 \h </w:instrText>
      </w:r>
      <w:r>
        <w:fldChar w:fldCharType="separate"/>
      </w:r>
      <w:r>
        <w:t>- 13 -</w:t>
      </w:r>
      <w:r>
        <w:fldChar w:fldCharType="end"/>
      </w:r>
      <w:r>
        <w:rPr>
          <w:rFonts w:hint="eastAsia" w:ascii="仿宋" w:hAnsi="仿宋" w:eastAsia="仿宋" w:cs="仿宋"/>
          <w:bCs/>
          <w:caps/>
          <w:color w:val="auto"/>
          <w:szCs w:val="24"/>
          <w:highlight w:val="none"/>
        </w:rPr>
        <w:fldChar w:fldCharType="end"/>
      </w:r>
    </w:p>
    <w:p w14:paraId="2F8FC5B0">
      <w:pPr>
        <w:pStyle w:val="27"/>
        <w:tabs>
          <w:tab w:val="right" w:leader="dot" w:pos="9740"/>
        </w:tabs>
      </w:pPr>
      <w:r>
        <w:rPr>
          <w:rFonts w:hint="eastAsia" w:ascii="仿宋" w:hAnsi="仿宋" w:eastAsia="仿宋" w:cs="仿宋"/>
          <w:bCs/>
          <w:caps/>
          <w:color w:val="auto"/>
          <w:szCs w:val="24"/>
          <w:highlight w:val="none"/>
        </w:rPr>
        <w:fldChar w:fldCharType="begin"/>
      </w:r>
      <w:r>
        <w:rPr>
          <w:rFonts w:hint="eastAsia" w:ascii="仿宋" w:hAnsi="仿宋" w:eastAsia="仿宋" w:cs="仿宋"/>
          <w:bCs/>
          <w:caps/>
          <w:szCs w:val="24"/>
          <w:highlight w:val="none"/>
        </w:rPr>
        <w:instrText xml:space="preserve"> HYPERLINK \l _Toc32542 </w:instrText>
      </w:r>
      <w:r>
        <w:rPr>
          <w:rFonts w:hint="eastAsia" w:ascii="仿宋" w:hAnsi="仿宋" w:eastAsia="仿宋" w:cs="仿宋"/>
          <w:bCs/>
          <w:caps/>
          <w:szCs w:val="24"/>
          <w:highlight w:val="none"/>
        </w:rPr>
        <w:fldChar w:fldCharType="separate"/>
      </w:r>
      <w:r>
        <w:rPr>
          <w:rFonts w:hint="eastAsia" w:ascii="宋体" w:hAnsi="宋体" w:eastAsia="宋体" w:cs="宋体"/>
          <w:szCs w:val="28"/>
          <w:highlight w:val="none"/>
        </w:rPr>
        <w:t>4. 投标</w:t>
      </w:r>
      <w:r>
        <w:tab/>
      </w:r>
      <w:r>
        <w:fldChar w:fldCharType="begin"/>
      </w:r>
      <w:r>
        <w:instrText xml:space="preserve"> PAGEREF _Toc32542 \h </w:instrText>
      </w:r>
      <w:r>
        <w:fldChar w:fldCharType="separate"/>
      </w:r>
      <w:r>
        <w:t>- 15 -</w:t>
      </w:r>
      <w:r>
        <w:fldChar w:fldCharType="end"/>
      </w:r>
      <w:r>
        <w:rPr>
          <w:rFonts w:hint="eastAsia" w:ascii="仿宋" w:hAnsi="仿宋" w:eastAsia="仿宋" w:cs="仿宋"/>
          <w:bCs/>
          <w:caps/>
          <w:color w:val="auto"/>
          <w:szCs w:val="24"/>
          <w:highlight w:val="none"/>
        </w:rPr>
        <w:fldChar w:fldCharType="end"/>
      </w:r>
    </w:p>
    <w:p w14:paraId="4F0A4CCF">
      <w:pPr>
        <w:pStyle w:val="27"/>
        <w:tabs>
          <w:tab w:val="right" w:leader="dot" w:pos="9740"/>
        </w:tabs>
      </w:pPr>
      <w:r>
        <w:rPr>
          <w:rFonts w:hint="eastAsia" w:ascii="仿宋" w:hAnsi="仿宋" w:eastAsia="仿宋" w:cs="仿宋"/>
          <w:bCs/>
          <w:caps/>
          <w:color w:val="auto"/>
          <w:szCs w:val="24"/>
          <w:highlight w:val="none"/>
        </w:rPr>
        <w:fldChar w:fldCharType="begin"/>
      </w:r>
      <w:r>
        <w:rPr>
          <w:rFonts w:hint="eastAsia" w:ascii="仿宋" w:hAnsi="仿宋" w:eastAsia="仿宋" w:cs="仿宋"/>
          <w:bCs/>
          <w:caps/>
          <w:szCs w:val="24"/>
          <w:highlight w:val="none"/>
        </w:rPr>
        <w:instrText xml:space="preserve"> HYPERLINK \l _Toc25416 </w:instrText>
      </w:r>
      <w:r>
        <w:rPr>
          <w:rFonts w:hint="eastAsia" w:ascii="仿宋" w:hAnsi="仿宋" w:eastAsia="仿宋" w:cs="仿宋"/>
          <w:bCs/>
          <w:caps/>
          <w:szCs w:val="24"/>
          <w:highlight w:val="none"/>
        </w:rPr>
        <w:fldChar w:fldCharType="separate"/>
      </w:r>
      <w:r>
        <w:rPr>
          <w:rFonts w:hint="eastAsia" w:ascii="宋体" w:hAnsi="宋体" w:eastAsia="宋体" w:cs="宋体"/>
          <w:szCs w:val="28"/>
          <w:highlight w:val="none"/>
        </w:rPr>
        <w:t>5. 开标</w:t>
      </w:r>
      <w:r>
        <w:tab/>
      </w:r>
      <w:r>
        <w:fldChar w:fldCharType="begin"/>
      </w:r>
      <w:r>
        <w:instrText xml:space="preserve"> PAGEREF _Toc25416 \h </w:instrText>
      </w:r>
      <w:r>
        <w:fldChar w:fldCharType="separate"/>
      </w:r>
      <w:r>
        <w:t>- 15 -</w:t>
      </w:r>
      <w:r>
        <w:fldChar w:fldCharType="end"/>
      </w:r>
      <w:r>
        <w:rPr>
          <w:rFonts w:hint="eastAsia" w:ascii="仿宋" w:hAnsi="仿宋" w:eastAsia="仿宋" w:cs="仿宋"/>
          <w:bCs/>
          <w:caps/>
          <w:color w:val="auto"/>
          <w:szCs w:val="24"/>
          <w:highlight w:val="none"/>
        </w:rPr>
        <w:fldChar w:fldCharType="end"/>
      </w:r>
    </w:p>
    <w:p w14:paraId="29FB756D">
      <w:pPr>
        <w:pStyle w:val="27"/>
        <w:tabs>
          <w:tab w:val="right" w:leader="dot" w:pos="9740"/>
        </w:tabs>
      </w:pPr>
      <w:r>
        <w:rPr>
          <w:rFonts w:hint="eastAsia" w:ascii="仿宋" w:hAnsi="仿宋" w:eastAsia="仿宋" w:cs="仿宋"/>
          <w:bCs/>
          <w:caps/>
          <w:color w:val="auto"/>
          <w:szCs w:val="24"/>
          <w:highlight w:val="none"/>
        </w:rPr>
        <w:fldChar w:fldCharType="begin"/>
      </w:r>
      <w:r>
        <w:rPr>
          <w:rFonts w:hint="eastAsia" w:ascii="仿宋" w:hAnsi="仿宋" w:eastAsia="仿宋" w:cs="仿宋"/>
          <w:bCs/>
          <w:caps/>
          <w:szCs w:val="24"/>
          <w:highlight w:val="none"/>
        </w:rPr>
        <w:instrText xml:space="preserve"> HYPERLINK \l _Toc18599 </w:instrText>
      </w:r>
      <w:r>
        <w:rPr>
          <w:rFonts w:hint="eastAsia" w:ascii="仿宋" w:hAnsi="仿宋" w:eastAsia="仿宋" w:cs="仿宋"/>
          <w:bCs/>
          <w:caps/>
          <w:szCs w:val="24"/>
          <w:highlight w:val="none"/>
        </w:rPr>
        <w:fldChar w:fldCharType="separate"/>
      </w:r>
      <w:r>
        <w:rPr>
          <w:rFonts w:hint="eastAsia" w:ascii="宋体" w:hAnsi="宋体" w:eastAsia="宋体" w:cs="宋体"/>
          <w:szCs w:val="28"/>
          <w:highlight w:val="none"/>
        </w:rPr>
        <w:t>6. 资格审查</w:t>
      </w:r>
      <w:r>
        <w:tab/>
      </w:r>
      <w:r>
        <w:fldChar w:fldCharType="begin"/>
      </w:r>
      <w:r>
        <w:instrText xml:space="preserve"> PAGEREF _Toc18599 \h </w:instrText>
      </w:r>
      <w:r>
        <w:fldChar w:fldCharType="separate"/>
      </w:r>
      <w:r>
        <w:t>- 16 -</w:t>
      </w:r>
      <w:r>
        <w:fldChar w:fldCharType="end"/>
      </w:r>
      <w:r>
        <w:rPr>
          <w:rFonts w:hint="eastAsia" w:ascii="仿宋" w:hAnsi="仿宋" w:eastAsia="仿宋" w:cs="仿宋"/>
          <w:bCs/>
          <w:caps/>
          <w:color w:val="auto"/>
          <w:szCs w:val="24"/>
          <w:highlight w:val="none"/>
        </w:rPr>
        <w:fldChar w:fldCharType="end"/>
      </w:r>
    </w:p>
    <w:p w14:paraId="75B93B09">
      <w:pPr>
        <w:pStyle w:val="27"/>
        <w:tabs>
          <w:tab w:val="right" w:leader="dot" w:pos="9740"/>
        </w:tabs>
      </w:pPr>
      <w:r>
        <w:rPr>
          <w:rFonts w:hint="eastAsia" w:ascii="仿宋" w:hAnsi="仿宋" w:eastAsia="仿宋" w:cs="仿宋"/>
          <w:bCs/>
          <w:caps/>
          <w:color w:val="auto"/>
          <w:szCs w:val="24"/>
          <w:highlight w:val="none"/>
        </w:rPr>
        <w:fldChar w:fldCharType="begin"/>
      </w:r>
      <w:r>
        <w:rPr>
          <w:rFonts w:hint="eastAsia" w:ascii="仿宋" w:hAnsi="仿宋" w:eastAsia="仿宋" w:cs="仿宋"/>
          <w:bCs/>
          <w:caps/>
          <w:szCs w:val="24"/>
          <w:highlight w:val="none"/>
        </w:rPr>
        <w:instrText xml:space="preserve"> HYPERLINK \l _Toc30626 </w:instrText>
      </w:r>
      <w:r>
        <w:rPr>
          <w:rFonts w:hint="eastAsia" w:ascii="仿宋" w:hAnsi="仿宋" w:eastAsia="仿宋" w:cs="仿宋"/>
          <w:bCs/>
          <w:caps/>
          <w:szCs w:val="24"/>
          <w:highlight w:val="none"/>
        </w:rPr>
        <w:fldChar w:fldCharType="separate"/>
      </w:r>
      <w:r>
        <w:rPr>
          <w:rFonts w:hint="eastAsia" w:ascii="宋体" w:hAnsi="宋体" w:eastAsia="宋体" w:cs="宋体"/>
          <w:szCs w:val="28"/>
          <w:highlight w:val="none"/>
        </w:rPr>
        <w:t>7. 评标</w:t>
      </w:r>
      <w:r>
        <w:tab/>
      </w:r>
      <w:r>
        <w:fldChar w:fldCharType="begin"/>
      </w:r>
      <w:r>
        <w:instrText xml:space="preserve"> PAGEREF _Toc30626 \h </w:instrText>
      </w:r>
      <w:r>
        <w:fldChar w:fldCharType="separate"/>
      </w:r>
      <w:r>
        <w:t>- 16 -</w:t>
      </w:r>
      <w:r>
        <w:fldChar w:fldCharType="end"/>
      </w:r>
      <w:r>
        <w:rPr>
          <w:rFonts w:hint="eastAsia" w:ascii="仿宋" w:hAnsi="仿宋" w:eastAsia="仿宋" w:cs="仿宋"/>
          <w:bCs/>
          <w:caps/>
          <w:color w:val="auto"/>
          <w:szCs w:val="24"/>
          <w:highlight w:val="none"/>
        </w:rPr>
        <w:fldChar w:fldCharType="end"/>
      </w:r>
    </w:p>
    <w:p w14:paraId="49E2A6B3">
      <w:pPr>
        <w:pStyle w:val="27"/>
        <w:tabs>
          <w:tab w:val="right" w:leader="dot" w:pos="9740"/>
        </w:tabs>
      </w:pPr>
      <w:r>
        <w:rPr>
          <w:rFonts w:hint="eastAsia" w:ascii="仿宋" w:hAnsi="仿宋" w:eastAsia="仿宋" w:cs="仿宋"/>
          <w:bCs/>
          <w:caps/>
          <w:color w:val="auto"/>
          <w:szCs w:val="24"/>
          <w:highlight w:val="none"/>
        </w:rPr>
        <w:fldChar w:fldCharType="begin"/>
      </w:r>
      <w:r>
        <w:rPr>
          <w:rFonts w:hint="eastAsia" w:ascii="仿宋" w:hAnsi="仿宋" w:eastAsia="仿宋" w:cs="仿宋"/>
          <w:bCs/>
          <w:caps/>
          <w:szCs w:val="24"/>
          <w:highlight w:val="none"/>
        </w:rPr>
        <w:instrText xml:space="preserve"> HYPERLINK \l _Toc20315 </w:instrText>
      </w:r>
      <w:r>
        <w:rPr>
          <w:rFonts w:hint="eastAsia" w:ascii="仿宋" w:hAnsi="仿宋" w:eastAsia="仿宋" w:cs="仿宋"/>
          <w:bCs/>
          <w:caps/>
          <w:szCs w:val="24"/>
          <w:highlight w:val="none"/>
        </w:rPr>
        <w:fldChar w:fldCharType="separate"/>
      </w:r>
      <w:r>
        <w:rPr>
          <w:rFonts w:hint="eastAsia" w:ascii="宋体" w:hAnsi="宋体" w:eastAsia="宋体" w:cs="宋体"/>
          <w:szCs w:val="28"/>
          <w:highlight w:val="none"/>
        </w:rPr>
        <w:t>8. 中标和合同</w:t>
      </w:r>
      <w:r>
        <w:tab/>
      </w:r>
      <w:r>
        <w:fldChar w:fldCharType="begin"/>
      </w:r>
      <w:r>
        <w:instrText xml:space="preserve"> PAGEREF _Toc20315 \h </w:instrText>
      </w:r>
      <w:r>
        <w:fldChar w:fldCharType="separate"/>
      </w:r>
      <w:r>
        <w:t>- 17 -</w:t>
      </w:r>
      <w:r>
        <w:fldChar w:fldCharType="end"/>
      </w:r>
      <w:r>
        <w:rPr>
          <w:rFonts w:hint="eastAsia" w:ascii="仿宋" w:hAnsi="仿宋" w:eastAsia="仿宋" w:cs="仿宋"/>
          <w:bCs/>
          <w:caps/>
          <w:color w:val="auto"/>
          <w:szCs w:val="24"/>
          <w:highlight w:val="none"/>
        </w:rPr>
        <w:fldChar w:fldCharType="end"/>
      </w:r>
    </w:p>
    <w:p w14:paraId="6D7A1256">
      <w:pPr>
        <w:pStyle w:val="27"/>
        <w:tabs>
          <w:tab w:val="right" w:leader="dot" w:pos="9740"/>
        </w:tabs>
      </w:pPr>
      <w:r>
        <w:rPr>
          <w:rFonts w:hint="eastAsia" w:ascii="仿宋" w:hAnsi="仿宋" w:eastAsia="仿宋" w:cs="仿宋"/>
          <w:bCs/>
          <w:caps/>
          <w:color w:val="auto"/>
          <w:szCs w:val="24"/>
          <w:highlight w:val="none"/>
        </w:rPr>
        <w:fldChar w:fldCharType="begin"/>
      </w:r>
      <w:r>
        <w:rPr>
          <w:rFonts w:hint="eastAsia" w:ascii="仿宋" w:hAnsi="仿宋" w:eastAsia="仿宋" w:cs="仿宋"/>
          <w:bCs/>
          <w:caps/>
          <w:szCs w:val="24"/>
          <w:highlight w:val="none"/>
        </w:rPr>
        <w:instrText xml:space="preserve"> HYPERLINK \l _Toc21606 </w:instrText>
      </w:r>
      <w:r>
        <w:rPr>
          <w:rFonts w:hint="eastAsia" w:ascii="仿宋" w:hAnsi="仿宋" w:eastAsia="仿宋" w:cs="仿宋"/>
          <w:bCs/>
          <w:caps/>
          <w:szCs w:val="24"/>
          <w:highlight w:val="none"/>
        </w:rPr>
        <w:fldChar w:fldCharType="separate"/>
      </w:r>
      <w:r>
        <w:rPr>
          <w:rFonts w:hint="eastAsia" w:ascii="宋体" w:hAnsi="宋体" w:eastAsia="宋体" w:cs="宋体"/>
          <w:szCs w:val="28"/>
          <w:highlight w:val="none"/>
        </w:rPr>
        <w:t>9. 询问与答复</w:t>
      </w:r>
      <w:r>
        <w:tab/>
      </w:r>
      <w:r>
        <w:fldChar w:fldCharType="begin"/>
      </w:r>
      <w:r>
        <w:instrText xml:space="preserve"> PAGEREF _Toc21606 \h </w:instrText>
      </w:r>
      <w:r>
        <w:fldChar w:fldCharType="separate"/>
      </w:r>
      <w:r>
        <w:t>- 18 -</w:t>
      </w:r>
      <w:r>
        <w:fldChar w:fldCharType="end"/>
      </w:r>
      <w:r>
        <w:rPr>
          <w:rFonts w:hint="eastAsia" w:ascii="仿宋" w:hAnsi="仿宋" w:eastAsia="仿宋" w:cs="仿宋"/>
          <w:bCs/>
          <w:caps/>
          <w:color w:val="auto"/>
          <w:szCs w:val="24"/>
          <w:highlight w:val="none"/>
        </w:rPr>
        <w:fldChar w:fldCharType="end"/>
      </w:r>
    </w:p>
    <w:p w14:paraId="26E7063A">
      <w:pPr>
        <w:pStyle w:val="27"/>
        <w:tabs>
          <w:tab w:val="right" w:leader="dot" w:pos="9740"/>
        </w:tabs>
      </w:pPr>
      <w:r>
        <w:rPr>
          <w:rFonts w:hint="eastAsia" w:ascii="仿宋" w:hAnsi="仿宋" w:eastAsia="仿宋" w:cs="仿宋"/>
          <w:bCs/>
          <w:caps/>
          <w:color w:val="auto"/>
          <w:szCs w:val="24"/>
          <w:highlight w:val="none"/>
        </w:rPr>
        <w:fldChar w:fldCharType="begin"/>
      </w:r>
      <w:r>
        <w:rPr>
          <w:rFonts w:hint="eastAsia" w:ascii="仿宋" w:hAnsi="仿宋" w:eastAsia="仿宋" w:cs="仿宋"/>
          <w:bCs/>
          <w:caps/>
          <w:szCs w:val="24"/>
          <w:highlight w:val="none"/>
        </w:rPr>
        <w:instrText xml:space="preserve"> HYPERLINK \l _Toc12821 </w:instrText>
      </w:r>
      <w:r>
        <w:rPr>
          <w:rFonts w:hint="eastAsia" w:ascii="仿宋" w:hAnsi="仿宋" w:eastAsia="仿宋" w:cs="仿宋"/>
          <w:bCs/>
          <w:caps/>
          <w:szCs w:val="24"/>
          <w:highlight w:val="none"/>
        </w:rPr>
        <w:fldChar w:fldCharType="separate"/>
      </w:r>
      <w:r>
        <w:rPr>
          <w:rFonts w:hint="eastAsia" w:ascii="宋体" w:hAnsi="宋体" w:eastAsia="宋体" w:cs="宋体"/>
          <w:szCs w:val="28"/>
          <w:highlight w:val="none"/>
        </w:rPr>
        <w:t>10. 质疑接收、回复</w:t>
      </w:r>
      <w:r>
        <w:tab/>
      </w:r>
      <w:r>
        <w:fldChar w:fldCharType="begin"/>
      </w:r>
      <w:r>
        <w:instrText xml:space="preserve"> PAGEREF _Toc12821 \h </w:instrText>
      </w:r>
      <w:r>
        <w:fldChar w:fldCharType="separate"/>
      </w:r>
      <w:r>
        <w:t>- 18 -</w:t>
      </w:r>
      <w:r>
        <w:fldChar w:fldCharType="end"/>
      </w:r>
      <w:r>
        <w:rPr>
          <w:rFonts w:hint="eastAsia" w:ascii="仿宋" w:hAnsi="仿宋" w:eastAsia="仿宋" w:cs="仿宋"/>
          <w:bCs/>
          <w:caps/>
          <w:color w:val="auto"/>
          <w:szCs w:val="24"/>
          <w:highlight w:val="none"/>
        </w:rPr>
        <w:fldChar w:fldCharType="end"/>
      </w:r>
    </w:p>
    <w:p w14:paraId="030EF190">
      <w:pPr>
        <w:pStyle w:val="27"/>
        <w:tabs>
          <w:tab w:val="right" w:leader="dot" w:pos="9740"/>
        </w:tabs>
      </w:pPr>
      <w:r>
        <w:rPr>
          <w:rFonts w:hint="eastAsia" w:ascii="仿宋" w:hAnsi="仿宋" w:eastAsia="仿宋" w:cs="仿宋"/>
          <w:bCs/>
          <w:caps/>
          <w:color w:val="auto"/>
          <w:szCs w:val="24"/>
          <w:highlight w:val="none"/>
        </w:rPr>
        <w:fldChar w:fldCharType="begin"/>
      </w:r>
      <w:r>
        <w:rPr>
          <w:rFonts w:hint="eastAsia" w:ascii="仿宋" w:hAnsi="仿宋" w:eastAsia="仿宋" w:cs="仿宋"/>
          <w:bCs/>
          <w:caps/>
          <w:szCs w:val="24"/>
          <w:highlight w:val="none"/>
        </w:rPr>
        <w:instrText xml:space="preserve"> HYPERLINK \l _Toc24138 </w:instrText>
      </w:r>
      <w:r>
        <w:rPr>
          <w:rFonts w:hint="eastAsia" w:ascii="仿宋" w:hAnsi="仿宋" w:eastAsia="仿宋" w:cs="仿宋"/>
          <w:bCs/>
          <w:caps/>
          <w:szCs w:val="24"/>
          <w:highlight w:val="none"/>
        </w:rPr>
        <w:fldChar w:fldCharType="separate"/>
      </w:r>
      <w:r>
        <w:rPr>
          <w:rFonts w:hint="eastAsia" w:ascii="宋体" w:hAnsi="宋体" w:eastAsia="宋体" w:cs="宋体"/>
          <w:szCs w:val="28"/>
          <w:highlight w:val="none"/>
        </w:rPr>
        <w:t>11. 纪律和监督</w:t>
      </w:r>
      <w:r>
        <w:tab/>
      </w:r>
      <w:r>
        <w:fldChar w:fldCharType="begin"/>
      </w:r>
      <w:r>
        <w:instrText xml:space="preserve"> PAGEREF _Toc24138 \h </w:instrText>
      </w:r>
      <w:r>
        <w:fldChar w:fldCharType="separate"/>
      </w:r>
      <w:r>
        <w:t>- 19 -</w:t>
      </w:r>
      <w:r>
        <w:fldChar w:fldCharType="end"/>
      </w:r>
      <w:r>
        <w:rPr>
          <w:rFonts w:hint="eastAsia" w:ascii="仿宋" w:hAnsi="仿宋" w:eastAsia="仿宋" w:cs="仿宋"/>
          <w:bCs/>
          <w:caps/>
          <w:color w:val="auto"/>
          <w:szCs w:val="24"/>
          <w:highlight w:val="none"/>
        </w:rPr>
        <w:fldChar w:fldCharType="end"/>
      </w:r>
    </w:p>
    <w:p w14:paraId="28ABC47B">
      <w:pPr>
        <w:pStyle w:val="27"/>
        <w:tabs>
          <w:tab w:val="right" w:leader="dot" w:pos="9740"/>
        </w:tabs>
      </w:pPr>
      <w:r>
        <w:rPr>
          <w:rFonts w:hint="eastAsia" w:ascii="仿宋" w:hAnsi="仿宋" w:eastAsia="仿宋" w:cs="仿宋"/>
          <w:bCs/>
          <w:caps/>
          <w:color w:val="auto"/>
          <w:szCs w:val="24"/>
          <w:highlight w:val="none"/>
        </w:rPr>
        <w:fldChar w:fldCharType="begin"/>
      </w:r>
      <w:r>
        <w:rPr>
          <w:rFonts w:hint="eastAsia" w:ascii="仿宋" w:hAnsi="仿宋" w:eastAsia="仿宋" w:cs="仿宋"/>
          <w:bCs/>
          <w:caps/>
          <w:szCs w:val="24"/>
          <w:highlight w:val="none"/>
        </w:rPr>
        <w:instrText xml:space="preserve"> HYPERLINK \l _Toc9939 </w:instrText>
      </w:r>
      <w:r>
        <w:rPr>
          <w:rFonts w:hint="eastAsia" w:ascii="仿宋" w:hAnsi="仿宋" w:eastAsia="仿宋" w:cs="仿宋"/>
          <w:bCs/>
          <w:caps/>
          <w:szCs w:val="24"/>
          <w:highlight w:val="none"/>
        </w:rPr>
        <w:fldChar w:fldCharType="separate"/>
      </w:r>
      <w:r>
        <w:rPr>
          <w:rFonts w:hint="eastAsia" w:ascii="宋体" w:hAnsi="宋体" w:eastAsia="宋体" w:cs="宋体"/>
          <w:szCs w:val="28"/>
          <w:highlight w:val="none"/>
        </w:rPr>
        <w:t>12. 需要补充的其他内容</w:t>
      </w:r>
      <w:r>
        <w:tab/>
      </w:r>
      <w:r>
        <w:fldChar w:fldCharType="begin"/>
      </w:r>
      <w:r>
        <w:instrText xml:space="preserve"> PAGEREF _Toc9939 \h </w:instrText>
      </w:r>
      <w:r>
        <w:fldChar w:fldCharType="separate"/>
      </w:r>
      <w:r>
        <w:t>- 20 -</w:t>
      </w:r>
      <w:r>
        <w:fldChar w:fldCharType="end"/>
      </w:r>
      <w:r>
        <w:rPr>
          <w:rFonts w:hint="eastAsia" w:ascii="仿宋" w:hAnsi="仿宋" w:eastAsia="仿宋" w:cs="仿宋"/>
          <w:bCs/>
          <w:caps/>
          <w:color w:val="auto"/>
          <w:szCs w:val="24"/>
          <w:highlight w:val="none"/>
        </w:rPr>
        <w:fldChar w:fldCharType="end"/>
      </w:r>
    </w:p>
    <w:p w14:paraId="23DAC360">
      <w:pPr>
        <w:pStyle w:val="23"/>
        <w:tabs>
          <w:tab w:val="right" w:leader="dot" w:pos="9740"/>
        </w:tabs>
      </w:pPr>
      <w:r>
        <w:rPr>
          <w:rFonts w:hint="eastAsia" w:ascii="仿宋" w:hAnsi="仿宋" w:eastAsia="仿宋" w:cs="仿宋"/>
          <w:bCs/>
          <w:caps/>
          <w:color w:val="auto"/>
          <w:szCs w:val="24"/>
          <w:highlight w:val="none"/>
        </w:rPr>
        <w:fldChar w:fldCharType="begin"/>
      </w:r>
      <w:r>
        <w:rPr>
          <w:rFonts w:hint="eastAsia" w:ascii="仿宋" w:hAnsi="仿宋" w:eastAsia="仿宋" w:cs="仿宋"/>
          <w:bCs/>
          <w:caps/>
          <w:szCs w:val="24"/>
          <w:highlight w:val="none"/>
        </w:rPr>
        <w:instrText xml:space="preserve"> HYPERLINK \l _Toc20206 </w:instrText>
      </w:r>
      <w:r>
        <w:rPr>
          <w:rFonts w:hint="eastAsia" w:ascii="仿宋" w:hAnsi="仿宋" w:eastAsia="仿宋" w:cs="仿宋"/>
          <w:bCs/>
          <w:caps/>
          <w:szCs w:val="24"/>
          <w:highlight w:val="none"/>
        </w:rPr>
        <w:fldChar w:fldCharType="separate"/>
      </w:r>
      <w:r>
        <w:rPr>
          <w:rFonts w:hint="eastAsia" w:ascii="宋体" w:hAnsi="宋体" w:cs="宋体"/>
          <w:highlight w:val="none"/>
        </w:rPr>
        <w:t>第三章 合同条款及格式</w:t>
      </w:r>
      <w:r>
        <w:tab/>
      </w:r>
      <w:r>
        <w:fldChar w:fldCharType="begin"/>
      </w:r>
      <w:r>
        <w:instrText xml:space="preserve"> PAGEREF _Toc20206 \h </w:instrText>
      </w:r>
      <w:r>
        <w:fldChar w:fldCharType="separate"/>
      </w:r>
      <w:r>
        <w:t>- 24 -</w:t>
      </w:r>
      <w:r>
        <w:fldChar w:fldCharType="end"/>
      </w:r>
      <w:r>
        <w:rPr>
          <w:rFonts w:hint="eastAsia" w:ascii="仿宋" w:hAnsi="仿宋" w:eastAsia="仿宋" w:cs="仿宋"/>
          <w:bCs/>
          <w:caps/>
          <w:color w:val="auto"/>
          <w:szCs w:val="24"/>
          <w:highlight w:val="none"/>
        </w:rPr>
        <w:fldChar w:fldCharType="end"/>
      </w:r>
    </w:p>
    <w:p w14:paraId="72704100">
      <w:pPr>
        <w:pStyle w:val="23"/>
        <w:tabs>
          <w:tab w:val="right" w:leader="dot" w:pos="9740"/>
        </w:tabs>
      </w:pPr>
      <w:r>
        <w:rPr>
          <w:rFonts w:hint="eastAsia" w:ascii="仿宋" w:hAnsi="仿宋" w:eastAsia="仿宋" w:cs="仿宋"/>
          <w:bCs/>
          <w:caps/>
          <w:color w:val="auto"/>
          <w:szCs w:val="24"/>
          <w:highlight w:val="none"/>
        </w:rPr>
        <w:fldChar w:fldCharType="begin"/>
      </w:r>
      <w:r>
        <w:rPr>
          <w:rFonts w:hint="eastAsia" w:ascii="仿宋" w:hAnsi="仿宋" w:eastAsia="仿宋" w:cs="仿宋"/>
          <w:bCs/>
          <w:caps/>
          <w:szCs w:val="24"/>
          <w:highlight w:val="none"/>
        </w:rPr>
        <w:instrText xml:space="preserve"> HYPERLINK \l _Toc21992 </w:instrText>
      </w:r>
      <w:r>
        <w:rPr>
          <w:rFonts w:hint="eastAsia" w:ascii="仿宋" w:hAnsi="仿宋" w:eastAsia="仿宋" w:cs="仿宋"/>
          <w:bCs/>
          <w:caps/>
          <w:szCs w:val="24"/>
          <w:highlight w:val="none"/>
        </w:rPr>
        <w:fldChar w:fldCharType="separate"/>
      </w:r>
      <w:r>
        <w:rPr>
          <w:rFonts w:hint="eastAsia" w:ascii="宋体" w:hAnsi="宋体" w:cs="宋体"/>
          <w:highlight w:val="none"/>
        </w:rPr>
        <w:t>第四章 投标文件格式</w:t>
      </w:r>
      <w:r>
        <w:tab/>
      </w:r>
      <w:r>
        <w:fldChar w:fldCharType="begin"/>
      </w:r>
      <w:r>
        <w:instrText xml:space="preserve"> PAGEREF _Toc21992 \h </w:instrText>
      </w:r>
      <w:r>
        <w:fldChar w:fldCharType="separate"/>
      </w:r>
      <w:r>
        <w:t>- 32 -</w:t>
      </w:r>
      <w:r>
        <w:fldChar w:fldCharType="end"/>
      </w:r>
      <w:r>
        <w:rPr>
          <w:rFonts w:hint="eastAsia" w:ascii="仿宋" w:hAnsi="仿宋" w:eastAsia="仿宋" w:cs="仿宋"/>
          <w:bCs/>
          <w:caps/>
          <w:color w:val="auto"/>
          <w:szCs w:val="24"/>
          <w:highlight w:val="none"/>
        </w:rPr>
        <w:fldChar w:fldCharType="end"/>
      </w:r>
    </w:p>
    <w:p w14:paraId="137A57E8">
      <w:pPr>
        <w:pStyle w:val="17"/>
        <w:tabs>
          <w:tab w:val="right" w:leader="dot" w:pos="9740"/>
        </w:tabs>
        <w:rPr>
          <w:i w:val="0"/>
          <w:iCs w:val="0"/>
        </w:rPr>
      </w:pPr>
      <w:r>
        <w:rPr>
          <w:rFonts w:hint="eastAsia" w:ascii="仿宋" w:hAnsi="仿宋" w:eastAsia="仿宋" w:cs="仿宋"/>
          <w:bCs/>
          <w:i w:val="0"/>
          <w:iCs w:val="0"/>
          <w:caps/>
          <w:color w:val="auto"/>
          <w:szCs w:val="24"/>
          <w:highlight w:val="none"/>
        </w:rPr>
        <w:fldChar w:fldCharType="begin"/>
      </w:r>
      <w:r>
        <w:rPr>
          <w:rFonts w:hint="eastAsia" w:ascii="仿宋" w:hAnsi="仿宋" w:eastAsia="仿宋" w:cs="仿宋"/>
          <w:bCs/>
          <w:i w:val="0"/>
          <w:iCs w:val="0"/>
          <w:caps/>
          <w:szCs w:val="24"/>
          <w:highlight w:val="none"/>
        </w:rPr>
        <w:instrText xml:space="preserve"> HYPERLINK \l _Toc30148 </w:instrText>
      </w:r>
      <w:r>
        <w:rPr>
          <w:rFonts w:hint="eastAsia" w:ascii="仿宋" w:hAnsi="仿宋" w:eastAsia="仿宋" w:cs="仿宋"/>
          <w:bCs/>
          <w:i w:val="0"/>
          <w:iCs w:val="0"/>
          <w:caps/>
          <w:szCs w:val="24"/>
          <w:highlight w:val="none"/>
        </w:rPr>
        <w:fldChar w:fldCharType="separate"/>
      </w:r>
      <w:r>
        <w:rPr>
          <w:rFonts w:hint="eastAsia" w:ascii="宋体" w:hAnsi="宋体" w:cs="宋体"/>
          <w:i w:val="0"/>
          <w:iCs w:val="0"/>
          <w:szCs w:val="28"/>
          <w:highlight w:val="none"/>
        </w:rPr>
        <w:t>资格审查部分</w:t>
      </w:r>
      <w:r>
        <w:rPr>
          <w:i w:val="0"/>
          <w:iCs w:val="0"/>
        </w:rPr>
        <w:tab/>
      </w:r>
      <w:r>
        <w:rPr>
          <w:i w:val="0"/>
          <w:iCs w:val="0"/>
        </w:rPr>
        <w:fldChar w:fldCharType="begin"/>
      </w:r>
      <w:r>
        <w:rPr>
          <w:i w:val="0"/>
          <w:iCs w:val="0"/>
        </w:rPr>
        <w:instrText xml:space="preserve"> PAGEREF _Toc30148 \h </w:instrText>
      </w:r>
      <w:r>
        <w:rPr>
          <w:i w:val="0"/>
          <w:iCs w:val="0"/>
        </w:rPr>
        <w:fldChar w:fldCharType="separate"/>
      </w:r>
      <w:r>
        <w:rPr>
          <w:i w:val="0"/>
          <w:iCs w:val="0"/>
        </w:rPr>
        <w:t>- 33 -</w:t>
      </w:r>
      <w:r>
        <w:rPr>
          <w:i w:val="0"/>
          <w:iCs w:val="0"/>
        </w:rPr>
        <w:fldChar w:fldCharType="end"/>
      </w:r>
      <w:r>
        <w:rPr>
          <w:rFonts w:hint="eastAsia" w:ascii="仿宋" w:hAnsi="仿宋" w:eastAsia="仿宋" w:cs="仿宋"/>
          <w:bCs/>
          <w:i w:val="0"/>
          <w:iCs w:val="0"/>
          <w:caps/>
          <w:color w:val="auto"/>
          <w:szCs w:val="24"/>
          <w:highlight w:val="none"/>
        </w:rPr>
        <w:fldChar w:fldCharType="end"/>
      </w:r>
    </w:p>
    <w:p w14:paraId="1077AE63">
      <w:pPr>
        <w:pStyle w:val="17"/>
        <w:tabs>
          <w:tab w:val="right" w:leader="dot" w:pos="9740"/>
        </w:tabs>
        <w:rPr>
          <w:i w:val="0"/>
          <w:iCs w:val="0"/>
        </w:rPr>
      </w:pPr>
      <w:r>
        <w:rPr>
          <w:rFonts w:hint="eastAsia" w:ascii="仿宋" w:hAnsi="仿宋" w:eastAsia="仿宋" w:cs="仿宋"/>
          <w:bCs/>
          <w:i w:val="0"/>
          <w:iCs w:val="0"/>
          <w:caps/>
          <w:color w:val="auto"/>
          <w:szCs w:val="24"/>
          <w:highlight w:val="none"/>
        </w:rPr>
        <w:fldChar w:fldCharType="begin"/>
      </w:r>
      <w:r>
        <w:rPr>
          <w:rFonts w:hint="eastAsia" w:ascii="仿宋" w:hAnsi="仿宋" w:eastAsia="仿宋" w:cs="仿宋"/>
          <w:bCs/>
          <w:i w:val="0"/>
          <w:iCs w:val="0"/>
          <w:caps/>
          <w:szCs w:val="24"/>
          <w:highlight w:val="none"/>
        </w:rPr>
        <w:instrText xml:space="preserve"> HYPERLINK \l _Toc8133 </w:instrText>
      </w:r>
      <w:r>
        <w:rPr>
          <w:rFonts w:hint="eastAsia" w:ascii="仿宋" w:hAnsi="仿宋" w:eastAsia="仿宋" w:cs="仿宋"/>
          <w:bCs/>
          <w:i w:val="0"/>
          <w:iCs w:val="0"/>
          <w:caps/>
          <w:szCs w:val="24"/>
          <w:highlight w:val="none"/>
        </w:rPr>
        <w:fldChar w:fldCharType="separate"/>
      </w:r>
      <w:r>
        <w:rPr>
          <w:rFonts w:hint="eastAsia" w:ascii="宋体" w:hAnsi="宋体" w:cs="宋体"/>
          <w:i w:val="0"/>
          <w:iCs w:val="0"/>
          <w:szCs w:val="28"/>
          <w:highlight w:val="none"/>
        </w:rPr>
        <w:t>一、具有独立承担民事责任的能力</w:t>
      </w:r>
      <w:r>
        <w:rPr>
          <w:i w:val="0"/>
          <w:iCs w:val="0"/>
        </w:rPr>
        <w:tab/>
      </w:r>
      <w:r>
        <w:rPr>
          <w:i w:val="0"/>
          <w:iCs w:val="0"/>
        </w:rPr>
        <w:fldChar w:fldCharType="begin"/>
      </w:r>
      <w:r>
        <w:rPr>
          <w:i w:val="0"/>
          <w:iCs w:val="0"/>
        </w:rPr>
        <w:instrText xml:space="preserve"> PAGEREF _Toc8133 \h </w:instrText>
      </w:r>
      <w:r>
        <w:rPr>
          <w:i w:val="0"/>
          <w:iCs w:val="0"/>
        </w:rPr>
        <w:fldChar w:fldCharType="separate"/>
      </w:r>
      <w:r>
        <w:rPr>
          <w:i w:val="0"/>
          <w:iCs w:val="0"/>
        </w:rPr>
        <w:t>- 33 -</w:t>
      </w:r>
      <w:r>
        <w:rPr>
          <w:i w:val="0"/>
          <w:iCs w:val="0"/>
        </w:rPr>
        <w:fldChar w:fldCharType="end"/>
      </w:r>
      <w:r>
        <w:rPr>
          <w:rFonts w:hint="eastAsia" w:ascii="仿宋" w:hAnsi="仿宋" w:eastAsia="仿宋" w:cs="仿宋"/>
          <w:bCs/>
          <w:i w:val="0"/>
          <w:iCs w:val="0"/>
          <w:caps/>
          <w:color w:val="auto"/>
          <w:szCs w:val="24"/>
          <w:highlight w:val="none"/>
        </w:rPr>
        <w:fldChar w:fldCharType="end"/>
      </w:r>
    </w:p>
    <w:p w14:paraId="08B810A5">
      <w:pPr>
        <w:pStyle w:val="17"/>
        <w:tabs>
          <w:tab w:val="right" w:leader="dot" w:pos="9740"/>
        </w:tabs>
        <w:rPr>
          <w:i w:val="0"/>
          <w:iCs w:val="0"/>
        </w:rPr>
      </w:pPr>
      <w:r>
        <w:rPr>
          <w:rFonts w:hint="eastAsia" w:ascii="仿宋" w:hAnsi="仿宋" w:eastAsia="仿宋" w:cs="仿宋"/>
          <w:bCs/>
          <w:i w:val="0"/>
          <w:iCs w:val="0"/>
          <w:caps/>
          <w:color w:val="auto"/>
          <w:szCs w:val="24"/>
          <w:highlight w:val="none"/>
        </w:rPr>
        <w:fldChar w:fldCharType="begin"/>
      </w:r>
      <w:r>
        <w:rPr>
          <w:rFonts w:hint="eastAsia" w:ascii="仿宋" w:hAnsi="仿宋" w:eastAsia="仿宋" w:cs="仿宋"/>
          <w:bCs/>
          <w:i w:val="0"/>
          <w:iCs w:val="0"/>
          <w:caps/>
          <w:szCs w:val="24"/>
          <w:highlight w:val="none"/>
        </w:rPr>
        <w:instrText xml:space="preserve"> HYPERLINK \l _Toc19766 </w:instrText>
      </w:r>
      <w:r>
        <w:rPr>
          <w:rFonts w:hint="eastAsia" w:ascii="仿宋" w:hAnsi="仿宋" w:eastAsia="仿宋" w:cs="仿宋"/>
          <w:bCs/>
          <w:i w:val="0"/>
          <w:iCs w:val="0"/>
          <w:caps/>
          <w:szCs w:val="24"/>
          <w:highlight w:val="none"/>
        </w:rPr>
        <w:fldChar w:fldCharType="separate"/>
      </w:r>
      <w:r>
        <w:rPr>
          <w:rFonts w:hint="eastAsia" w:ascii="宋体" w:hAnsi="宋体" w:cs="宋体"/>
          <w:bCs/>
          <w:i w:val="0"/>
          <w:iCs w:val="0"/>
          <w:szCs w:val="28"/>
          <w:highlight w:val="none"/>
        </w:rPr>
        <w:t>二、具有良好的商业信誉和健全的财务会计制度</w:t>
      </w:r>
      <w:r>
        <w:rPr>
          <w:i w:val="0"/>
          <w:iCs w:val="0"/>
        </w:rPr>
        <w:tab/>
      </w:r>
      <w:r>
        <w:rPr>
          <w:i w:val="0"/>
          <w:iCs w:val="0"/>
        </w:rPr>
        <w:fldChar w:fldCharType="begin"/>
      </w:r>
      <w:r>
        <w:rPr>
          <w:i w:val="0"/>
          <w:iCs w:val="0"/>
        </w:rPr>
        <w:instrText xml:space="preserve"> PAGEREF _Toc19766 \h </w:instrText>
      </w:r>
      <w:r>
        <w:rPr>
          <w:i w:val="0"/>
          <w:iCs w:val="0"/>
        </w:rPr>
        <w:fldChar w:fldCharType="separate"/>
      </w:r>
      <w:r>
        <w:rPr>
          <w:i w:val="0"/>
          <w:iCs w:val="0"/>
        </w:rPr>
        <w:t>- 34 -</w:t>
      </w:r>
      <w:r>
        <w:rPr>
          <w:i w:val="0"/>
          <w:iCs w:val="0"/>
        </w:rPr>
        <w:fldChar w:fldCharType="end"/>
      </w:r>
      <w:r>
        <w:rPr>
          <w:rFonts w:hint="eastAsia" w:ascii="仿宋" w:hAnsi="仿宋" w:eastAsia="仿宋" w:cs="仿宋"/>
          <w:bCs/>
          <w:i w:val="0"/>
          <w:iCs w:val="0"/>
          <w:caps/>
          <w:color w:val="auto"/>
          <w:szCs w:val="24"/>
          <w:highlight w:val="none"/>
        </w:rPr>
        <w:fldChar w:fldCharType="end"/>
      </w:r>
    </w:p>
    <w:p w14:paraId="511AAAEC">
      <w:pPr>
        <w:pStyle w:val="17"/>
        <w:tabs>
          <w:tab w:val="right" w:leader="dot" w:pos="9740"/>
        </w:tabs>
        <w:rPr>
          <w:i w:val="0"/>
          <w:iCs w:val="0"/>
        </w:rPr>
      </w:pPr>
      <w:r>
        <w:rPr>
          <w:rFonts w:hint="eastAsia" w:ascii="仿宋" w:hAnsi="仿宋" w:eastAsia="仿宋" w:cs="仿宋"/>
          <w:bCs/>
          <w:i w:val="0"/>
          <w:iCs w:val="0"/>
          <w:caps/>
          <w:color w:val="auto"/>
          <w:szCs w:val="24"/>
          <w:highlight w:val="none"/>
        </w:rPr>
        <w:fldChar w:fldCharType="begin"/>
      </w:r>
      <w:r>
        <w:rPr>
          <w:rFonts w:hint="eastAsia" w:ascii="仿宋" w:hAnsi="仿宋" w:eastAsia="仿宋" w:cs="仿宋"/>
          <w:bCs/>
          <w:i w:val="0"/>
          <w:iCs w:val="0"/>
          <w:caps/>
          <w:szCs w:val="24"/>
          <w:highlight w:val="none"/>
        </w:rPr>
        <w:instrText xml:space="preserve"> HYPERLINK \l _Toc10745 </w:instrText>
      </w:r>
      <w:r>
        <w:rPr>
          <w:rFonts w:hint="eastAsia" w:ascii="仿宋" w:hAnsi="仿宋" w:eastAsia="仿宋" w:cs="仿宋"/>
          <w:bCs/>
          <w:i w:val="0"/>
          <w:iCs w:val="0"/>
          <w:caps/>
          <w:szCs w:val="24"/>
          <w:highlight w:val="none"/>
        </w:rPr>
        <w:fldChar w:fldCharType="separate"/>
      </w:r>
      <w:r>
        <w:rPr>
          <w:rFonts w:hint="eastAsia" w:ascii="宋体" w:hAnsi="宋体" w:cs="宋体"/>
          <w:bCs/>
          <w:i w:val="0"/>
          <w:iCs w:val="0"/>
          <w:szCs w:val="28"/>
          <w:highlight w:val="none"/>
        </w:rPr>
        <w:t>三、具有依法缴纳税收和社会保障资金的良好记录</w:t>
      </w:r>
      <w:r>
        <w:rPr>
          <w:i w:val="0"/>
          <w:iCs w:val="0"/>
        </w:rPr>
        <w:tab/>
      </w:r>
      <w:r>
        <w:rPr>
          <w:i w:val="0"/>
          <w:iCs w:val="0"/>
        </w:rPr>
        <w:fldChar w:fldCharType="begin"/>
      </w:r>
      <w:r>
        <w:rPr>
          <w:i w:val="0"/>
          <w:iCs w:val="0"/>
        </w:rPr>
        <w:instrText xml:space="preserve"> PAGEREF _Toc10745 \h </w:instrText>
      </w:r>
      <w:r>
        <w:rPr>
          <w:i w:val="0"/>
          <w:iCs w:val="0"/>
        </w:rPr>
        <w:fldChar w:fldCharType="separate"/>
      </w:r>
      <w:r>
        <w:rPr>
          <w:i w:val="0"/>
          <w:iCs w:val="0"/>
        </w:rPr>
        <w:t>- 35 -</w:t>
      </w:r>
      <w:r>
        <w:rPr>
          <w:i w:val="0"/>
          <w:iCs w:val="0"/>
        </w:rPr>
        <w:fldChar w:fldCharType="end"/>
      </w:r>
      <w:r>
        <w:rPr>
          <w:rFonts w:hint="eastAsia" w:ascii="仿宋" w:hAnsi="仿宋" w:eastAsia="仿宋" w:cs="仿宋"/>
          <w:bCs/>
          <w:i w:val="0"/>
          <w:iCs w:val="0"/>
          <w:caps/>
          <w:color w:val="auto"/>
          <w:szCs w:val="24"/>
          <w:highlight w:val="none"/>
        </w:rPr>
        <w:fldChar w:fldCharType="end"/>
      </w:r>
    </w:p>
    <w:p w14:paraId="3C8B14A5">
      <w:pPr>
        <w:pStyle w:val="17"/>
        <w:tabs>
          <w:tab w:val="right" w:leader="dot" w:pos="9740"/>
        </w:tabs>
        <w:rPr>
          <w:i w:val="0"/>
          <w:iCs w:val="0"/>
        </w:rPr>
      </w:pPr>
      <w:r>
        <w:rPr>
          <w:rFonts w:hint="eastAsia" w:ascii="仿宋" w:hAnsi="仿宋" w:eastAsia="仿宋" w:cs="仿宋"/>
          <w:bCs/>
          <w:i w:val="0"/>
          <w:iCs w:val="0"/>
          <w:caps/>
          <w:color w:val="auto"/>
          <w:szCs w:val="24"/>
          <w:highlight w:val="none"/>
        </w:rPr>
        <w:fldChar w:fldCharType="begin"/>
      </w:r>
      <w:r>
        <w:rPr>
          <w:rFonts w:hint="eastAsia" w:ascii="仿宋" w:hAnsi="仿宋" w:eastAsia="仿宋" w:cs="仿宋"/>
          <w:bCs/>
          <w:i w:val="0"/>
          <w:iCs w:val="0"/>
          <w:caps/>
          <w:szCs w:val="24"/>
          <w:highlight w:val="none"/>
        </w:rPr>
        <w:instrText xml:space="preserve"> HYPERLINK \l _Toc28187 </w:instrText>
      </w:r>
      <w:r>
        <w:rPr>
          <w:rFonts w:hint="eastAsia" w:ascii="仿宋" w:hAnsi="仿宋" w:eastAsia="仿宋" w:cs="仿宋"/>
          <w:bCs/>
          <w:i w:val="0"/>
          <w:iCs w:val="0"/>
          <w:caps/>
          <w:szCs w:val="24"/>
          <w:highlight w:val="none"/>
        </w:rPr>
        <w:fldChar w:fldCharType="separate"/>
      </w:r>
      <w:r>
        <w:rPr>
          <w:rFonts w:hint="eastAsia" w:ascii="宋体" w:hAnsi="宋体" w:eastAsia="宋体"/>
          <w:bCs/>
          <w:i w:val="0"/>
          <w:iCs w:val="0"/>
          <w:highlight w:val="none"/>
        </w:rPr>
        <w:t>四</w:t>
      </w:r>
      <w:r>
        <w:rPr>
          <w:rFonts w:hint="eastAsia" w:ascii="宋体" w:hAnsi="宋体" w:eastAsia="宋体"/>
          <w:bCs/>
          <w:i w:val="0"/>
          <w:iCs w:val="0"/>
          <w:szCs w:val="28"/>
          <w:highlight w:val="none"/>
        </w:rPr>
        <w:t>、投标人须具有履行合同所必需的设备和专业技术能力证明材料</w:t>
      </w:r>
      <w:r>
        <w:rPr>
          <w:i w:val="0"/>
          <w:iCs w:val="0"/>
        </w:rPr>
        <w:tab/>
      </w:r>
      <w:r>
        <w:rPr>
          <w:i w:val="0"/>
          <w:iCs w:val="0"/>
        </w:rPr>
        <w:fldChar w:fldCharType="begin"/>
      </w:r>
      <w:r>
        <w:rPr>
          <w:i w:val="0"/>
          <w:iCs w:val="0"/>
        </w:rPr>
        <w:instrText xml:space="preserve"> PAGEREF _Toc28187 \h </w:instrText>
      </w:r>
      <w:r>
        <w:rPr>
          <w:i w:val="0"/>
          <w:iCs w:val="0"/>
        </w:rPr>
        <w:fldChar w:fldCharType="separate"/>
      </w:r>
      <w:r>
        <w:rPr>
          <w:i w:val="0"/>
          <w:iCs w:val="0"/>
        </w:rPr>
        <w:t>- 36 -</w:t>
      </w:r>
      <w:r>
        <w:rPr>
          <w:i w:val="0"/>
          <w:iCs w:val="0"/>
        </w:rPr>
        <w:fldChar w:fldCharType="end"/>
      </w:r>
      <w:r>
        <w:rPr>
          <w:rFonts w:hint="eastAsia" w:ascii="仿宋" w:hAnsi="仿宋" w:eastAsia="仿宋" w:cs="仿宋"/>
          <w:bCs/>
          <w:i w:val="0"/>
          <w:iCs w:val="0"/>
          <w:caps/>
          <w:color w:val="auto"/>
          <w:szCs w:val="24"/>
          <w:highlight w:val="none"/>
        </w:rPr>
        <w:fldChar w:fldCharType="end"/>
      </w:r>
    </w:p>
    <w:p w14:paraId="7EE826B6">
      <w:pPr>
        <w:pStyle w:val="17"/>
        <w:tabs>
          <w:tab w:val="right" w:leader="dot" w:pos="9740"/>
        </w:tabs>
        <w:rPr>
          <w:i w:val="0"/>
          <w:iCs w:val="0"/>
        </w:rPr>
      </w:pPr>
      <w:r>
        <w:rPr>
          <w:rFonts w:hint="eastAsia" w:ascii="仿宋" w:hAnsi="仿宋" w:eastAsia="仿宋" w:cs="仿宋"/>
          <w:bCs/>
          <w:i w:val="0"/>
          <w:iCs w:val="0"/>
          <w:caps/>
          <w:color w:val="auto"/>
          <w:szCs w:val="24"/>
          <w:highlight w:val="none"/>
        </w:rPr>
        <w:fldChar w:fldCharType="begin"/>
      </w:r>
      <w:r>
        <w:rPr>
          <w:rFonts w:hint="eastAsia" w:ascii="仿宋" w:hAnsi="仿宋" w:eastAsia="仿宋" w:cs="仿宋"/>
          <w:bCs/>
          <w:i w:val="0"/>
          <w:iCs w:val="0"/>
          <w:caps/>
          <w:szCs w:val="24"/>
          <w:highlight w:val="none"/>
        </w:rPr>
        <w:instrText xml:space="preserve"> HYPERLINK \l _Toc13665 </w:instrText>
      </w:r>
      <w:r>
        <w:rPr>
          <w:rFonts w:hint="eastAsia" w:ascii="仿宋" w:hAnsi="仿宋" w:eastAsia="仿宋" w:cs="仿宋"/>
          <w:bCs/>
          <w:i w:val="0"/>
          <w:iCs w:val="0"/>
          <w:caps/>
          <w:szCs w:val="24"/>
          <w:highlight w:val="none"/>
        </w:rPr>
        <w:fldChar w:fldCharType="separate"/>
      </w:r>
      <w:r>
        <w:rPr>
          <w:rFonts w:hint="eastAsia" w:ascii="宋体" w:hAnsi="宋体" w:cs="宋体"/>
          <w:bCs/>
          <w:i w:val="0"/>
          <w:iCs w:val="0"/>
          <w:szCs w:val="28"/>
          <w:highlight w:val="none"/>
        </w:rPr>
        <w:t>▲五、投标人参加政府采购活动前三年内，在经营活动中没有重大违法记录</w:t>
      </w:r>
      <w:r>
        <w:rPr>
          <w:i w:val="0"/>
          <w:iCs w:val="0"/>
        </w:rPr>
        <w:tab/>
      </w:r>
      <w:r>
        <w:rPr>
          <w:i w:val="0"/>
          <w:iCs w:val="0"/>
        </w:rPr>
        <w:fldChar w:fldCharType="begin"/>
      </w:r>
      <w:r>
        <w:rPr>
          <w:i w:val="0"/>
          <w:iCs w:val="0"/>
        </w:rPr>
        <w:instrText xml:space="preserve"> PAGEREF _Toc13665 \h </w:instrText>
      </w:r>
      <w:r>
        <w:rPr>
          <w:i w:val="0"/>
          <w:iCs w:val="0"/>
        </w:rPr>
        <w:fldChar w:fldCharType="separate"/>
      </w:r>
      <w:r>
        <w:rPr>
          <w:i w:val="0"/>
          <w:iCs w:val="0"/>
        </w:rPr>
        <w:t>- 37 -</w:t>
      </w:r>
      <w:r>
        <w:rPr>
          <w:i w:val="0"/>
          <w:iCs w:val="0"/>
        </w:rPr>
        <w:fldChar w:fldCharType="end"/>
      </w:r>
      <w:r>
        <w:rPr>
          <w:rFonts w:hint="eastAsia" w:ascii="仿宋" w:hAnsi="仿宋" w:eastAsia="仿宋" w:cs="仿宋"/>
          <w:bCs/>
          <w:i w:val="0"/>
          <w:iCs w:val="0"/>
          <w:caps/>
          <w:color w:val="auto"/>
          <w:szCs w:val="24"/>
          <w:highlight w:val="none"/>
        </w:rPr>
        <w:fldChar w:fldCharType="end"/>
      </w:r>
    </w:p>
    <w:p w14:paraId="713D0EE5">
      <w:pPr>
        <w:pStyle w:val="17"/>
        <w:tabs>
          <w:tab w:val="right" w:leader="dot" w:pos="9740"/>
        </w:tabs>
        <w:rPr>
          <w:i w:val="0"/>
          <w:iCs w:val="0"/>
        </w:rPr>
      </w:pPr>
      <w:r>
        <w:rPr>
          <w:rFonts w:hint="eastAsia" w:ascii="仿宋" w:hAnsi="仿宋" w:eastAsia="仿宋" w:cs="仿宋"/>
          <w:bCs/>
          <w:i w:val="0"/>
          <w:iCs w:val="0"/>
          <w:caps/>
          <w:color w:val="auto"/>
          <w:szCs w:val="24"/>
          <w:highlight w:val="none"/>
        </w:rPr>
        <w:fldChar w:fldCharType="begin"/>
      </w:r>
      <w:r>
        <w:rPr>
          <w:rFonts w:hint="eastAsia" w:ascii="仿宋" w:hAnsi="仿宋" w:eastAsia="仿宋" w:cs="仿宋"/>
          <w:bCs/>
          <w:i w:val="0"/>
          <w:iCs w:val="0"/>
          <w:caps/>
          <w:szCs w:val="24"/>
          <w:highlight w:val="none"/>
        </w:rPr>
        <w:instrText xml:space="preserve"> HYPERLINK \l _Toc31675 </w:instrText>
      </w:r>
      <w:r>
        <w:rPr>
          <w:rFonts w:hint="eastAsia" w:ascii="仿宋" w:hAnsi="仿宋" w:eastAsia="仿宋" w:cs="仿宋"/>
          <w:bCs/>
          <w:i w:val="0"/>
          <w:iCs w:val="0"/>
          <w:caps/>
          <w:szCs w:val="24"/>
          <w:highlight w:val="none"/>
        </w:rPr>
        <w:fldChar w:fldCharType="separate"/>
      </w:r>
      <w:r>
        <w:rPr>
          <w:rFonts w:hint="eastAsia" w:ascii="宋体" w:hAnsi="宋体" w:cs="宋体"/>
          <w:bCs/>
          <w:i w:val="0"/>
          <w:iCs w:val="0"/>
          <w:szCs w:val="28"/>
          <w:highlight w:val="none"/>
        </w:rPr>
        <w:t>六、其他</w:t>
      </w:r>
      <w:r>
        <w:rPr>
          <w:i w:val="0"/>
          <w:iCs w:val="0"/>
        </w:rPr>
        <w:tab/>
      </w:r>
      <w:r>
        <w:rPr>
          <w:i w:val="0"/>
          <w:iCs w:val="0"/>
        </w:rPr>
        <w:fldChar w:fldCharType="begin"/>
      </w:r>
      <w:r>
        <w:rPr>
          <w:i w:val="0"/>
          <w:iCs w:val="0"/>
        </w:rPr>
        <w:instrText xml:space="preserve"> PAGEREF _Toc31675 \h </w:instrText>
      </w:r>
      <w:r>
        <w:rPr>
          <w:i w:val="0"/>
          <w:iCs w:val="0"/>
        </w:rPr>
        <w:fldChar w:fldCharType="separate"/>
      </w:r>
      <w:r>
        <w:rPr>
          <w:i w:val="0"/>
          <w:iCs w:val="0"/>
        </w:rPr>
        <w:t>- 38 -</w:t>
      </w:r>
      <w:r>
        <w:rPr>
          <w:i w:val="0"/>
          <w:iCs w:val="0"/>
        </w:rPr>
        <w:fldChar w:fldCharType="end"/>
      </w:r>
      <w:r>
        <w:rPr>
          <w:rFonts w:hint="eastAsia" w:ascii="仿宋" w:hAnsi="仿宋" w:eastAsia="仿宋" w:cs="仿宋"/>
          <w:bCs/>
          <w:i w:val="0"/>
          <w:iCs w:val="0"/>
          <w:caps/>
          <w:color w:val="auto"/>
          <w:szCs w:val="24"/>
          <w:highlight w:val="none"/>
        </w:rPr>
        <w:fldChar w:fldCharType="end"/>
      </w:r>
    </w:p>
    <w:p w14:paraId="2F5EC8D9">
      <w:pPr>
        <w:pStyle w:val="17"/>
        <w:tabs>
          <w:tab w:val="right" w:leader="dot" w:pos="9740"/>
        </w:tabs>
        <w:rPr>
          <w:i w:val="0"/>
          <w:iCs w:val="0"/>
        </w:rPr>
      </w:pPr>
      <w:r>
        <w:rPr>
          <w:rFonts w:hint="eastAsia" w:ascii="仿宋" w:hAnsi="仿宋" w:eastAsia="仿宋" w:cs="仿宋"/>
          <w:bCs/>
          <w:i w:val="0"/>
          <w:iCs w:val="0"/>
          <w:caps/>
          <w:color w:val="auto"/>
          <w:szCs w:val="24"/>
          <w:highlight w:val="none"/>
        </w:rPr>
        <w:fldChar w:fldCharType="begin"/>
      </w:r>
      <w:r>
        <w:rPr>
          <w:rFonts w:hint="eastAsia" w:ascii="仿宋" w:hAnsi="仿宋" w:eastAsia="仿宋" w:cs="仿宋"/>
          <w:bCs/>
          <w:i w:val="0"/>
          <w:iCs w:val="0"/>
          <w:caps/>
          <w:szCs w:val="24"/>
          <w:highlight w:val="none"/>
        </w:rPr>
        <w:instrText xml:space="preserve"> HYPERLINK \l _Toc3738 </w:instrText>
      </w:r>
      <w:r>
        <w:rPr>
          <w:rFonts w:hint="eastAsia" w:ascii="仿宋" w:hAnsi="仿宋" w:eastAsia="仿宋" w:cs="仿宋"/>
          <w:bCs/>
          <w:i w:val="0"/>
          <w:iCs w:val="0"/>
          <w:caps/>
          <w:szCs w:val="24"/>
          <w:highlight w:val="none"/>
        </w:rPr>
        <w:fldChar w:fldCharType="separate"/>
      </w:r>
      <w:r>
        <w:rPr>
          <w:rFonts w:hint="eastAsia" w:ascii="宋体" w:hAnsi="宋体" w:cs="宋体"/>
          <w:bCs/>
          <w:i w:val="0"/>
          <w:iCs w:val="0"/>
          <w:szCs w:val="28"/>
          <w:highlight w:val="none"/>
        </w:rPr>
        <w:t>商务技术部分</w:t>
      </w:r>
      <w:r>
        <w:rPr>
          <w:i w:val="0"/>
          <w:iCs w:val="0"/>
        </w:rPr>
        <w:tab/>
      </w:r>
      <w:r>
        <w:rPr>
          <w:i w:val="0"/>
          <w:iCs w:val="0"/>
        </w:rPr>
        <w:fldChar w:fldCharType="begin"/>
      </w:r>
      <w:r>
        <w:rPr>
          <w:i w:val="0"/>
          <w:iCs w:val="0"/>
        </w:rPr>
        <w:instrText xml:space="preserve"> PAGEREF _Toc3738 \h </w:instrText>
      </w:r>
      <w:r>
        <w:rPr>
          <w:i w:val="0"/>
          <w:iCs w:val="0"/>
        </w:rPr>
        <w:fldChar w:fldCharType="separate"/>
      </w:r>
      <w:r>
        <w:rPr>
          <w:i w:val="0"/>
          <w:iCs w:val="0"/>
        </w:rPr>
        <w:t>- 39 -</w:t>
      </w:r>
      <w:r>
        <w:rPr>
          <w:i w:val="0"/>
          <w:iCs w:val="0"/>
        </w:rPr>
        <w:fldChar w:fldCharType="end"/>
      </w:r>
      <w:r>
        <w:rPr>
          <w:rFonts w:hint="eastAsia" w:ascii="仿宋" w:hAnsi="仿宋" w:eastAsia="仿宋" w:cs="仿宋"/>
          <w:bCs/>
          <w:i w:val="0"/>
          <w:iCs w:val="0"/>
          <w:caps/>
          <w:color w:val="auto"/>
          <w:szCs w:val="24"/>
          <w:highlight w:val="none"/>
        </w:rPr>
        <w:fldChar w:fldCharType="end"/>
      </w:r>
    </w:p>
    <w:p w14:paraId="06311BB2">
      <w:pPr>
        <w:pStyle w:val="17"/>
        <w:tabs>
          <w:tab w:val="right" w:leader="dot" w:pos="9740"/>
        </w:tabs>
        <w:rPr>
          <w:i w:val="0"/>
          <w:iCs w:val="0"/>
        </w:rPr>
      </w:pPr>
      <w:r>
        <w:rPr>
          <w:rFonts w:hint="eastAsia" w:ascii="仿宋" w:hAnsi="仿宋" w:eastAsia="仿宋" w:cs="仿宋"/>
          <w:bCs/>
          <w:i w:val="0"/>
          <w:iCs w:val="0"/>
          <w:caps/>
          <w:color w:val="auto"/>
          <w:szCs w:val="24"/>
          <w:highlight w:val="none"/>
        </w:rPr>
        <w:fldChar w:fldCharType="begin"/>
      </w:r>
      <w:r>
        <w:rPr>
          <w:rFonts w:hint="eastAsia" w:ascii="仿宋" w:hAnsi="仿宋" w:eastAsia="仿宋" w:cs="仿宋"/>
          <w:bCs/>
          <w:i w:val="0"/>
          <w:iCs w:val="0"/>
          <w:caps/>
          <w:szCs w:val="24"/>
          <w:highlight w:val="none"/>
        </w:rPr>
        <w:instrText xml:space="preserve"> HYPERLINK \l _Toc13544 </w:instrText>
      </w:r>
      <w:r>
        <w:rPr>
          <w:rFonts w:hint="eastAsia" w:ascii="仿宋" w:hAnsi="仿宋" w:eastAsia="仿宋" w:cs="仿宋"/>
          <w:bCs/>
          <w:i w:val="0"/>
          <w:iCs w:val="0"/>
          <w:caps/>
          <w:szCs w:val="24"/>
          <w:highlight w:val="none"/>
        </w:rPr>
        <w:fldChar w:fldCharType="separate"/>
      </w:r>
      <w:r>
        <w:rPr>
          <w:rFonts w:hint="eastAsia" w:ascii="宋体" w:hAnsi="宋体" w:cs="宋体"/>
          <w:bCs/>
          <w:i w:val="0"/>
          <w:iCs w:val="0"/>
          <w:szCs w:val="28"/>
          <w:highlight w:val="none"/>
        </w:rPr>
        <w:t>▲一、开标一览表</w:t>
      </w:r>
      <w:r>
        <w:rPr>
          <w:i w:val="0"/>
          <w:iCs w:val="0"/>
        </w:rPr>
        <w:tab/>
      </w:r>
      <w:r>
        <w:rPr>
          <w:i w:val="0"/>
          <w:iCs w:val="0"/>
        </w:rPr>
        <w:fldChar w:fldCharType="begin"/>
      </w:r>
      <w:r>
        <w:rPr>
          <w:i w:val="0"/>
          <w:iCs w:val="0"/>
        </w:rPr>
        <w:instrText xml:space="preserve"> PAGEREF _Toc13544 \h </w:instrText>
      </w:r>
      <w:r>
        <w:rPr>
          <w:i w:val="0"/>
          <w:iCs w:val="0"/>
        </w:rPr>
        <w:fldChar w:fldCharType="separate"/>
      </w:r>
      <w:r>
        <w:rPr>
          <w:i w:val="0"/>
          <w:iCs w:val="0"/>
        </w:rPr>
        <w:t>- 39 -</w:t>
      </w:r>
      <w:r>
        <w:rPr>
          <w:i w:val="0"/>
          <w:iCs w:val="0"/>
        </w:rPr>
        <w:fldChar w:fldCharType="end"/>
      </w:r>
      <w:r>
        <w:rPr>
          <w:rFonts w:hint="eastAsia" w:ascii="仿宋" w:hAnsi="仿宋" w:eastAsia="仿宋" w:cs="仿宋"/>
          <w:bCs/>
          <w:i w:val="0"/>
          <w:iCs w:val="0"/>
          <w:caps/>
          <w:color w:val="auto"/>
          <w:szCs w:val="24"/>
          <w:highlight w:val="none"/>
        </w:rPr>
        <w:fldChar w:fldCharType="end"/>
      </w:r>
    </w:p>
    <w:p w14:paraId="448C6261">
      <w:pPr>
        <w:pStyle w:val="17"/>
        <w:tabs>
          <w:tab w:val="right" w:leader="dot" w:pos="9740"/>
        </w:tabs>
        <w:rPr>
          <w:i w:val="0"/>
          <w:iCs w:val="0"/>
        </w:rPr>
      </w:pPr>
      <w:r>
        <w:rPr>
          <w:rFonts w:hint="eastAsia" w:ascii="仿宋" w:hAnsi="仿宋" w:eastAsia="仿宋" w:cs="仿宋"/>
          <w:bCs/>
          <w:i w:val="0"/>
          <w:iCs w:val="0"/>
          <w:caps/>
          <w:color w:val="auto"/>
          <w:szCs w:val="24"/>
          <w:highlight w:val="none"/>
        </w:rPr>
        <w:fldChar w:fldCharType="begin"/>
      </w:r>
      <w:r>
        <w:rPr>
          <w:rFonts w:hint="eastAsia" w:ascii="仿宋" w:hAnsi="仿宋" w:eastAsia="仿宋" w:cs="仿宋"/>
          <w:bCs/>
          <w:i w:val="0"/>
          <w:iCs w:val="0"/>
          <w:caps/>
          <w:szCs w:val="24"/>
          <w:highlight w:val="none"/>
        </w:rPr>
        <w:instrText xml:space="preserve"> HYPERLINK \l _Toc13102 </w:instrText>
      </w:r>
      <w:r>
        <w:rPr>
          <w:rFonts w:hint="eastAsia" w:ascii="仿宋" w:hAnsi="仿宋" w:eastAsia="仿宋" w:cs="仿宋"/>
          <w:bCs/>
          <w:i w:val="0"/>
          <w:iCs w:val="0"/>
          <w:caps/>
          <w:szCs w:val="24"/>
          <w:highlight w:val="none"/>
        </w:rPr>
        <w:fldChar w:fldCharType="separate"/>
      </w:r>
      <w:r>
        <w:rPr>
          <w:rFonts w:hint="eastAsia" w:ascii="宋体" w:hAnsi="宋体" w:cs="宋体"/>
          <w:i w:val="0"/>
          <w:iCs w:val="0"/>
          <w:szCs w:val="28"/>
          <w:highlight w:val="none"/>
        </w:rPr>
        <w:t>▲二、投标函</w:t>
      </w:r>
      <w:r>
        <w:rPr>
          <w:i w:val="0"/>
          <w:iCs w:val="0"/>
        </w:rPr>
        <w:tab/>
      </w:r>
      <w:r>
        <w:rPr>
          <w:i w:val="0"/>
          <w:iCs w:val="0"/>
        </w:rPr>
        <w:fldChar w:fldCharType="begin"/>
      </w:r>
      <w:r>
        <w:rPr>
          <w:i w:val="0"/>
          <w:iCs w:val="0"/>
        </w:rPr>
        <w:instrText xml:space="preserve"> PAGEREF _Toc13102 \h </w:instrText>
      </w:r>
      <w:r>
        <w:rPr>
          <w:i w:val="0"/>
          <w:iCs w:val="0"/>
        </w:rPr>
        <w:fldChar w:fldCharType="separate"/>
      </w:r>
      <w:r>
        <w:rPr>
          <w:i w:val="0"/>
          <w:iCs w:val="0"/>
        </w:rPr>
        <w:t>- 40 -</w:t>
      </w:r>
      <w:r>
        <w:rPr>
          <w:i w:val="0"/>
          <w:iCs w:val="0"/>
        </w:rPr>
        <w:fldChar w:fldCharType="end"/>
      </w:r>
      <w:r>
        <w:rPr>
          <w:rFonts w:hint="eastAsia" w:ascii="仿宋" w:hAnsi="仿宋" w:eastAsia="仿宋" w:cs="仿宋"/>
          <w:bCs/>
          <w:i w:val="0"/>
          <w:iCs w:val="0"/>
          <w:caps/>
          <w:color w:val="auto"/>
          <w:szCs w:val="24"/>
          <w:highlight w:val="none"/>
        </w:rPr>
        <w:fldChar w:fldCharType="end"/>
      </w:r>
    </w:p>
    <w:p w14:paraId="7D61DA23">
      <w:pPr>
        <w:pStyle w:val="17"/>
        <w:tabs>
          <w:tab w:val="right" w:leader="dot" w:pos="9740"/>
        </w:tabs>
        <w:rPr>
          <w:i w:val="0"/>
          <w:iCs w:val="0"/>
        </w:rPr>
      </w:pPr>
      <w:r>
        <w:rPr>
          <w:rFonts w:hint="eastAsia" w:ascii="仿宋" w:hAnsi="仿宋" w:eastAsia="仿宋" w:cs="仿宋"/>
          <w:bCs/>
          <w:i w:val="0"/>
          <w:iCs w:val="0"/>
          <w:caps/>
          <w:color w:val="auto"/>
          <w:szCs w:val="24"/>
          <w:highlight w:val="none"/>
        </w:rPr>
        <w:fldChar w:fldCharType="begin"/>
      </w:r>
      <w:r>
        <w:rPr>
          <w:rFonts w:hint="eastAsia" w:ascii="仿宋" w:hAnsi="仿宋" w:eastAsia="仿宋" w:cs="仿宋"/>
          <w:bCs/>
          <w:i w:val="0"/>
          <w:iCs w:val="0"/>
          <w:caps/>
          <w:szCs w:val="24"/>
          <w:highlight w:val="none"/>
        </w:rPr>
        <w:instrText xml:space="preserve"> HYPERLINK \l _Toc31485 </w:instrText>
      </w:r>
      <w:r>
        <w:rPr>
          <w:rFonts w:hint="eastAsia" w:ascii="仿宋" w:hAnsi="仿宋" w:eastAsia="仿宋" w:cs="仿宋"/>
          <w:bCs/>
          <w:i w:val="0"/>
          <w:iCs w:val="0"/>
          <w:caps/>
          <w:szCs w:val="24"/>
          <w:highlight w:val="none"/>
        </w:rPr>
        <w:fldChar w:fldCharType="separate"/>
      </w:r>
      <w:r>
        <w:rPr>
          <w:rFonts w:hint="eastAsia" w:ascii="宋体" w:hAnsi="宋体" w:cs="宋体"/>
          <w:i w:val="0"/>
          <w:iCs w:val="0"/>
          <w:szCs w:val="28"/>
          <w:highlight w:val="none"/>
        </w:rPr>
        <w:t>▲三、投标报价汇总表</w:t>
      </w:r>
      <w:r>
        <w:rPr>
          <w:i w:val="0"/>
          <w:iCs w:val="0"/>
        </w:rPr>
        <w:tab/>
      </w:r>
      <w:r>
        <w:rPr>
          <w:i w:val="0"/>
          <w:iCs w:val="0"/>
        </w:rPr>
        <w:fldChar w:fldCharType="begin"/>
      </w:r>
      <w:r>
        <w:rPr>
          <w:i w:val="0"/>
          <w:iCs w:val="0"/>
        </w:rPr>
        <w:instrText xml:space="preserve"> PAGEREF _Toc31485 \h </w:instrText>
      </w:r>
      <w:r>
        <w:rPr>
          <w:i w:val="0"/>
          <w:iCs w:val="0"/>
        </w:rPr>
        <w:fldChar w:fldCharType="separate"/>
      </w:r>
      <w:r>
        <w:rPr>
          <w:i w:val="0"/>
          <w:iCs w:val="0"/>
        </w:rPr>
        <w:t>- 41 -</w:t>
      </w:r>
      <w:r>
        <w:rPr>
          <w:i w:val="0"/>
          <w:iCs w:val="0"/>
        </w:rPr>
        <w:fldChar w:fldCharType="end"/>
      </w:r>
      <w:r>
        <w:rPr>
          <w:rFonts w:hint="eastAsia" w:ascii="仿宋" w:hAnsi="仿宋" w:eastAsia="仿宋" w:cs="仿宋"/>
          <w:bCs/>
          <w:i w:val="0"/>
          <w:iCs w:val="0"/>
          <w:caps/>
          <w:color w:val="auto"/>
          <w:szCs w:val="24"/>
          <w:highlight w:val="none"/>
        </w:rPr>
        <w:fldChar w:fldCharType="end"/>
      </w:r>
    </w:p>
    <w:p w14:paraId="27DD6898">
      <w:pPr>
        <w:pStyle w:val="17"/>
        <w:tabs>
          <w:tab w:val="right" w:leader="dot" w:pos="9740"/>
        </w:tabs>
        <w:rPr>
          <w:i w:val="0"/>
          <w:iCs w:val="0"/>
        </w:rPr>
      </w:pPr>
      <w:r>
        <w:rPr>
          <w:rFonts w:hint="eastAsia" w:ascii="仿宋" w:hAnsi="仿宋" w:eastAsia="仿宋" w:cs="仿宋"/>
          <w:bCs/>
          <w:i w:val="0"/>
          <w:iCs w:val="0"/>
          <w:caps/>
          <w:color w:val="auto"/>
          <w:szCs w:val="24"/>
          <w:highlight w:val="none"/>
        </w:rPr>
        <w:fldChar w:fldCharType="begin"/>
      </w:r>
      <w:r>
        <w:rPr>
          <w:rFonts w:hint="eastAsia" w:ascii="仿宋" w:hAnsi="仿宋" w:eastAsia="仿宋" w:cs="仿宋"/>
          <w:bCs/>
          <w:i w:val="0"/>
          <w:iCs w:val="0"/>
          <w:caps/>
          <w:szCs w:val="24"/>
          <w:highlight w:val="none"/>
        </w:rPr>
        <w:instrText xml:space="preserve"> HYPERLINK \l _Toc22812 </w:instrText>
      </w:r>
      <w:r>
        <w:rPr>
          <w:rFonts w:hint="eastAsia" w:ascii="仿宋" w:hAnsi="仿宋" w:eastAsia="仿宋" w:cs="仿宋"/>
          <w:bCs/>
          <w:i w:val="0"/>
          <w:iCs w:val="0"/>
          <w:caps/>
          <w:szCs w:val="24"/>
          <w:highlight w:val="none"/>
        </w:rPr>
        <w:fldChar w:fldCharType="separate"/>
      </w:r>
      <w:r>
        <w:rPr>
          <w:rFonts w:hint="eastAsia" w:ascii="宋体" w:hAnsi="宋体" w:cs="宋体"/>
          <w:bCs/>
          <w:i w:val="0"/>
          <w:iCs w:val="0"/>
          <w:szCs w:val="28"/>
          <w:highlight w:val="none"/>
        </w:rPr>
        <w:t>▲四、承诺书</w:t>
      </w:r>
      <w:r>
        <w:rPr>
          <w:i w:val="0"/>
          <w:iCs w:val="0"/>
        </w:rPr>
        <w:tab/>
      </w:r>
      <w:r>
        <w:rPr>
          <w:i w:val="0"/>
          <w:iCs w:val="0"/>
        </w:rPr>
        <w:fldChar w:fldCharType="begin"/>
      </w:r>
      <w:r>
        <w:rPr>
          <w:i w:val="0"/>
          <w:iCs w:val="0"/>
        </w:rPr>
        <w:instrText xml:space="preserve"> PAGEREF _Toc22812 \h </w:instrText>
      </w:r>
      <w:r>
        <w:rPr>
          <w:i w:val="0"/>
          <w:iCs w:val="0"/>
        </w:rPr>
        <w:fldChar w:fldCharType="separate"/>
      </w:r>
      <w:r>
        <w:rPr>
          <w:i w:val="0"/>
          <w:iCs w:val="0"/>
        </w:rPr>
        <w:t>- 42 -</w:t>
      </w:r>
      <w:r>
        <w:rPr>
          <w:i w:val="0"/>
          <w:iCs w:val="0"/>
        </w:rPr>
        <w:fldChar w:fldCharType="end"/>
      </w:r>
      <w:r>
        <w:rPr>
          <w:rFonts w:hint="eastAsia" w:ascii="仿宋" w:hAnsi="仿宋" w:eastAsia="仿宋" w:cs="仿宋"/>
          <w:bCs/>
          <w:i w:val="0"/>
          <w:iCs w:val="0"/>
          <w:caps/>
          <w:color w:val="auto"/>
          <w:szCs w:val="24"/>
          <w:highlight w:val="none"/>
        </w:rPr>
        <w:fldChar w:fldCharType="end"/>
      </w:r>
    </w:p>
    <w:p w14:paraId="2A060E1E">
      <w:pPr>
        <w:pStyle w:val="17"/>
        <w:tabs>
          <w:tab w:val="right" w:leader="dot" w:pos="9740"/>
        </w:tabs>
        <w:rPr>
          <w:i w:val="0"/>
          <w:iCs w:val="0"/>
        </w:rPr>
      </w:pPr>
      <w:r>
        <w:rPr>
          <w:rFonts w:hint="eastAsia" w:ascii="仿宋" w:hAnsi="仿宋" w:eastAsia="仿宋" w:cs="仿宋"/>
          <w:bCs/>
          <w:i w:val="0"/>
          <w:iCs w:val="0"/>
          <w:caps/>
          <w:color w:val="auto"/>
          <w:szCs w:val="24"/>
          <w:highlight w:val="none"/>
        </w:rPr>
        <w:fldChar w:fldCharType="begin"/>
      </w:r>
      <w:r>
        <w:rPr>
          <w:rFonts w:hint="eastAsia" w:ascii="仿宋" w:hAnsi="仿宋" w:eastAsia="仿宋" w:cs="仿宋"/>
          <w:bCs/>
          <w:i w:val="0"/>
          <w:iCs w:val="0"/>
          <w:caps/>
          <w:szCs w:val="24"/>
          <w:highlight w:val="none"/>
        </w:rPr>
        <w:instrText xml:space="preserve"> HYPERLINK \l _Toc26054 </w:instrText>
      </w:r>
      <w:r>
        <w:rPr>
          <w:rFonts w:hint="eastAsia" w:ascii="仿宋" w:hAnsi="仿宋" w:eastAsia="仿宋" w:cs="仿宋"/>
          <w:bCs/>
          <w:i w:val="0"/>
          <w:iCs w:val="0"/>
          <w:caps/>
          <w:szCs w:val="24"/>
          <w:highlight w:val="none"/>
        </w:rPr>
        <w:fldChar w:fldCharType="separate"/>
      </w:r>
      <w:r>
        <w:rPr>
          <w:rFonts w:hint="eastAsia" w:ascii="宋体" w:hAnsi="宋体" w:cs="宋体"/>
          <w:bCs/>
          <w:i w:val="0"/>
          <w:iCs w:val="0"/>
          <w:szCs w:val="28"/>
          <w:highlight w:val="none"/>
        </w:rPr>
        <w:t>五、随机专用工具明细表</w:t>
      </w:r>
      <w:r>
        <w:rPr>
          <w:i w:val="0"/>
          <w:iCs w:val="0"/>
        </w:rPr>
        <w:tab/>
      </w:r>
      <w:r>
        <w:rPr>
          <w:i w:val="0"/>
          <w:iCs w:val="0"/>
        </w:rPr>
        <w:fldChar w:fldCharType="begin"/>
      </w:r>
      <w:r>
        <w:rPr>
          <w:i w:val="0"/>
          <w:iCs w:val="0"/>
        </w:rPr>
        <w:instrText xml:space="preserve"> PAGEREF _Toc26054 \h </w:instrText>
      </w:r>
      <w:r>
        <w:rPr>
          <w:i w:val="0"/>
          <w:iCs w:val="0"/>
        </w:rPr>
        <w:fldChar w:fldCharType="separate"/>
      </w:r>
      <w:r>
        <w:rPr>
          <w:i w:val="0"/>
          <w:iCs w:val="0"/>
        </w:rPr>
        <w:t>- 43 -</w:t>
      </w:r>
      <w:r>
        <w:rPr>
          <w:i w:val="0"/>
          <w:iCs w:val="0"/>
        </w:rPr>
        <w:fldChar w:fldCharType="end"/>
      </w:r>
      <w:r>
        <w:rPr>
          <w:rFonts w:hint="eastAsia" w:ascii="仿宋" w:hAnsi="仿宋" w:eastAsia="仿宋" w:cs="仿宋"/>
          <w:bCs/>
          <w:i w:val="0"/>
          <w:iCs w:val="0"/>
          <w:caps/>
          <w:color w:val="auto"/>
          <w:szCs w:val="24"/>
          <w:highlight w:val="none"/>
        </w:rPr>
        <w:fldChar w:fldCharType="end"/>
      </w:r>
    </w:p>
    <w:p w14:paraId="24FDB36E">
      <w:pPr>
        <w:pStyle w:val="17"/>
        <w:tabs>
          <w:tab w:val="right" w:leader="dot" w:pos="9740"/>
        </w:tabs>
        <w:rPr>
          <w:i w:val="0"/>
          <w:iCs w:val="0"/>
        </w:rPr>
      </w:pPr>
      <w:r>
        <w:rPr>
          <w:rFonts w:hint="eastAsia" w:ascii="仿宋" w:hAnsi="仿宋" w:eastAsia="仿宋" w:cs="仿宋"/>
          <w:bCs/>
          <w:i w:val="0"/>
          <w:iCs w:val="0"/>
          <w:caps/>
          <w:color w:val="auto"/>
          <w:szCs w:val="24"/>
          <w:highlight w:val="none"/>
        </w:rPr>
        <w:fldChar w:fldCharType="begin"/>
      </w:r>
      <w:r>
        <w:rPr>
          <w:rFonts w:hint="eastAsia" w:ascii="仿宋" w:hAnsi="仿宋" w:eastAsia="仿宋" w:cs="仿宋"/>
          <w:bCs/>
          <w:i w:val="0"/>
          <w:iCs w:val="0"/>
          <w:caps/>
          <w:szCs w:val="24"/>
          <w:highlight w:val="none"/>
        </w:rPr>
        <w:instrText xml:space="preserve"> HYPERLINK \l _Toc13225 </w:instrText>
      </w:r>
      <w:r>
        <w:rPr>
          <w:rFonts w:hint="eastAsia" w:ascii="仿宋" w:hAnsi="仿宋" w:eastAsia="仿宋" w:cs="仿宋"/>
          <w:bCs/>
          <w:i w:val="0"/>
          <w:iCs w:val="0"/>
          <w:caps/>
          <w:szCs w:val="24"/>
          <w:highlight w:val="none"/>
        </w:rPr>
        <w:fldChar w:fldCharType="separate"/>
      </w:r>
      <w:r>
        <w:rPr>
          <w:rFonts w:hint="eastAsia" w:ascii="宋体" w:hAnsi="宋体" w:cs="宋体"/>
          <w:i w:val="0"/>
          <w:iCs w:val="0"/>
          <w:szCs w:val="28"/>
          <w:highlight w:val="none"/>
        </w:rPr>
        <w:t>六、主要备品备件报价承诺</w:t>
      </w:r>
      <w:r>
        <w:rPr>
          <w:i w:val="0"/>
          <w:iCs w:val="0"/>
        </w:rPr>
        <w:tab/>
      </w:r>
      <w:r>
        <w:rPr>
          <w:i w:val="0"/>
          <w:iCs w:val="0"/>
        </w:rPr>
        <w:fldChar w:fldCharType="begin"/>
      </w:r>
      <w:r>
        <w:rPr>
          <w:i w:val="0"/>
          <w:iCs w:val="0"/>
        </w:rPr>
        <w:instrText xml:space="preserve"> PAGEREF _Toc13225 \h </w:instrText>
      </w:r>
      <w:r>
        <w:rPr>
          <w:i w:val="0"/>
          <w:iCs w:val="0"/>
        </w:rPr>
        <w:fldChar w:fldCharType="separate"/>
      </w:r>
      <w:r>
        <w:rPr>
          <w:i w:val="0"/>
          <w:iCs w:val="0"/>
        </w:rPr>
        <w:t>- 44 -</w:t>
      </w:r>
      <w:r>
        <w:rPr>
          <w:i w:val="0"/>
          <w:iCs w:val="0"/>
        </w:rPr>
        <w:fldChar w:fldCharType="end"/>
      </w:r>
      <w:r>
        <w:rPr>
          <w:rFonts w:hint="eastAsia" w:ascii="仿宋" w:hAnsi="仿宋" w:eastAsia="仿宋" w:cs="仿宋"/>
          <w:bCs/>
          <w:i w:val="0"/>
          <w:iCs w:val="0"/>
          <w:caps/>
          <w:color w:val="auto"/>
          <w:szCs w:val="24"/>
          <w:highlight w:val="none"/>
        </w:rPr>
        <w:fldChar w:fldCharType="end"/>
      </w:r>
    </w:p>
    <w:p w14:paraId="1BF6C1DC">
      <w:pPr>
        <w:pStyle w:val="17"/>
        <w:tabs>
          <w:tab w:val="right" w:leader="dot" w:pos="9740"/>
        </w:tabs>
        <w:rPr>
          <w:i w:val="0"/>
          <w:iCs w:val="0"/>
        </w:rPr>
      </w:pPr>
      <w:r>
        <w:rPr>
          <w:rFonts w:hint="eastAsia" w:ascii="仿宋" w:hAnsi="仿宋" w:eastAsia="仿宋" w:cs="仿宋"/>
          <w:bCs/>
          <w:i w:val="0"/>
          <w:iCs w:val="0"/>
          <w:caps/>
          <w:color w:val="auto"/>
          <w:szCs w:val="24"/>
          <w:highlight w:val="none"/>
        </w:rPr>
        <w:fldChar w:fldCharType="begin"/>
      </w:r>
      <w:r>
        <w:rPr>
          <w:rFonts w:hint="eastAsia" w:ascii="仿宋" w:hAnsi="仿宋" w:eastAsia="仿宋" w:cs="仿宋"/>
          <w:bCs/>
          <w:i w:val="0"/>
          <w:iCs w:val="0"/>
          <w:caps/>
          <w:szCs w:val="24"/>
          <w:highlight w:val="none"/>
        </w:rPr>
        <w:instrText xml:space="preserve"> HYPERLINK \l _Toc29585 </w:instrText>
      </w:r>
      <w:r>
        <w:rPr>
          <w:rFonts w:hint="eastAsia" w:ascii="仿宋" w:hAnsi="仿宋" w:eastAsia="仿宋" w:cs="仿宋"/>
          <w:bCs/>
          <w:i w:val="0"/>
          <w:iCs w:val="0"/>
          <w:caps/>
          <w:szCs w:val="24"/>
          <w:highlight w:val="none"/>
        </w:rPr>
        <w:fldChar w:fldCharType="separate"/>
      </w:r>
      <w:r>
        <w:rPr>
          <w:rFonts w:hint="eastAsia" w:ascii="宋体" w:hAnsi="宋体" w:cs="宋体"/>
          <w:bCs/>
          <w:i w:val="0"/>
          <w:iCs w:val="0"/>
          <w:szCs w:val="28"/>
          <w:highlight w:val="none"/>
        </w:rPr>
        <w:t>▲</w:t>
      </w:r>
      <w:r>
        <w:rPr>
          <w:rFonts w:hint="eastAsia" w:ascii="宋体" w:hAnsi="宋体" w:cs="宋体"/>
          <w:bCs/>
          <w:i w:val="0"/>
          <w:iCs w:val="0"/>
          <w:szCs w:val="28"/>
          <w:highlight w:val="none"/>
          <w:lang w:val="en-US" w:eastAsia="zh-CN"/>
        </w:rPr>
        <w:t>七</w:t>
      </w:r>
      <w:r>
        <w:rPr>
          <w:rFonts w:hint="eastAsia" w:ascii="宋体" w:hAnsi="宋体" w:cs="宋体"/>
          <w:bCs/>
          <w:i w:val="0"/>
          <w:iCs w:val="0"/>
          <w:szCs w:val="28"/>
          <w:highlight w:val="none"/>
        </w:rPr>
        <w:t>、法定代表人（单位负责人）身份证明书</w:t>
      </w:r>
      <w:r>
        <w:rPr>
          <w:i w:val="0"/>
          <w:iCs w:val="0"/>
        </w:rPr>
        <w:tab/>
      </w:r>
      <w:r>
        <w:rPr>
          <w:i w:val="0"/>
          <w:iCs w:val="0"/>
        </w:rPr>
        <w:fldChar w:fldCharType="begin"/>
      </w:r>
      <w:r>
        <w:rPr>
          <w:i w:val="0"/>
          <w:iCs w:val="0"/>
        </w:rPr>
        <w:instrText xml:space="preserve"> PAGEREF _Toc29585 \h </w:instrText>
      </w:r>
      <w:r>
        <w:rPr>
          <w:i w:val="0"/>
          <w:iCs w:val="0"/>
        </w:rPr>
        <w:fldChar w:fldCharType="separate"/>
      </w:r>
      <w:r>
        <w:rPr>
          <w:i w:val="0"/>
          <w:iCs w:val="0"/>
        </w:rPr>
        <w:t>- 45 -</w:t>
      </w:r>
      <w:r>
        <w:rPr>
          <w:i w:val="0"/>
          <w:iCs w:val="0"/>
        </w:rPr>
        <w:fldChar w:fldCharType="end"/>
      </w:r>
      <w:r>
        <w:rPr>
          <w:rFonts w:hint="eastAsia" w:ascii="仿宋" w:hAnsi="仿宋" w:eastAsia="仿宋" w:cs="仿宋"/>
          <w:bCs/>
          <w:i w:val="0"/>
          <w:iCs w:val="0"/>
          <w:caps/>
          <w:color w:val="auto"/>
          <w:szCs w:val="24"/>
          <w:highlight w:val="none"/>
        </w:rPr>
        <w:fldChar w:fldCharType="end"/>
      </w:r>
    </w:p>
    <w:p w14:paraId="57F6FC3F">
      <w:pPr>
        <w:pStyle w:val="17"/>
        <w:tabs>
          <w:tab w:val="right" w:leader="dot" w:pos="9740"/>
        </w:tabs>
        <w:rPr>
          <w:i w:val="0"/>
          <w:iCs w:val="0"/>
        </w:rPr>
      </w:pPr>
      <w:r>
        <w:rPr>
          <w:rFonts w:hint="eastAsia" w:ascii="仿宋" w:hAnsi="仿宋" w:eastAsia="仿宋" w:cs="仿宋"/>
          <w:bCs/>
          <w:i w:val="0"/>
          <w:iCs w:val="0"/>
          <w:caps/>
          <w:color w:val="auto"/>
          <w:szCs w:val="24"/>
          <w:highlight w:val="none"/>
        </w:rPr>
        <w:fldChar w:fldCharType="begin"/>
      </w:r>
      <w:r>
        <w:rPr>
          <w:rFonts w:hint="eastAsia" w:ascii="仿宋" w:hAnsi="仿宋" w:eastAsia="仿宋" w:cs="仿宋"/>
          <w:bCs/>
          <w:i w:val="0"/>
          <w:iCs w:val="0"/>
          <w:caps/>
          <w:szCs w:val="24"/>
          <w:highlight w:val="none"/>
        </w:rPr>
        <w:instrText xml:space="preserve"> HYPERLINK \l _Toc26517 </w:instrText>
      </w:r>
      <w:r>
        <w:rPr>
          <w:rFonts w:hint="eastAsia" w:ascii="仿宋" w:hAnsi="仿宋" w:eastAsia="仿宋" w:cs="仿宋"/>
          <w:bCs/>
          <w:i w:val="0"/>
          <w:iCs w:val="0"/>
          <w:caps/>
          <w:szCs w:val="24"/>
          <w:highlight w:val="none"/>
        </w:rPr>
        <w:fldChar w:fldCharType="separate"/>
      </w:r>
      <w:r>
        <w:rPr>
          <w:rFonts w:hint="eastAsia" w:ascii="宋体" w:hAnsi="宋体" w:cs="宋体"/>
          <w:i w:val="0"/>
          <w:iCs w:val="0"/>
          <w:szCs w:val="28"/>
          <w:highlight w:val="none"/>
        </w:rPr>
        <w:t>▲</w:t>
      </w:r>
      <w:r>
        <w:rPr>
          <w:rFonts w:hint="eastAsia" w:ascii="宋体" w:hAnsi="宋体" w:cs="宋体"/>
          <w:i w:val="0"/>
          <w:iCs w:val="0"/>
          <w:szCs w:val="28"/>
          <w:highlight w:val="none"/>
          <w:lang w:val="en-US" w:eastAsia="zh-CN"/>
        </w:rPr>
        <w:t>八</w:t>
      </w:r>
      <w:r>
        <w:rPr>
          <w:rFonts w:hint="eastAsia" w:ascii="宋体" w:hAnsi="宋体" w:cs="宋体"/>
          <w:i w:val="0"/>
          <w:iCs w:val="0"/>
          <w:szCs w:val="28"/>
          <w:highlight w:val="none"/>
        </w:rPr>
        <w:t>、授权委托书</w:t>
      </w:r>
      <w:r>
        <w:rPr>
          <w:i w:val="0"/>
          <w:iCs w:val="0"/>
        </w:rPr>
        <w:tab/>
      </w:r>
      <w:r>
        <w:rPr>
          <w:i w:val="0"/>
          <w:iCs w:val="0"/>
        </w:rPr>
        <w:fldChar w:fldCharType="begin"/>
      </w:r>
      <w:r>
        <w:rPr>
          <w:i w:val="0"/>
          <w:iCs w:val="0"/>
        </w:rPr>
        <w:instrText xml:space="preserve"> PAGEREF _Toc26517 \h </w:instrText>
      </w:r>
      <w:r>
        <w:rPr>
          <w:i w:val="0"/>
          <w:iCs w:val="0"/>
        </w:rPr>
        <w:fldChar w:fldCharType="separate"/>
      </w:r>
      <w:r>
        <w:rPr>
          <w:i w:val="0"/>
          <w:iCs w:val="0"/>
        </w:rPr>
        <w:t>- 46 -</w:t>
      </w:r>
      <w:r>
        <w:rPr>
          <w:i w:val="0"/>
          <w:iCs w:val="0"/>
        </w:rPr>
        <w:fldChar w:fldCharType="end"/>
      </w:r>
      <w:r>
        <w:rPr>
          <w:rFonts w:hint="eastAsia" w:ascii="仿宋" w:hAnsi="仿宋" w:eastAsia="仿宋" w:cs="仿宋"/>
          <w:bCs/>
          <w:i w:val="0"/>
          <w:iCs w:val="0"/>
          <w:caps/>
          <w:color w:val="auto"/>
          <w:szCs w:val="24"/>
          <w:highlight w:val="none"/>
        </w:rPr>
        <w:fldChar w:fldCharType="end"/>
      </w:r>
    </w:p>
    <w:p w14:paraId="51C4E452">
      <w:pPr>
        <w:pStyle w:val="17"/>
        <w:tabs>
          <w:tab w:val="right" w:leader="dot" w:pos="9740"/>
        </w:tabs>
        <w:rPr>
          <w:i w:val="0"/>
          <w:iCs w:val="0"/>
        </w:rPr>
      </w:pPr>
      <w:r>
        <w:rPr>
          <w:rFonts w:hint="eastAsia" w:ascii="仿宋" w:hAnsi="仿宋" w:eastAsia="仿宋" w:cs="仿宋"/>
          <w:bCs/>
          <w:i w:val="0"/>
          <w:iCs w:val="0"/>
          <w:caps/>
          <w:color w:val="auto"/>
          <w:szCs w:val="24"/>
          <w:highlight w:val="none"/>
        </w:rPr>
        <w:fldChar w:fldCharType="begin"/>
      </w:r>
      <w:r>
        <w:rPr>
          <w:rFonts w:hint="eastAsia" w:ascii="仿宋" w:hAnsi="仿宋" w:eastAsia="仿宋" w:cs="仿宋"/>
          <w:bCs/>
          <w:i w:val="0"/>
          <w:iCs w:val="0"/>
          <w:caps/>
          <w:szCs w:val="24"/>
          <w:highlight w:val="none"/>
        </w:rPr>
        <w:instrText xml:space="preserve"> HYPERLINK \l _Toc7941 </w:instrText>
      </w:r>
      <w:r>
        <w:rPr>
          <w:rFonts w:hint="eastAsia" w:ascii="仿宋" w:hAnsi="仿宋" w:eastAsia="仿宋" w:cs="仿宋"/>
          <w:bCs/>
          <w:i w:val="0"/>
          <w:iCs w:val="0"/>
          <w:caps/>
          <w:szCs w:val="24"/>
          <w:highlight w:val="none"/>
        </w:rPr>
        <w:fldChar w:fldCharType="separate"/>
      </w:r>
      <w:r>
        <w:rPr>
          <w:rFonts w:hint="eastAsia" w:ascii="宋体" w:hAnsi="宋体" w:cs="宋体"/>
          <w:i w:val="0"/>
          <w:iCs w:val="0"/>
          <w:szCs w:val="28"/>
          <w:highlight w:val="none"/>
          <w:lang w:val="en-US" w:eastAsia="zh-CN"/>
        </w:rPr>
        <w:t>九</w:t>
      </w:r>
      <w:r>
        <w:rPr>
          <w:rFonts w:hint="eastAsia" w:ascii="宋体" w:hAnsi="宋体" w:cs="宋体"/>
          <w:i w:val="0"/>
          <w:iCs w:val="0"/>
          <w:szCs w:val="28"/>
          <w:highlight w:val="none"/>
        </w:rPr>
        <w:t>、投标人基本情况表</w:t>
      </w:r>
      <w:r>
        <w:rPr>
          <w:i w:val="0"/>
          <w:iCs w:val="0"/>
        </w:rPr>
        <w:tab/>
      </w:r>
      <w:r>
        <w:rPr>
          <w:i w:val="0"/>
          <w:iCs w:val="0"/>
        </w:rPr>
        <w:fldChar w:fldCharType="begin"/>
      </w:r>
      <w:r>
        <w:rPr>
          <w:i w:val="0"/>
          <w:iCs w:val="0"/>
        </w:rPr>
        <w:instrText xml:space="preserve"> PAGEREF _Toc7941 \h </w:instrText>
      </w:r>
      <w:r>
        <w:rPr>
          <w:i w:val="0"/>
          <w:iCs w:val="0"/>
        </w:rPr>
        <w:fldChar w:fldCharType="separate"/>
      </w:r>
      <w:r>
        <w:rPr>
          <w:i w:val="0"/>
          <w:iCs w:val="0"/>
        </w:rPr>
        <w:t>- 47 -</w:t>
      </w:r>
      <w:r>
        <w:rPr>
          <w:i w:val="0"/>
          <w:iCs w:val="0"/>
        </w:rPr>
        <w:fldChar w:fldCharType="end"/>
      </w:r>
      <w:r>
        <w:rPr>
          <w:rFonts w:hint="eastAsia" w:ascii="仿宋" w:hAnsi="仿宋" w:eastAsia="仿宋" w:cs="仿宋"/>
          <w:bCs/>
          <w:i w:val="0"/>
          <w:iCs w:val="0"/>
          <w:caps/>
          <w:color w:val="auto"/>
          <w:szCs w:val="24"/>
          <w:highlight w:val="none"/>
        </w:rPr>
        <w:fldChar w:fldCharType="end"/>
      </w:r>
    </w:p>
    <w:p w14:paraId="6558F46F">
      <w:pPr>
        <w:pStyle w:val="17"/>
        <w:tabs>
          <w:tab w:val="right" w:leader="dot" w:pos="9740"/>
        </w:tabs>
        <w:rPr>
          <w:i w:val="0"/>
          <w:iCs w:val="0"/>
        </w:rPr>
      </w:pPr>
      <w:r>
        <w:rPr>
          <w:rFonts w:hint="eastAsia" w:ascii="仿宋" w:hAnsi="仿宋" w:eastAsia="仿宋" w:cs="仿宋"/>
          <w:bCs/>
          <w:i w:val="0"/>
          <w:iCs w:val="0"/>
          <w:caps/>
          <w:color w:val="auto"/>
          <w:szCs w:val="24"/>
          <w:highlight w:val="none"/>
        </w:rPr>
        <w:fldChar w:fldCharType="begin"/>
      </w:r>
      <w:r>
        <w:rPr>
          <w:rFonts w:hint="eastAsia" w:ascii="仿宋" w:hAnsi="仿宋" w:eastAsia="仿宋" w:cs="仿宋"/>
          <w:bCs/>
          <w:i w:val="0"/>
          <w:iCs w:val="0"/>
          <w:caps/>
          <w:szCs w:val="24"/>
          <w:highlight w:val="none"/>
        </w:rPr>
        <w:instrText xml:space="preserve"> HYPERLINK \l _Toc29231 </w:instrText>
      </w:r>
      <w:r>
        <w:rPr>
          <w:rFonts w:hint="eastAsia" w:ascii="仿宋" w:hAnsi="仿宋" w:eastAsia="仿宋" w:cs="仿宋"/>
          <w:bCs/>
          <w:i w:val="0"/>
          <w:iCs w:val="0"/>
          <w:caps/>
          <w:szCs w:val="24"/>
          <w:highlight w:val="none"/>
        </w:rPr>
        <w:fldChar w:fldCharType="separate"/>
      </w:r>
      <w:r>
        <w:rPr>
          <w:rFonts w:hint="eastAsia" w:ascii="宋体" w:hAnsi="宋体" w:cs="宋体"/>
          <w:i w:val="0"/>
          <w:iCs w:val="0"/>
          <w:szCs w:val="28"/>
          <w:highlight w:val="none"/>
        </w:rPr>
        <w:t>十、投标保证金</w:t>
      </w:r>
      <w:r>
        <w:rPr>
          <w:i w:val="0"/>
          <w:iCs w:val="0"/>
        </w:rPr>
        <w:tab/>
      </w:r>
      <w:r>
        <w:rPr>
          <w:i w:val="0"/>
          <w:iCs w:val="0"/>
        </w:rPr>
        <w:fldChar w:fldCharType="begin"/>
      </w:r>
      <w:r>
        <w:rPr>
          <w:i w:val="0"/>
          <w:iCs w:val="0"/>
        </w:rPr>
        <w:instrText xml:space="preserve"> PAGEREF _Toc29231 \h </w:instrText>
      </w:r>
      <w:r>
        <w:rPr>
          <w:i w:val="0"/>
          <w:iCs w:val="0"/>
        </w:rPr>
        <w:fldChar w:fldCharType="separate"/>
      </w:r>
      <w:r>
        <w:rPr>
          <w:i w:val="0"/>
          <w:iCs w:val="0"/>
        </w:rPr>
        <w:t>- 48 -</w:t>
      </w:r>
      <w:r>
        <w:rPr>
          <w:i w:val="0"/>
          <w:iCs w:val="0"/>
        </w:rPr>
        <w:fldChar w:fldCharType="end"/>
      </w:r>
      <w:r>
        <w:rPr>
          <w:rFonts w:hint="eastAsia" w:ascii="仿宋" w:hAnsi="仿宋" w:eastAsia="仿宋" w:cs="仿宋"/>
          <w:bCs/>
          <w:i w:val="0"/>
          <w:iCs w:val="0"/>
          <w:caps/>
          <w:color w:val="auto"/>
          <w:szCs w:val="24"/>
          <w:highlight w:val="none"/>
        </w:rPr>
        <w:fldChar w:fldCharType="end"/>
      </w:r>
    </w:p>
    <w:p w14:paraId="4CD2CF6C">
      <w:pPr>
        <w:pStyle w:val="17"/>
        <w:tabs>
          <w:tab w:val="right" w:leader="dot" w:pos="9740"/>
        </w:tabs>
        <w:rPr>
          <w:i w:val="0"/>
          <w:iCs w:val="0"/>
        </w:rPr>
      </w:pPr>
      <w:r>
        <w:rPr>
          <w:rFonts w:hint="eastAsia" w:ascii="仿宋" w:hAnsi="仿宋" w:eastAsia="仿宋" w:cs="仿宋"/>
          <w:bCs/>
          <w:i w:val="0"/>
          <w:iCs w:val="0"/>
          <w:caps/>
          <w:color w:val="auto"/>
          <w:szCs w:val="24"/>
          <w:highlight w:val="none"/>
        </w:rPr>
        <w:fldChar w:fldCharType="begin"/>
      </w:r>
      <w:r>
        <w:rPr>
          <w:rFonts w:hint="eastAsia" w:ascii="仿宋" w:hAnsi="仿宋" w:eastAsia="仿宋" w:cs="仿宋"/>
          <w:bCs/>
          <w:i w:val="0"/>
          <w:iCs w:val="0"/>
          <w:caps/>
          <w:szCs w:val="24"/>
          <w:highlight w:val="none"/>
        </w:rPr>
        <w:instrText xml:space="preserve"> HYPERLINK \l _Toc12401 </w:instrText>
      </w:r>
      <w:r>
        <w:rPr>
          <w:rFonts w:hint="eastAsia" w:ascii="仿宋" w:hAnsi="仿宋" w:eastAsia="仿宋" w:cs="仿宋"/>
          <w:bCs/>
          <w:i w:val="0"/>
          <w:iCs w:val="0"/>
          <w:caps/>
          <w:szCs w:val="24"/>
          <w:highlight w:val="none"/>
        </w:rPr>
        <w:fldChar w:fldCharType="separate"/>
      </w:r>
      <w:r>
        <w:rPr>
          <w:rFonts w:hint="eastAsia" w:ascii="宋体" w:hAnsi="宋体" w:cs="宋体"/>
          <w:i w:val="0"/>
          <w:iCs w:val="0"/>
          <w:szCs w:val="28"/>
          <w:highlight w:val="none"/>
        </w:rPr>
        <w:t>▲十</w:t>
      </w:r>
      <w:r>
        <w:rPr>
          <w:rFonts w:hint="eastAsia" w:ascii="宋体" w:hAnsi="宋体" w:cs="宋体"/>
          <w:i w:val="0"/>
          <w:iCs w:val="0"/>
          <w:szCs w:val="28"/>
          <w:highlight w:val="none"/>
          <w:lang w:val="en-US" w:eastAsia="zh-CN"/>
        </w:rPr>
        <w:t>一</w:t>
      </w:r>
      <w:r>
        <w:rPr>
          <w:rFonts w:hint="eastAsia" w:ascii="宋体" w:hAnsi="宋体" w:cs="宋体"/>
          <w:i w:val="0"/>
          <w:iCs w:val="0"/>
          <w:szCs w:val="28"/>
          <w:highlight w:val="none"/>
        </w:rPr>
        <w:t>、技术规格偏离表</w:t>
      </w:r>
      <w:r>
        <w:rPr>
          <w:i w:val="0"/>
          <w:iCs w:val="0"/>
        </w:rPr>
        <w:tab/>
      </w:r>
      <w:r>
        <w:rPr>
          <w:i w:val="0"/>
          <w:iCs w:val="0"/>
        </w:rPr>
        <w:fldChar w:fldCharType="begin"/>
      </w:r>
      <w:r>
        <w:rPr>
          <w:i w:val="0"/>
          <w:iCs w:val="0"/>
        </w:rPr>
        <w:instrText xml:space="preserve"> PAGEREF _Toc12401 \h </w:instrText>
      </w:r>
      <w:r>
        <w:rPr>
          <w:i w:val="0"/>
          <w:iCs w:val="0"/>
        </w:rPr>
        <w:fldChar w:fldCharType="separate"/>
      </w:r>
      <w:r>
        <w:rPr>
          <w:i w:val="0"/>
          <w:iCs w:val="0"/>
        </w:rPr>
        <w:t>- 49 -</w:t>
      </w:r>
      <w:r>
        <w:rPr>
          <w:i w:val="0"/>
          <w:iCs w:val="0"/>
        </w:rPr>
        <w:fldChar w:fldCharType="end"/>
      </w:r>
      <w:r>
        <w:rPr>
          <w:rFonts w:hint="eastAsia" w:ascii="仿宋" w:hAnsi="仿宋" w:eastAsia="仿宋" w:cs="仿宋"/>
          <w:bCs/>
          <w:i w:val="0"/>
          <w:iCs w:val="0"/>
          <w:caps/>
          <w:color w:val="auto"/>
          <w:szCs w:val="24"/>
          <w:highlight w:val="none"/>
        </w:rPr>
        <w:fldChar w:fldCharType="end"/>
      </w:r>
    </w:p>
    <w:p w14:paraId="7FF4F174">
      <w:pPr>
        <w:pStyle w:val="17"/>
        <w:tabs>
          <w:tab w:val="right" w:leader="dot" w:pos="9740"/>
        </w:tabs>
        <w:rPr>
          <w:i w:val="0"/>
          <w:iCs w:val="0"/>
        </w:rPr>
      </w:pPr>
      <w:r>
        <w:rPr>
          <w:rFonts w:hint="eastAsia" w:ascii="仿宋" w:hAnsi="仿宋" w:eastAsia="仿宋" w:cs="仿宋"/>
          <w:bCs/>
          <w:i w:val="0"/>
          <w:iCs w:val="0"/>
          <w:caps/>
          <w:color w:val="auto"/>
          <w:szCs w:val="24"/>
          <w:highlight w:val="none"/>
        </w:rPr>
        <w:fldChar w:fldCharType="begin"/>
      </w:r>
      <w:r>
        <w:rPr>
          <w:rFonts w:hint="eastAsia" w:ascii="仿宋" w:hAnsi="仿宋" w:eastAsia="仿宋" w:cs="仿宋"/>
          <w:bCs/>
          <w:i w:val="0"/>
          <w:iCs w:val="0"/>
          <w:caps/>
          <w:szCs w:val="24"/>
          <w:highlight w:val="none"/>
        </w:rPr>
        <w:instrText xml:space="preserve"> HYPERLINK \l _Toc8671 </w:instrText>
      </w:r>
      <w:r>
        <w:rPr>
          <w:rFonts w:hint="eastAsia" w:ascii="仿宋" w:hAnsi="仿宋" w:eastAsia="仿宋" w:cs="仿宋"/>
          <w:bCs/>
          <w:i w:val="0"/>
          <w:iCs w:val="0"/>
          <w:caps/>
          <w:szCs w:val="24"/>
          <w:highlight w:val="none"/>
        </w:rPr>
        <w:fldChar w:fldCharType="separate"/>
      </w:r>
      <w:r>
        <w:rPr>
          <w:rFonts w:hint="eastAsia" w:ascii="宋体" w:hAnsi="宋体" w:cs="宋体"/>
          <w:i w:val="0"/>
          <w:iCs w:val="0"/>
          <w:szCs w:val="28"/>
          <w:highlight w:val="none"/>
        </w:rPr>
        <w:t>十</w:t>
      </w:r>
      <w:r>
        <w:rPr>
          <w:rFonts w:hint="eastAsia" w:ascii="宋体" w:hAnsi="宋体" w:cs="宋体"/>
          <w:i w:val="0"/>
          <w:iCs w:val="0"/>
          <w:szCs w:val="28"/>
          <w:highlight w:val="none"/>
          <w:lang w:val="en-US" w:eastAsia="zh-CN"/>
        </w:rPr>
        <w:t>二</w:t>
      </w:r>
      <w:r>
        <w:rPr>
          <w:rFonts w:hint="eastAsia" w:ascii="宋体" w:hAnsi="宋体" w:cs="宋体"/>
          <w:i w:val="0"/>
          <w:iCs w:val="0"/>
          <w:szCs w:val="28"/>
          <w:highlight w:val="none"/>
        </w:rPr>
        <w:t>、实施方案</w:t>
      </w:r>
      <w:r>
        <w:rPr>
          <w:i w:val="0"/>
          <w:iCs w:val="0"/>
        </w:rPr>
        <w:tab/>
      </w:r>
      <w:r>
        <w:rPr>
          <w:i w:val="0"/>
          <w:iCs w:val="0"/>
        </w:rPr>
        <w:fldChar w:fldCharType="begin"/>
      </w:r>
      <w:r>
        <w:rPr>
          <w:i w:val="0"/>
          <w:iCs w:val="0"/>
        </w:rPr>
        <w:instrText xml:space="preserve"> PAGEREF _Toc8671 \h </w:instrText>
      </w:r>
      <w:r>
        <w:rPr>
          <w:i w:val="0"/>
          <w:iCs w:val="0"/>
        </w:rPr>
        <w:fldChar w:fldCharType="separate"/>
      </w:r>
      <w:r>
        <w:rPr>
          <w:i w:val="0"/>
          <w:iCs w:val="0"/>
        </w:rPr>
        <w:t>- 52 -</w:t>
      </w:r>
      <w:r>
        <w:rPr>
          <w:i w:val="0"/>
          <w:iCs w:val="0"/>
        </w:rPr>
        <w:fldChar w:fldCharType="end"/>
      </w:r>
      <w:r>
        <w:rPr>
          <w:rFonts w:hint="eastAsia" w:ascii="仿宋" w:hAnsi="仿宋" w:eastAsia="仿宋" w:cs="仿宋"/>
          <w:bCs/>
          <w:i w:val="0"/>
          <w:iCs w:val="0"/>
          <w:caps/>
          <w:color w:val="auto"/>
          <w:szCs w:val="24"/>
          <w:highlight w:val="none"/>
        </w:rPr>
        <w:fldChar w:fldCharType="end"/>
      </w:r>
    </w:p>
    <w:p w14:paraId="1680FB34">
      <w:pPr>
        <w:pStyle w:val="17"/>
        <w:tabs>
          <w:tab w:val="right" w:leader="dot" w:pos="9740"/>
        </w:tabs>
        <w:rPr>
          <w:i w:val="0"/>
          <w:iCs w:val="0"/>
        </w:rPr>
      </w:pPr>
      <w:r>
        <w:rPr>
          <w:rFonts w:hint="eastAsia" w:ascii="仿宋" w:hAnsi="仿宋" w:eastAsia="仿宋" w:cs="仿宋"/>
          <w:bCs/>
          <w:i w:val="0"/>
          <w:iCs w:val="0"/>
          <w:caps/>
          <w:color w:val="auto"/>
          <w:szCs w:val="24"/>
          <w:highlight w:val="none"/>
        </w:rPr>
        <w:fldChar w:fldCharType="begin"/>
      </w:r>
      <w:r>
        <w:rPr>
          <w:rFonts w:hint="eastAsia" w:ascii="仿宋" w:hAnsi="仿宋" w:eastAsia="仿宋" w:cs="仿宋"/>
          <w:bCs/>
          <w:i w:val="0"/>
          <w:iCs w:val="0"/>
          <w:caps/>
          <w:szCs w:val="24"/>
          <w:highlight w:val="none"/>
        </w:rPr>
        <w:instrText xml:space="preserve"> HYPERLINK \l _Toc3747 </w:instrText>
      </w:r>
      <w:r>
        <w:rPr>
          <w:rFonts w:hint="eastAsia" w:ascii="仿宋" w:hAnsi="仿宋" w:eastAsia="仿宋" w:cs="仿宋"/>
          <w:bCs/>
          <w:i w:val="0"/>
          <w:iCs w:val="0"/>
          <w:caps/>
          <w:szCs w:val="24"/>
          <w:highlight w:val="none"/>
        </w:rPr>
        <w:fldChar w:fldCharType="separate"/>
      </w:r>
      <w:r>
        <w:rPr>
          <w:rFonts w:hint="eastAsia" w:ascii="宋体" w:hAnsi="宋体" w:eastAsia="宋体" w:cs="宋体"/>
          <w:bCs/>
          <w:i w:val="0"/>
          <w:iCs w:val="0"/>
          <w:szCs w:val="28"/>
          <w:lang w:val="en-US" w:eastAsia="zh-CN" w:bidi="ar-SA"/>
        </w:rPr>
        <w:t>十</w:t>
      </w:r>
      <w:r>
        <w:rPr>
          <w:rFonts w:hint="eastAsia" w:ascii="宋体" w:hAnsi="宋体" w:cs="宋体"/>
          <w:bCs/>
          <w:i w:val="0"/>
          <w:iCs w:val="0"/>
          <w:szCs w:val="28"/>
          <w:lang w:val="en-US" w:eastAsia="zh-CN" w:bidi="ar-SA"/>
        </w:rPr>
        <w:t>三</w:t>
      </w:r>
      <w:r>
        <w:rPr>
          <w:rFonts w:hint="eastAsia" w:ascii="宋体" w:hAnsi="宋体" w:eastAsia="宋体" w:cs="宋体"/>
          <w:bCs/>
          <w:i w:val="0"/>
          <w:iCs w:val="0"/>
          <w:szCs w:val="28"/>
          <w:lang w:val="en-US" w:eastAsia="zh-CN" w:bidi="ar-SA"/>
        </w:rPr>
        <w:t>、产品质量保证措施及承诺</w:t>
      </w:r>
      <w:r>
        <w:rPr>
          <w:i w:val="0"/>
          <w:iCs w:val="0"/>
        </w:rPr>
        <w:tab/>
      </w:r>
      <w:r>
        <w:rPr>
          <w:i w:val="0"/>
          <w:iCs w:val="0"/>
        </w:rPr>
        <w:fldChar w:fldCharType="begin"/>
      </w:r>
      <w:r>
        <w:rPr>
          <w:i w:val="0"/>
          <w:iCs w:val="0"/>
        </w:rPr>
        <w:instrText xml:space="preserve"> PAGEREF _Toc3747 \h </w:instrText>
      </w:r>
      <w:r>
        <w:rPr>
          <w:i w:val="0"/>
          <w:iCs w:val="0"/>
        </w:rPr>
        <w:fldChar w:fldCharType="separate"/>
      </w:r>
      <w:r>
        <w:rPr>
          <w:i w:val="0"/>
          <w:iCs w:val="0"/>
        </w:rPr>
        <w:t>- 53 -</w:t>
      </w:r>
      <w:r>
        <w:rPr>
          <w:i w:val="0"/>
          <w:iCs w:val="0"/>
        </w:rPr>
        <w:fldChar w:fldCharType="end"/>
      </w:r>
      <w:r>
        <w:rPr>
          <w:rFonts w:hint="eastAsia" w:ascii="仿宋" w:hAnsi="仿宋" w:eastAsia="仿宋" w:cs="仿宋"/>
          <w:bCs/>
          <w:i w:val="0"/>
          <w:iCs w:val="0"/>
          <w:caps/>
          <w:color w:val="auto"/>
          <w:szCs w:val="24"/>
          <w:highlight w:val="none"/>
        </w:rPr>
        <w:fldChar w:fldCharType="end"/>
      </w:r>
    </w:p>
    <w:p w14:paraId="03E228CE">
      <w:pPr>
        <w:pStyle w:val="17"/>
        <w:tabs>
          <w:tab w:val="right" w:leader="dot" w:pos="9740"/>
        </w:tabs>
        <w:rPr>
          <w:i w:val="0"/>
          <w:iCs w:val="0"/>
        </w:rPr>
      </w:pPr>
      <w:r>
        <w:rPr>
          <w:rFonts w:hint="eastAsia" w:ascii="仿宋" w:hAnsi="仿宋" w:eastAsia="仿宋" w:cs="仿宋"/>
          <w:bCs/>
          <w:i w:val="0"/>
          <w:iCs w:val="0"/>
          <w:caps/>
          <w:color w:val="auto"/>
          <w:szCs w:val="24"/>
          <w:highlight w:val="none"/>
        </w:rPr>
        <w:fldChar w:fldCharType="begin"/>
      </w:r>
      <w:r>
        <w:rPr>
          <w:rFonts w:hint="eastAsia" w:ascii="仿宋" w:hAnsi="仿宋" w:eastAsia="仿宋" w:cs="仿宋"/>
          <w:bCs/>
          <w:i w:val="0"/>
          <w:iCs w:val="0"/>
          <w:caps/>
          <w:szCs w:val="24"/>
          <w:highlight w:val="none"/>
        </w:rPr>
        <w:instrText xml:space="preserve"> HYPERLINK \l _Toc29724 </w:instrText>
      </w:r>
      <w:r>
        <w:rPr>
          <w:rFonts w:hint="eastAsia" w:ascii="仿宋" w:hAnsi="仿宋" w:eastAsia="仿宋" w:cs="仿宋"/>
          <w:bCs/>
          <w:i w:val="0"/>
          <w:iCs w:val="0"/>
          <w:caps/>
          <w:szCs w:val="24"/>
          <w:highlight w:val="none"/>
        </w:rPr>
        <w:fldChar w:fldCharType="separate"/>
      </w:r>
      <w:r>
        <w:rPr>
          <w:rFonts w:hint="eastAsia" w:ascii="宋体" w:hAnsi="宋体" w:cs="宋体"/>
          <w:i w:val="0"/>
          <w:iCs w:val="0"/>
          <w:szCs w:val="28"/>
          <w:highlight w:val="none"/>
        </w:rPr>
        <w:t>十</w:t>
      </w:r>
      <w:r>
        <w:rPr>
          <w:rFonts w:hint="eastAsia" w:ascii="宋体" w:hAnsi="宋体" w:cs="宋体"/>
          <w:i w:val="0"/>
          <w:iCs w:val="0"/>
          <w:szCs w:val="28"/>
          <w:highlight w:val="none"/>
          <w:lang w:val="en-US" w:eastAsia="zh-CN"/>
        </w:rPr>
        <w:t>四</w:t>
      </w:r>
      <w:r>
        <w:rPr>
          <w:rFonts w:hint="eastAsia" w:ascii="宋体" w:hAnsi="宋体" w:cs="宋体"/>
          <w:i w:val="0"/>
          <w:iCs w:val="0"/>
          <w:szCs w:val="28"/>
          <w:highlight w:val="none"/>
        </w:rPr>
        <w:t>、售后服务方案</w:t>
      </w:r>
      <w:r>
        <w:rPr>
          <w:i w:val="0"/>
          <w:iCs w:val="0"/>
        </w:rPr>
        <w:tab/>
      </w:r>
      <w:r>
        <w:rPr>
          <w:i w:val="0"/>
          <w:iCs w:val="0"/>
        </w:rPr>
        <w:fldChar w:fldCharType="begin"/>
      </w:r>
      <w:r>
        <w:rPr>
          <w:i w:val="0"/>
          <w:iCs w:val="0"/>
        </w:rPr>
        <w:instrText xml:space="preserve"> PAGEREF _Toc29724 \h </w:instrText>
      </w:r>
      <w:r>
        <w:rPr>
          <w:i w:val="0"/>
          <w:iCs w:val="0"/>
        </w:rPr>
        <w:fldChar w:fldCharType="separate"/>
      </w:r>
      <w:r>
        <w:rPr>
          <w:i w:val="0"/>
          <w:iCs w:val="0"/>
        </w:rPr>
        <w:t>- 54 -</w:t>
      </w:r>
      <w:r>
        <w:rPr>
          <w:i w:val="0"/>
          <w:iCs w:val="0"/>
        </w:rPr>
        <w:fldChar w:fldCharType="end"/>
      </w:r>
      <w:r>
        <w:rPr>
          <w:rFonts w:hint="eastAsia" w:ascii="仿宋" w:hAnsi="仿宋" w:eastAsia="仿宋" w:cs="仿宋"/>
          <w:bCs/>
          <w:i w:val="0"/>
          <w:iCs w:val="0"/>
          <w:caps/>
          <w:color w:val="auto"/>
          <w:szCs w:val="24"/>
          <w:highlight w:val="none"/>
        </w:rPr>
        <w:fldChar w:fldCharType="end"/>
      </w:r>
    </w:p>
    <w:p w14:paraId="6A8D771F">
      <w:pPr>
        <w:pStyle w:val="17"/>
        <w:tabs>
          <w:tab w:val="right" w:leader="dot" w:pos="9740"/>
        </w:tabs>
        <w:rPr>
          <w:i w:val="0"/>
          <w:iCs w:val="0"/>
        </w:rPr>
      </w:pPr>
      <w:r>
        <w:rPr>
          <w:rFonts w:hint="eastAsia" w:ascii="仿宋" w:hAnsi="仿宋" w:eastAsia="仿宋" w:cs="仿宋"/>
          <w:bCs/>
          <w:i w:val="0"/>
          <w:iCs w:val="0"/>
          <w:caps/>
          <w:color w:val="auto"/>
          <w:szCs w:val="24"/>
          <w:highlight w:val="none"/>
        </w:rPr>
        <w:fldChar w:fldCharType="begin"/>
      </w:r>
      <w:r>
        <w:rPr>
          <w:rFonts w:hint="eastAsia" w:ascii="仿宋" w:hAnsi="仿宋" w:eastAsia="仿宋" w:cs="仿宋"/>
          <w:bCs/>
          <w:i w:val="0"/>
          <w:iCs w:val="0"/>
          <w:caps/>
          <w:szCs w:val="24"/>
          <w:highlight w:val="none"/>
        </w:rPr>
        <w:instrText xml:space="preserve"> HYPERLINK \l _Toc13206 </w:instrText>
      </w:r>
      <w:r>
        <w:rPr>
          <w:rFonts w:hint="eastAsia" w:ascii="仿宋" w:hAnsi="仿宋" w:eastAsia="仿宋" w:cs="仿宋"/>
          <w:bCs/>
          <w:i w:val="0"/>
          <w:iCs w:val="0"/>
          <w:caps/>
          <w:szCs w:val="24"/>
          <w:highlight w:val="none"/>
        </w:rPr>
        <w:fldChar w:fldCharType="separate"/>
      </w:r>
      <w:r>
        <w:rPr>
          <w:rFonts w:hint="eastAsia" w:ascii="宋体" w:hAnsi="宋体" w:cs="宋体"/>
          <w:i w:val="0"/>
          <w:iCs w:val="0"/>
          <w:szCs w:val="28"/>
          <w:highlight w:val="none"/>
        </w:rPr>
        <w:t>十</w:t>
      </w:r>
      <w:r>
        <w:rPr>
          <w:rFonts w:hint="eastAsia" w:ascii="宋体" w:hAnsi="宋体" w:cs="宋体"/>
          <w:i w:val="0"/>
          <w:iCs w:val="0"/>
          <w:szCs w:val="28"/>
          <w:highlight w:val="none"/>
          <w:lang w:val="en-US" w:eastAsia="zh-CN"/>
        </w:rPr>
        <w:t>五</w:t>
      </w:r>
      <w:r>
        <w:rPr>
          <w:rFonts w:hint="eastAsia" w:ascii="宋体" w:hAnsi="宋体" w:cs="宋体"/>
          <w:i w:val="0"/>
          <w:iCs w:val="0"/>
          <w:szCs w:val="28"/>
          <w:highlight w:val="none"/>
        </w:rPr>
        <w:t>、培训方案</w:t>
      </w:r>
      <w:r>
        <w:rPr>
          <w:i w:val="0"/>
          <w:iCs w:val="0"/>
        </w:rPr>
        <w:tab/>
      </w:r>
      <w:r>
        <w:rPr>
          <w:i w:val="0"/>
          <w:iCs w:val="0"/>
        </w:rPr>
        <w:fldChar w:fldCharType="begin"/>
      </w:r>
      <w:r>
        <w:rPr>
          <w:i w:val="0"/>
          <w:iCs w:val="0"/>
        </w:rPr>
        <w:instrText xml:space="preserve"> PAGEREF _Toc13206 \h </w:instrText>
      </w:r>
      <w:r>
        <w:rPr>
          <w:i w:val="0"/>
          <w:iCs w:val="0"/>
        </w:rPr>
        <w:fldChar w:fldCharType="separate"/>
      </w:r>
      <w:r>
        <w:rPr>
          <w:i w:val="0"/>
          <w:iCs w:val="0"/>
        </w:rPr>
        <w:t>- 55 -</w:t>
      </w:r>
      <w:r>
        <w:rPr>
          <w:i w:val="0"/>
          <w:iCs w:val="0"/>
        </w:rPr>
        <w:fldChar w:fldCharType="end"/>
      </w:r>
      <w:r>
        <w:rPr>
          <w:rFonts w:hint="eastAsia" w:ascii="仿宋" w:hAnsi="仿宋" w:eastAsia="仿宋" w:cs="仿宋"/>
          <w:bCs/>
          <w:i w:val="0"/>
          <w:iCs w:val="0"/>
          <w:caps/>
          <w:color w:val="auto"/>
          <w:szCs w:val="24"/>
          <w:highlight w:val="none"/>
        </w:rPr>
        <w:fldChar w:fldCharType="end"/>
      </w:r>
    </w:p>
    <w:p w14:paraId="475AFEAB">
      <w:pPr>
        <w:pStyle w:val="17"/>
        <w:tabs>
          <w:tab w:val="right" w:leader="dot" w:pos="9740"/>
        </w:tabs>
        <w:rPr>
          <w:i w:val="0"/>
          <w:iCs w:val="0"/>
        </w:rPr>
      </w:pPr>
      <w:r>
        <w:rPr>
          <w:rFonts w:hint="eastAsia" w:ascii="仿宋" w:hAnsi="仿宋" w:eastAsia="仿宋" w:cs="仿宋"/>
          <w:bCs/>
          <w:i w:val="0"/>
          <w:iCs w:val="0"/>
          <w:caps/>
          <w:color w:val="auto"/>
          <w:szCs w:val="24"/>
          <w:highlight w:val="none"/>
        </w:rPr>
        <w:fldChar w:fldCharType="begin"/>
      </w:r>
      <w:r>
        <w:rPr>
          <w:rFonts w:hint="eastAsia" w:ascii="仿宋" w:hAnsi="仿宋" w:eastAsia="仿宋" w:cs="仿宋"/>
          <w:bCs/>
          <w:i w:val="0"/>
          <w:iCs w:val="0"/>
          <w:caps/>
          <w:szCs w:val="24"/>
          <w:highlight w:val="none"/>
        </w:rPr>
        <w:instrText xml:space="preserve"> HYPERLINK \l _Toc3044 </w:instrText>
      </w:r>
      <w:r>
        <w:rPr>
          <w:rFonts w:hint="eastAsia" w:ascii="仿宋" w:hAnsi="仿宋" w:eastAsia="仿宋" w:cs="仿宋"/>
          <w:bCs/>
          <w:i w:val="0"/>
          <w:iCs w:val="0"/>
          <w:caps/>
          <w:szCs w:val="24"/>
          <w:highlight w:val="none"/>
        </w:rPr>
        <w:fldChar w:fldCharType="separate"/>
      </w:r>
      <w:r>
        <w:rPr>
          <w:rFonts w:hint="eastAsia" w:ascii="宋体" w:hAnsi="宋体" w:cs="宋体"/>
          <w:i w:val="0"/>
          <w:iCs w:val="0"/>
          <w:szCs w:val="28"/>
          <w:highlight w:val="none"/>
        </w:rPr>
        <w:t>十</w:t>
      </w:r>
      <w:r>
        <w:rPr>
          <w:rFonts w:hint="eastAsia" w:ascii="宋体" w:hAnsi="宋体" w:cs="宋体"/>
          <w:i w:val="0"/>
          <w:iCs w:val="0"/>
          <w:szCs w:val="28"/>
          <w:highlight w:val="none"/>
          <w:lang w:val="en-US" w:eastAsia="zh-CN"/>
        </w:rPr>
        <w:t>六</w:t>
      </w:r>
      <w:r>
        <w:rPr>
          <w:rFonts w:hint="eastAsia" w:ascii="宋体" w:hAnsi="宋体" w:cs="宋体"/>
          <w:i w:val="0"/>
          <w:iCs w:val="0"/>
          <w:szCs w:val="28"/>
          <w:highlight w:val="none"/>
        </w:rPr>
        <w:t>、人员配置</w:t>
      </w:r>
      <w:r>
        <w:rPr>
          <w:i w:val="0"/>
          <w:iCs w:val="0"/>
        </w:rPr>
        <w:tab/>
      </w:r>
      <w:r>
        <w:rPr>
          <w:i w:val="0"/>
          <w:iCs w:val="0"/>
        </w:rPr>
        <w:fldChar w:fldCharType="begin"/>
      </w:r>
      <w:r>
        <w:rPr>
          <w:i w:val="0"/>
          <w:iCs w:val="0"/>
        </w:rPr>
        <w:instrText xml:space="preserve"> PAGEREF _Toc3044 \h </w:instrText>
      </w:r>
      <w:r>
        <w:rPr>
          <w:i w:val="0"/>
          <w:iCs w:val="0"/>
        </w:rPr>
        <w:fldChar w:fldCharType="separate"/>
      </w:r>
      <w:r>
        <w:rPr>
          <w:i w:val="0"/>
          <w:iCs w:val="0"/>
        </w:rPr>
        <w:t>- 56 -</w:t>
      </w:r>
      <w:r>
        <w:rPr>
          <w:i w:val="0"/>
          <w:iCs w:val="0"/>
        </w:rPr>
        <w:fldChar w:fldCharType="end"/>
      </w:r>
      <w:r>
        <w:rPr>
          <w:rFonts w:hint="eastAsia" w:ascii="仿宋" w:hAnsi="仿宋" w:eastAsia="仿宋" w:cs="仿宋"/>
          <w:bCs/>
          <w:i w:val="0"/>
          <w:iCs w:val="0"/>
          <w:caps/>
          <w:color w:val="auto"/>
          <w:szCs w:val="24"/>
          <w:highlight w:val="none"/>
        </w:rPr>
        <w:fldChar w:fldCharType="end"/>
      </w:r>
    </w:p>
    <w:p w14:paraId="568F15DC">
      <w:pPr>
        <w:pStyle w:val="17"/>
        <w:tabs>
          <w:tab w:val="right" w:leader="dot" w:pos="9740"/>
        </w:tabs>
        <w:rPr>
          <w:i w:val="0"/>
          <w:iCs w:val="0"/>
        </w:rPr>
      </w:pPr>
      <w:r>
        <w:rPr>
          <w:rFonts w:hint="eastAsia" w:ascii="仿宋" w:hAnsi="仿宋" w:eastAsia="仿宋" w:cs="仿宋"/>
          <w:bCs/>
          <w:i w:val="0"/>
          <w:iCs w:val="0"/>
          <w:caps/>
          <w:color w:val="auto"/>
          <w:szCs w:val="24"/>
          <w:highlight w:val="none"/>
        </w:rPr>
        <w:fldChar w:fldCharType="begin"/>
      </w:r>
      <w:r>
        <w:rPr>
          <w:rFonts w:hint="eastAsia" w:ascii="仿宋" w:hAnsi="仿宋" w:eastAsia="仿宋" w:cs="仿宋"/>
          <w:bCs/>
          <w:i w:val="0"/>
          <w:iCs w:val="0"/>
          <w:caps/>
          <w:szCs w:val="24"/>
          <w:highlight w:val="none"/>
        </w:rPr>
        <w:instrText xml:space="preserve"> HYPERLINK \l _Toc19319 </w:instrText>
      </w:r>
      <w:r>
        <w:rPr>
          <w:rFonts w:hint="eastAsia" w:ascii="仿宋" w:hAnsi="仿宋" w:eastAsia="仿宋" w:cs="仿宋"/>
          <w:bCs/>
          <w:i w:val="0"/>
          <w:iCs w:val="0"/>
          <w:caps/>
          <w:szCs w:val="24"/>
          <w:highlight w:val="none"/>
        </w:rPr>
        <w:fldChar w:fldCharType="separate"/>
      </w:r>
      <w:r>
        <w:rPr>
          <w:rFonts w:hint="eastAsia" w:ascii="宋体" w:hAnsi="宋体" w:eastAsia="宋体" w:cs="宋体"/>
          <w:i w:val="0"/>
          <w:iCs w:val="0"/>
          <w:szCs w:val="28"/>
          <w:highlight w:val="none"/>
          <w:lang w:val="en-US" w:eastAsia="zh-CN"/>
        </w:rPr>
        <w:t>十</w:t>
      </w:r>
      <w:r>
        <w:rPr>
          <w:rFonts w:hint="eastAsia" w:ascii="宋体" w:hAnsi="宋体" w:cs="宋体"/>
          <w:i w:val="0"/>
          <w:iCs w:val="0"/>
          <w:szCs w:val="28"/>
          <w:highlight w:val="none"/>
          <w:lang w:val="en-US" w:eastAsia="zh-CN"/>
        </w:rPr>
        <w:t>六</w:t>
      </w:r>
      <w:r>
        <w:rPr>
          <w:rFonts w:hint="eastAsia" w:ascii="宋体" w:hAnsi="宋体" w:eastAsia="宋体" w:cs="宋体"/>
          <w:i w:val="0"/>
          <w:iCs w:val="0"/>
          <w:szCs w:val="28"/>
          <w:highlight w:val="none"/>
          <w:lang w:val="en-US" w:eastAsia="zh-CN"/>
        </w:rPr>
        <w:t>、</w:t>
      </w:r>
      <w:r>
        <w:rPr>
          <w:rFonts w:hint="eastAsia" w:ascii="宋体" w:hAnsi="宋体" w:eastAsia="宋体" w:cs="宋体"/>
          <w:i w:val="0"/>
          <w:iCs w:val="0"/>
          <w:szCs w:val="28"/>
          <w:highlight w:val="none"/>
        </w:rPr>
        <w:t>类似业绩列表</w:t>
      </w:r>
      <w:r>
        <w:rPr>
          <w:i w:val="0"/>
          <w:iCs w:val="0"/>
        </w:rPr>
        <w:tab/>
      </w:r>
      <w:r>
        <w:rPr>
          <w:i w:val="0"/>
          <w:iCs w:val="0"/>
        </w:rPr>
        <w:fldChar w:fldCharType="begin"/>
      </w:r>
      <w:r>
        <w:rPr>
          <w:i w:val="0"/>
          <w:iCs w:val="0"/>
        </w:rPr>
        <w:instrText xml:space="preserve"> PAGEREF _Toc19319 \h </w:instrText>
      </w:r>
      <w:r>
        <w:rPr>
          <w:i w:val="0"/>
          <w:iCs w:val="0"/>
        </w:rPr>
        <w:fldChar w:fldCharType="separate"/>
      </w:r>
      <w:r>
        <w:rPr>
          <w:i w:val="0"/>
          <w:iCs w:val="0"/>
        </w:rPr>
        <w:t>- 57 -</w:t>
      </w:r>
      <w:r>
        <w:rPr>
          <w:i w:val="0"/>
          <w:iCs w:val="0"/>
        </w:rPr>
        <w:fldChar w:fldCharType="end"/>
      </w:r>
      <w:r>
        <w:rPr>
          <w:rFonts w:hint="eastAsia" w:ascii="仿宋" w:hAnsi="仿宋" w:eastAsia="仿宋" w:cs="仿宋"/>
          <w:bCs/>
          <w:i w:val="0"/>
          <w:iCs w:val="0"/>
          <w:caps/>
          <w:color w:val="auto"/>
          <w:szCs w:val="24"/>
          <w:highlight w:val="none"/>
        </w:rPr>
        <w:fldChar w:fldCharType="end"/>
      </w:r>
    </w:p>
    <w:p w14:paraId="5F451889">
      <w:pPr>
        <w:pStyle w:val="17"/>
        <w:tabs>
          <w:tab w:val="right" w:leader="dot" w:pos="9740"/>
        </w:tabs>
        <w:rPr>
          <w:i w:val="0"/>
          <w:iCs w:val="0"/>
        </w:rPr>
      </w:pPr>
      <w:r>
        <w:rPr>
          <w:rFonts w:hint="eastAsia" w:ascii="仿宋" w:hAnsi="仿宋" w:eastAsia="仿宋" w:cs="仿宋"/>
          <w:bCs/>
          <w:i w:val="0"/>
          <w:iCs w:val="0"/>
          <w:caps/>
          <w:color w:val="auto"/>
          <w:szCs w:val="24"/>
          <w:highlight w:val="none"/>
        </w:rPr>
        <w:fldChar w:fldCharType="begin"/>
      </w:r>
      <w:r>
        <w:rPr>
          <w:rFonts w:hint="eastAsia" w:ascii="仿宋" w:hAnsi="仿宋" w:eastAsia="仿宋" w:cs="仿宋"/>
          <w:bCs/>
          <w:i w:val="0"/>
          <w:iCs w:val="0"/>
          <w:caps/>
          <w:szCs w:val="24"/>
          <w:highlight w:val="none"/>
        </w:rPr>
        <w:instrText xml:space="preserve"> HYPERLINK \l _Toc19765 </w:instrText>
      </w:r>
      <w:r>
        <w:rPr>
          <w:rFonts w:hint="eastAsia" w:ascii="仿宋" w:hAnsi="仿宋" w:eastAsia="仿宋" w:cs="仿宋"/>
          <w:bCs/>
          <w:i w:val="0"/>
          <w:iCs w:val="0"/>
          <w:caps/>
          <w:szCs w:val="24"/>
          <w:highlight w:val="none"/>
        </w:rPr>
        <w:fldChar w:fldCharType="separate"/>
      </w:r>
      <w:r>
        <w:rPr>
          <w:rFonts w:hint="eastAsia" w:ascii="宋体" w:hAnsi="宋体" w:cs="宋体"/>
          <w:bCs/>
          <w:i w:val="0"/>
          <w:iCs w:val="0"/>
          <w:szCs w:val="28"/>
          <w:highlight w:val="none"/>
        </w:rPr>
        <w:t>十</w:t>
      </w:r>
      <w:r>
        <w:rPr>
          <w:rFonts w:hint="eastAsia" w:ascii="宋体" w:hAnsi="宋体" w:cs="宋体"/>
          <w:bCs/>
          <w:i w:val="0"/>
          <w:iCs w:val="0"/>
          <w:szCs w:val="28"/>
          <w:highlight w:val="none"/>
          <w:lang w:val="en-US" w:eastAsia="zh-CN"/>
        </w:rPr>
        <w:t>七</w:t>
      </w:r>
      <w:r>
        <w:rPr>
          <w:rFonts w:hint="eastAsia" w:ascii="宋体" w:hAnsi="宋体" w:cs="宋体"/>
          <w:bCs/>
          <w:i w:val="0"/>
          <w:iCs w:val="0"/>
          <w:szCs w:val="28"/>
          <w:highlight w:val="none"/>
        </w:rPr>
        <w:t>、中小企业声明函</w:t>
      </w:r>
      <w:r>
        <w:rPr>
          <w:i w:val="0"/>
          <w:iCs w:val="0"/>
        </w:rPr>
        <w:tab/>
      </w:r>
      <w:r>
        <w:rPr>
          <w:i w:val="0"/>
          <w:iCs w:val="0"/>
        </w:rPr>
        <w:fldChar w:fldCharType="begin"/>
      </w:r>
      <w:r>
        <w:rPr>
          <w:i w:val="0"/>
          <w:iCs w:val="0"/>
        </w:rPr>
        <w:instrText xml:space="preserve"> PAGEREF _Toc19765 \h </w:instrText>
      </w:r>
      <w:r>
        <w:rPr>
          <w:i w:val="0"/>
          <w:iCs w:val="0"/>
        </w:rPr>
        <w:fldChar w:fldCharType="separate"/>
      </w:r>
      <w:r>
        <w:rPr>
          <w:i w:val="0"/>
          <w:iCs w:val="0"/>
        </w:rPr>
        <w:t>- 58 -</w:t>
      </w:r>
      <w:r>
        <w:rPr>
          <w:i w:val="0"/>
          <w:iCs w:val="0"/>
        </w:rPr>
        <w:fldChar w:fldCharType="end"/>
      </w:r>
      <w:r>
        <w:rPr>
          <w:rFonts w:hint="eastAsia" w:ascii="仿宋" w:hAnsi="仿宋" w:eastAsia="仿宋" w:cs="仿宋"/>
          <w:bCs/>
          <w:i w:val="0"/>
          <w:iCs w:val="0"/>
          <w:caps/>
          <w:color w:val="auto"/>
          <w:szCs w:val="24"/>
          <w:highlight w:val="none"/>
        </w:rPr>
        <w:fldChar w:fldCharType="end"/>
      </w:r>
    </w:p>
    <w:p w14:paraId="510E9173">
      <w:pPr>
        <w:pStyle w:val="17"/>
        <w:tabs>
          <w:tab w:val="right" w:leader="dot" w:pos="9740"/>
        </w:tabs>
        <w:rPr>
          <w:i w:val="0"/>
          <w:iCs w:val="0"/>
        </w:rPr>
      </w:pPr>
      <w:r>
        <w:rPr>
          <w:rFonts w:hint="eastAsia" w:ascii="仿宋" w:hAnsi="仿宋" w:eastAsia="仿宋" w:cs="仿宋"/>
          <w:bCs/>
          <w:i w:val="0"/>
          <w:iCs w:val="0"/>
          <w:caps/>
          <w:color w:val="auto"/>
          <w:szCs w:val="24"/>
          <w:highlight w:val="none"/>
        </w:rPr>
        <w:fldChar w:fldCharType="begin"/>
      </w:r>
      <w:r>
        <w:rPr>
          <w:rFonts w:hint="eastAsia" w:ascii="仿宋" w:hAnsi="仿宋" w:eastAsia="仿宋" w:cs="仿宋"/>
          <w:bCs/>
          <w:i w:val="0"/>
          <w:iCs w:val="0"/>
          <w:caps/>
          <w:szCs w:val="24"/>
          <w:highlight w:val="none"/>
        </w:rPr>
        <w:instrText xml:space="preserve"> HYPERLINK \l _Toc30921 </w:instrText>
      </w:r>
      <w:r>
        <w:rPr>
          <w:rFonts w:hint="eastAsia" w:ascii="仿宋" w:hAnsi="仿宋" w:eastAsia="仿宋" w:cs="仿宋"/>
          <w:bCs/>
          <w:i w:val="0"/>
          <w:iCs w:val="0"/>
          <w:caps/>
          <w:szCs w:val="24"/>
          <w:highlight w:val="none"/>
        </w:rPr>
        <w:fldChar w:fldCharType="separate"/>
      </w:r>
      <w:r>
        <w:rPr>
          <w:rFonts w:hint="eastAsia" w:ascii="宋体" w:hAnsi="宋体" w:cs="宋体"/>
          <w:bCs/>
          <w:i w:val="0"/>
          <w:iCs w:val="0"/>
          <w:szCs w:val="28"/>
          <w:highlight w:val="none"/>
        </w:rPr>
        <w:t>十</w:t>
      </w:r>
      <w:r>
        <w:rPr>
          <w:rFonts w:hint="eastAsia" w:ascii="宋体" w:hAnsi="宋体" w:cs="宋体"/>
          <w:bCs/>
          <w:i w:val="0"/>
          <w:iCs w:val="0"/>
          <w:szCs w:val="28"/>
          <w:highlight w:val="none"/>
          <w:lang w:val="en-US" w:eastAsia="zh-CN"/>
        </w:rPr>
        <w:t>八</w:t>
      </w:r>
      <w:r>
        <w:rPr>
          <w:rFonts w:hint="eastAsia" w:ascii="宋体" w:hAnsi="宋体" w:cs="宋体"/>
          <w:bCs/>
          <w:i w:val="0"/>
          <w:iCs w:val="0"/>
          <w:szCs w:val="28"/>
          <w:highlight w:val="none"/>
        </w:rPr>
        <w:t>、残疾人福利性单位声明函</w:t>
      </w:r>
      <w:r>
        <w:rPr>
          <w:i w:val="0"/>
          <w:iCs w:val="0"/>
        </w:rPr>
        <w:tab/>
      </w:r>
      <w:r>
        <w:rPr>
          <w:i w:val="0"/>
          <w:iCs w:val="0"/>
        </w:rPr>
        <w:fldChar w:fldCharType="begin"/>
      </w:r>
      <w:r>
        <w:rPr>
          <w:i w:val="0"/>
          <w:iCs w:val="0"/>
        </w:rPr>
        <w:instrText xml:space="preserve"> PAGEREF _Toc30921 \h </w:instrText>
      </w:r>
      <w:r>
        <w:rPr>
          <w:i w:val="0"/>
          <w:iCs w:val="0"/>
        </w:rPr>
        <w:fldChar w:fldCharType="separate"/>
      </w:r>
      <w:r>
        <w:rPr>
          <w:i w:val="0"/>
          <w:iCs w:val="0"/>
        </w:rPr>
        <w:t>- 59 -</w:t>
      </w:r>
      <w:r>
        <w:rPr>
          <w:i w:val="0"/>
          <w:iCs w:val="0"/>
        </w:rPr>
        <w:fldChar w:fldCharType="end"/>
      </w:r>
      <w:r>
        <w:rPr>
          <w:rFonts w:hint="eastAsia" w:ascii="仿宋" w:hAnsi="仿宋" w:eastAsia="仿宋" w:cs="仿宋"/>
          <w:bCs/>
          <w:i w:val="0"/>
          <w:iCs w:val="0"/>
          <w:caps/>
          <w:color w:val="auto"/>
          <w:szCs w:val="24"/>
          <w:highlight w:val="none"/>
        </w:rPr>
        <w:fldChar w:fldCharType="end"/>
      </w:r>
    </w:p>
    <w:p w14:paraId="5D1A0152">
      <w:pPr>
        <w:pStyle w:val="17"/>
        <w:tabs>
          <w:tab w:val="right" w:leader="dot" w:pos="9740"/>
        </w:tabs>
        <w:rPr>
          <w:i w:val="0"/>
          <w:iCs w:val="0"/>
        </w:rPr>
      </w:pPr>
      <w:r>
        <w:rPr>
          <w:rFonts w:hint="eastAsia" w:ascii="仿宋" w:hAnsi="仿宋" w:eastAsia="仿宋" w:cs="仿宋"/>
          <w:bCs/>
          <w:i w:val="0"/>
          <w:iCs w:val="0"/>
          <w:caps/>
          <w:color w:val="auto"/>
          <w:szCs w:val="24"/>
          <w:highlight w:val="none"/>
        </w:rPr>
        <w:fldChar w:fldCharType="begin"/>
      </w:r>
      <w:r>
        <w:rPr>
          <w:rFonts w:hint="eastAsia" w:ascii="仿宋" w:hAnsi="仿宋" w:eastAsia="仿宋" w:cs="仿宋"/>
          <w:bCs/>
          <w:i w:val="0"/>
          <w:iCs w:val="0"/>
          <w:caps/>
          <w:szCs w:val="24"/>
          <w:highlight w:val="none"/>
        </w:rPr>
        <w:instrText xml:space="preserve"> HYPERLINK \l _Toc19737 </w:instrText>
      </w:r>
      <w:r>
        <w:rPr>
          <w:rFonts w:hint="eastAsia" w:ascii="仿宋" w:hAnsi="仿宋" w:eastAsia="仿宋" w:cs="仿宋"/>
          <w:bCs/>
          <w:i w:val="0"/>
          <w:iCs w:val="0"/>
          <w:caps/>
          <w:szCs w:val="24"/>
          <w:highlight w:val="none"/>
        </w:rPr>
        <w:fldChar w:fldCharType="separate"/>
      </w:r>
      <w:r>
        <w:rPr>
          <w:rFonts w:hint="eastAsia" w:ascii="宋体" w:hAnsi="宋体" w:cs="宋体"/>
          <w:bCs/>
          <w:i w:val="0"/>
          <w:iCs w:val="0"/>
          <w:szCs w:val="28"/>
          <w:highlight w:val="none"/>
          <w:lang w:val="en-US" w:eastAsia="zh-CN"/>
        </w:rPr>
        <w:t>十九</w:t>
      </w:r>
      <w:r>
        <w:rPr>
          <w:rFonts w:hint="eastAsia" w:ascii="宋体" w:hAnsi="宋体" w:cs="宋体"/>
          <w:bCs/>
          <w:i w:val="0"/>
          <w:iCs w:val="0"/>
          <w:szCs w:val="28"/>
          <w:highlight w:val="none"/>
        </w:rPr>
        <w:t>、监狱企业证明文件</w:t>
      </w:r>
      <w:r>
        <w:rPr>
          <w:i w:val="0"/>
          <w:iCs w:val="0"/>
        </w:rPr>
        <w:tab/>
      </w:r>
      <w:r>
        <w:rPr>
          <w:i w:val="0"/>
          <w:iCs w:val="0"/>
        </w:rPr>
        <w:fldChar w:fldCharType="begin"/>
      </w:r>
      <w:r>
        <w:rPr>
          <w:i w:val="0"/>
          <w:iCs w:val="0"/>
        </w:rPr>
        <w:instrText xml:space="preserve"> PAGEREF _Toc19737 \h </w:instrText>
      </w:r>
      <w:r>
        <w:rPr>
          <w:i w:val="0"/>
          <w:iCs w:val="0"/>
        </w:rPr>
        <w:fldChar w:fldCharType="separate"/>
      </w:r>
      <w:r>
        <w:rPr>
          <w:i w:val="0"/>
          <w:iCs w:val="0"/>
        </w:rPr>
        <w:t>- 60 -</w:t>
      </w:r>
      <w:r>
        <w:rPr>
          <w:i w:val="0"/>
          <w:iCs w:val="0"/>
        </w:rPr>
        <w:fldChar w:fldCharType="end"/>
      </w:r>
      <w:r>
        <w:rPr>
          <w:rFonts w:hint="eastAsia" w:ascii="仿宋" w:hAnsi="仿宋" w:eastAsia="仿宋" w:cs="仿宋"/>
          <w:bCs/>
          <w:i w:val="0"/>
          <w:iCs w:val="0"/>
          <w:caps/>
          <w:color w:val="auto"/>
          <w:szCs w:val="24"/>
          <w:highlight w:val="none"/>
        </w:rPr>
        <w:fldChar w:fldCharType="end"/>
      </w:r>
    </w:p>
    <w:p w14:paraId="68D030CB">
      <w:pPr>
        <w:pStyle w:val="17"/>
        <w:tabs>
          <w:tab w:val="right" w:leader="dot" w:pos="9740"/>
        </w:tabs>
        <w:rPr>
          <w:i w:val="0"/>
          <w:iCs w:val="0"/>
        </w:rPr>
      </w:pPr>
      <w:r>
        <w:rPr>
          <w:rFonts w:hint="eastAsia" w:ascii="仿宋" w:hAnsi="仿宋" w:eastAsia="仿宋" w:cs="仿宋"/>
          <w:bCs/>
          <w:i w:val="0"/>
          <w:iCs w:val="0"/>
          <w:caps/>
          <w:color w:val="auto"/>
          <w:szCs w:val="24"/>
          <w:highlight w:val="none"/>
        </w:rPr>
        <w:fldChar w:fldCharType="begin"/>
      </w:r>
      <w:r>
        <w:rPr>
          <w:rFonts w:hint="eastAsia" w:ascii="仿宋" w:hAnsi="仿宋" w:eastAsia="仿宋" w:cs="仿宋"/>
          <w:bCs/>
          <w:i w:val="0"/>
          <w:iCs w:val="0"/>
          <w:caps/>
          <w:szCs w:val="24"/>
          <w:highlight w:val="none"/>
        </w:rPr>
        <w:instrText xml:space="preserve"> HYPERLINK \l _Toc20144 </w:instrText>
      </w:r>
      <w:r>
        <w:rPr>
          <w:rFonts w:hint="eastAsia" w:ascii="仿宋" w:hAnsi="仿宋" w:eastAsia="仿宋" w:cs="仿宋"/>
          <w:bCs/>
          <w:i w:val="0"/>
          <w:iCs w:val="0"/>
          <w:caps/>
          <w:szCs w:val="24"/>
          <w:highlight w:val="none"/>
        </w:rPr>
        <w:fldChar w:fldCharType="separate"/>
      </w:r>
      <w:r>
        <w:rPr>
          <w:rFonts w:hint="eastAsia" w:ascii="宋体" w:hAnsi="宋体" w:cs="宋体"/>
          <w:i w:val="0"/>
          <w:iCs w:val="0"/>
          <w:szCs w:val="28"/>
          <w:highlight w:val="none"/>
          <w:lang w:val="en-US" w:eastAsia="zh-CN"/>
        </w:rPr>
        <w:t>二十</w:t>
      </w:r>
      <w:r>
        <w:rPr>
          <w:rFonts w:hint="eastAsia" w:ascii="宋体" w:hAnsi="宋体" w:cs="宋体"/>
          <w:i w:val="0"/>
          <w:iCs w:val="0"/>
          <w:szCs w:val="28"/>
          <w:highlight w:val="none"/>
        </w:rPr>
        <w:t>、其他资料</w:t>
      </w:r>
      <w:r>
        <w:rPr>
          <w:i w:val="0"/>
          <w:iCs w:val="0"/>
        </w:rPr>
        <w:tab/>
      </w:r>
      <w:r>
        <w:rPr>
          <w:i w:val="0"/>
          <w:iCs w:val="0"/>
        </w:rPr>
        <w:fldChar w:fldCharType="begin"/>
      </w:r>
      <w:r>
        <w:rPr>
          <w:i w:val="0"/>
          <w:iCs w:val="0"/>
        </w:rPr>
        <w:instrText xml:space="preserve"> PAGEREF _Toc20144 \h </w:instrText>
      </w:r>
      <w:r>
        <w:rPr>
          <w:i w:val="0"/>
          <w:iCs w:val="0"/>
        </w:rPr>
        <w:fldChar w:fldCharType="separate"/>
      </w:r>
      <w:r>
        <w:rPr>
          <w:i w:val="0"/>
          <w:iCs w:val="0"/>
        </w:rPr>
        <w:t>- 61 -</w:t>
      </w:r>
      <w:r>
        <w:rPr>
          <w:i w:val="0"/>
          <w:iCs w:val="0"/>
        </w:rPr>
        <w:fldChar w:fldCharType="end"/>
      </w:r>
      <w:r>
        <w:rPr>
          <w:rFonts w:hint="eastAsia" w:ascii="仿宋" w:hAnsi="仿宋" w:eastAsia="仿宋" w:cs="仿宋"/>
          <w:bCs/>
          <w:i w:val="0"/>
          <w:iCs w:val="0"/>
          <w:caps/>
          <w:color w:val="auto"/>
          <w:szCs w:val="24"/>
          <w:highlight w:val="none"/>
        </w:rPr>
        <w:fldChar w:fldCharType="end"/>
      </w:r>
    </w:p>
    <w:p w14:paraId="70D3F873">
      <w:pPr>
        <w:pStyle w:val="23"/>
        <w:tabs>
          <w:tab w:val="right" w:leader="dot" w:pos="9740"/>
        </w:tabs>
      </w:pPr>
      <w:r>
        <w:rPr>
          <w:rFonts w:hint="eastAsia" w:ascii="仿宋" w:hAnsi="仿宋" w:eastAsia="仿宋" w:cs="仿宋"/>
          <w:bCs/>
          <w:caps/>
          <w:color w:val="auto"/>
          <w:szCs w:val="24"/>
          <w:highlight w:val="none"/>
        </w:rPr>
        <w:fldChar w:fldCharType="begin"/>
      </w:r>
      <w:r>
        <w:rPr>
          <w:rFonts w:hint="eastAsia" w:ascii="仿宋" w:hAnsi="仿宋" w:eastAsia="仿宋" w:cs="仿宋"/>
          <w:bCs/>
          <w:caps/>
          <w:szCs w:val="24"/>
          <w:highlight w:val="none"/>
        </w:rPr>
        <w:instrText xml:space="preserve"> HYPERLINK \l _Toc835 </w:instrText>
      </w:r>
      <w:r>
        <w:rPr>
          <w:rFonts w:hint="eastAsia" w:ascii="仿宋" w:hAnsi="仿宋" w:eastAsia="仿宋" w:cs="仿宋"/>
          <w:bCs/>
          <w:caps/>
          <w:szCs w:val="24"/>
          <w:highlight w:val="none"/>
        </w:rPr>
        <w:fldChar w:fldCharType="separate"/>
      </w:r>
      <w:r>
        <w:rPr>
          <w:rFonts w:hint="eastAsia" w:ascii="宋体" w:hAnsi="宋体" w:cs="宋体"/>
          <w:bCs/>
          <w:kern w:val="44"/>
          <w:szCs w:val="32"/>
          <w:highlight w:val="none"/>
        </w:rPr>
        <w:t>第</w:t>
      </w:r>
      <w:r>
        <w:rPr>
          <w:rFonts w:hint="eastAsia" w:ascii="宋体" w:hAnsi="宋体" w:cs="宋体"/>
          <w:bCs/>
          <w:kern w:val="44"/>
          <w:szCs w:val="32"/>
          <w:highlight w:val="none"/>
          <w:lang w:val="en-US" w:eastAsia="zh-CN"/>
        </w:rPr>
        <w:t>五</w:t>
      </w:r>
      <w:r>
        <w:rPr>
          <w:rFonts w:hint="eastAsia" w:ascii="宋体" w:hAnsi="宋体" w:cs="宋体"/>
          <w:bCs/>
          <w:kern w:val="44"/>
          <w:szCs w:val="32"/>
          <w:highlight w:val="none"/>
        </w:rPr>
        <w:t>章 资格审查</w:t>
      </w:r>
      <w:r>
        <w:tab/>
      </w:r>
      <w:r>
        <w:fldChar w:fldCharType="begin"/>
      </w:r>
      <w:r>
        <w:instrText xml:space="preserve"> PAGEREF _Toc835 \h </w:instrText>
      </w:r>
      <w:r>
        <w:fldChar w:fldCharType="separate"/>
      </w:r>
      <w:r>
        <w:t>- 61 -</w:t>
      </w:r>
      <w:r>
        <w:fldChar w:fldCharType="end"/>
      </w:r>
      <w:r>
        <w:rPr>
          <w:rFonts w:hint="eastAsia" w:ascii="仿宋" w:hAnsi="仿宋" w:eastAsia="仿宋" w:cs="仿宋"/>
          <w:bCs/>
          <w:caps/>
          <w:color w:val="auto"/>
          <w:szCs w:val="24"/>
          <w:highlight w:val="none"/>
        </w:rPr>
        <w:fldChar w:fldCharType="end"/>
      </w:r>
    </w:p>
    <w:p w14:paraId="0378BE42">
      <w:pPr>
        <w:pStyle w:val="23"/>
        <w:tabs>
          <w:tab w:val="right" w:leader="dot" w:pos="9740"/>
        </w:tabs>
      </w:pPr>
      <w:r>
        <w:rPr>
          <w:rFonts w:hint="eastAsia" w:ascii="仿宋" w:hAnsi="仿宋" w:eastAsia="仿宋" w:cs="仿宋"/>
          <w:bCs/>
          <w:caps/>
          <w:color w:val="auto"/>
          <w:szCs w:val="24"/>
          <w:highlight w:val="none"/>
        </w:rPr>
        <w:fldChar w:fldCharType="begin"/>
      </w:r>
      <w:r>
        <w:rPr>
          <w:rFonts w:hint="eastAsia" w:ascii="仿宋" w:hAnsi="仿宋" w:eastAsia="仿宋" w:cs="仿宋"/>
          <w:bCs/>
          <w:caps/>
          <w:szCs w:val="24"/>
          <w:highlight w:val="none"/>
        </w:rPr>
        <w:instrText xml:space="preserve"> HYPERLINK \l _Toc23222 </w:instrText>
      </w:r>
      <w:r>
        <w:rPr>
          <w:rFonts w:hint="eastAsia" w:ascii="仿宋" w:hAnsi="仿宋" w:eastAsia="仿宋" w:cs="仿宋"/>
          <w:bCs/>
          <w:caps/>
          <w:szCs w:val="24"/>
          <w:highlight w:val="none"/>
        </w:rPr>
        <w:fldChar w:fldCharType="separate"/>
      </w:r>
      <w:r>
        <w:rPr>
          <w:rFonts w:hint="eastAsia" w:ascii="宋体" w:hAnsi="宋体" w:cs="宋体"/>
          <w:highlight w:val="none"/>
        </w:rPr>
        <w:t>第</w:t>
      </w:r>
      <w:r>
        <w:rPr>
          <w:rFonts w:hint="eastAsia" w:ascii="宋体" w:hAnsi="宋体" w:cs="宋体"/>
          <w:highlight w:val="none"/>
          <w:lang w:val="en-US" w:eastAsia="zh-CN"/>
        </w:rPr>
        <w:t>六</w:t>
      </w:r>
      <w:r>
        <w:rPr>
          <w:rFonts w:hint="eastAsia" w:ascii="宋体" w:hAnsi="宋体" w:cs="宋体"/>
          <w:highlight w:val="none"/>
        </w:rPr>
        <w:t>章 采购内容及要求</w:t>
      </w:r>
      <w:r>
        <w:tab/>
      </w:r>
      <w:r>
        <w:fldChar w:fldCharType="begin"/>
      </w:r>
      <w:r>
        <w:instrText xml:space="preserve"> PAGEREF _Toc23222 \h </w:instrText>
      </w:r>
      <w:r>
        <w:fldChar w:fldCharType="separate"/>
      </w:r>
      <w:r>
        <w:t>- 63 -</w:t>
      </w:r>
      <w:r>
        <w:fldChar w:fldCharType="end"/>
      </w:r>
      <w:r>
        <w:rPr>
          <w:rFonts w:hint="eastAsia" w:ascii="仿宋" w:hAnsi="仿宋" w:eastAsia="仿宋" w:cs="仿宋"/>
          <w:bCs/>
          <w:caps/>
          <w:color w:val="auto"/>
          <w:szCs w:val="24"/>
          <w:highlight w:val="none"/>
        </w:rPr>
        <w:fldChar w:fldCharType="end"/>
      </w:r>
    </w:p>
    <w:p w14:paraId="58ED9ED2">
      <w:pPr>
        <w:pStyle w:val="23"/>
        <w:tabs>
          <w:tab w:val="right" w:leader="dot" w:pos="9740"/>
        </w:tabs>
      </w:pPr>
      <w:r>
        <w:rPr>
          <w:rFonts w:hint="eastAsia" w:ascii="仿宋" w:hAnsi="仿宋" w:eastAsia="仿宋" w:cs="仿宋"/>
          <w:bCs/>
          <w:caps/>
          <w:color w:val="auto"/>
          <w:szCs w:val="24"/>
          <w:highlight w:val="none"/>
        </w:rPr>
        <w:fldChar w:fldCharType="begin"/>
      </w:r>
      <w:r>
        <w:rPr>
          <w:rFonts w:hint="eastAsia" w:ascii="仿宋" w:hAnsi="仿宋" w:eastAsia="仿宋" w:cs="仿宋"/>
          <w:bCs/>
          <w:caps/>
          <w:szCs w:val="24"/>
          <w:highlight w:val="none"/>
        </w:rPr>
        <w:instrText xml:space="preserve"> HYPERLINK \l _Toc20809 </w:instrText>
      </w:r>
      <w:r>
        <w:rPr>
          <w:rFonts w:hint="eastAsia" w:ascii="仿宋" w:hAnsi="仿宋" w:eastAsia="仿宋" w:cs="仿宋"/>
          <w:bCs/>
          <w:caps/>
          <w:szCs w:val="24"/>
          <w:highlight w:val="none"/>
        </w:rPr>
        <w:fldChar w:fldCharType="separate"/>
      </w:r>
      <w:r>
        <w:rPr>
          <w:rFonts w:hint="eastAsia" w:ascii="宋体" w:hAnsi="宋体" w:cs="宋体"/>
          <w:highlight w:val="none"/>
        </w:rPr>
        <w:t>第七章 评标办法（综合评分法）</w:t>
      </w:r>
      <w:r>
        <w:tab/>
      </w:r>
      <w:r>
        <w:fldChar w:fldCharType="begin"/>
      </w:r>
      <w:r>
        <w:instrText xml:space="preserve"> PAGEREF _Toc20809 \h </w:instrText>
      </w:r>
      <w:r>
        <w:fldChar w:fldCharType="separate"/>
      </w:r>
      <w:r>
        <w:t>- 94 -</w:t>
      </w:r>
      <w:r>
        <w:fldChar w:fldCharType="end"/>
      </w:r>
      <w:r>
        <w:rPr>
          <w:rFonts w:hint="eastAsia" w:ascii="仿宋" w:hAnsi="仿宋" w:eastAsia="仿宋" w:cs="仿宋"/>
          <w:bCs/>
          <w:caps/>
          <w:color w:val="auto"/>
          <w:szCs w:val="24"/>
          <w:highlight w:val="none"/>
        </w:rPr>
        <w:fldChar w:fldCharType="end"/>
      </w:r>
    </w:p>
    <w:p w14:paraId="02CB7DB7">
      <w:pPr>
        <w:spacing w:line="500" w:lineRule="exact"/>
        <w:jc w:val="center"/>
        <w:rPr>
          <w:rFonts w:ascii="仿宋" w:hAnsi="仿宋" w:eastAsia="仿宋" w:cs="仿宋"/>
          <w:color w:val="auto"/>
          <w:sz w:val="24"/>
          <w:szCs w:val="24"/>
          <w:highlight w:val="none"/>
        </w:rPr>
      </w:pPr>
      <w:r>
        <w:rPr>
          <w:rFonts w:hint="eastAsia" w:ascii="仿宋" w:hAnsi="仿宋" w:eastAsia="仿宋" w:cs="仿宋"/>
          <w:bCs/>
          <w:caps/>
          <w:color w:val="auto"/>
          <w:sz w:val="24"/>
          <w:szCs w:val="24"/>
          <w:highlight w:val="none"/>
        </w:rPr>
        <w:fldChar w:fldCharType="end"/>
      </w:r>
      <w:bookmarkStart w:id="0" w:name="_Toc25108"/>
      <w:bookmarkEnd w:id="0"/>
      <w:bookmarkStart w:id="1" w:name="_Toc29067"/>
      <w:bookmarkEnd w:id="1"/>
    </w:p>
    <w:p w14:paraId="2BDC38A2">
      <w:pPr>
        <w:spacing w:line="400" w:lineRule="exact"/>
        <w:rPr>
          <w:rFonts w:ascii="宋体" w:hAnsi="宋体" w:cs="宋体"/>
          <w:color w:val="auto"/>
          <w:highlight w:val="none"/>
        </w:rPr>
      </w:pPr>
      <w:r>
        <w:rPr>
          <w:rFonts w:hint="eastAsia" w:ascii="宋体" w:hAnsi="宋体" w:cs="宋体"/>
          <w:color w:val="auto"/>
          <w:sz w:val="24"/>
          <w:szCs w:val="24"/>
          <w:highlight w:val="none"/>
        </w:rPr>
        <w:t xml:space="preserve"> </w:t>
      </w:r>
    </w:p>
    <w:p w14:paraId="1C932823">
      <w:pPr>
        <w:spacing w:before="0" w:after="0" w:line="360" w:lineRule="auto"/>
        <w:jc w:val="center"/>
        <w:outlineLvl w:val="9"/>
        <w:rPr>
          <w:rFonts w:ascii="宋体" w:hAnsi="宋体" w:cs="宋体"/>
          <w:color w:val="auto"/>
          <w:highlight w:val="none"/>
        </w:rPr>
      </w:pPr>
      <w:bookmarkStart w:id="2" w:name="_Toc12916"/>
      <w:bookmarkEnd w:id="2"/>
      <w:bookmarkStart w:id="3" w:name="_Toc3039"/>
      <w:bookmarkEnd w:id="3"/>
      <w:bookmarkStart w:id="4" w:name="_Toc24776"/>
    </w:p>
    <w:p w14:paraId="6A94E748">
      <w:pPr>
        <w:tabs>
          <w:tab w:val="left" w:pos="6345"/>
        </w:tabs>
        <w:bidi w:val="0"/>
        <w:jc w:val="left"/>
        <w:rPr>
          <w:rFonts w:hint="eastAsia" w:eastAsia="宋体"/>
          <w:lang w:eastAsia="zh-CN"/>
        </w:rPr>
        <w:sectPr>
          <w:headerReference r:id="rId4" w:type="first"/>
          <w:headerReference r:id="rId3" w:type="default"/>
          <w:pgSz w:w="11906" w:h="16838"/>
          <w:pgMar w:top="1440" w:right="1083" w:bottom="1440" w:left="1083" w:header="720" w:footer="720" w:gutter="0"/>
          <w:pgBorders>
            <w:top w:val="none" w:sz="0" w:space="0"/>
            <w:left w:val="none" w:sz="0" w:space="0"/>
            <w:bottom w:val="none" w:sz="0" w:space="0"/>
            <w:right w:val="none" w:sz="0" w:space="0"/>
          </w:pgBorders>
          <w:pgNumType w:fmt="numberInDash" w:start="1"/>
          <w:cols w:space="708" w:num="1"/>
          <w:titlePg/>
          <w:docGrid w:type="lines" w:linePitch="317" w:charSpace="0"/>
        </w:sectPr>
      </w:pPr>
      <w:r>
        <w:rPr>
          <w:rFonts w:hint="eastAsia"/>
          <w:lang w:eastAsia="zh-CN"/>
        </w:rPr>
        <w:tab/>
      </w:r>
    </w:p>
    <w:bookmarkEnd w:id="4"/>
    <w:p w14:paraId="6CFA771C">
      <w:pPr>
        <w:pStyle w:val="2"/>
        <w:spacing w:before="0" w:after="0" w:line="360" w:lineRule="auto"/>
        <w:jc w:val="center"/>
        <w:rPr>
          <w:rFonts w:ascii="宋体" w:hAnsi="宋体" w:cs="宋体"/>
          <w:color w:val="auto"/>
          <w:highlight w:val="none"/>
        </w:rPr>
      </w:pPr>
      <w:bookmarkStart w:id="5" w:name="_Toc28691"/>
      <w:bookmarkStart w:id="6" w:name="_Toc6776"/>
      <w:r>
        <w:rPr>
          <w:rFonts w:hint="eastAsia" w:ascii="宋体" w:hAnsi="宋体" w:cs="宋体"/>
          <w:color w:val="auto"/>
          <w:szCs w:val="32"/>
          <w:highlight w:val="none"/>
        </w:rPr>
        <w:t>第一章 公开招标公告</w:t>
      </w:r>
      <w:bookmarkEnd w:id="5"/>
      <w:bookmarkEnd w:id="6"/>
    </w:p>
    <w:p w14:paraId="2ADCC673">
      <w:pPr>
        <w:pBdr>
          <w:top w:val="single" w:color="auto" w:sz="4" w:space="1"/>
          <w:left w:val="single" w:color="auto" w:sz="4" w:space="4"/>
          <w:bottom w:val="single" w:color="auto" w:sz="4" w:space="1"/>
          <w:right w:val="single" w:color="auto" w:sz="4" w:space="4"/>
        </w:pBdr>
        <w:spacing w:line="360" w:lineRule="auto"/>
        <w:ind w:firstLine="562" w:firstLineChars="200"/>
        <w:jc w:val="center"/>
        <w:rPr>
          <w:rFonts w:ascii="宋体" w:hAnsi="宋体" w:cs="宋体"/>
          <w:b/>
          <w:bCs/>
          <w:color w:val="auto"/>
          <w:sz w:val="28"/>
          <w:szCs w:val="28"/>
          <w:highlight w:val="none"/>
        </w:rPr>
      </w:pPr>
      <w:bookmarkStart w:id="7" w:name="_Toc18212"/>
      <w:r>
        <w:rPr>
          <w:rFonts w:hint="eastAsia" w:ascii="宋体" w:hAnsi="宋体" w:cs="宋体"/>
          <w:b/>
          <w:bCs/>
          <w:color w:val="auto"/>
          <w:sz w:val="28"/>
          <w:szCs w:val="28"/>
          <w:highlight w:val="none"/>
        </w:rPr>
        <w:t>项目概况</w:t>
      </w:r>
    </w:p>
    <w:p w14:paraId="2D8C6A5C">
      <w:pPr>
        <w:pBdr>
          <w:top w:val="single" w:color="auto" w:sz="4" w:space="1"/>
          <w:left w:val="single" w:color="auto" w:sz="4" w:space="4"/>
          <w:bottom w:val="single" w:color="auto" w:sz="4" w:space="1"/>
          <w:right w:val="single" w:color="auto" w:sz="4" w:space="4"/>
        </w:pBdr>
        <w:wordWrap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u w:val="single"/>
          <w:lang w:eastAsia="zh-CN"/>
        </w:rPr>
        <w:t>昆明铁道职业技术学院2025年物联网综合实训室建设（1标段 设备采购）</w:t>
      </w:r>
      <w:r>
        <w:rPr>
          <w:rFonts w:hint="eastAsia" w:ascii="宋体" w:hAnsi="宋体" w:cs="宋体"/>
          <w:color w:val="auto"/>
          <w:sz w:val="24"/>
          <w:szCs w:val="24"/>
          <w:highlight w:val="none"/>
        </w:rPr>
        <w:t>招标项目的潜在投标人应在</w:t>
      </w:r>
      <w:r>
        <w:rPr>
          <w:color w:val="auto"/>
          <w:highlight w:val="none"/>
        </w:rPr>
        <w:fldChar w:fldCharType="begin"/>
      </w:r>
      <w:r>
        <w:rPr>
          <w:color w:val="auto"/>
          <w:highlight w:val="none"/>
        </w:rPr>
        <w:instrText xml:space="preserve"> HYPERLINK "https://www.kmggzy.com/Index.html)获取招标文件，并于" </w:instrText>
      </w:r>
      <w:r>
        <w:rPr>
          <w:color w:val="auto"/>
          <w:highlight w:val="none"/>
        </w:rPr>
        <w:fldChar w:fldCharType="separate"/>
      </w:r>
      <w:r>
        <w:rPr>
          <w:rFonts w:hint="eastAsia" w:ascii="宋体" w:hAnsi="宋体" w:cs="宋体"/>
          <w:color w:val="auto"/>
          <w:sz w:val="24"/>
          <w:szCs w:val="24"/>
          <w:highlight w:val="none"/>
          <w:u w:val="single"/>
        </w:rPr>
        <w:t>政采云平台（http：//www.zcygov.cn）</w:t>
      </w:r>
      <w:r>
        <w:rPr>
          <w:rStyle w:val="36"/>
          <w:rFonts w:hint="eastAsia" w:ascii="宋体" w:hAnsi="宋体" w:cs="宋体"/>
          <w:color w:val="auto"/>
          <w:sz w:val="24"/>
          <w:szCs w:val="24"/>
          <w:highlight w:val="none"/>
        </w:rPr>
        <w:t>获取招标文件，并于</w:t>
      </w:r>
      <w:r>
        <w:rPr>
          <w:rStyle w:val="36"/>
          <w:rFonts w:hint="eastAsia" w:ascii="宋体" w:hAnsi="宋体" w:cs="宋体"/>
          <w:color w:val="auto"/>
          <w:sz w:val="24"/>
          <w:szCs w:val="24"/>
          <w:highlight w:val="none"/>
        </w:rPr>
        <w:fldChar w:fldCharType="end"/>
      </w:r>
      <w:r>
        <w:rPr>
          <w:rFonts w:hint="eastAsia" w:ascii="宋体" w:hAnsi="宋体" w:cs="宋体"/>
          <w:color w:val="auto"/>
          <w:sz w:val="24"/>
          <w:szCs w:val="24"/>
          <w:highlight w:val="none"/>
          <w:u w:val="single"/>
          <w:lang w:val="en-US" w:eastAsia="zh-CN"/>
        </w:rPr>
        <w:t>2025</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lang w:val="en-US" w:eastAsia="zh-CN"/>
        </w:rPr>
        <w:t>07</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lang w:val="en-US" w:eastAsia="zh-CN"/>
        </w:rPr>
        <w:t>15</w:t>
      </w:r>
      <w:r>
        <w:rPr>
          <w:rFonts w:hint="eastAsia" w:ascii="宋体" w:hAnsi="宋体" w:cs="宋体"/>
          <w:color w:val="auto"/>
          <w:sz w:val="24"/>
          <w:szCs w:val="24"/>
          <w:highlight w:val="none"/>
        </w:rPr>
        <w:t>日</w:t>
      </w:r>
      <w:r>
        <w:rPr>
          <w:rFonts w:hint="eastAsia" w:ascii="宋体" w:hAnsi="宋体" w:cs="宋体"/>
          <w:color w:val="auto"/>
          <w:sz w:val="24"/>
          <w:szCs w:val="24"/>
          <w:highlight w:val="none"/>
          <w:u w:val="single"/>
        </w:rPr>
        <w:t>09</w:t>
      </w:r>
      <w:r>
        <w:rPr>
          <w:rFonts w:hint="eastAsia" w:ascii="宋体" w:hAnsi="宋体" w:cs="宋体"/>
          <w:color w:val="auto"/>
          <w:sz w:val="24"/>
          <w:szCs w:val="24"/>
          <w:highlight w:val="none"/>
        </w:rPr>
        <w:t>时</w:t>
      </w:r>
      <w:r>
        <w:rPr>
          <w:rFonts w:hint="eastAsia" w:ascii="宋体" w:hAnsi="宋体" w:cs="宋体"/>
          <w:color w:val="auto"/>
          <w:sz w:val="24"/>
          <w:szCs w:val="24"/>
          <w:highlight w:val="none"/>
          <w:u w:val="single"/>
        </w:rPr>
        <w:t>30</w:t>
      </w:r>
      <w:r>
        <w:rPr>
          <w:rFonts w:hint="eastAsia" w:ascii="宋体" w:hAnsi="宋体" w:cs="宋体"/>
          <w:color w:val="auto"/>
          <w:sz w:val="24"/>
          <w:szCs w:val="24"/>
          <w:highlight w:val="none"/>
        </w:rPr>
        <w:t>分</w:t>
      </w:r>
      <w:r>
        <w:rPr>
          <w:rFonts w:hint="eastAsia" w:ascii="宋体" w:hAnsi="宋体" w:cs="宋体"/>
          <w:bCs/>
          <w:color w:val="auto"/>
          <w:sz w:val="24"/>
          <w:szCs w:val="24"/>
          <w:highlight w:val="none"/>
        </w:rPr>
        <w:t>（北京时间）前递交投标文件</w:t>
      </w:r>
      <w:r>
        <w:rPr>
          <w:rFonts w:hint="eastAsia" w:ascii="宋体" w:hAnsi="宋体" w:cs="宋体"/>
          <w:color w:val="auto"/>
          <w:sz w:val="24"/>
          <w:szCs w:val="24"/>
          <w:highlight w:val="none"/>
        </w:rPr>
        <w:t>。</w:t>
      </w:r>
    </w:p>
    <w:p w14:paraId="664201FF">
      <w:pPr>
        <w:pStyle w:val="3"/>
        <w:keepNext w:val="0"/>
        <w:keepLines w:val="0"/>
        <w:spacing w:before="0" w:after="0" w:line="360" w:lineRule="auto"/>
        <w:rPr>
          <w:rFonts w:ascii="宋体" w:hAnsi="宋体" w:eastAsia="宋体" w:cs="宋体"/>
          <w:color w:val="auto"/>
          <w:sz w:val="28"/>
          <w:szCs w:val="28"/>
          <w:highlight w:val="none"/>
        </w:rPr>
      </w:pPr>
      <w:bookmarkStart w:id="8" w:name="_Toc1125"/>
      <w:bookmarkStart w:id="9" w:name="_Toc22852"/>
      <w:bookmarkStart w:id="10" w:name="_Toc35393790"/>
      <w:bookmarkStart w:id="11" w:name="_Toc35393621"/>
      <w:bookmarkStart w:id="12" w:name="_Toc28359002"/>
      <w:bookmarkStart w:id="13" w:name="_Toc1876"/>
      <w:bookmarkStart w:id="14" w:name="_Toc28359079"/>
      <w:bookmarkStart w:id="15" w:name="_Toc6467"/>
      <w:bookmarkStart w:id="16" w:name="_Toc16168"/>
      <w:bookmarkStart w:id="17" w:name="_Hlk24379207"/>
      <w:r>
        <w:rPr>
          <w:rFonts w:hint="eastAsia" w:ascii="宋体" w:hAnsi="宋体" w:eastAsia="宋体" w:cs="宋体"/>
          <w:color w:val="auto"/>
          <w:sz w:val="28"/>
          <w:szCs w:val="28"/>
          <w:highlight w:val="none"/>
        </w:rPr>
        <w:t>一、项目基本情况</w:t>
      </w:r>
      <w:bookmarkEnd w:id="8"/>
      <w:bookmarkEnd w:id="9"/>
      <w:bookmarkEnd w:id="10"/>
      <w:bookmarkEnd w:id="11"/>
      <w:bookmarkEnd w:id="12"/>
      <w:bookmarkEnd w:id="13"/>
      <w:bookmarkEnd w:id="14"/>
      <w:bookmarkEnd w:id="15"/>
      <w:bookmarkEnd w:id="16"/>
    </w:p>
    <w:p w14:paraId="6A7F84ED">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1.1项目编号：</w:t>
      </w:r>
      <w:r>
        <w:rPr>
          <w:rFonts w:hint="eastAsia" w:ascii="宋体" w:hAnsi="宋体" w:cs="宋体"/>
          <w:color w:val="auto"/>
          <w:sz w:val="24"/>
          <w:szCs w:val="24"/>
          <w:highlight w:val="none"/>
          <w:lang w:eastAsia="zh-CN"/>
        </w:rPr>
        <w:t>KMZC2025-G1-01361-YNXY-0043</w:t>
      </w:r>
    </w:p>
    <w:p w14:paraId="437B4EF8">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1.2项目名称：</w:t>
      </w:r>
      <w:r>
        <w:rPr>
          <w:rFonts w:hint="eastAsia" w:ascii="宋体" w:hAnsi="宋体" w:cs="宋体"/>
          <w:color w:val="auto"/>
          <w:sz w:val="24"/>
          <w:szCs w:val="24"/>
          <w:highlight w:val="none"/>
          <w:lang w:eastAsia="zh-CN"/>
        </w:rPr>
        <w:t>昆明铁道职业技术学院2025年物联网综合实训室建设（1标段 设备采购）</w:t>
      </w:r>
      <w:r>
        <w:rPr>
          <w:rFonts w:hint="eastAsia" w:ascii="宋体" w:hAnsi="宋体" w:cs="宋体"/>
          <w:color w:val="auto"/>
          <w:sz w:val="24"/>
          <w:szCs w:val="24"/>
          <w:highlight w:val="none"/>
        </w:rPr>
        <w:t>。</w:t>
      </w:r>
    </w:p>
    <w:bookmarkEnd w:id="17"/>
    <w:p w14:paraId="18C1B3C5">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1.3预算金额：</w:t>
      </w:r>
      <w:r>
        <w:rPr>
          <w:rFonts w:hint="eastAsia" w:ascii="宋体" w:hAnsi="宋体" w:cs="宋体"/>
          <w:color w:val="auto"/>
          <w:sz w:val="24"/>
          <w:szCs w:val="24"/>
          <w:highlight w:val="none"/>
          <w:lang w:val="en-US" w:eastAsia="zh-CN"/>
        </w:rPr>
        <w:t>186.2万元</w:t>
      </w:r>
      <w:r>
        <w:rPr>
          <w:rFonts w:hint="eastAsia" w:ascii="宋体" w:hAnsi="宋体" w:cs="宋体"/>
          <w:color w:val="auto"/>
          <w:sz w:val="24"/>
          <w:szCs w:val="24"/>
          <w:highlight w:val="none"/>
        </w:rPr>
        <w:t>。</w:t>
      </w:r>
    </w:p>
    <w:p w14:paraId="2928E07D">
      <w:pPr>
        <w:pStyle w:val="14"/>
        <w:ind w:firstLine="480" w:firstLineChars="200"/>
        <w:rPr>
          <w:rFonts w:ascii="宋体" w:hAnsi="宋体" w:cs="宋体"/>
          <w:color w:val="auto"/>
          <w:sz w:val="24"/>
          <w:highlight w:val="none"/>
        </w:rPr>
      </w:pPr>
      <w:r>
        <w:rPr>
          <w:rFonts w:hint="eastAsia" w:ascii="宋体" w:hAnsi="宋体" w:cs="宋体"/>
          <w:color w:val="auto"/>
          <w:sz w:val="24"/>
          <w:highlight w:val="none"/>
        </w:rPr>
        <w:t>1.4最高限价：（1）总价最高限价：</w:t>
      </w:r>
      <w:r>
        <w:rPr>
          <w:rFonts w:hint="eastAsia" w:ascii="宋体" w:hAnsi="宋体" w:cs="宋体"/>
          <w:color w:val="auto"/>
          <w:sz w:val="24"/>
          <w:szCs w:val="24"/>
          <w:highlight w:val="none"/>
          <w:lang w:val="en-US" w:eastAsia="zh-CN"/>
        </w:rPr>
        <w:t>182.2万元</w:t>
      </w:r>
      <w:r>
        <w:rPr>
          <w:rFonts w:hint="eastAsia" w:ascii="宋体" w:hAnsi="宋体" w:cs="宋体"/>
          <w:color w:val="auto"/>
          <w:sz w:val="24"/>
          <w:highlight w:val="none"/>
        </w:rPr>
        <w:t>；（2）分项报价时不得超过采购需求表中的预算单价。</w:t>
      </w:r>
    </w:p>
    <w:p w14:paraId="1979022C">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1.5采购需求：</w:t>
      </w:r>
    </w:p>
    <w:tbl>
      <w:tblPr>
        <w:tblStyle w:val="32"/>
        <w:tblpPr w:leftFromText="180" w:rightFromText="180" w:vertAnchor="text" w:horzAnchor="page" w:tblpX="1289" w:tblpY="415"/>
        <w:tblOverlap w:val="never"/>
        <w:tblW w:w="4769" w:type="pct"/>
        <w:tblInd w:w="0" w:type="dxa"/>
        <w:tblLayout w:type="autofit"/>
        <w:tblCellMar>
          <w:top w:w="0" w:type="dxa"/>
          <w:left w:w="108" w:type="dxa"/>
          <w:bottom w:w="0" w:type="dxa"/>
          <w:right w:w="108" w:type="dxa"/>
        </w:tblCellMar>
      </w:tblPr>
      <w:tblGrid>
        <w:gridCol w:w="741"/>
        <w:gridCol w:w="2410"/>
        <w:gridCol w:w="823"/>
        <w:gridCol w:w="1053"/>
        <w:gridCol w:w="1657"/>
        <w:gridCol w:w="1705"/>
        <w:gridCol w:w="1107"/>
      </w:tblGrid>
      <w:tr w14:paraId="254AE84C">
        <w:tblPrEx>
          <w:tblCellMar>
            <w:top w:w="0" w:type="dxa"/>
            <w:left w:w="108" w:type="dxa"/>
            <w:bottom w:w="0" w:type="dxa"/>
            <w:right w:w="108" w:type="dxa"/>
          </w:tblCellMar>
        </w:tblPrEx>
        <w:trPr>
          <w:trHeight w:val="1119" w:hRule="atLeast"/>
        </w:trPr>
        <w:tc>
          <w:tcPr>
            <w:tcW w:w="3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8C323">
            <w:pPr>
              <w:jc w:val="center"/>
              <w:textAlignment w:val="center"/>
              <w:rPr>
                <w:rFonts w:ascii="宋体" w:hAnsi="宋体" w:cs="宋体"/>
                <w:b/>
                <w:bCs/>
                <w:sz w:val="22"/>
                <w:szCs w:val="22"/>
              </w:rPr>
            </w:pPr>
            <w:r>
              <w:rPr>
                <w:rFonts w:hint="eastAsia" w:ascii="宋体" w:hAnsi="宋体" w:cs="宋体"/>
                <w:b/>
                <w:bCs/>
                <w:sz w:val="22"/>
                <w:szCs w:val="22"/>
                <w:lang w:bidi="ar"/>
              </w:rPr>
              <w:t>序号</w:t>
            </w:r>
          </w:p>
        </w:tc>
        <w:tc>
          <w:tcPr>
            <w:tcW w:w="1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667F1B">
            <w:pPr>
              <w:jc w:val="center"/>
              <w:textAlignment w:val="center"/>
              <w:rPr>
                <w:rFonts w:ascii="宋体" w:hAnsi="宋体" w:cs="宋体"/>
                <w:b/>
                <w:bCs/>
                <w:sz w:val="22"/>
                <w:szCs w:val="22"/>
              </w:rPr>
            </w:pPr>
            <w:r>
              <w:rPr>
                <w:rFonts w:hint="eastAsia" w:ascii="宋体" w:hAnsi="宋体" w:cs="宋体"/>
                <w:b/>
                <w:bCs/>
                <w:sz w:val="22"/>
                <w:szCs w:val="22"/>
                <w:lang w:bidi="ar"/>
              </w:rPr>
              <w:t>产品（项目）名称</w:t>
            </w: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FEFE44">
            <w:pPr>
              <w:jc w:val="center"/>
              <w:textAlignment w:val="center"/>
              <w:rPr>
                <w:rFonts w:ascii="宋体" w:hAnsi="宋体" w:cs="宋体"/>
                <w:b/>
                <w:bCs/>
                <w:sz w:val="22"/>
                <w:szCs w:val="22"/>
              </w:rPr>
            </w:pPr>
            <w:r>
              <w:rPr>
                <w:rFonts w:hint="eastAsia" w:ascii="宋体" w:hAnsi="宋体" w:cs="宋体"/>
                <w:b/>
                <w:bCs/>
                <w:sz w:val="22"/>
                <w:szCs w:val="22"/>
                <w:lang w:bidi="ar"/>
              </w:rPr>
              <w:t>数量</w:t>
            </w:r>
          </w:p>
        </w:tc>
        <w:tc>
          <w:tcPr>
            <w:tcW w:w="5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AA9E0D">
            <w:pPr>
              <w:jc w:val="center"/>
              <w:textAlignment w:val="center"/>
              <w:rPr>
                <w:rFonts w:ascii="宋体" w:hAnsi="宋体" w:cs="宋体"/>
                <w:b/>
                <w:bCs/>
                <w:sz w:val="22"/>
                <w:szCs w:val="22"/>
                <w:lang w:bidi="ar"/>
              </w:rPr>
            </w:pPr>
            <w:r>
              <w:rPr>
                <w:rFonts w:hint="eastAsia" w:ascii="宋体" w:hAnsi="宋体" w:cs="宋体"/>
                <w:b/>
                <w:bCs/>
                <w:sz w:val="22"/>
                <w:szCs w:val="22"/>
                <w:lang w:bidi="ar"/>
              </w:rPr>
              <w:t>计量</w:t>
            </w:r>
          </w:p>
          <w:p w14:paraId="17E03BFD">
            <w:pPr>
              <w:jc w:val="center"/>
              <w:textAlignment w:val="center"/>
              <w:rPr>
                <w:rFonts w:ascii="宋体" w:hAnsi="宋体" w:cs="宋体"/>
                <w:b/>
                <w:bCs/>
                <w:sz w:val="22"/>
                <w:szCs w:val="22"/>
              </w:rPr>
            </w:pPr>
            <w:r>
              <w:rPr>
                <w:rFonts w:hint="eastAsia" w:ascii="宋体" w:hAnsi="宋体" w:cs="宋体"/>
                <w:b/>
                <w:bCs/>
                <w:sz w:val="22"/>
                <w:szCs w:val="22"/>
                <w:lang w:bidi="ar"/>
              </w:rPr>
              <w:t>单位</w:t>
            </w:r>
          </w:p>
        </w:tc>
        <w:tc>
          <w:tcPr>
            <w:tcW w:w="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B9AD59">
            <w:pPr>
              <w:jc w:val="center"/>
              <w:textAlignment w:val="center"/>
              <w:rPr>
                <w:rFonts w:ascii="宋体" w:hAnsi="宋体" w:cs="宋体"/>
                <w:b/>
                <w:bCs/>
                <w:sz w:val="22"/>
                <w:szCs w:val="22"/>
                <w:lang w:bidi="ar"/>
              </w:rPr>
            </w:pPr>
            <w:r>
              <w:rPr>
                <w:rFonts w:hint="eastAsia" w:ascii="宋体" w:hAnsi="宋体" w:cs="宋体"/>
                <w:b/>
                <w:bCs/>
                <w:sz w:val="22"/>
                <w:szCs w:val="22"/>
                <w:lang w:bidi="ar"/>
              </w:rPr>
              <w:t>预算单价</w:t>
            </w:r>
          </w:p>
          <w:p w14:paraId="43A2F06D">
            <w:pPr>
              <w:jc w:val="center"/>
              <w:textAlignment w:val="center"/>
              <w:rPr>
                <w:rFonts w:ascii="宋体" w:hAnsi="宋体" w:cs="宋体"/>
                <w:b/>
                <w:bCs/>
                <w:sz w:val="22"/>
                <w:szCs w:val="22"/>
              </w:rPr>
            </w:pPr>
            <w:r>
              <w:rPr>
                <w:rFonts w:hint="eastAsia" w:ascii="宋体" w:hAnsi="宋体" w:cs="宋体"/>
                <w:b/>
                <w:bCs/>
                <w:sz w:val="22"/>
                <w:szCs w:val="22"/>
                <w:lang w:bidi="ar"/>
              </w:rPr>
              <w:t>（元）</w:t>
            </w:r>
          </w:p>
        </w:tc>
        <w:tc>
          <w:tcPr>
            <w:tcW w:w="8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167432">
            <w:pPr>
              <w:jc w:val="center"/>
              <w:textAlignment w:val="center"/>
              <w:rPr>
                <w:rFonts w:ascii="宋体" w:hAnsi="宋体" w:cs="宋体"/>
                <w:b/>
                <w:bCs/>
                <w:sz w:val="22"/>
                <w:szCs w:val="22"/>
                <w:lang w:bidi="ar"/>
              </w:rPr>
            </w:pPr>
            <w:r>
              <w:rPr>
                <w:rFonts w:hint="eastAsia" w:ascii="宋体" w:hAnsi="宋体" w:cs="宋体"/>
                <w:b/>
                <w:bCs/>
                <w:sz w:val="22"/>
                <w:szCs w:val="22"/>
                <w:lang w:bidi="ar"/>
              </w:rPr>
              <w:t>金额</w:t>
            </w:r>
          </w:p>
          <w:p w14:paraId="7D74A2D9">
            <w:pPr>
              <w:jc w:val="center"/>
              <w:textAlignment w:val="center"/>
              <w:rPr>
                <w:rFonts w:ascii="宋体" w:hAnsi="宋体" w:cs="宋体"/>
                <w:b/>
                <w:bCs/>
                <w:sz w:val="22"/>
                <w:szCs w:val="22"/>
              </w:rPr>
            </w:pPr>
            <w:r>
              <w:rPr>
                <w:rFonts w:hint="eastAsia" w:ascii="宋体" w:hAnsi="宋体" w:cs="宋体"/>
                <w:b/>
                <w:bCs/>
                <w:sz w:val="22"/>
                <w:szCs w:val="22"/>
                <w:lang w:bidi="ar"/>
              </w:rPr>
              <w:t>（元）</w:t>
            </w:r>
          </w:p>
        </w:tc>
        <w:tc>
          <w:tcPr>
            <w:tcW w:w="5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659248">
            <w:pPr>
              <w:jc w:val="center"/>
              <w:textAlignment w:val="center"/>
              <w:rPr>
                <w:rFonts w:ascii="宋体" w:hAnsi="宋体" w:cs="宋体"/>
                <w:b/>
                <w:bCs/>
                <w:sz w:val="22"/>
                <w:szCs w:val="22"/>
              </w:rPr>
            </w:pPr>
            <w:r>
              <w:rPr>
                <w:rFonts w:hint="eastAsia" w:ascii="宋体" w:hAnsi="宋体" w:cs="宋体"/>
                <w:b/>
                <w:bCs/>
                <w:sz w:val="22"/>
                <w:szCs w:val="22"/>
                <w:lang w:bidi="ar"/>
              </w:rPr>
              <w:t>是否接受进口产品</w:t>
            </w:r>
          </w:p>
        </w:tc>
      </w:tr>
      <w:tr w14:paraId="56E50615">
        <w:tblPrEx>
          <w:tblCellMar>
            <w:top w:w="0" w:type="dxa"/>
            <w:left w:w="108" w:type="dxa"/>
            <w:bottom w:w="0" w:type="dxa"/>
            <w:right w:w="108" w:type="dxa"/>
          </w:tblCellMar>
        </w:tblPrEx>
        <w:trPr>
          <w:trHeight w:val="753" w:hRule="atLeast"/>
        </w:trPr>
        <w:tc>
          <w:tcPr>
            <w:tcW w:w="3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BD525F">
            <w:pPr>
              <w:jc w:val="center"/>
              <w:textAlignment w:val="center"/>
              <w:rPr>
                <w:rFonts w:ascii="宋体" w:hAnsi="宋体" w:cs="宋体"/>
                <w:sz w:val="22"/>
                <w:szCs w:val="22"/>
              </w:rPr>
            </w:pPr>
            <w:r>
              <w:rPr>
                <w:rFonts w:hint="eastAsia" w:ascii="宋体" w:hAnsi="宋体" w:cs="宋体"/>
                <w:sz w:val="22"/>
                <w:szCs w:val="22"/>
                <w:lang w:bidi="ar"/>
              </w:rPr>
              <w:t>1</w:t>
            </w:r>
          </w:p>
        </w:tc>
        <w:tc>
          <w:tcPr>
            <w:tcW w:w="1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3C6AEA">
            <w:pPr>
              <w:jc w:val="center"/>
              <w:textAlignment w:val="center"/>
              <w:rPr>
                <w:rFonts w:ascii="宋体" w:hAnsi="宋体" w:cs="宋体"/>
                <w:sz w:val="22"/>
                <w:szCs w:val="22"/>
              </w:rPr>
            </w:pPr>
            <w:r>
              <w:rPr>
                <w:rFonts w:hint="eastAsia" w:ascii="宋体" w:hAnsi="宋体" w:cs="宋体"/>
                <w:sz w:val="22"/>
                <w:szCs w:val="22"/>
              </w:rPr>
              <w:t>物联网全栈智能应用实训套装</w:t>
            </w: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02D9FB">
            <w:pPr>
              <w:jc w:val="center"/>
              <w:textAlignment w:val="center"/>
              <w:rPr>
                <w:rFonts w:hint="eastAsia" w:ascii="宋体" w:hAnsi="宋体" w:eastAsia="宋体" w:cs="宋体"/>
                <w:sz w:val="22"/>
                <w:szCs w:val="22"/>
                <w:lang w:eastAsia="zh-CN"/>
              </w:rPr>
            </w:pPr>
            <w:r>
              <w:rPr>
                <w:rFonts w:hint="eastAsia" w:ascii="宋体" w:hAnsi="宋体" w:cs="宋体"/>
                <w:sz w:val="22"/>
                <w:szCs w:val="22"/>
                <w:lang w:val="en-US" w:eastAsia="zh-CN" w:bidi="ar"/>
              </w:rPr>
              <w:t>4</w:t>
            </w:r>
          </w:p>
        </w:tc>
        <w:tc>
          <w:tcPr>
            <w:tcW w:w="5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77A52D">
            <w:pPr>
              <w:jc w:val="center"/>
              <w:textAlignment w:val="center"/>
              <w:rPr>
                <w:rFonts w:ascii="宋体" w:hAnsi="宋体" w:cs="宋体"/>
                <w:sz w:val="22"/>
                <w:szCs w:val="22"/>
              </w:rPr>
            </w:pPr>
            <w:r>
              <w:rPr>
                <w:rFonts w:hint="eastAsia" w:ascii="宋体" w:hAnsi="宋体" w:cs="宋体"/>
                <w:sz w:val="22"/>
                <w:szCs w:val="22"/>
                <w:lang w:bidi="ar"/>
              </w:rPr>
              <w:t>套</w:t>
            </w:r>
          </w:p>
        </w:tc>
        <w:tc>
          <w:tcPr>
            <w:tcW w:w="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76A065">
            <w:pPr>
              <w:pStyle w:val="116"/>
              <w:ind w:firstLine="0" w:firstLineChars="0"/>
              <w:jc w:val="center"/>
              <w:rPr>
                <w:rFonts w:ascii="宋体" w:hAnsi="宋体" w:eastAsia="宋体" w:cs="宋体"/>
                <w:kern w:val="0"/>
                <w:sz w:val="22"/>
                <w:szCs w:val="22"/>
                <w:lang w:val="zh-CN" w:eastAsia="zh-CN" w:bidi="ar-SA"/>
              </w:rPr>
            </w:pPr>
            <w:r>
              <w:rPr>
                <w:rFonts w:hint="eastAsia" w:ascii="宋体" w:hAnsi="宋体" w:eastAsia="宋体" w:cs="宋体"/>
                <w:kern w:val="0"/>
                <w:sz w:val="22"/>
                <w:szCs w:val="22"/>
                <w:lang w:val="zh-CN" w:eastAsia="zh-CN" w:bidi="ar-SA"/>
              </w:rPr>
              <w:t>270000</w:t>
            </w:r>
          </w:p>
        </w:tc>
        <w:tc>
          <w:tcPr>
            <w:tcW w:w="8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63E32D">
            <w:pPr>
              <w:jc w:val="center"/>
              <w:textAlignment w:val="center"/>
              <w:rPr>
                <w:rFonts w:ascii="宋体" w:hAnsi="宋体" w:cs="宋体"/>
                <w:sz w:val="22"/>
                <w:szCs w:val="22"/>
              </w:rPr>
            </w:pPr>
            <w:r>
              <w:rPr>
                <w:rFonts w:hint="eastAsia" w:ascii="宋体" w:hAnsi="宋体" w:cs="宋体"/>
                <w:sz w:val="22"/>
                <w:szCs w:val="22"/>
              </w:rPr>
              <w:t>1080000</w:t>
            </w:r>
          </w:p>
        </w:tc>
        <w:tc>
          <w:tcPr>
            <w:tcW w:w="5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DB90C5">
            <w:pPr>
              <w:jc w:val="center"/>
              <w:textAlignment w:val="center"/>
              <w:rPr>
                <w:rFonts w:ascii="宋体" w:hAnsi="宋体" w:cs="宋体"/>
                <w:sz w:val="22"/>
                <w:szCs w:val="22"/>
              </w:rPr>
            </w:pPr>
            <w:r>
              <w:rPr>
                <w:rFonts w:hint="eastAsia" w:ascii="宋体" w:hAnsi="宋体" w:cs="宋体"/>
                <w:sz w:val="22"/>
                <w:szCs w:val="22"/>
                <w:lang w:bidi="ar"/>
              </w:rPr>
              <w:t>否</w:t>
            </w:r>
          </w:p>
        </w:tc>
      </w:tr>
      <w:tr w14:paraId="4DF5266E">
        <w:tblPrEx>
          <w:tblCellMar>
            <w:top w:w="0" w:type="dxa"/>
            <w:left w:w="108" w:type="dxa"/>
            <w:bottom w:w="0" w:type="dxa"/>
            <w:right w:w="108" w:type="dxa"/>
          </w:tblCellMar>
        </w:tblPrEx>
        <w:trPr>
          <w:trHeight w:val="753" w:hRule="atLeast"/>
        </w:trPr>
        <w:tc>
          <w:tcPr>
            <w:tcW w:w="3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5C8DCD">
            <w:pPr>
              <w:jc w:val="center"/>
              <w:textAlignment w:val="center"/>
              <w:rPr>
                <w:rFonts w:hint="eastAsia" w:ascii="宋体" w:hAnsi="宋体" w:eastAsia="宋体" w:cs="宋体"/>
                <w:sz w:val="22"/>
                <w:szCs w:val="22"/>
                <w:lang w:val="en-US" w:eastAsia="zh-CN" w:bidi="ar"/>
              </w:rPr>
            </w:pPr>
            <w:r>
              <w:rPr>
                <w:rFonts w:hint="eastAsia" w:ascii="宋体" w:hAnsi="宋体" w:cs="宋体"/>
                <w:sz w:val="22"/>
                <w:szCs w:val="22"/>
                <w:lang w:val="en-US" w:eastAsia="zh-CN" w:bidi="ar"/>
              </w:rPr>
              <w:t>2</w:t>
            </w:r>
          </w:p>
        </w:tc>
        <w:tc>
          <w:tcPr>
            <w:tcW w:w="1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4492E3">
            <w:pPr>
              <w:jc w:val="center"/>
              <w:textAlignment w:val="center"/>
              <w:rPr>
                <w:rFonts w:hint="eastAsia" w:ascii="宋体" w:hAnsi="宋体" w:cs="宋体"/>
                <w:sz w:val="22"/>
                <w:szCs w:val="22"/>
              </w:rPr>
            </w:pPr>
            <w:r>
              <w:rPr>
                <w:rFonts w:hint="eastAsia" w:ascii="宋体" w:hAnsi="宋体" w:cs="宋体"/>
                <w:sz w:val="22"/>
                <w:szCs w:val="22"/>
              </w:rPr>
              <w:t>物联网全栈实训精品教学资源</w:t>
            </w: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840FD6">
            <w:pPr>
              <w:jc w:val="center"/>
              <w:textAlignment w:val="center"/>
              <w:rPr>
                <w:rFonts w:hint="default" w:ascii="宋体" w:hAnsi="宋体" w:cs="宋体"/>
                <w:sz w:val="22"/>
                <w:szCs w:val="22"/>
                <w:lang w:val="en-US" w:eastAsia="zh-CN" w:bidi="ar"/>
              </w:rPr>
            </w:pPr>
            <w:r>
              <w:rPr>
                <w:rFonts w:hint="eastAsia" w:ascii="宋体" w:hAnsi="宋体" w:cs="宋体"/>
                <w:sz w:val="22"/>
                <w:szCs w:val="22"/>
                <w:lang w:val="en-US" w:eastAsia="zh-CN" w:bidi="ar"/>
              </w:rPr>
              <w:t>1</w:t>
            </w:r>
          </w:p>
        </w:tc>
        <w:tc>
          <w:tcPr>
            <w:tcW w:w="5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5F3A2E">
            <w:pPr>
              <w:jc w:val="center"/>
              <w:textAlignment w:val="center"/>
              <w:rPr>
                <w:rFonts w:hint="eastAsia" w:ascii="宋体" w:hAnsi="宋体" w:cs="宋体"/>
                <w:sz w:val="22"/>
                <w:szCs w:val="22"/>
                <w:lang w:bidi="ar"/>
              </w:rPr>
            </w:pPr>
            <w:r>
              <w:rPr>
                <w:rFonts w:hint="eastAsia" w:ascii="宋体" w:hAnsi="宋体" w:cs="宋体"/>
                <w:sz w:val="22"/>
                <w:szCs w:val="22"/>
                <w:lang w:bidi="ar"/>
              </w:rPr>
              <w:t>套</w:t>
            </w:r>
          </w:p>
        </w:tc>
        <w:tc>
          <w:tcPr>
            <w:tcW w:w="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5155A3">
            <w:pPr>
              <w:pStyle w:val="116"/>
              <w:ind w:firstLine="0" w:firstLineChars="0"/>
              <w:jc w:val="center"/>
              <w:rPr>
                <w:rFonts w:hint="eastAsia" w:ascii="宋体" w:hAnsi="宋体" w:eastAsia="宋体" w:cs="宋体"/>
                <w:kern w:val="0"/>
                <w:sz w:val="22"/>
                <w:szCs w:val="22"/>
                <w:lang w:val="zh-CN" w:eastAsia="zh-CN" w:bidi="ar-SA"/>
              </w:rPr>
            </w:pPr>
            <w:r>
              <w:rPr>
                <w:rFonts w:hint="eastAsia" w:ascii="宋体" w:hAnsi="宋体" w:eastAsia="宋体" w:cs="宋体"/>
                <w:kern w:val="0"/>
                <w:sz w:val="22"/>
                <w:szCs w:val="22"/>
                <w:lang w:val="zh-CN" w:eastAsia="zh-CN" w:bidi="ar-SA"/>
              </w:rPr>
              <w:t>120000</w:t>
            </w:r>
          </w:p>
        </w:tc>
        <w:tc>
          <w:tcPr>
            <w:tcW w:w="8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7FE1BB">
            <w:pPr>
              <w:jc w:val="center"/>
              <w:textAlignment w:val="center"/>
              <w:rPr>
                <w:rFonts w:hint="eastAsia" w:ascii="宋体" w:hAnsi="宋体" w:cs="宋体"/>
                <w:sz w:val="22"/>
                <w:szCs w:val="22"/>
              </w:rPr>
            </w:pPr>
            <w:r>
              <w:rPr>
                <w:rFonts w:hint="eastAsia" w:ascii="宋体" w:hAnsi="宋体" w:cs="宋体"/>
                <w:sz w:val="22"/>
                <w:szCs w:val="22"/>
                <w:lang w:val="zh-CN" w:eastAsia="zh-CN"/>
              </w:rPr>
              <w:t>120000</w:t>
            </w:r>
          </w:p>
        </w:tc>
        <w:tc>
          <w:tcPr>
            <w:tcW w:w="5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E4CC73">
            <w:pPr>
              <w:jc w:val="center"/>
              <w:textAlignment w:val="center"/>
              <w:rPr>
                <w:rFonts w:hint="eastAsia" w:ascii="宋体" w:hAnsi="宋体" w:cs="宋体"/>
                <w:sz w:val="22"/>
                <w:szCs w:val="22"/>
                <w:lang w:bidi="ar"/>
              </w:rPr>
            </w:pPr>
            <w:r>
              <w:rPr>
                <w:rFonts w:hint="eastAsia" w:ascii="宋体" w:hAnsi="宋体" w:cs="宋体"/>
                <w:sz w:val="22"/>
                <w:szCs w:val="22"/>
                <w:lang w:bidi="ar"/>
              </w:rPr>
              <w:t>否</w:t>
            </w:r>
          </w:p>
        </w:tc>
      </w:tr>
      <w:tr w14:paraId="27E27A4C">
        <w:tblPrEx>
          <w:tblCellMar>
            <w:top w:w="0" w:type="dxa"/>
            <w:left w:w="108" w:type="dxa"/>
            <w:bottom w:w="0" w:type="dxa"/>
            <w:right w:w="108" w:type="dxa"/>
          </w:tblCellMar>
        </w:tblPrEx>
        <w:trPr>
          <w:trHeight w:val="753" w:hRule="atLeast"/>
        </w:trPr>
        <w:tc>
          <w:tcPr>
            <w:tcW w:w="3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362CF2">
            <w:pPr>
              <w:jc w:val="center"/>
              <w:textAlignment w:val="center"/>
              <w:rPr>
                <w:rFonts w:hint="eastAsia" w:ascii="宋体" w:hAnsi="宋体" w:eastAsia="宋体" w:cs="宋体"/>
                <w:sz w:val="22"/>
                <w:szCs w:val="22"/>
                <w:lang w:eastAsia="zh-CN"/>
              </w:rPr>
            </w:pPr>
            <w:r>
              <w:rPr>
                <w:rFonts w:hint="eastAsia" w:ascii="宋体" w:hAnsi="宋体" w:cs="宋体"/>
                <w:sz w:val="22"/>
                <w:szCs w:val="22"/>
                <w:lang w:val="en-US" w:eastAsia="zh-CN" w:bidi="ar"/>
              </w:rPr>
              <w:t>3</w:t>
            </w:r>
          </w:p>
        </w:tc>
        <w:tc>
          <w:tcPr>
            <w:tcW w:w="1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F78FE8">
            <w:pPr>
              <w:jc w:val="center"/>
              <w:textAlignment w:val="center"/>
              <w:rPr>
                <w:rFonts w:ascii="宋体" w:hAnsi="宋体" w:cs="宋体"/>
                <w:sz w:val="22"/>
                <w:szCs w:val="22"/>
              </w:rPr>
            </w:pPr>
            <w:r>
              <w:rPr>
                <w:rFonts w:hint="eastAsia" w:ascii="宋体" w:hAnsi="宋体" w:cs="宋体"/>
                <w:sz w:val="22"/>
                <w:szCs w:val="22"/>
              </w:rPr>
              <w:t>物联网工程实施与运维实训套装</w:t>
            </w: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3A9E64">
            <w:pPr>
              <w:jc w:val="center"/>
              <w:textAlignment w:val="center"/>
              <w:rPr>
                <w:rFonts w:ascii="宋体" w:hAnsi="宋体" w:cs="宋体"/>
                <w:sz w:val="22"/>
                <w:szCs w:val="22"/>
              </w:rPr>
            </w:pPr>
            <w:r>
              <w:rPr>
                <w:rFonts w:hint="eastAsia" w:ascii="宋体" w:hAnsi="宋体" w:cs="宋体"/>
                <w:sz w:val="22"/>
                <w:szCs w:val="22"/>
                <w:lang w:val="en-US" w:eastAsia="zh-CN" w:bidi="ar"/>
              </w:rPr>
              <w:t>4</w:t>
            </w:r>
          </w:p>
        </w:tc>
        <w:tc>
          <w:tcPr>
            <w:tcW w:w="5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14391E">
            <w:pPr>
              <w:jc w:val="center"/>
              <w:textAlignment w:val="center"/>
              <w:rPr>
                <w:rFonts w:ascii="宋体" w:hAnsi="宋体" w:cs="宋体"/>
                <w:sz w:val="22"/>
                <w:szCs w:val="22"/>
              </w:rPr>
            </w:pPr>
            <w:r>
              <w:rPr>
                <w:rFonts w:hint="eastAsia" w:ascii="宋体" w:hAnsi="宋体" w:cs="宋体"/>
                <w:sz w:val="22"/>
                <w:szCs w:val="22"/>
                <w:lang w:bidi="ar"/>
              </w:rPr>
              <w:t>套</w:t>
            </w:r>
          </w:p>
        </w:tc>
        <w:tc>
          <w:tcPr>
            <w:tcW w:w="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5E8CAA">
            <w:pPr>
              <w:jc w:val="center"/>
              <w:textAlignment w:val="center"/>
              <w:rPr>
                <w:rFonts w:ascii="宋体" w:hAnsi="宋体" w:cs="宋体"/>
                <w:sz w:val="22"/>
                <w:szCs w:val="22"/>
              </w:rPr>
            </w:pPr>
            <w:r>
              <w:rPr>
                <w:rFonts w:hint="eastAsia" w:ascii="宋体" w:hAnsi="宋体" w:cs="宋体"/>
                <w:sz w:val="22"/>
                <w:szCs w:val="22"/>
              </w:rPr>
              <w:t>97000</w:t>
            </w:r>
          </w:p>
        </w:tc>
        <w:tc>
          <w:tcPr>
            <w:tcW w:w="8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B51480">
            <w:pPr>
              <w:jc w:val="center"/>
              <w:textAlignment w:val="center"/>
              <w:rPr>
                <w:rFonts w:ascii="宋体" w:hAnsi="宋体" w:cs="宋体"/>
                <w:sz w:val="22"/>
                <w:szCs w:val="22"/>
              </w:rPr>
            </w:pPr>
            <w:r>
              <w:rPr>
                <w:rFonts w:hint="eastAsia" w:ascii="宋体" w:hAnsi="宋体" w:cs="宋体"/>
                <w:sz w:val="22"/>
                <w:szCs w:val="22"/>
              </w:rPr>
              <w:t>388000</w:t>
            </w:r>
          </w:p>
        </w:tc>
        <w:tc>
          <w:tcPr>
            <w:tcW w:w="5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659AED">
            <w:pPr>
              <w:jc w:val="center"/>
              <w:textAlignment w:val="center"/>
              <w:rPr>
                <w:rFonts w:ascii="宋体" w:hAnsi="宋体" w:cs="宋体"/>
                <w:sz w:val="22"/>
                <w:szCs w:val="22"/>
              </w:rPr>
            </w:pPr>
            <w:r>
              <w:rPr>
                <w:rFonts w:hint="eastAsia" w:ascii="宋体" w:hAnsi="宋体" w:cs="宋体"/>
                <w:sz w:val="22"/>
                <w:szCs w:val="22"/>
                <w:lang w:bidi="ar"/>
              </w:rPr>
              <w:t>否</w:t>
            </w:r>
          </w:p>
        </w:tc>
      </w:tr>
      <w:tr w14:paraId="469EC785">
        <w:tblPrEx>
          <w:tblCellMar>
            <w:top w:w="0" w:type="dxa"/>
            <w:left w:w="108" w:type="dxa"/>
            <w:bottom w:w="0" w:type="dxa"/>
            <w:right w:w="108" w:type="dxa"/>
          </w:tblCellMar>
        </w:tblPrEx>
        <w:trPr>
          <w:trHeight w:val="753" w:hRule="atLeast"/>
        </w:trPr>
        <w:tc>
          <w:tcPr>
            <w:tcW w:w="3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6BB0AF">
            <w:pPr>
              <w:jc w:val="center"/>
              <w:textAlignment w:val="center"/>
              <w:rPr>
                <w:rFonts w:hint="default" w:ascii="宋体" w:hAnsi="宋体" w:cs="宋体"/>
                <w:sz w:val="22"/>
                <w:szCs w:val="22"/>
                <w:lang w:val="en-US" w:eastAsia="zh-CN" w:bidi="ar"/>
              </w:rPr>
            </w:pPr>
            <w:r>
              <w:rPr>
                <w:rFonts w:hint="eastAsia" w:ascii="宋体" w:hAnsi="宋体" w:cs="宋体"/>
                <w:sz w:val="22"/>
                <w:szCs w:val="22"/>
                <w:lang w:val="en-US" w:eastAsia="zh-CN" w:bidi="ar"/>
              </w:rPr>
              <w:t>4</w:t>
            </w:r>
          </w:p>
        </w:tc>
        <w:tc>
          <w:tcPr>
            <w:tcW w:w="1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258FB2">
            <w:pPr>
              <w:jc w:val="center"/>
              <w:textAlignment w:val="center"/>
              <w:rPr>
                <w:rFonts w:hint="eastAsia" w:ascii="宋体" w:hAnsi="宋体" w:cs="宋体"/>
                <w:sz w:val="22"/>
                <w:szCs w:val="22"/>
              </w:rPr>
            </w:pPr>
            <w:r>
              <w:rPr>
                <w:rFonts w:hint="eastAsia"/>
                <w:lang w:bidi="ar"/>
              </w:rPr>
              <w:t>《物联网设备装调与维护》教学资源</w:t>
            </w: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C741A7">
            <w:pPr>
              <w:jc w:val="center"/>
              <w:textAlignment w:val="center"/>
              <w:rPr>
                <w:rFonts w:hint="eastAsia" w:ascii="宋体" w:hAnsi="宋体" w:cs="宋体"/>
                <w:sz w:val="22"/>
                <w:szCs w:val="22"/>
                <w:lang w:val="en-US" w:eastAsia="zh-CN" w:bidi="ar"/>
              </w:rPr>
            </w:pPr>
            <w:r>
              <w:rPr>
                <w:rFonts w:hint="eastAsia" w:ascii="宋体" w:hAnsi="宋体" w:cs="宋体"/>
                <w:sz w:val="22"/>
                <w:szCs w:val="22"/>
                <w:lang w:val="en-US" w:eastAsia="zh-CN" w:bidi="ar"/>
              </w:rPr>
              <w:t>1</w:t>
            </w:r>
          </w:p>
        </w:tc>
        <w:tc>
          <w:tcPr>
            <w:tcW w:w="5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C2FA19">
            <w:pPr>
              <w:jc w:val="center"/>
              <w:textAlignment w:val="center"/>
              <w:rPr>
                <w:rFonts w:hint="eastAsia" w:ascii="宋体" w:hAnsi="宋体" w:cs="宋体"/>
                <w:sz w:val="22"/>
                <w:szCs w:val="22"/>
                <w:lang w:bidi="ar"/>
              </w:rPr>
            </w:pPr>
            <w:r>
              <w:rPr>
                <w:rFonts w:hint="eastAsia" w:ascii="宋体" w:hAnsi="宋体" w:cs="宋体"/>
                <w:sz w:val="22"/>
                <w:szCs w:val="22"/>
                <w:lang w:bidi="ar"/>
              </w:rPr>
              <w:t>套</w:t>
            </w:r>
          </w:p>
        </w:tc>
        <w:tc>
          <w:tcPr>
            <w:tcW w:w="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E89B02">
            <w:pPr>
              <w:jc w:val="center"/>
              <w:textAlignment w:val="center"/>
              <w:rPr>
                <w:rFonts w:hint="eastAsia" w:ascii="宋体" w:hAnsi="宋体" w:cs="宋体"/>
                <w:sz w:val="22"/>
                <w:szCs w:val="22"/>
              </w:rPr>
            </w:pPr>
            <w:r>
              <w:rPr>
                <w:rFonts w:hint="eastAsia" w:ascii="宋体" w:hAnsi="宋体" w:cs="宋体"/>
                <w:sz w:val="22"/>
                <w:szCs w:val="22"/>
              </w:rPr>
              <w:t>78000</w:t>
            </w:r>
          </w:p>
        </w:tc>
        <w:tc>
          <w:tcPr>
            <w:tcW w:w="8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FABA47">
            <w:pPr>
              <w:jc w:val="center"/>
              <w:textAlignment w:val="center"/>
              <w:rPr>
                <w:rFonts w:hint="eastAsia" w:ascii="宋体" w:hAnsi="宋体" w:cs="宋体"/>
                <w:sz w:val="22"/>
                <w:szCs w:val="22"/>
              </w:rPr>
            </w:pPr>
            <w:r>
              <w:rPr>
                <w:rFonts w:hint="eastAsia" w:ascii="宋体" w:hAnsi="宋体" w:cs="宋体"/>
                <w:sz w:val="22"/>
                <w:szCs w:val="22"/>
              </w:rPr>
              <w:t>78000</w:t>
            </w:r>
          </w:p>
        </w:tc>
        <w:tc>
          <w:tcPr>
            <w:tcW w:w="5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5E9164">
            <w:pPr>
              <w:jc w:val="center"/>
              <w:textAlignment w:val="center"/>
              <w:rPr>
                <w:rFonts w:hint="eastAsia" w:ascii="宋体" w:hAnsi="宋体" w:cs="宋体"/>
                <w:sz w:val="22"/>
                <w:szCs w:val="22"/>
                <w:lang w:bidi="ar"/>
              </w:rPr>
            </w:pPr>
            <w:r>
              <w:rPr>
                <w:rFonts w:hint="eastAsia" w:ascii="宋体" w:hAnsi="宋体" w:cs="宋体"/>
                <w:sz w:val="22"/>
                <w:szCs w:val="22"/>
                <w:lang w:bidi="ar"/>
              </w:rPr>
              <w:t>否</w:t>
            </w:r>
          </w:p>
        </w:tc>
      </w:tr>
      <w:tr w14:paraId="1018860B">
        <w:tblPrEx>
          <w:tblCellMar>
            <w:top w:w="0" w:type="dxa"/>
            <w:left w:w="108" w:type="dxa"/>
            <w:bottom w:w="0" w:type="dxa"/>
            <w:right w:w="108" w:type="dxa"/>
          </w:tblCellMar>
        </w:tblPrEx>
        <w:trPr>
          <w:trHeight w:val="753" w:hRule="atLeast"/>
        </w:trPr>
        <w:tc>
          <w:tcPr>
            <w:tcW w:w="3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EBD254">
            <w:pPr>
              <w:jc w:val="center"/>
              <w:textAlignment w:val="center"/>
              <w:rPr>
                <w:rFonts w:hint="default" w:ascii="宋体" w:hAnsi="宋体" w:cs="宋体"/>
                <w:sz w:val="22"/>
                <w:szCs w:val="22"/>
                <w:lang w:val="en-US" w:eastAsia="zh-CN" w:bidi="ar"/>
              </w:rPr>
            </w:pPr>
            <w:r>
              <w:rPr>
                <w:rFonts w:hint="eastAsia" w:ascii="宋体" w:hAnsi="宋体" w:cs="宋体"/>
                <w:sz w:val="22"/>
                <w:szCs w:val="22"/>
                <w:lang w:val="en-US" w:eastAsia="zh-CN" w:bidi="ar"/>
              </w:rPr>
              <w:t>5</w:t>
            </w:r>
          </w:p>
        </w:tc>
        <w:tc>
          <w:tcPr>
            <w:tcW w:w="1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2E884F">
            <w:pPr>
              <w:jc w:val="center"/>
              <w:textAlignment w:val="center"/>
              <w:rPr>
                <w:rFonts w:hint="eastAsia"/>
                <w:lang w:bidi="ar"/>
              </w:rPr>
            </w:pPr>
            <w:r>
              <w:rPr>
                <w:rFonts w:hint="eastAsia"/>
                <w:lang w:bidi="ar"/>
              </w:rPr>
              <w:t>《物联网系统部署与运维》教学资源</w:t>
            </w: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4A8610">
            <w:pPr>
              <w:jc w:val="center"/>
              <w:textAlignment w:val="center"/>
              <w:rPr>
                <w:rFonts w:hint="eastAsia" w:ascii="宋体" w:hAnsi="宋体" w:cs="宋体"/>
                <w:sz w:val="22"/>
                <w:szCs w:val="22"/>
                <w:lang w:val="en-US" w:eastAsia="zh-CN" w:bidi="ar"/>
              </w:rPr>
            </w:pPr>
            <w:r>
              <w:rPr>
                <w:rFonts w:hint="eastAsia" w:ascii="宋体" w:hAnsi="宋体" w:cs="宋体"/>
                <w:sz w:val="22"/>
                <w:szCs w:val="22"/>
                <w:lang w:val="en-US" w:eastAsia="zh-CN" w:bidi="ar"/>
              </w:rPr>
              <w:t>1</w:t>
            </w:r>
          </w:p>
        </w:tc>
        <w:tc>
          <w:tcPr>
            <w:tcW w:w="5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ED10DC">
            <w:pPr>
              <w:jc w:val="center"/>
              <w:textAlignment w:val="center"/>
              <w:rPr>
                <w:rFonts w:hint="eastAsia" w:ascii="宋体" w:hAnsi="宋体" w:cs="宋体"/>
                <w:sz w:val="22"/>
                <w:szCs w:val="22"/>
                <w:lang w:bidi="ar"/>
              </w:rPr>
            </w:pPr>
            <w:r>
              <w:rPr>
                <w:rFonts w:hint="eastAsia" w:ascii="宋体" w:hAnsi="宋体" w:cs="宋体"/>
                <w:sz w:val="22"/>
                <w:szCs w:val="22"/>
                <w:lang w:bidi="ar"/>
              </w:rPr>
              <w:t>套</w:t>
            </w:r>
          </w:p>
        </w:tc>
        <w:tc>
          <w:tcPr>
            <w:tcW w:w="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0D9CF3">
            <w:pPr>
              <w:jc w:val="center"/>
              <w:textAlignment w:val="center"/>
              <w:rPr>
                <w:rFonts w:hint="eastAsia" w:ascii="宋体" w:hAnsi="宋体" w:cs="宋体"/>
                <w:sz w:val="22"/>
                <w:szCs w:val="22"/>
              </w:rPr>
            </w:pPr>
            <w:r>
              <w:rPr>
                <w:rFonts w:hint="eastAsia" w:ascii="宋体" w:hAnsi="宋体" w:cs="宋体"/>
                <w:sz w:val="22"/>
                <w:szCs w:val="22"/>
              </w:rPr>
              <w:t>78000</w:t>
            </w:r>
          </w:p>
        </w:tc>
        <w:tc>
          <w:tcPr>
            <w:tcW w:w="8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A8CC86">
            <w:pPr>
              <w:jc w:val="center"/>
              <w:textAlignment w:val="center"/>
              <w:rPr>
                <w:rFonts w:hint="eastAsia" w:ascii="宋体" w:hAnsi="宋体" w:cs="宋体"/>
                <w:sz w:val="22"/>
                <w:szCs w:val="22"/>
              </w:rPr>
            </w:pPr>
            <w:r>
              <w:rPr>
                <w:rFonts w:hint="eastAsia" w:ascii="宋体" w:hAnsi="宋体" w:cs="宋体"/>
                <w:sz w:val="22"/>
                <w:szCs w:val="22"/>
              </w:rPr>
              <w:t>78000</w:t>
            </w:r>
          </w:p>
        </w:tc>
        <w:tc>
          <w:tcPr>
            <w:tcW w:w="5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E95F26">
            <w:pPr>
              <w:jc w:val="center"/>
              <w:textAlignment w:val="center"/>
              <w:rPr>
                <w:rFonts w:hint="eastAsia" w:ascii="宋体" w:hAnsi="宋体" w:cs="宋体"/>
                <w:sz w:val="22"/>
                <w:szCs w:val="22"/>
                <w:lang w:bidi="ar"/>
              </w:rPr>
            </w:pPr>
            <w:r>
              <w:rPr>
                <w:rFonts w:hint="eastAsia" w:ascii="宋体" w:hAnsi="宋体" w:cs="宋体"/>
                <w:sz w:val="22"/>
                <w:szCs w:val="22"/>
                <w:lang w:bidi="ar"/>
              </w:rPr>
              <w:t>否</w:t>
            </w:r>
          </w:p>
        </w:tc>
      </w:tr>
      <w:tr w14:paraId="192641CA">
        <w:tblPrEx>
          <w:tblCellMar>
            <w:top w:w="0" w:type="dxa"/>
            <w:left w:w="108" w:type="dxa"/>
            <w:bottom w:w="0" w:type="dxa"/>
            <w:right w:w="108" w:type="dxa"/>
          </w:tblCellMar>
        </w:tblPrEx>
        <w:trPr>
          <w:trHeight w:val="776" w:hRule="atLeast"/>
        </w:trPr>
        <w:tc>
          <w:tcPr>
            <w:tcW w:w="3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765B66">
            <w:pPr>
              <w:jc w:val="center"/>
              <w:textAlignment w:val="center"/>
              <w:rPr>
                <w:rFonts w:hint="default" w:ascii="宋体" w:hAnsi="宋体" w:cs="宋体"/>
                <w:sz w:val="22"/>
                <w:szCs w:val="22"/>
                <w:lang w:val="en-US" w:eastAsia="zh-CN" w:bidi="ar"/>
              </w:rPr>
            </w:pPr>
            <w:r>
              <w:rPr>
                <w:rFonts w:hint="eastAsia" w:ascii="宋体" w:hAnsi="宋体" w:cs="宋体"/>
                <w:sz w:val="22"/>
                <w:szCs w:val="22"/>
                <w:lang w:val="en-US" w:eastAsia="zh-CN" w:bidi="ar"/>
              </w:rPr>
              <w:t>6</w:t>
            </w:r>
          </w:p>
        </w:tc>
        <w:tc>
          <w:tcPr>
            <w:tcW w:w="1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DE793F">
            <w:pPr>
              <w:jc w:val="center"/>
              <w:textAlignment w:val="center"/>
              <w:rPr>
                <w:rFonts w:hint="eastAsia"/>
                <w:lang w:bidi="ar"/>
              </w:rPr>
            </w:pPr>
            <w:r>
              <w:rPr>
                <w:rFonts w:hint="eastAsia"/>
                <w:lang w:bidi="ar"/>
              </w:rPr>
              <w:t>《物联网工程设计与管理》教学资源</w:t>
            </w: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01A006">
            <w:pPr>
              <w:jc w:val="center"/>
              <w:textAlignment w:val="center"/>
              <w:rPr>
                <w:rFonts w:hint="default" w:ascii="宋体" w:hAnsi="宋体" w:cs="宋体"/>
                <w:sz w:val="22"/>
                <w:szCs w:val="22"/>
                <w:lang w:val="en-US" w:eastAsia="zh-CN" w:bidi="ar"/>
              </w:rPr>
            </w:pPr>
            <w:r>
              <w:rPr>
                <w:rFonts w:hint="eastAsia" w:ascii="宋体" w:hAnsi="宋体" w:cs="宋体"/>
                <w:sz w:val="22"/>
                <w:szCs w:val="22"/>
                <w:lang w:val="en-US" w:eastAsia="zh-CN" w:bidi="ar"/>
              </w:rPr>
              <w:t>1</w:t>
            </w:r>
          </w:p>
        </w:tc>
        <w:tc>
          <w:tcPr>
            <w:tcW w:w="5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536C86">
            <w:pPr>
              <w:jc w:val="center"/>
              <w:textAlignment w:val="center"/>
              <w:rPr>
                <w:rFonts w:hint="eastAsia" w:ascii="宋体" w:hAnsi="宋体" w:cs="宋体"/>
                <w:sz w:val="22"/>
                <w:szCs w:val="22"/>
                <w:lang w:bidi="ar"/>
              </w:rPr>
            </w:pPr>
            <w:r>
              <w:rPr>
                <w:rFonts w:hint="eastAsia" w:ascii="宋体" w:hAnsi="宋体" w:cs="宋体"/>
                <w:sz w:val="22"/>
                <w:szCs w:val="22"/>
                <w:lang w:bidi="ar"/>
              </w:rPr>
              <w:t>套</w:t>
            </w:r>
          </w:p>
        </w:tc>
        <w:tc>
          <w:tcPr>
            <w:tcW w:w="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7648F8">
            <w:pPr>
              <w:jc w:val="center"/>
              <w:textAlignment w:val="center"/>
              <w:rPr>
                <w:rFonts w:hint="eastAsia" w:ascii="宋体" w:hAnsi="宋体" w:cs="宋体"/>
                <w:sz w:val="22"/>
                <w:szCs w:val="22"/>
              </w:rPr>
            </w:pPr>
            <w:r>
              <w:rPr>
                <w:rFonts w:hint="eastAsia" w:ascii="宋体" w:hAnsi="宋体" w:cs="宋体"/>
                <w:sz w:val="22"/>
                <w:szCs w:val="22"/>
              </w:rPr>
              <w:t>78000</w:t>
            </w:r>
          </w:p>
        </w:tc>
        <w:tc>
          <w:tcPr>
            <w:tcW w:w="8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88624F">
            <w:pPr>
              <w:jc w:val="center"/>
              <w:textAlignment w:val="center"/>
              <w:rPr>
                <w:rFonts w:hint="eastAsia" w:ascii="宋体" w:hAnsi="宋体" w:cs="宋体"/>
                <w:sz w:val="22"/>
                <w:szCs w:val="22"/>
              </w:rPr>
            </w:pPr>
            <w:r>
              <w:rPr>
                <w:rFonts w:hint="eastAsia" w:ascii="宋体" w:hAnsi="宋体" w:cs="宋体"/>
                <w:sz w:val="22"/>
                <w:szCs w:val="22"/>
              </w:rPr>
              <w:t>78000</w:t>
            </w:r>
          </w:p>
        </w:tc>
        <w:tc>
          <w:tcPr>
            <w:tcW w:w="5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EA325E">
            <w:pPr>
              <w:jc w:val="center"/>
              <w:textAlignment w:val="center"/>
              <w:rPr>
                <w:rFonts w:hint="eastAsia" w:ascii="宋体" w:hAnsi="宋体" w:cs="宋体"/>
                <w:sz w:val="22"/>
                <w:szCs w:val="22"/>
                <w:lang w:bidi="ar"/>
              </w:rPr>
            </w:pPr>
            <w:r>
              <w:rPr>
                <w:rFonts w:hint="eastAsia" w:ascii="宋体" w:hAnsi="宋体" w:cs="宋体"/>
                <w:sz w:val="22"/>
                <w:szCs w:val="22"/>
                <w:lang w:bidi="ar"/>
              </w:rPr>
              <w:t>否</w:t>
            </w:r>
          </w:p>
        </w:tc>
      </w:tr>
    </w:tbl>
    <w:p w14:paraId="3BDBDE66">
      <w:pPr>
        <w:pStyle w:val="14"/>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注：（1）投标人必须对所有</w:t>
      </w:r>
      <w:r>
        <w:rPr>
          <w:rFonts w:hint="eastAsia" w:ascii="宋体" w:hAnsi="宋体" w:cs="宋体"/>
          <w:b/>
          <w:bCs/>
          <w:color w:val="auto"/>
          <w:szCs w:val="21"/>
          <w:highlight w:val="none"/>
          <w:lang w:val="en-US" w:eastAsia="zh-CN"/>
        </w:rPr>
        <w:t>产品</w:t>
      </w:r>
      <w:r>
        <w:rPr>
          <w:rFonts w:hint="eastAsia" w:ascii="宋体" w:hAnsi="宋体" w:cs="宋体"/>
          <w:b/>
          <w:bCs/>
          <w:color w:val="auto"/>
          <w:szCs w:val="21"/>
          <w:highlight w:val="none"/>
        </w:rPr>
        <w:t>内容作出完整唯一的报价，不得缺项、漏项，否则投标文件将按废标处理。具体要求等详见本招标文件“第</w:t>
      </w:r>
      <w:r>
        <w:rPr>
          <w:rFonts w:hint="eastAsia" w:ascii="宋体" w:hAnsi="宋体" w:cs="宋体"/>
          <w:b/>
          <w:bCs/>
          <w:color w:val="auto"/>
          <w:szCs w:val="21"/>
          <w:highlight w:val="none"/>
          <w:lang w:val="en-US" w:eastAsia="zh-CN"/>
        </w:rPr>
        <w:t>六</w:t>
      </w:r>
      <w:r>
        <w:rPr>
          <w:rFonts w:hint="eastAsia" w:ascii="宋体" w:hAnsi="宋体" w:cs="宋体"/>
          <w:b/>
          <w:bCs/>
          <w:color w:val="auto"/>
          <w:szCs w:val="21"/>
          <w:highlight w:val="none"/>
        </w:rPr>
        <w:t>章 采购内容及要求”。</w:t>
      </w:r>
    </w:p>
    <w:p w14:paraId="5ED7085C">
      <w:pPr>
        <w:pStyle w:val="14"/>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（2）本项目</w:t>
      </w:r>
      <w:r>
        <w:rPr>
          <w:rFonts w:hint="eastAsia" w:ascii="宋体" w:hAnsi="宋体" w:cs="宋体"/>
          <w:b/>
          <w:bCs/>
          <w:color w:val="auto"/>
          <w:szCs w:val="21"/>
          <w:highlight w:val="none"/>
          <w:lang w:val="en-US" w:eastAsia="zh-CN"/>
        </w:rPr>
        <w:t>不</w:t>
      </w:r>
      <w:r>
        <w:rPr>
          <w:rFonts w:hint="eastAsia" w:ascii="宋体" w:hAnsi="宋体" w:cs="宋体"/>
          <w:b/>
          <w:bCs/>
          <w:color w:val="auto"/>
          <w:szCs w:val="21"/>
          <w:highlight w:val="none"/>
        </w:rPr>
        <w:t>接受进口产品，进口产品是指通过中国海关报关验放进入中国境内且产自关境外的产品。</w:t>
      </w:r>
    </w:p>
    <w:p w14:paraId="28C81063">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1.6合同履行期限：合同签订之日起</w:t>
      </w:r>
      <w:r>
        <w:rPr>
          <w:rFonts w:hint="eastAsia" w:ascii="宋体" w:hAnsi="宋体" w:cs="宋体"/>
          <w:color w:val="auto"/>
          <w:sz w:val="24"/>
          <w:szCs w:val="24"/>
          <w:highlight w:val="none"/>
          <w:lang w:val="en-US" w:eastAsia="zh-CN"/>
        </w:rPr>
        <w:t>60</w:t>
      </w:r>
      <w:r>
        <w:rPr>
          <w:rFonts w:hint="eastAsia" w:ascii="宋体" w:hAnsi="宋体" w:cs="宋体"/>
          <w:color w:val="auto"/>
          <w:sz w:val="24"/>
          <w:szCs w:val="24"/>
          <w:highlight w:val="none"/>
        </w:rPr>
        <w:t>日历天。</w:t>
      </w:r>
    </w:p>
    <w:p w14:paraId="5959E13F">
      <w:pPr>
        <w:spacing w:line="360" w:lineRule="auto"/>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注：投标人在此期限内自报最短合同履行期限，此要求为实质性条款，如不满足按废标处理。</w:t>
      </w:r>
    </w:p>
    <w:p w14:paraId="071A99D1">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1.7交货地点：</w:t>
      </w:r>
      <w:r>
        <w:rPr>
          <w:rFonts w:hint="eastAsia" w:ascii="宋体" w:hAnsi="宋体" w:cs="宋体"/>
          <w:color w:val="auto"/>
          <w:sz w:val="24"/>
          <w:szCs w:val="24"/>
          <w:highlight w:val="none"/>
          <w:lang w:eastAsia="zh-CN"/>
        </w:rPr>
        <w:t>昆明铁道职业技术学院</w:t>
      </w:r>
      <w:r>
        <w:rPr>
          <w:rFonts w:hint="eastAsia" w:ascii="宋体" w:hAnsi="宋体" w:cs="宋体"/>
          <w:color w:val="auto"/>
          <w:sz w:val="24"/>
          <w:szCs w:val="24"/>
          <w:highlight w:val="none"/>
        </w:rPr>
        <w:t>指定地点。</w:t>
      </w:r>
    </w:p>
    <w:p w14:paraId="350CB146">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1.8质保期：自项目验收合格之日起不少于</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年。</w:t>
      </w:r>
    </w:p>
    <w:p w14:paraId="5BBAED33">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1.9质量标准：满足国家相关法律法规、行业质量标准及采购人要求。</w:t>
      </w:r>
    </w:p>
    <w:p w14:paraId="0121EE38">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1.10本项目不接受联合体投标。</w:t>
      </w:r>
    </w:p>
    <w:p w14:paraId="7459C630">
      <w:pPr>
        <w:pStyle w:val="3"/>
        <w:keepNext w:val="0"/>
        <w:keepLines w:val="0"/>
        <w:spacing w:before="0" w:after="0" w:line="360" w:lineRule="auto"/>
        <w:rPr>
          <w:rFonts w:ascii="宋体" w:hAnsi="宋体" w:eastAsia="宋体" w:cs="宋体"/>
          <w:color w:val="auto"/>
          <w:sz w:val="28"/>
          <w:szCs w:val="28"/>
          <w:highlight w:val="none"/>
        </w:rPr>
      </w:pPr>
      <w:bookmarkStart w:id="18" w:name="_Toc35393791"/>
      <w:bookmarkStart w:id="19" w:name="_Toc1007"/>
      <w:bookmarkStart w:id="20" w:name="_Toc31340"/>
      <w:bookmarkStart w:id="21" w:name="_Toc24270"/>
      <w:bookmarkStart w:id="22" w:name="_Toc28359080"/>
      <w:bookmarkStart w:id="23" w:name="_Toc15757"/>
      <w:bookmarkStart w:id="24" w:name="_Toc35393622"/>
      <w:bookmarkStart w:id="25" w:name="_Toc17289"/>
      <w:bookmarkStart w:id="26" w:name="_Toc28359003"/>
      <w:r>
        <w:rPr>
          <w:rFonts w:hint="eastAsia" w:ascii="宋体" w:hAnsi="宋体" w:eastAsia="宋体" w:cs="宋体"/>
          <w:color w:val="auto"/>
          <w:sz w:val="28"/>
          <w:szCs w:val="28"/>
          <w:highlight w:val="none"/>
        </w:rPr>
        <w:t>二、</w:t>
      </w:r>
      <w:r>
        <w:rPr>
          <w:rFonts w:hint="eastAsia" w:ascii="宋体" w:hAnsi="宋体" w:eastAsia="宋体" w:cs="宋体"/>
          <w:color w:val="auto"/>
          <w:sz w:val="28"/>
          <w:szCs w:val="28"/>
          <w:highlight w:val="none"/>
          <w:lang w:val="en-US" w:eastAsia="zh-CN"/>
        </w:rPr>
        <w:t>投标人</w:t>
      </w:r>
      <w:r>
        <w:rPr>
          <w:rFonts w:hint="eastAsia" w:ascii="宋体" w:hAnsi="宋体" w:eastAsia="宋体" w:cs="宋体"/>
          <w:color w:val="auto"/>
          <w:sz w:val="28"/>
          <w:szCs w:val="28"/>
          <w:highlight w:val="none"/>
        </w:rPr>
        <w:t>的资格要求</w:t>
      </w:r>
      <w:bookmarkEnd w:id="18"/>
      <w:bookmarkEnd w:id="19"/>
      <w:bookmarkEnd w:id="20"/>
      <w:bookmarkEnd w:id="21"/>
      <w:bookmarkEnd w:id="22"/>
      <w:bookmarkEnd w:id="23"/>
      <w:bookmarkEnd w:id="24"/>
      <w:bookmarkEnd w:id="25"/>
      <w:bookmarkEnd w:id="26"/>
      <w:bookmarkStart w:id="335" w:name="_GoBack"/>
      <w:bookmarkEnd w:id="335"/>
    </w:p>
    <w:p w14:paraId="7FA6B560">
      <w:pPr>
        <w:wordWrap w:val="0"/>
        <w:spacing w:line="360" w:lineRule="auto"/>
        <w:ind w:firstLine="480" w:firstLineChars="200"/>
        <w:rPr>
          <w:rFonts w:ascii="宋体" w:hAnsi="宋体" w:cs="宋体"/>
          <w:color w:val="auto"/>
          <w:sz w:val="24"/>
          <w:szCs w:val="24"/>
          <w:highlight w:val="none"/>
        </w:rPr>
      </w:pPr>
      <w:bookmarkStart w:id="27" w:name="_Toc28745"/>
      <w:bookmarkStart w:id="28" w:name="_Toc21085"/>
      <w:bookmarkStart w:id="29" w:name="_Toc35393623"/>
      <w:bookmarkStart w:id="30" w:name="_Toc28359004"/>
      <w:bookmarkStart w:id="31" w:name="_Toc28359081"/>
      <w:bookmarkStart w:id="32" w:name="_Toc35393792"/>
      <w:bookmarkStart w:id="33" w:name="_Toc21880"/>
      <w:r>
        <w:rPr>
          <w:rFonts w:hint="eastAsia" w:ascii="宋体" w:hAnsi="宋体" w:cs="宋体"/>
          <w:color w:val="auto"/>
          <w:sz w:val="24"/>
          <w:szCs w:val="24"/>
          <w:highlight w:val="none"/>
        </w:rPr>
        <w:t>2.1满足《中华人民共和国政府采购法》第二十二条规定；</w:t>
      </w:r>
    </w:p>
    <w:p w14:paraId="63F35B83">
      <w:pPr>
        <w:wordWrap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2.1.1投标人具有独立承担民事责任的能力：在中华人民共和国境内登记或注册，提供有效的营业执照或事业单位法人证书或其他法定凭证。</w:t>
      </w:r>
    </w:p>
    <w:p w14:paraId="4F0C2299">
      <w:pPr>
        <w:wordWrap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2.1.2</w:t>
      </w:r>
      <w:r>
        <w:rPr>
          <w:rFonts w:hint="eastAsia" w:ascii="宋体" w:hAnsi="宋体" w:cs="宋体"/>
          <w:color w:val="auto"/>
          <w:sz w:val="24"/>
          <w:szCs w:val="24"/>
          <w:highlight w:val="none"/>
        </w:rPr>
        <w:t>投标人须具有良好的商业信誉和健全的财务会计制度：</w:t>
      </w:r>
    </w:p>
    <w:p w14:paraId="7AB9BA86">
      <w:pPr>
        <w:wordWrap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良好的商业信誉</w:t>
      </w:r>
      <w:r>
        <w:rPr>
          <w:rFonts w:hint="eastAsia" w:ascii="宋体" w:hAnsi="宋体" w:cs="宋体"/>
          <w:color w:val="auto"/>
          <w:sz w:val="24"/>
          <w:szCs w:val="24"/>
          <w:highlight w:val="none"/>
          <w:lang w:val="en-US" w:eastAsia="zh-CN"/>
        </w:rPr>
        <w:t>是指：</w:t>
      </w:r>
      <w:r>
        <w:rPr>
          <w:rFonts w:hint="eastAsia" w:ascii="宋体" w:hAnsi="宋体" w:cs="宋体"/>
          <w:color w:val="auto"/>
          <w:sz w:val="24"/>
          <w:szCs w:val="24"/>
          <w:highlight w:val="none"/>
        </w:rPr>
        <w:t>投标人在“信用中国”网站没有失信被执行人记录和重大税收违法案件当事人名单记录；且在中国政府采购网没有政府采购严重违法失信行为记录（被禁止在一定期限内参加政府采购活动但期限届满的除外）。信用查询截止时间：本项目公告发布以后（含发布当日）至</w:t>
      </w:r>
      <w:r>
        <w:rPr>
          <w:rFonts w:hint="eastAsia" w:ascii="宋体" w:hAnsi="宋体" w:cs="宋体"/>
          <w:color w:val="auto"/>
          <w:sz w:val="24"/>
          <w:szCs w:val="24"/>
          <w:highlight w:val="none"/>
          <w:lang w:val="en-US" w:eastAsia="zh-CN"/>
        </w:rPr>
        <w:t>投标</w:t>
      </w:r>
      <w:r>
        <w:rPr>
          <w:rFonts w:hint="eastAsia" w:ascii="宋体" w:hAnsi="宋体" w:cs="宋体"/>
          <w:color w:val="auto"/>
          <w:sz w:val="24"/>
          <w:szCs w:val="24"/>
          <w:highlight w:val="none"/>
        </w:rPr>
        <w:t>文件递交截止时间前（此项由采购代理机构进行查询为准，查询记录为上述网站信用信息查询结果的网页截图或网页打印稿）；</w:t>
      </w:r>
    </w:p>
    <w:p w14:paraId="29036222">
      <w:pPr>
        <w:wordWrap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健全的财务会计制度</w:t>
      </w:r>
      <w:r>
        <w:rPr>
          <w:rFonts w:hint="eastAsia" w:ascii="宋体" w:hAnsi="宋体" w:cs="宋体"/>
          <w:color w:val="auto"/>
          <w:sz w:val="24"/>
          <w:szCs w:val="24"/>
          <w:highlight w:val="none"/>
          <w:lang w:val="en-US" w:eastAsia="zh-CN"/>
        </w:rPr>
        <w:t>是指：</w:t>
      </w:r>
      <w:r>
        <w:rPr>
          <w:rFonts w:hint="eastAsia" w:ascii="宋体" w:hAnsi="宋体" w:cs="宋体"/>
          <w:color w:val="auto"/>
          <w:sz w:val="24"/>
          <w:szCs w:val="24"/>
          <w:highlight w:val="none"/>
        </w:rPr>
        <w:t>投标人须提供202</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年或202</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年或202</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年经第三方审计的财务报告及报表（包括资产负债表、利润表、现金流量表、所有者权益变动表及其附注），或提供自本项目投标文件提交截止时间前三个月内基本开户银行出具的资信证明。新成立企业，成立时间不足一年的，提供自本项目投标文件提交截止时间前三个月内基本开户银行出具的资信证明或自成立至今经第三方审计的财务报告及报表（包括资产负债表、利润表、现金流量表、所有者权益变动表及其附注）；</w:t>
      </w:r>
    </w:p>
    <w:p w14:paraId="0481D58A">
      <w:pPr>
        <w:wordWrap w:val="0"/>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2.1.</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投标人须具有履行合同所必需的设备和专业技术能力</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提供说明承诺或其他证明材料</w:t>
      </w:r>
      <w:r>
        <w:rPr>
          <w:rFonts w:hint="eastAsia" w:ascii="宋体" w:hAnsi="宋体" w:cs="宋体"/>
          <w:color w:val="auto"/>
          <w:sz w:val="24"/>
          <w:szCs w:val="24"/>
          <w:highlight w:val="none"/>
          <w:lang w:eastAsia="zh-CN"/>
        </w:rPr>
        <w:t>；</w:t>
      </w:r>
    </w:p>
    <w:p w14:paraId="396F28FB">
      <w:pPr>
        <w:wordWrap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1.4投标人须具有依法缴纳税收和社会保障资金的良好记录：</w:t>
      </w:r>
    </w:p>
    <w:p w14:paraId="1899DF53">
      <w:pPr>
        <w:wordWrap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投标人须提供缴税所属时间在提交投标文件截止之日前十二个月内任意连续</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个月的税务局税收通用缴款书复印件或银行电子缴税（费）凭证复印件或税务局出具纳税情况的相关证明，新成立企业，成立时间不足</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个月的提供自成立以来的税务局税收通用缴款书复印件或银行电子缴税（费）凭证复印件或税务局出具纳税情况的相关证明。投标人依法免税的，应提供依法免税的相关证明文件；</w:t>
      </w:r>
    </w:p>
    <w:p w14:paraId="54907D75">
      <w:pPr>
        <w:wordWrap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投标人须提供缴费所属时间在提交投标文件截止之日前十二个月内任意连续</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个月的社会保险费缴款书复印件或银行电子缴税（费）凭证复印件或社保管理部门出具的有效的缴款证明，新成立企业，成立时间不足</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个月的提供自成立以来的社会保险费缴款书复印件或银行电子缴税（费）凭证复印件或社保管理部门出具的有效的缴款证明。投标人依法免缴的，应提供依法免缴的相关证明文件；</w:t>
      </w:r>
    </w:p>
    <w:p w14:paraId="45AFFAB3">
      <w:pPr>
        <w:wordWrap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2.1.5参加政府采购活动前三年内，在经营活动中没有重大违法记录：投标人须提供参加政府采购活动前三年内，在经营活动中没有重大违法记录（重大违法记录，是指投标人因违法经营受到刑事处罚或者责令停产停业、吊销许可证或者执照、较大数额罚款等行政处罚）的书面声明。</w:t>
      </w:r>
    </w:p>
    <w:p w14:paraId="6242C45F">
      <w:pPr>
        <w:wordWrap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1.6法律、行政法规规定的其他条件：</w:t>
      </w:r>
    </w:p>
    <w:p w14:paraId="0947E3B6">
      <w:pPr>
        <w:wordWrap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单位负责人为同一人或者存在直接控股、管理关系的不同投标人，不得参加同一合同项下的政府采购活动。（提供声明书）</w:t>
      </w:r>
    </w:p>
    <w:p w14:paraId="76ED1DAF">
      <w:pPr>
        <w:wordWrap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为本采购项目提供整体设计、规范编制或者项目管理、监理、检测等服务的投标人，不得再参加本采购项目的其他采购活动。（提供声明书）</w:t>
      </w:r>
    </w:p>
    <w:p w14:paraId="59DED304">
      <w:pPr>
        <w:wordWrap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落实政府采购政策需满足的资格要求：无。</w:t>
      </w:r>
    </w:p>
    <w:p w14:paraId="07CC446F">
      <w:pPr>
        <w:spacing w:line="360" w:lineRule="auto"/>
        <w:ind w:firstLine="480"/>
        <w:rPr>
          <w:rFonts w:ascii="宋体" w:hAnsi="宋体" w:cs="宋体"/>
          <w:color w:val="auto"/>
          <w:sz w:val="24"/>
          <w:szCs w:val="24"/>
          <w:highlight w:val="none"/>
        </w:rPr>
      </w:pPr>
      <w:r>
        <w:rPr>
          <w:rFonts w:hint="eastAsia" w:ascii="宋体" w:hAnsi="宋体"/>
          <w:color w:val="auto"/>
          <w:sz w:val="24"/>
          <w:szCs w:val="24"/>
          <w:highlight w:val="none"/>
        </w:rPr>
        <w:t>（本项目不属于专门面向中小企业采购项目）</w:t>
      </w:r>
    </w:p>
    <w:p w14:paraId="60D37237">
      <w:pPr>
        <w:tabs>
          <w:tab w:val="left" w:pos="433"/>
        </w:tabs>
        <w:wordWrap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2.3本项目的特定资格要求：无</w:t>
      </w:r>
    </w:p>
    <w:p w14:paraId="5DB90675">
      <w:pPr>
        <w:pStyle w:val="3"/>
        <w:keepNext w:val="0"/>
        <w:keepLines w:val="0"/>
        <w:spacing w:before="0" w:after="0" w:line="360" w:lineRule="auto"/>
        <w:rPr>
          <w:rFonts w:hint="eastAsia" w:ascii="宋体" w:hAnsi="宋体" w:eastAsia="宋体" w:cs="宋体"/>
          <w:color w:val="auto"/>
          <w:sz w:val="28"/>
          <w:szCs w:val="28"/>
          <w:highlight w:val="none"/>
          <w:lang w:val="en-US" w:eastAsia="zh-CN"/>
        </w:rPr>
      </w:pPr>
      <w:bookmarkStart w:id="34" w:name="_Toc25538"/>
      <w:r>
        <w:rPr>
          <w:rFonts w:hint="eastAsia" w:ascii="宋体" w:hAnsi="宋体" w:eastAsia="宋体" w:cs="宋体"/>
          <w:color w:val="auto"/>
          <w:sz w:val="28"/>
          <w:szCs w:val="28"/>
          <w:highlight w:val="none"/>
        </w:rPr>
        <w:t>三、获取招标文件</w:t>
      </w:r>
      <w:bookmarkEnd w:id="27"/>
      <w:bookmarkEnd w:id="28"/>
      <w:bookmarkEnd w:id="29"/>
      <w:bookmarkEnd w:id="30"/>
      <w:bookmarkEnd w:id="31"/>
      <w:bookmarkEnd w:id="32"/>
      <w:bookmarkEnd w:id="33"/>
      <w:bookmarkEnd w:id="34"/>
    </w:p>
    <w:p w14:paraId="52687307">
      <w:pPr>
        <w:spacing w:line="360" w:lineRule="auto"/>
        <w:ind w:firstLine="480"/>
        <w:rPr>
          <w:color w:val="auto"/>
          <w:highlight w:val="none"/>
        </w:rPr>
      </w:pPr>
      <w:bookmarkStart w:id="35" w:name="_Toc28359082"/>
      <w:bookmarkStart w:id="36" w:name="_Toc28359005"/>
      <w:bookmarkStart w:id="37" w:name="_Toc7098"/>
      <w:bookmarkStart w:id="38" w:name="_Toc35393793"/>
      <w:bookmarkStart w:id="39" w:name="_Toc8021"/>
      <w:bookmarkStart w:id="40" w:name="_Toc13581"/>
      <w:bookmarkStart w:id="41" w:name="_Toc35393624"/>
      <w:bookmarkStart w:id="42" w:name="_Toc11959"/>
      <w:r>
        <w:rPr>
          <w:rFonts w:hint="eastAsia" w:ascii="宋体" w:hAnsi="宋体" w:cs="宋体"/>
          <w:color w:val="auto"/>
          <w:sz w:val="24"/>
          <w:szCs w:val="24"/>
          <w:highlight w:val="none"/>
        </w:rPr>
        <w:t>时间：</w:t>
      </w:r>
      <w:r>
        <w:rPr>
          <w:rFonts w:hint="eastAsia" w:ascii="宋体" w:hAnsi="宋体" w:cs="宋体"/>
          <w:color w:val="auto"/>
          <w:kern w:val="2"/>
          <w:sz w:val="24"/>
          <w:szCs w:val="24"/>
          <w:highlight w:val="none"/>
          <w:u w:val="single"/>
        </w:rPr>
        <w:t>2025年</w:t>
      </w:r>
      <w:r>
        <w:rPr>
          <w:rFonts w:hint="eastAsia" w:ascii="宋体" w:hAnsi="宋体" w:cs="宋体"/>
          <w:color w:val="auto"/>
          <w:kern w:val="2"/>
          <w:sz w:val="24"/>
          <w:szCs w:val="24"/>
          <w:highlight w:val="none"/>
          <w:u w:val="single"/>
          <w:lang w:val="en-US" w:eastAsia="zh-CN"/>
        </w:rPr>
        <w:t>06月24</w:t>
      </w:r>
      <w:r>
        <w:rPr>
          <w:rFonts w:ascii="宋体" w:hAnsi="宋体" w:cs="宋体"/>
          <w:color w:val="auto"/>
          <w:kern w:val="2"/>
          <w:sz w:val="24"/>
          <w:szCs w:val="24"/>
          <w:highlight w:val="none"/>
          <w:u w:val="single"/>
        </w:rPr>
        <w:t>日</w:t>
      </w:r>
      <w:r>
        <w:rPr>
          <w:rFonts w:hint="eastAsia" w:ascii="宋体" w:hAnsi="宋体" w:cs="宋体"/>
          <w:color w:val="auto"/>
          <w:kern w:val="2"/>
          <w:sz w:val="24"/>
          <w:szCs w:val="24"/>
          <w:highlight w:val="none"/>
        </w:rPr>
        <w:t>至</w:t>
      </w:r>
      <w:r>
        <w:rPr>
          <w:rFonts w:hint="eastAsia" w:ascii="宋体" w:hAnsi="宋体" w:cs="宋体"/>
          <w:color w:val="auto"/>
          <w:kern w:val="2"/>
          <w:sz w:val="24"/>
          <w:szCs w:val="24"/>
          <w:highlight w:val="none"/>
          <w:u w:val="single"/>
        </w:rPr>
        <w:t>2025年</w:t>
      </w:r>
      <w:r>
        <w:rPr>
          <w:rFonts w:hint="eastAsia" w:ascii="宋体" w:hAnsi="宋体" w:cs="宋体"/>
          <w:color w:val="auto"/>
          <w:kern w:val="2"/>
          <w:sz w:val="24"/>
          <w:szCs w:val="24"/>
          <w:highlight w:val="none"/>
          <w:u w:val="single"/>
          <w:lang w:val="en-US" w:eastAsia="zh-CN"/>
        </w:rPr>
        <w:t>07月01</w:t>
      </w:r>
      <w:r>
        <w:rPr>
          <w:rFonts w:ascii="宋体" w:hAnsi="宋体" w:cs="宋体"/>
          <w:color w:val="auto"/>
          <w:kern w:val="2"/>
          <w:sz w:val="24"/>
          <w:szCs w:val="24"/>
          <w:highlight w:val="none"/>
          <w:u w:val="single"/>
        </w:rPr>
        <w:t>日</w:t>
      </w:r>
      <w:r>
        <w:rPr>
          <w:rFonts w:hint="eastAsia" w:ascii="宋体" w:hAnsi="宋体" w:cs="宋体"/>
          <w:color w:val="auto"/>
          <w:kern w:val="2"/>
          <w:sz w:val="24"/>
          <w:szCs w:val="24"/>
          <w:highlight w:val="none"/>
        </w:rPr>
        <w:t>，每天上午</w:t>
      </w:r>
      <w:r>
        <w:rPr>
          <w:rFonts w:hint="eastAsia" w:ascii="宋体" w:hAnsi="宋体" w:cs="宋体"/>
          <w:color w:val="auto"/>
          <w:kern w:val="2"/>
          <w:sz w:val="24"/>
          <w:szCs w:val="24"/>
          <w:highlight w:val="none"/>
          <w:u w:val="single"/>
        </w:rPr>
        <w:t>0</w:t>
      </w:r>
      <w:r>
        <w:rPr>
          <w:rFonts w:hint="eastAsia" w:ascii="宋体" w:hAnsi="宋体" w:cs="宋体"/>
          <w:color w:val="auto"/>
          <w:kern w:val="2"/>
          <w:sz w:val="24"/>
          <w:szCs w:val="24"/>
          <w:highlight w:val="none"/>
          <w:u w:val="single"/>
          <w:lang w:val="en-US" w:eastAsia="zh-CN"/>
        </w:rPr>
        <w:t>6</w:t>
      </w:r>
      <w:r>
        <w:rPr>
          <w:rFonts w:hint="eastAsia" w:ascii="宋体" w:hAnsi="宋体" w:cs="宋体"/>
          <w:color w:val="auto"/>
          <w:kern w:val="2"/>
          <w:sz w:val="24"/>
          <w:szCs w:val="24"/>
          <w:highlight w:val="none"/>
          <w:u w:val="single"/>
        </w:rPr>
        <w:t>:00</w:t>
      </w:r>
      <w:r>
        <w:rPr>
          <w:rFonts w:hint="eastAsia" w:ascii="宋体" w:hAnsi="宋体" w:cs="宋体"/>
          <w:color w:val="auto"/>
          <w:kern w:val="2"/>
          <w:sz w:val="24"/>
          <w:szCs w:val="24"/>
          <w:highlight w:val="none"/>
        </w:rPr>
        <w:t>至</w:t>
      </w:r>
      <w:r>
        <w:rPr>
          <w:rFonts w:hint="eastAsia" w:ascii="宋体" w:hAnsi="宋体" w:cs="宋体"/>
          <w:color w:val="auto"/>
          <w:kern w:val="2"/>
          <w:sz w:val="24"/>
          <w:szCs w:val="24"/>
          <w:highlight w:val="none"/>
          <w:u w:val="single"/>
        </w:rPr>
        <w:t>1</w:t>
      </w:r>
      <w:r>
        <w:rPr>
          <w:rFonts w:ascii="宋体" w:hAnsi="宋体" w:cs="宋体"/>
          <w:color w:val="auto"/>
          <w:kern w:val="2"/>
          <w:sz w:val="24"/>
          <w:szCs w:val="24"/>
          <w:highlight w:val="none"/>
          <w:u w:val="single"/>
        </w:rPr>
        <w:t>2</w:t>
      </w:r>
      <w:r>
        <w:rPr>
          <w:rFonts w:hint="eastAsia" w:ascii="宋体" w:hAnsi="宋体" w:cs="宋体"/>
          <w:color w:val="auto"/>
          <w:kern w:val="2"/>
          <w:sz w:val="24"/>
          <w:szCs w:val="24"/>
          <w:highlight w:val="none"/>
          <w:u w:val="single"/>
        </w:rPr>
        <w:t>:0</w:t>
      </w:r>
      <w:r>
        <w:rPr>
          <w:rFonts w:ascii="宋体" w:hAnsi="宋体" w:cs="宋体"/>
          <w:color w:val="auto"/>
          <w:kern w:val="2"/>
          <w:sz w:val="24"/>
          <w:szCs w:val="24"/>
          <w:highlight w:val="none"/>
          <w:u w:val="single"/>
        </w:rPr>
        <w:t>0</w:t>
      </w:r>
      <w:r>
        <w:rPr>
          <w:rFonts w:hint="eastAsia" w:ascii="宋体" w:hAnsi="宋体" w:cs="宋体"/>
          <w:color w:val="auto"/>
          <w:kern w:val="2"/>
          <w:sz w:val="24"/>
          <w:szCs w:val="24"/>
          <w:highlight w:val="none"/>
        </w:rPr>
        <w:t>，下午</w:t>
      </w:r>
      <w:r>
        <w:rPr>
          <w:rFonts w:hint="eastAsia" w:ascii="宋体" w:hAnsi="宋体" w:cs="宋体"/>
          <w:color w:val="auto"/>
          <w:kern w:val="2"/>
          <w:sz w:val="24"/>
          <w:szCs w:val="24"/>
          <w:highlight w:val="none"/>
          <w:u w:val="single"/>
        </w:rPr>
        <w:t>12:00</w:t>
      </w:r>
      <w:r>
        <w:rPr>
          <w:rFonts w:hint="eastAsia" w:ascii="宋体" w:hAnsi="宋体" w:cs="宋体"/>
          <w:color w:val="auto"/>
          <w:kern w:val="2"/>
          <w:sz w:val="24"/>
          <w:szCs w:val="24"/>
          <w:highlight w:val="none"/>
        </w:rPr>
        <w:t>至</w:t>
      </w:r>
      <w:r>
        <w:rPr>
          <w:rFonts w:hint="eastAsia" w:ascii="宋体" w:hAnsi="宋体" w:cs="宋体"/>
          <w:color w:val="auto"/>
          <w:kern w:val="2"/>
          <w:sz w:val="24"/>
          <w:szCs w:val="24"/>
          <w:highlight w:val="none"/>
          <w:u w:val="single"/>
        </w:rPr>
        <w:t>23:59</w:t>
      </w:r>
      <w:r>
        <w:rPr>
          <w:rFonts w:hint="eastAsia" w:ascii="宋体" w:hAnsi="宋体" w:cs="宋体"/>
          <w:color w:val="auto"/>
          <w:kern w:val="2"/>
          <w:sz w:val="24"/>
          <w:szCs w:val="24"/>
          <w:highlight w:val="none"/>
        </w:rPr>
        <w:t>（北京时间，法定节假日除外）</w:t>
      </w:r>
      <w:r>
        <w:rPr>
          <w:rFonts w:hint="eastAsia" w:ascii="宋体" w:hAnsi="宋体" w:cs="宋体"/>
          <w:color w:val="auto"/>
          <w:sz w:val="24"/>
          <w:szCs w:val="24"/>
          <w:highlight w:val="none"/>
        </w:rPr>
        <w:t>；</w:t>
      </w:r>
    </w:p>
    <w:p w14:paraId="6B80475E">
      <w:pPr>
        <w:spacing w:line="360" w:lineRule="auto"/>
        <w:ind w:firstLine="480"/>
        <w:rPr>
          <w:color w:val="auto"/>
          <w:highlight w:val="none"/>
        </w:rPr>
      </w:pPr>
      <w:r>
        <w:rPr>
          <w:rFonts w:hint="eastAsia" w:ascii="宋体" w:hAnsi="宋体" w:cs="宋体"/>
          <w:color w:val="auto"/>
          <w:sz w:val="24"/>
          <w:szCs w:val="24"/>
          <w:highlight w:val="none"/>
        </w:rPr>
        <w:t>地点：政采云平台（http：//www.zcygov.cn）；</w:t>
      </w:r>
    </w:p>
    <w:p w14:paraId="715249E4">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方式：(1)凡有意参加投标者，须在“政采云”平台办理数字证书（CA），并在“政采云”绑定数字证书（CA）后线上获取采购文件及其它采购资料。CA申领链接：https://middle.zcygov.cn/ca/apply/list?_app_=zcy.sys，CA申领后需登陆“政采云”平台完成数字证书（CA）绑定才可以使用，数字证书（CA）详见其办理流程。</w:t>
      </w:r>
    </w:p>
    <w:p w14:paraId="6A9C8A93">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按上述要求获取文件的投标人视为合法获取了本项目采购文件，具备本项目的投标资格。文件售价¥</w:t>
      </w:r>
      <w:r>
        <w:rPr>
          <w:rFonts w:ascii="宋体" w:hAnsi="宋体" w:cs="宋体"/>
          <w:color w:val="auto"/>
          <w:sz w:val="24"/>
          <w:szCs w:val="24"/>
          <w:highlight w:val="none"/>
          <w:u w:val="single"/>
        </w:rPr>
        <w:t>0.00</w:t>
      </w:r>
      <w:r>
        <w:rPr>
          <w:rFonts w:hint="eastAsia" w:ascii="宋体" w:hAnsi="宋体" w:cs="宋体"/>
          <w:color w:val="auto"/>
          <w:sz w:val="24"/>
          <w:szCs w:val="24"/>
          <w:highlight w:val="none"/>
        </w:rPr>
        <w:t>元。</w:t>
      </w:r>
    </w:p>
    <w:p w14:paraId="0AB1C971">
      <w:pPr>
        <w:pStyle w:val="3"/>
        <w:keepNext w:val="0"/>
        <w:keepLines w:val="0"/>
        <w:spacing w:before="0" w:after="0" w:line="360" w:lineRule="auto"/>
        <w:rPr>
          <w:rFonts w:ascii="宋体" w:hAnsi="宋体" w:eastAsia="宋体" w:cs="宋体"/>
          <w:color w:val="auto"/>
          <w:sz w:val="28"/>
          <w:szCs w:val="28"/>
          <w:highlight w:val="none"/>
        </w:rPr>
      </w:pPr>
      <w:bookmarkStart w:id="43" w:name="_Toc20736"/>
      <w:r>
        <w:rPr>
          <w:rFonts w:hint="eastAsia" w:ascii="宋体" w:hAnsi="宋体" w:eastAsia="宋体" w:cs="宋体"/>
          <w:color w:val="auto"/>
          <w:sz w:val="28"/>
          <w:szCs w:val="28"/>
          <w:highlight w:val="none"/>
        </w:rPr>
        <w:t>四、提交投标文件</w:t>
      </w:r>
      <w:bookmarkEnd w:id="35"/>
      <w:bookmarkEnd w:id="36"/>
      <w:r>
        <w:rPr>
          <w:rFonts w:hint="eastAsia" w:ascii="宋体" w:hAnsi="宋体" w:eastAsia="宋体" w:cs="宋体"/>
          <w:color w:val="auto"/>
          <w:sz w:val="28"/>
          <w:szCs w:val="28"/>
          <w:highlight w:val="none"/>
        </w:rPr>
        <w:t>截止时间、开标时间和地点</w:t>
      </w:r>
      <w:bookmarkEnd w:id="37"/>
      <w:bookmarkEnd w:id="38"/>
      <w:bookmarkEnd w:id="39"/>
      <w:bookmarkEnd w:id="40"/>
      <w:bookmarkEnd w:id="41"/>
      <w:bookmarkEnd w:id="42"/>
      <w:bookmarkEnd w:id="43"/>
    </w:p>
    <w:p w14:paraId="1114D659">
      <w:pPr>
        <w:spacing w:line="360" w:lineRule="auto"/>
        <w:ind w:firstLine="480" w:firstLineChars="200"/>
        <w:rPr>
          <w:rFonts w:ascii="宋体" w:hAnsi="宋体" w:cs="宋体"/>
          <w:color w:val="auto"/>
          <w:sz w:val="24"/>
          <w:szCs w:val="24"/>
          <w:highlight w:val="none"/>
        </w:rPr>
      </w:pPr>
      <w:bookmarkStart w:id="44" w:name="_Toc19027"/>
      <w:bookmarkStart w:id="45" w:name="_Toc28359007"/>
      <w:bookmarkStart w:id="46" w:name="_Toc35393794"/>
      <w:bookmarkStart w:id="47" w:name="_Toc35393625"/>
      <w:bookmarkStart w:id="48" w:name="_Toc28359084"/>
      <w:bookmarkStart w:id="49" w:name="_Toc23944"/>
      <w:r>
        <w:rPr>
          <w:rFonts w:hint="eastAsia" w:ascii="宋体" w:hAnsi="宋体" w:cs="宋体"/>
          <w:color w:val="auto"/>
          <w:sz w:val="24"/>
          <w:szCs w:val="24"/>
          <w:highlight w:val="none"/>
        </w:rPr>
        <w:t>1.截止时间：</w:t>
      </w:r>
      <w:r>
        <w:rPr>
          <w:rFonts w:hint="eastAsia" w:ascii="宋体" w:hAnsi="宋体" w:cs="宋体"/>
          <w:color w:val="auto"/>
          <w:sz w:val="24"/>
          <w:szCs w:val="24"/>
          <w:highlight w:val="none"/>
          <w:u w:val="single"/>
        </w:rPr>
        <w:t>202</w:t>
      </w:r>
      <w:r>
        <w:rPr>
          <w:rFonts w:hint="eastAsia" w:ascii="宋体" w:hAnsi="宋体" w:cs="宋体"/>
          <w:color w:val="auto"/>
          <w:sz w:val="24"/>
          <w:szCs w:val="24"/>
          <w:highlight w:val="none"/>
          <w:u w:val="single"/>
          <w:lang w:val="en-US" w:eastAsia="zh-CN"/>
        </w:rPr>
        <w:t>5</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lang w:val="en-US" w:eastAsia="zh-CN"/>
        </w:rPr>
        <w:t>07</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lang w:val="en-US" w:eastAsia="zh-CN"/>
        </w:rPr>
        <w:t>15</w:t>
      </w:r>
      <w:r>
        <w:rPr>
          <w:rFonts w:hint="eastAsia" w:ascii="宋体" w:hAnsi="宋体" w:cs="宋体"/>
          <w:color w:val="auto"/>
          <w:sz w:val="24"/>
          <w:szCs w:val="24"/>
          <w:highlight w:val="none"/>
        </w:rPr>
        <w:t>日</w:t>
      </w:r>
      <w:r>
        <w:rPr>
          <w:rFonts w:hint="eastAsia" w:ascii="宋体" w:hAnsi="宋体" w:cs="宋体"/>
          <w:color w:val="auto"/>
          <w:sz w:val="24"/>
          <w:szCs w:val="24"/>
          <w:highlight w:val="none"/>
          <w:u w:val="single"/>
        </w:rPr>
        <w:t>09</w:t>
      </w:r>
      <w:r>
        <w:rPr>
          <w:rFonts w:hint="eastAsia" w:ascii="宋体" w:hAnsi="宋体" w:cs="宋体"/>
          <w:color w:val="auto"/>
          <w:sz w:val="24"/>
          <w:szCs w:val="24"/>
          <w:highlight w:val="none"/>
        </w:rPr>
        <w:t>时</w:t>
      </w:r>
      <w:r>
        <w:rPr>
          <w:rFonts w:hint="eastAsia" w:ascii="宋体" w:hAnsi="宋体" w:cs="宋体"/>
          <w:color w:val="auto"/>
          <w:sz w:val="24"/>
          <w:szCs w:val="24"/>
          <w:highlight w:val="none"/>
          <w:u w:val="single"/>
        </w:rPr>
        <w:t>30</w:t>
      </w:r>
      <w:r>
        <w:rPr>
          <w:rFonts w:hint="eastAsia" w:ascii="宋体" w:hAnsi="宋体" w:cs="宋体"/>
          <w:color w:val="auto"/>
          <w:sz w:val="24"/>
          <w:szCs w:val="24"/>
          <w:highlight w:val="none"/>
        </w:rPr>
        <w:t>分（北京时间）</w:t>
      </w:r>
    </w:p>
    <w:p w14:paraId="6EBD7273">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2.地点：政采云平台（http：//www.zcygov.cn）</w:t>
      </w:r>
    </w:p>
    <w:p w14:paraId="2A70DA86">
      <w:pPr>
        <w:spacing w:line="360" w:lineRule="auto"/>
        <w:ind w:firstLine="480"/>
        <w:rPr>
          <w:color w:val="auto"/>
          <w:highlight w:val="none"/>
        </w:rPr>
      </w:pPr>
      <w:r>
        <w:rPr>
          <w:rFonts w:hint="eastAsia" w:ascii="宋体" w:hAnsi="宋体" w:cs="宋体"/>
          <w:color w:val="auto"/>
          <w:sz w:val="24"/>
          <w:szCs w:val="24"/>
          <w:highlight w:val="none"/>
        </w:rPr>
        <w:t>注：投标人应按照本项目招标文件和政采云平台的要求编制、加密后在投标文件的递交截止时间前上传至政采云平台，投标文件的递交截止时间前未完成投标文件上传的，视为撤回投标文件。投标人在政采云平台提交电子版投标文件时，请填写参加远程采购活动经办人联系方式。</w:t>
      </w:r>
    </w:p>
    <w:p w14:paraId="1563D9EE">
      <w:pPr>
        <w:spacing w:line="360" w:lineRule="auto"/>
        <w:ind w:firstLine="480"/>
        <w:rPr>
          <w:color w:val="auto"/>
          <w:highlight w:val="none"/>
        </w:rPr>
      </w:pPr>
      <w:r>
        <w:rPr>
          <w:rFonts w:hint="eastAsia" w:ascii="宋体" w:hAnsi="宋体" w:cs="宋体"/>
          <w:color w:val="auto"/>
          <w:sz w:val="24"/>
          <w:highlight w:val="none"/>
        </w:rPr>
        <w:t>4.开标时间：</w:t>
      </w:r>
      <w:r>
        <w:rPr>
          <w:rFonts w:hint="eastAsia" w:ascii="宋体" w:hAnsi="宋体" w:cs="宋体"/>
          <w:color w:val="auto"/>
          <w:sz w:val="24"/>
          <w:szCs w:val="24"/>
          <w:highlight w:val="none"/>
          <w:u w:val="single"/>
        </w:rPr>
        <w:t>202</w:t>
      </w:r>
      <w:r>
        <w:rPr>
          <w:rFonts w:hint="eastAsia" w:ascii="宋体" w:hAnsi="宋体" w:cs="宋体"/>
          <w:color w:val="auto"/>
          <w:sz w:val="24"/>
          <w:szCs w:val="24"/>
          <w:highlight w:val="none"/>
          <w:u w:val="single"/>
          <w:lang w:val="en-US" w:eastAsia="zh-CN"/>
        </w:rPr>
        <w:t>5</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lang w:val="en-US" w:eastAsia="zh-CN"/>
        </w:rPr>
        <w:t>07</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lang w:val="en-US" w:eastAsia="zh-CN"/>
        </w:rPr>
        <w:t>15</w:t>
      </w:r>
      <w:r>
        <w:rPr>
          <w:rFonts w:hint="eastAsia" w:ascii="宋体" w:hAnsi="宋体" w:cs="宋体"/>
          <w:color w:val="auto"/>
          <w:sz w:val="24"/>
          <w:szCs w:val="24"/>
          <w:highlight w:val="none"/>
        </w:rPr>
        <w:t>日</w:t>
      </w:r>
      <w:r>
        <w:rPr>
          <w:rFonts w:hint="eastAsia" w:ascii="宋体" w:hAnsi="宋体" w:cs="宋体"/>
          <w:color w:val="auto"/>
          <w:sz w:val="24"/>
          <w:szCs w:val="24"/>
          <w:highlight w:val="none"/>
          <w:u w:val="single"/>
        </w:rPr>
        <w:t>09</w:t>
      </w:r>
      <w:r>
        <w:rPr>
          <w:rFonts w:hint="eastAsia" w:ascii="宋体" w:hAnsi="宋体" w:cs="宋体"/>
          <w:color w:val="auto"/>
          <w:sz w:val="24"/>
          <w:szCs w:val="24"/>
          <w:highlight w:val="none"/>
        </w:rPr>
        <w:t>时</w:t>
      </w:r>
      <w:r>
        <w:rPr>
          <w:rFonts w:hint="eastAsia" w:ascii="宋体" w:hAnsi="宋体" w:cs="宋体"/>
          <w:color w:val="auto"/>
          <w:sz w:val="24"/>
          <w:szCs w:val="24"/>
          <w:highlight w:val="none"/>
          <w:u w:val="single"/>
        </w:rPr>
        <w:t>30</w:t>
      </w:r>
      <w:r>
        <w:rPr>
          <w:rFonts w:hint="eastAsia" w:ascii="宋体" w:hAnsi="宋体" w:cs="宋体"/>
          <w:color w:val="auto"/>
          <w:sz w:val="24"/>
          <w:szCs w:val="24"/>
          <w:highlight w:val="none"/>
        </w:rPr>
        <w:t>分</w:t>
      </w:r>
      <w:r>
        <w:rPr>
          <w:rFonts w:hint="eastAsia" w:ascii="宋体" w:hAnsi="宋体" w:cs="宋体"/>
          <w:color w:val="auto"/>
          <w:sz w:val="24"/>
          <w:highlight w:val="none"/>
        </w:rPr>
        <w:t>。</w:t>
      </w:r>
    </w:p>
    <w:p w14:paraId="79975309">
      <w:pPr>
        <w:spacing w:line="360" w:lineRule="auto"/>
        <w:ind w:firstLine="480"/>
        <w:rPr>
          <w:rFonts w:ascii="宋体" w:hAnsi="宋体" w:cs="宋体"/>
          <w:color w:val="auto"/>
          <w:sz w:val="24"/>
          <w:szCs w:val="24"/>
          <w:highlight w:val="none"/>
        </w:rPr>
      </w:pPr>
      <w:r>
        <w:rPr>
          <w:rFonts w:hint="eastAsia" w:ascii="宋体" w:hAnsi="宋体" w:cs="宋体"/>
          <w:color w:val="auto"/>
          <w:sz w:val="24"/>
          <w:highlight w:val="none"/>
        </w:rPr>
        <w:t>5.开标地点：</w:t>
      </w:r>
      <w:r>
        <w:rPr>
          <w:rFonts w:hint="eastAsia" w:ascii="宋体" w:hAnsi="宋体" w:cs="宋体"/>
          <w:color w:val="auto"/>
          <w:sz w:val="24"/>
          <w:highlight w:val="none"/>
          <w:lang w:eastAsia="zh-CN"/>
        </w:rPr>
        <w:t>昆明市盘龙区同德昆明广场B区4栋1401</w:t>
      </w:r>
      <w:r>
        <w:rPr>
          <w:rFonts w:hint="eastAsia" w:ascii="宋体" w:hAnsi="宋体" w:cs="宋体"/>
          <w:color w:val="auto"/>
          <w:sz w:val="24"/>
          <w:highlight w:val="none"/>
        </w:rPr>
        <w:t>。</w:t>
      </w:r>
    </w:p>
    <w:p w14:paraId="517E843E">
      <w:pPr>
        <w:pStyle w:val="3"/>
        <w:keepNext w:val="0"/>
        <w:keepLines w:val="0"/>
        <w:spacing w:before="0" w:after="0" w:line="360" w:lineRule="auto"/>
        <w:rPr>
          <w:rFonts w:ascii="宋体" w:hAnsi="宋体" w:eastAsia="宋体" w:cs="宋体"/>
          <w:color w:val="auto"/>
          <w:sz w:val="28"/>
          <w:szCs w:val="28"/>
          <w:highlight w:val="none"/>
        </w:rPr>
      </w:pPr>
      <w:bookmarkStart w:id="50" w:name="_Toc24184"/>
      <w:bookmarkStart w:id="51" w:name="_Toc11387"/>
      <w:bookmarkStart w:id="52" w:name="_Toc15991"/>
      <w:r>
        <w:rPr>
          <w:rFonts w:hint="eastAsia" w:ascii="宋体" w:hAnsi="宋体" w:eastAsia="宋体" w:cs="宋体"/>
          <w:color w:val="auto"/>
          <w:sz w:val="28"/>
          <w:szCs w:val="28"/>
          <w:highlight w:val="none"/>
        </w:rPr>
        <w:t>五、公告期限</w:t>
      </w:r>
      <w:bookmarkEnd w:id="44"/>
      <w:bookmarkEnd w:id="45"/>
      <w:bookmarkEnd w:id="46"/>
      <w:bookmarkEnd w:id="47"/>
      <w:bookmarkEnd w:id="48"/>
      <w:bookmarkEnd w:id="49"/>
      <w:bookmarkEnd w:id="50"/>
      <w:bookmarkEnd w:id="51"/>
      <w:bookmarkEnd w:id="52"/>
    </w:p>
    <w:p w14:paraId="6E3A98B5">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自本公告发布之日起5个工作日。</w:t>
      </w:r>
    </w:p>
    <w:p w14:paraId="30540BB5">
      <w:pPr>
        <w:pStyle w:val="3"/>
        <w:keepNext w:val="0"/>
        <w:keepLines w:val="0"/>
        <w:spacing w:before="0" w:after="0" w:line="360" w:lineRule="auto"/>
        <w:rPr>
          <w:rFonts w:ascii="宋体" w:hAnsi="宋体" w:eastAsia="宋体" w:cs="宋体"/>
          <w:color w:val="auto"/>
          <w:sz w:val="28"/>
          <w:szCs w:val="28"/>
          <w:highlight w:val="none"/>
        </w:rPr>
      </w:pPr>
      <w:bookmarkStart w:id="53" w:name="_Toc35393795"/>
      <w:bookmarkStart w:id="54" w:name="_Toc32"/>
      <w:bookmarkStart w:id="55" w:name="_Toc811"/>
      <w:bookmarkStart w:id="56" w:name="_Toc7948"/>
      <w:bookmarkStart w:id="57" w:name="_Toc938"/>
      <w:bookmarkStart w:id="58" w:name="_Toc9128"/>
      <w:bookmarkStart w:id="59" w:name="_Toc35393626"/>
      <w:r>
        <w:rPr>
          <w:rFonts w:hint="eastAsia" w:ascii="宋体" w:hAnsi="宋体" w:eastAsia="宋体" w:cs="宋体"/>
          <w:color w:val="auto"/>
          <w:sz w:val="28"/>
          <w:szCs w:val="28"/>
          <w:highlight w:val="none"/>
        </w:rPr>
        <w:t>六、其他补充事宜</w:t>
      </w:r>
      <w:bookmarkEnd w:id="53"/>
      <w:bookmarkEnd w:id="54"/>
      <w:bookmarkEnd w:id="55"/>
      <w:bookmarkEnd w:id="56"/>
      <w:bookmarkEnd w:id="57"/>
      <w:bookmarkEnd w:id="58"/>
      <w:bookmarkEnd w:id="59"/>
    </w:p>
    <w:p w14:paraId="0926F501">
      <w:pPr>
        <w:spacing w:line="360" w:lineRule="auto"/>
        <w:ind w:firstLine="480" w:firstLineChars="200"/>
        <w:rPr>
          <w:rFonts w:hint="eastAsia" w:ascii="宋体" w:hAnsi="宋体" w:cs="宋体"/>
          <w:color w:val="auto"/>
          <w:sz w:val="24"/>
          <w:szCs w:val="24"/>
          <w:highlight w:val="none"/>
        </w:rPr>
      </w:pPr>
      <w:bookmarkStart w:id="60" w:name="_Toc35393627"/>
      <w:bookmarkStart w:id="61" w:name="_Toc17892"/>
      <w:bookmarkStart w:id="62" w:name="_Toc28359085"/>
      <w:bookmarkStart w:id="63" w:name="_Toc23360"/>
      <w:bookmarkStart w:id="64" w:name="_Toc16561"/>
      <w:bookmarkStart w:id="65" w:name="_Toc1401"/>
      <w:bookmarkStart w:id="66" w:name="_Toc28359008"/>
      <w:bookmarkStart w:id="67" w:name="_Toc35393796"/>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 xml:space="preserve">本项目执行政府采购促进中小企业发展、支持监狱企业、促进残疾人就业、强制采购和优先采购节能、环保产品等政府采购政策。  </w:t>
      </w:r>
    </w:p>
    <w:p w14:paraId="0CE085ED">
      <w:pPr>
        <w:wordWrap w:val="0"/>
        <w:spacing w:line="360" w:lineRule="auto"/>
        <w:ind w:firstLine="480" w:firstLineChars="200"/>
        <w:rPr>
          <w:rFonts w:hint="eastAsia"/>
          <w:color w:val="000000"/>
          <w:sz w:val="24"/>
          <w:szCs w:val="24"/>
          <w:highlight w:val="none"/>
          <w:lang w:eastAsia="zh-CN"/>
        </w:rPr>
      </w:pPr>
      <w:r>
        <w:rPr>
          <w:rFonts w:hint="eastAsia" w:ascii="宋体" w:hAnsi="宋体" w:cs="宋体"/>
          <w:color w:val="auto"/>
          <w:sz w:val="24"/>
          <w:szCs w:val="24"/>
          <w:highlight w:val="none"/>
          <w:lang w:val="en-US" w:eastAsia="zh-CN"/>
        </w:rPr>
        <w:t>2.</w:t>
      </w:r>
      <w:r>
        <w:rPr>
          <w:rFonts w:hint="eastAsia"/>
          <w:color w:val="000000"/>
          <w:sz w:val="24"/>
          <w:highlight w:val="none"/>
        </w:rPr>
        <w:t>本次公告在</w:t>
      </w:r>
      <w:r>
        <w:rPr>
          <w:rFonts w:hint="eastAsia"/>
          <w:color w:val="000000"/>
          <w:sz w:val="24"/>
          <w:highlight w:val="none"/>
          <w:lang w:eastAsia="zh-CN"/>
        </w:rPr>
        <w:t>云南省政府采购网（www.yngp.com/）</w:t>
      </w:r>
      <w:r>
        <w:rPr>
          <w:rFonts w:hint="eastAsia"/>
          <w:color w:val="000000"/>
          <w:sz w:val="24"/>
          <w:highlight w:val="none"/>
        </w:rPr>
        <w:t>上发布，公告内容和时间以</w:t>
      </w:r>
      <w:r>
        <w:rPr>
          <w:rFonts w:hint="eastAsia"/>
          <w:color w:val="000000"/>
          <w:sz w:val="24"/>
          <w:highlight w:val="none"/>
          <w:lang w:eastAsia="zh-CN"/>
        </w:rPr>
        <w:t>云南省政府采购网（www.yngp.com/）</w:t>
      </w:r>
      <w:r>
        <w:rPr>
          <w:rFonts w:hint="eastAsia"/>
          <w:color w:val="000000"/>
          <w:sz w:val="24"/>
          <w:highlight w:val="none"/>
        </w:rPr>
        <w:t>发布的信息为准，对在其他网站或媒体转载的公告及公告内容</w:t>
      </w:r>
      <w:r>
        <w:rPr>
          <w:rFonts w:hint="eastAsia"/>
          <w:color w:val="000000"/>
          <w:sz w:val="24"/>
          <w:highlight w:val="none"/>
          <w:lang w:eastAsia="zh-CN"/>
        </w:rPr>
        <w:t>采购人</w:t>
      </w:r>
      <w:r>
        <w:rPr>
          <w:rFonts w:hint="eastAsia"/>
          <w:color w:val="000000"/>
          <w:sz w:val="24"/>
          <w:highlight w:val="none"/>
        </w:rPr>
        <w:t>不承担任何责任。</w:t>
      </w:r>
    </w:p>
    <w:p w14:paraId="707578A7">
      <w:pPr>
        <w:pStyle w:val="3"/>
        <w:keepNext w:val="0"/>
        <w:keepLines w:val="0"/>
        <w:spacing w:before="0" w:after="0" w:line="360" w:lineRule="auto"/>
        <w:rPr>
          <w:rFonts w:ascii="宋体" w:hAnsi="宋体" w:eastAsia="宋体" w:cs="宋体"/>
          <w:color w:val="auto"/>
          <w:sz w:val="28"/>
          <w:szCs w:val="28"/>
          <w:highlight w:val="none"/>
        </w:rPr>
      </w:pPr>
      <w:bookmarkStart w:id="68" w:name="_Toc947"/>
      <w:r>
        <w:rPr>
          <w:rFonts w:hint="eastAsia" w:ascii="宋体" w:hAnsi="宋体" w:eastAsia="宋体" w:cs="宋体"/>
          <w:color w:val="auto"/>
          <w:sz w:val="28"/>
          <w:szCs w:val="28"/>
          <w:highlight w:val="none"/>
        </w:rPr>
        <w:t>七、对本次招标提出询问，请按以下方式联系</w:t>
      </w:r>
      <w:bookmarkEnd w:id="60"/>
      <w:bookmarkEnd w:id="61"/>
      <w:bookmarkEnd w:id="62"/>
      <w:bookmarkEnd w:id="63"/>
      <w:bookmarkEnd w:id="64"/>
      <w:bookmarkEnd w:id="65"/>
      <w:bookmarkEnd w:id="66"/>
      <w:bookmarkEnd w:id="67"/>
      <w:bookmarkEnd w:id="68"/>
    </w:p>
    <w:p w14:paraId="7F3FD598">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1.采购人信息</w:t>
      </w:r>
    </w:p>
    <w:p w14:paraId="702535AE">
      <w:pPr>
        <w:spacing w:line="360" w:lineRule="auto"/>
        <w:ind w:firstLine="480" w:firstLineChars="200"/>
        <w:rPr>
          <w:rFonts w:ascii="宋体" w:hAnsi="宋体" w:cs="宋体"/>
          <w:color w:val="auto"/>
          <w:sz w:val="24"/>
          <w:szCs w:val="24"/>
          <w:highlight w:val="none"/>
        </w:rPr>
      </w:pPr>
      <w:bookmarkStart w:id="69" w:name="_Toc28359009"/>
      <w:bookmarkStart w:id="70" w:name="_Toc28359086"/>
      <w:r>
        <w:rPr>
          <w:rFonts w:hint="eastAsia" w:ascii="宋体" w:hAnsi="宋体" w:cs="宋体"/>
          <w:color w:val="auto"/>
          <w:sz w:val="24"/>
          <w:szCs w:val="24"/>
          <w:highlight w:val="none"/>
        </w:rPr>
        <w:t>名 称：昆明铁道职业技术学院</w:t>
      </w:r>
    </w:p>
    <w:p w14:paraId="44486293">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地址：昆明市经济技术开发区小石坝16号</w:t>
      </w:r>
    </w:p>
    <w:p w14:paraId="7799F1F8">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联系人：何老师 </w:t>
      </w:r>
    </w:p>
    <w:p w14:paraId="29535849">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联系电话：0871-64883441</w:t>
      </w:r>
    </w:p>
    <w:p w14:paraId="309B5A22">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2.采购代理机构信息</w:t>
      </w:r>
      <w:bookmarkEnd w:id="69"/>
      <w:bookmarkEnd w:id="70"/>
    </w:p>
    <w:p w14:paraId="04D6152C">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名 称：</w:t>
      </w:r>
      <w:r>
        <w:rPr>
          <w:rFonts w:hint="eastAsia" w:ascii="宋体" w:hAnsi="宋体" w:cs="宋体"/>
          <w:color w:val="auto"/>
          <w:sz w:val="24"/>
          <w:szCs w:val="24"/>
          <w:highlight w:val="none"/>
          <w:lang w:eastAsia="zh-CN"/>
        </w:rPr>
        <w:t>云南兴语招标有限公司</w:t>
      </w:r>
    </w:p>
    <w:p w14:paraId="51C9D5FD">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地　址：</w:t>
      </w:r>
      <w:bookmarkStart w:id="71" w:name="_Toc28359087"/>
      <w:bookmarkStart w:id="72" w:name="_Toc28359010"/>
      <w:r>
        <w:rPr>
          <w:rFonts w:hint="eastAsia" w:ascii="宋体" w:hAnsi="宋体" w:cs="宋体"/>
          <w:color w:val="auto"/>
          <w:sz w:val="24"/>
          <w:szCs w:val="24"/>
          <w:highlight w:val="none"/>
        </w:rPr>
        <w:t>昆明市盘龙区同德昆明广场B区4栋1401</w:t>
      </w:r>
    </w:p>
    <w:p w14:paraId="152F0E5F">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联系方式：宁工</w:t>
      </w:r>
      <w:r>
        <w:rPr>
          <w:rFonts w:hint="eastAsia" w:ascii="宋体" w:hAnsi="宋体" w:cs="宋体"/>
          <w:color w:val="auto"/>
          <w:sz w:val="24"/>
          <w:szCs w:val="24"/>
          <w:highlight w:val="none"/>
          <w:lang w:val="en-US" w:eastAsia="zh-CN"/>
        </w:rPr>
        <w:t>18388283097</w:t>
      </w:r>
    </w:p>
    <w:p w14:paraId="31135037">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3.项目联系方式</w:t>
      </w:r>
      <w:bookmarkEnd w:id="71"/>
      <w:bookmarkEnd w:id="72"/>
    </w:p>
    <w:p w14:paraId="4039C0F8">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项目联系人：宁工</w:t>
      </w:r>
    </w:p>
    <w:p w14:paraId="790185E7">
      <w:pPr>
        <w:spacing w:line="360" w:lineRule="auto"/>
        <w:ind w:firstLine="480" w:firstLineChars="20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电　话：</w:t>
      </w:r>
      <w:r>
        <w:rPr>
          <w:rFonts w:hint="eastAsia" w:ascii="宋体" w:hAnsi="宋体" w:cs="宋体"/>
          <w:color w:val="auto"/>
          <w:sz w:val="24"/>
          <w:szCs w:val="24"/>
          <w:highlight w:val="none"/>
          <w:lang w:val="en-US" w:eastAsia="zh-CN"/>
        </w:rPr>
        <w:t>18388283097</w:t>
      </w:r>
    </w:p>
    <w:p w14:paraId="1FF7B8BB">
      <w:pPr>
        <w:spacing w:line="360" w:lineRule="auto"/>
        <w:ind w:firstLine="480" w:firstLineChars="200"/>
        <w:rPr>
          <w:rFonts w:ascii="宋体" w:hAnsi="宋体" w:cs="宋体"/>
          <w:color w:val="auto"/>
          <w:sz w:val="24"/>
          <w:szCs w:val="24"/>
          <w:highlight w:val="none"/>
        </w:rPr>
      </w:pPr>
    </w:p>
    <w:p w14:paraId="0CE988CF">
      <w:pPr>
        <w:pStyle w:val="2"/>
        <w:keepNext w:val="0"/>
        <w:keepLines w:val="0"/>
        <w:spacing w:before="0" w:after="0" w:line="360" w:lineRule="auto"/>
        <w:jc w:val="center"/>
        <w:rPr>
          <w:rStyle w:val="54"/>
          <w:rFonts w:ascii="宋体" w:hAnsi="宋体" w:cs="宋体"/>
          <w:b w:val="0"/>
          <w:bCs w:val="0"/>
          <w:color w:val="auto"/>
          <w:highlight w:val="none"/>
        </w:rPr>
      </w:pPr>
      <w:r>
        <w:rPr>
          <w:rFonts w:hint="eastAsia" w:ascii="宋体" w:hAnsi="宋体" w:cs="宋体"/>
          <w:color w:val="auto"/>
          <w:sz w:val="24"/>
          <w:highlight w:val="none"/>
          <w:u w:val="single"/>
        </w:rPr>
        <w:br w:type="page"/>
      </w:r>
      <w:bookmarkStart w:id="73" w:name="_Toc23419"/>
      <w:bookmarkEnd w:id="73"/>
      <w:bookmarkStart w:id="74" w:name="_Toc13994"/>
      <w:bookmarkEnd w:id="74"/>
      <w:bookmarkStart w:id="75" w:name="_Toc16794"/>
      <w:bookmarkEnd w:id="75"/>
      <w:bookmarkStart w:id="76" w:name="_Toc5498"/>
      <w:bookmarkEnd w:id="76"/>
      <w:bookmarkStart w:id="77" w:name="_Toc8120"/>
      <w:bookmarkEnd w:id="77"/>
      <w:bookmarkStart w:id="78" w:name="_Toc27502"/>
      <w:r>
        <w:rPr>
          <w:rFonts w:hint="eastAsia" w:ascii="宋体" w:hAnsi="宋体" w:cs="宋体"/>
          <w:color w:val="auto"/>
          <w:szCs w:val="32"/>
          <w:highlight w:val="none"/>
        </w:rPr>
        <w:t>第二章 投标人须知</w:t>
      </w:r>
      <w:bookmarkEnd w:id="7"/>
      <w:bookmarkEnd w:id="78"/>
    </w:p>
    <w:p w14:paraId="6FEDC9F9">
      <w:pPr>
        <w:pStyle w:val="3"/>
        <w:spacing w:before="0" w:after="0" w:line="360" w:lineRule="auto"/>
        <w:ind w:firstLine="420"/>
        <w:jc w:val="center"/>
        <w:rPr>
          <w:rFonts w:ascii="宋体" w:hAnsi="宋体" w:eastAsia="宋体" w:cs="宋体"/>
          <w:color w:val="auto"/>
          <w:sz w:val="28"/>
          <w:szCs w:val="28"/>
          <w:highlight w:val="none"/>
        </w:rPr>
      </w:pPr>
      <w:bookmarkStart w:id="79" w:name="_Toc21714"/>
      <w:bookmarkEnd w:id="79"/>
      <w:bookmarkStart w:id="80" w:name="_Toc13590"/>
      <w:bookmarkEnd w:id="80"/>
      <w:bookmarkStart w:id="81" w:name="_Toc26144"/>
      <w:bookmarkStart w:id="82" w:name="_Toc6315"/>
      <w:r>
        <w:rPr>
          <w:rFonts w:hint="eastAsia" w:ascii="宋体" w:hAnsi="宋体" w:eastAsia="宋体" w:cs="宋体"/>
          <w:color w:val="auto"/>
          <w:sz w:val="28"/>
          <w:szCs w:val="28"/>
          <w:highlight w:val="none"/>
        </w:rPr>
        <w:t>投标人须知前附表</w:t>
      </w:r>
      <w:bookmarkEnd w:id="81"/>
      <w:bookmarkEnd w:id="82"/>
    </w:p>
    <w:p w14:paraId="340E0A31">
      <w:pPr>
        <w:spacing w:line="200" w:lineRule="exact"/>
        <w:rPr>
          <w:rFonts w:ascii="宋体" w:hAnsi="宋体" w:cs="宋体"/>
          <w:color w:val="auto"/>
          <w:highlight w:val="none"/>
        </w:rPr>
      </w:pPr>
      <w:r>
        <w:rPr>
          <w:rFonts w:hint="eastAsia" w:ascii="宋体" w:hAnsi="宋体" w:cs="宋体"/>
          <w:color w:val="auto"/>
          <w:highlight w:val="none"/>
        </w:rPr>
        <w:t xml:space="preserve"> </w:t>
      </w:r>
    </w:p>
    <w:tbl>
      <w:tblPr>
        <w:tblStyle w:val="32"/>
        <w:tblW w:w="9882" w:type="dxa"/>
        <w:jc w:val="center"/>
        <w:tblLayout w:type="fixed"/>
        <w:tblCellMar>
          <w:top w:w="0" w:type="dxa"/>
          <w:left w:w="0" w:type="dxa"/>
          <w:bottom w:w="0" w:type="dxa"/>
          <w:right w:w="0" w:type="dxa"/>
        </w:tblCellMar>
      </w:tblPr>
      <w:tblGrid>
        <w:gridCol w:w="1047"/>
        <w:gridCol w:w="2009"/>
        <w:gridCol w:w="6826"/>
      </w:tblGrid>
      <w:tr w14:paraId="70977650">
        <w:tblPrEx>
          <w:tblCellMar>
            <w:top w:w="0" w:type="dxa"/>
            <w:left w:w="0" w:type="dxa"/>
            <w:bottom w:w="0" w:type="dxa"/>
            <w:right w:w="0" w:type="dxa"/>
          </w:tblCellMar>
        </w:tblPrEx>
        <w:trPr>
          <w:trHeight w:val="390" w:hRule="atLeast"/>
          <w:tblHeader/>
          <w:jc w:val="center"/>
        </w:trPr>
        <w:tc>
          <w:tcPr>
            <w:tcW w:w="1047" w:type="dxa"/>
            <w:tcBorders>
              <w:top w:val="single" w:color="auto" w:sz="8" w:space="0"/>
              <w:left w:val="single" w:color="auto" w:sz="8" w:space="0"/>
              <w:bottom w:val="single" w:color="auto" w:sz="8" w:space="0"/>
              <w:right w:val="single" w:color="auto" w:sz="8" w:space="0"/>
            </w:tcBorders>
            <w:vAlign w:val="center"/>
          </w:tcPr>
          <w:p w14:paraId="10C964CE">
            <w:pPr>
              <w:spacing w:line="400" w:lineRule="exact"/>
              <w:jc w:val="center"/>
              <w:rPr>
                <w:rFonts w:ascii="宋体" w:hAnsi="宋体" w:cs="宋体"/>
                <w:b/>
                <w:bCs/>
                <w:color w:val="auto"/>
                <w:kern w:val="2"/>
                <w:sz w:val="24"/>
                <w:szCs w:val="24"/>
                <w:highlight w:val="none"/>
              </w:rPr>
            </w:pPr>
            <w:r>
              <w:rPr>
                <w:rFonts w:hint="eastAsia" w:ascii="宋体" w:hAnsi="宋体" w:cs="宋体"/>
                <w:b/>
                <w:bCs/>
                <w:color w:val="auto"/>
                <w:kern w:val="2"/>
                <w:sz w:val="24"/>
                <w:szCs w:val="24"/>
                <w:highlight w:val="none"/>
              </w:rPr>
              <w:t>条款号</w:t>
            </w:r>
          </w:p>
        </w:tc>
        <w:tc>
          <w:tcPr>
            <w:tcW w:w="2009" w:type="dxa"/>
            <w:tcBorders>
              <w:top w:val="single" w:color="auto" w:sz="8" w:space="0"/>
              <w:left w:val="nil"/>
              <w:bottom w:val="single" w:color="auto" w:sz="8" w:space="0"/>
              <w:right w:val="single" w:color="auto" w:sz="8" w:space="0"/>
            </w:tcBorders>
            <w:vAlign w:val="bottom"/>
          </w:tcPr>
          <w:p w14:paraId="7CC0489C">
            <w:pPr>
              <w:spacing w:line="400" w:lineRule="exact"/>
              <w:jc w:val="center"/>
              <w:rPr>
                <w:rFonts w:ascii="宋体" w:hAnsi="宋体" w:cs="宋体"/>
                <w:b/>
                <w:bCs/>
                <w:color w:val="auto"/>
                <w:kern w:val="2"/>
                <w:sz w:val="24"/>
                <w:szCs w:val="24"/>
                <w:highlight w:val="none"/>
              </w:rPr>
            </w:pPr>
            <w:r>
              <w:rPr>
                <w:rFonts w:hint="eastAsia" w:ascii="宋体" w:hAnsi="宋体" w:cs="宋体"/>
                <w:b/>
                <w:bCs/>
                <w:color w:val="auto"/>
                <w:kern w:val="2"/>
                <w:sz w:val="24"/>
                <w:szCs w:val="24"/>
                <w:highlight w:val="none"/>
              </w:rPr>
              <w:t>条 款 名 称</w:t>
            </w:r>
          </w:p>
        </w:tc>
        <w:tc>
          <w:tcPr>
            <w:tcW w:w="6826" w:type="dxa"/>
            <w:tcBorders>
              <w:top w:val="single" w:color="auto" w:sz="8" w:space="0"/>
              <w:left w:val="nil"/>
              <w:bottom w:val="single" w:color="auto" w:sz="8" w:space="0"/>
              <w:right w:val="single" w:color="auto" w:sz="8" w:space="0"/>
            </w:tcBorders>
            <w:vAlign w:val="bottom"/>
          </w:tcPr>
          <w:p w14:paraId="13D1A545">
            <w:pPr>
              <w:spacing w:line="400" w:lineRule="exact"/>
              <w:ind w:left="1680"/>
              <w:rPr>
                <w:rFonts w:ascii="宋体" w:hAnsi="宋体" w:cs="宋体"/>
                <w:b/>
                <w:bCs/>
                <w:color w:val="auto"/>
                <w:kern w:val="2"/>
                <w:sz w:val="24"/>
                <w:szCs w:val="24"/>
                <w:highlight w:val="none"/>
              </w:rPr>
            </w:pPr>
            <w:r>
              <w:rPr>
                <w:rFonts w:hint="eastAsia" w:ascii="宋体" w:hAnsi="宋体" w:cs="宋体"/>
                <w:b/>
                <w:bCs/>
                <w:color w:val="auto"/>
                <w:kern w:val="2"/>
                <w:sz w:val="24"/>
                <w:szCs w:val="24"/>
                <w:highlight w:val="none"/>
              </w:rPr>
              <w:t>编 列 内 容</w:t>
            </w:r>
          </w:p>
        </w:tc>
      </w:tr>
      <w:tr w14:paraId="659A55A5">
        <w:tblPrEx>
          <w:tblCellMar>
            <w:top w:w="0" w:type="dxa"/>
            <w:left w:w="0" w:type="dxa"/>
            <w:bottom w:w="0" w:type="dxa"/>
            <w:right w:w="0" w:type="dxa"/>
          </w:tblCellMar>
        </w:tblPrEx>
        <w:trPr>
          <w:trHeight w:val="1517"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26864C50">
            <w:pPr>
              <w:spacing w:line="400" w:lineRule="exact"/>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1.1.2</w:t>
            </w:r>
          </w:p>
        </w:tc>
        <w:tc>
          <w:tcPr>
            <w:tcW w:w="2009" w:type="dxa"/>
            <w:tcBorders>
              <w:top w:val="single" w:color="auto" w:sz="8" w:space="0"/>
              <w:left w:val="nil"/>
              <w:bottom w:val="single" w:color="auto" w:sz="8" w:space="0"/>
              <w:right w:val="single" w:color="auto" w:sz="8" w:space="0"/>
            </w:tcBorders>
            <w:vAlign w:val="center"/>
          </w:tcPr>
          <w:p w14:paraId="27F197A4">
            <w:pPr>
              <w:spacing w:line="400" w:lineRule="exact"/>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采购人</w:t>
            </w:r>
          </w:p>
        </w:tc>
        <w:tc>
          <w:tcPr>
            <w:tcW w:w="6826" w:type="dxa"/>
            <w:tcBorders>
              <w:top w:val="single" w:color="auto" w:sz="8" w:space="0"/>
              <w:left w:val="nil"/>
              <w:bottom w:val="single" w:color="auto" w:sz="8" w:space="0"/>
              <w:right w:val="single" w:color="auto" w:sz="8" w:space="0"/>
            </w:tcBorders>
            <w:vAlign w:val="center"/>
          </w:tcPr>
          <w:p w14:paraId="5FEEDE78">
            <w:pPr>
              <w:spacing w:line="400" w:lineRule="exact"/>
              <w:rPr>
                <w:rFonts w:ascii="宋体" w:hAnsi="宋体" w:cs="宋体"/>
                <w:color w:val="auto"/>
                <w:kern w:val="2"/>
                <w:sz w:val="24"/>
                <w:szCs w:val="24"/>
                <w:highlight w:val="none"/>
              </w:rPr>
            </w:pPr>
            <w:r>
              <w:rPr>
                <w:rFonts w:hint="eastAsia" w:ascii="宋体" w:hAnsi="宋体" w:cs="宋体"/>
                <w:color w:val="auto"/>
                <w:kern w:val="2"/>
                <w:sz w:val="24"/>
                <w:szCs w:val="24"/>
                <w:highlight w:val="none"/>
              </w:rPr>
              <w:t>名称：昆明铁道职业技术学院</w:t>
            </w:r>
          </w:p>
          <w:p w14:paraId="4A59701C">
            <w:pPr>
              <w:spacing w:line="400" w:lineRule="exact"/>
              <w:rPr>
                <w:rFonts w:ascii="宋体" w:hAnsi="宋体" w:cs="宋体"/>
                <w:color w:val="auto"/>
                <w:kern w:val="2"/>
                <w:sz w:val="24"/>
                <w:szCs w:val="24"/>
                <w:highlight w:val="none"/>
                <w:u w:val="single"/>
              </w:rPr>
            </w:pPr>
            <w:r>
              <w:rPr>
                <w:rFonts w:hint="eastAsia" w:ascii="宋体" w:hAnsi="宋体" w:cs="宋体"/>
                <w:color w:val="auto"/>
                <w:kern w:val="2"/>
                <w:sz w:val="24"/>
                <w:szCs w:val="24"/>
                <w:highlight w:val="none"/>
              </w:rPr>
              <w:t>地址：昆明市经济技术开发区小石坝16号</w:t>
            </w:r>
          </w:p>
          <w:p w14:paraId="5AC27C0B">
            <w:pPr>
              <w:spacing w:line="400" w:lineRule="exact"/>
              <w:rPr>
                <w:rFonts w:ascii="宋体" w:hAnsi="宋体" w:cs="宋体"/>
                <w:color w:val="auto"/>
                <w:kern w:val="2"/>
                <w:sz w:val="24"/>
                <w:szCs w:val="24"/>
                <w:highlight w:val="none"/>
              </w:rPr>
            </w:pPr>
            <w:r>
              <w:rPr>
                <w:rFonts w:hint="eastAsia" w:ascii="宋体" w:hAnsi="宋体" w:cs="宋体"/>
                <w:color w:val="auto"/>
                <w:kern w:val="2"/>
                <w:sz w:val="24"/>
                <w:szCs w:val="24"/>
                <w:highlight w:val="none"/>
              </w:rPr>
              <w:t>联系人：</w:t>
            </w:r>
            <w:r>
              <w:rPr>
                <w:rFonts w:hint="eastAsia" w:ascii="宋体" w:hAnsi="宋体" w:cs="宋体"/>
                <w:color w:val="auto"/>
                <w:kern w:val="2"/>
                <w:sz w:val="24"/>
                <w:szCs w:val="24"/>
                <w:highlight w:val="none"/>
                <w:lang w:val="en-US" w:eastAsia="zh-CN"/>
              </w:rPr>
              <w:t>何</w:t>
            </w:r>
            <w:r>
              <w:rPr>
                <w:rFonts w:hint="eastAsia" w:ascii="宋体" w:hAnsi="宋体" w:cs="宋体"/>
                <w:color w:val="auto"/>
                <w:kern w:val="2"/>
                <w:sz w:val="24"/>
                <w:szCs w:val="24"/>
                <w:highlight w:val="none"/>
              </w:rPr>
              <w:t>老师</w:t>
            </w:r>
            <w:r>
              <w:rPr>
                <w:rFonts w:hint="eastAsia" w:ascii="宋体" w:hAnsi="宋体" w:cs="宋体"/>
                <w:color w:val="auto"/>
                <w:sz w:val="24"/>
                <w:szCs w:val="24"/>
                <w:highlight w:val="none"/>
              </w:rPr>
              <w:t xml:space="preserve">  </w:t>
            </w:r>
          </w:p>
          <w:p w14:paraId="23F3F6E2">
            <w:pPr>
              <w:spacing w:line="400" w:lineRule="exact"/>
              <w:rPr>
                <w:rFonts w:ascii="宋体" w:hAnsi="宋体" w:cs="宋体"/>
                <w:color w:val="auto"/>
                <w:kern w:val="2"/>
                <w:sz w:val="24"/>
                <w:szCs w:val="24"/>
                <w:highlight w:val="none"/>
              </w:rPr>
            </w:pPr>
            <w:r>
              <w:rPr>
                <w:rFonts w:hint="eastAsia" w:ascii="宋体" w:hAnsi="宋体" w:cs="宋体"/>
                <w:color w:val="auto"/>
                <w:kern w:val="2"/>
                <w:sz w:val="24"/>
                <w:szCs w:val="24"/>
                <w:highlight w:val="none"/>
              </w:rPr>
              <w:t>电话：0871-64883441</w:t>
            </w:r>
            <w:r>
              <w:rPr>
                <w:rFonts w:hint="eastAsia" w:ascii="宋体" w:hAnsi="宋体" w:cs="宋体"/>
                <w:color w:val="auto"/>
                <w:sz w:val="24"/>
                <w:szCs w:val="24"/>
                <w:highlight w:val="none"/>
              </w:rPr>
              <w:t xml:space="preserve">  </w:t>
            </w:r>
          </w:p>
        </w:tc>
      </w:tr>
      <w:tr w14:paraId="00A76102">
        <w:tblPrEx>
          <w:tblCellMar>
            <w:top w:w="0" w:type="dxa"/>
            <w:left w:w="0" w:type="dxa"/>
            <w:bottom w:w="0" w:type="dxa"/>
            <w:right w:w="0" w:type="dxa"/>
          </w:tblCellMar>
        </w:tblPrEx>
        <w:trPr>
          <w:trHeight w:val="1600"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6C3ED302">
            <w:pPr>
              <w:spacing w:line="400" w:lineRule="exact"/>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1.1.3</w:t>
            </w:r>
          </w:p>
        </w:tc>
        <w:tc>
          <w:tcPr>
            <w:tcW w:w="2009" w:type="dxa"/>
            <w:tcBorders>
              <w:top w:val="single" w:color="auto" w:sz="8" w:space="0"/>
              <w:left w:val="nil"/>
              <w:bottom w:val="single" w:color="auto" w:sz="8" w:space="0"/>
              <w:right w:val="single" w:color="auto" w:sz="8" w:space="0"/>
            </w:tcBorders>
            <w:vAlign w:val="center"/>
          </w:tcPr>
          <w:p w14:paraId="5846C292">
            <w:pPr>
              <w:spacing w:line="400" w:lineRule="exact"/>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采购代理机构</w:t>
            </w:r>
          </w:p>
        </w:tc>
        <w:tc>
          <w:tcPr>
            <w:tcW w:w="6826" w:type="dxa"/>
            <w:tcBorders>
              <w:top w:val="single" w:color="auto" w:sz="8" w:space="0"/>
              <w:left w:val="nil"/>
              <w:bottom w:val="single" w:color="auto" w:sz="8" w:space="0"/>
              <w:right w:val="single" w:color="auto" w:sz="8" w:space="0"/>
            </w:tcBorders>
            <w:vAlign w:val="center"/>
          </w:tcPr>
          <w:p w14:paraId="0FB617B2">
            <w:pPr>
              <w:spacing w:line="400" w:lineRule="exact"/>
              <w:rPr>
                <w:rFonts w:ascii="宋体" w:hAnsi="宋体" w:cs="宋体"/>
                <w:color w:val="auto"/>
                <w:kern w:val="2"/>
                <w:sz w:val="24"/>
                <w:szCs w:val="24"/>
                <w:highlight w:val="none"/>
              </w:rPr>
            </w:pPr>
            <w:r>
              <w:rPr>
                <w:rFonts w:hint="eastAsia" w:ascii="宋体" w:hAnsi="宋体" w:cs="宋体"/>
                <w:color w:val="auto"/>
                <w:kern w:val="2"/>
                <w:sz w:val="24"/>
                <w:szCs w:val="24"/>
                <w:highlight w:val="none"/>
              </w:rPr>
              <w:t>名称：</w:t>
            </w:r>
            <w:r>
              <w:rPr>
                <w:rFonts w:hint="eastAsia" w:ascii="宋体" w:hAnsi="宋体" w:cs="宋体"/>
                <w:color w:val="auto"/>
                <w:kern w:val="2"/>
                <w:sz w:val="24"/>
                <w:szCs w:val="24"/>
                <w:highlight w:val="none"/>
                <w:lang w:eastAsia="zh-CN"/>
              </w:rPr>
              <w:t>云南兴语招标有限公司</w:t>
            </w:r>
            <w:r>
              <w:rPr>
                <w:rFonts w:hint="eastAsia" w:ascii="宋体" w:hAnsi="宋体" w:cs="宋体"/>
                <w:color w:val="auto"/>
                <w:kern w:val="2"/>
                <w:sz w:val="24"/>
                <w:szCs w:val="24"/>
                <w:highlight w:val="none"/>
              </w:rPr>
              <w:t xml:space="preserve"> </w:t>
            </w:r>
          </w:p>
          <w:p w14:paraId="331B627E">
            <w:pPr>
              <w:spacing w:line="400" w:lineRule="exact"/>
              <w:rPr>
                <w:rFonts w:ascii="宋体" w:hAnsi="宋体" w:cs="宋体"/>
                <w:color w:val="auto"/>
                <w:kern w:val="2"/>
                <w:sz w:val="24"/>
                <w:szCs w:val="24"/>
                <w:highlight w:val="none"/>
              </w:rPr>
            </w:pPr>
            <w:r>
              <w:rPr>
                <w:rFonts w:hint="eastAsia" w:ascii="宋体" w:hAnsi="宋体" w:cs="宋体"/>
                <w:color w:val="auto"/>
                <w:kern w:val="2"/>
                <w:sz w:val="24"/>
                <w:szCs w:val="24"/>
                <w:highlight w:val="none"/>
              </w:rPr>
              <w:t>地址：昆明市盘龙区同德昆明广场B区4栋1401</w:t>
            </w:r>
          </w:p>
          <w:p w14:paraId="428FA69A">
            <w:pPr>
              <w:spacing w:line="400" w:lineRule="exact"/>
              <w:rPr>
                <w:rFonts w:ascii="宋体" w:hAnsi="宋体" w:cs="宋体"/>
                <w:color w:val="auto"/>
                <w:kern w:val="2"/>
                <w:sz w:val="24"/>
                <w:szCs w:val="24"/>
                <w:highlight w:val="none"/>
              </w:rPr>
            </w:pPr>
            <w:r>
              <w:rPr>
                <w:rFonts w:hint="eastAsia" w:ascii="宋体" w:hAnsi="宋体" w:cs="宋体"/>
                <w:color w:val="auto"/>
                <w:kern w:val="2"/>
                <w:sz w:val="24"/>
                <w:szCs w:val="24"/>
                <w:highlight w:val="none"/>
              </w:rPr>
              <w:t>联系人：宁工</w:t>
            </w:r>
          </w:p>
          <w:p w14:paraId="5EF7B21C">
            <w:pPr>
              <w:spacing w:line="400" w:lineRule="exact"/>
              <w:rPr>
                <w:rFonts w:ascii="宋体" w:hAnsi="宋体" w:cs="宋体"/>
                <w:color w:val="auto"/>
                <w:kern w:val="2"/>
                <w:sz w:val="24"/>
                <w:szCs w:val="24"/>
                <w:highlight w:val="none"/>
              </w:rPr>
            </w:pPr>
            <w:r>
              <w:rPr>
                <w:rFonts w:hint="eastAsia" w:ascii="宋体" w:hAnsi="宋体" w:cs="宋体"/>
                <w:color w:val="auto"/>
                <w:kern w:val="2"/>
                <w:sz w:val="24"/>
                <w:szCs w:val="24"/>
                <w:highlight w:val="none"/>
              </w:rPr>
              <w:t>电话：</w:t>
            </w:r>
            <w:r>
              <w:rPr>
                <w:rFonts w:hint="eastAsia" w:ascii="宋体" w:hAnsi="宋体" w:cs="宋体"/>
                <w:color w:val="auto"/>
                <w:kern w:val="2"/>
                <w:sz w:val="24"/>
                <w:szCs w:val="24"/>
                <w:highlight w:val="none"/>
                <w:lang w:val="en-US" w:eastAsia="zh-CN"/>
              </w:rPr>
              <w:t>18388283097</w:t>
            </w:r>
          </w:p>
        </w:tc>
      </w:tr>
      <w:tr w14:paraId="226117D6">
        <w:tblPrEx>
          <w:tblCellMar>
            <w:top w:w="0" w:type="dxa"/>
            <w:left w:w="0" w:type="dxa"/>
            <w:bottom w:w="0" w:type="dxa"/>
            <w:right w:w="0" w:type="dxa"/>
          </w:tblCellMar>
        </w:tblPrEx>
        <w:trPr>
          <w:trHeight w:val="1167"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3DB09D84">
            <w:pPr>
              <w:spacing w:line="400" w:lineRule="exact"/>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1.1.4</w:t>
            </w:r>
          </w:p>
        </w:tc>
        <w:tc>
          <w:tcPr>
            <w:tcW w:w="2009" w:type="dxa"/>
            <w:tcBorders>
              <w:top w:val="single" w:color="auto" w:sz="8" w:space="0"/>
              <w:left w:val="nil"/>
              <w:bottom w:val="single" w:color="auto" w:sz="8" w:space="0"/>
              <w:right w:val="single" w:color="auto" w:sz="8" w:space="0"/>
            </w:tcBorders>
            <w:vAlign w:val="center"/>
          </w:tcPr>
          <w:p w14:paraId="3AA6B696">
            <w:pPr>
              <w:spacing w:line="400" w:lineRule="exact"/>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项目名称</w:t>
            </w:r>
          </w:p>
        </w:tc>
        <w:tc>
          <w:tcPr>
            <w:tcW w:w="6826" w:type="dxa"/>
            <w:tcBorders>
              <w:top w:val="single" w:color="auto" w:sz="8" w:space="0"/>
              <w:left w:val="nil"/>
              <w:bottom w:val="single" w:color="auto" w:sz="8" w:space="0"/>
              <w:right w:val="single" w:color="auto" w:sz="8" w:space="0"/>
            </w:tcBorders>
            <w:vAlign w:val="center"/>
          </w:tcPr>
          <w:p w14:paraId="7EA45018">
            <w:pPr>
              <w:spacing w:line="400" w:lineRule="exact"/>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项目名称：</w:t>
            </w:r>
            <w:r>
              <w:rPr>
                <w:rFonts w:hint="eastAsia" w:ascii="宋体" w:hAnsi="宋体" w:cs="宋体"/>
                <w:color w:val="auto"/>
                <w:kern w:val="2"/>
                <w:sz w:val="24"/>
                <w:szCs w:val="24"/>
                <w:highlight w:val="none"/>
                <w:lang w:eastAsia="zh-CN"/>
              </w:rPr>
              <w:t>昆明铁道职业技术学院2025年物联网综合实训室建设（1标段 设备采购）</w:t>
            </w:r>
          </w:p>
        </w:tc>
      </w:tr>
      <w:tr w14:paraId="550330BF">
        <w:tblPrEx>
          <w:tblCellMar>
            <w:top w:w="0" w:type="dxa"/>
            <w:left w:w="0" w:type="dxa"/>
            <w:bottom w:w="0" w:type="dxa"/>
            <w:right w:w="0" w:type="dxa"/>
          </w:tblCellMar>
        </w:tblPrEx>
        <w:trPr>
          <w:trHeight w:val="664"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364DD8FE">
            <w:pPr>
              <w:spacing w:line="400" w:lineRule="exact"/>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1.2.1</w:t>
            </w:r>
          </w:p>
        </w:tc>
        <w:tc>
          <w:tcPr>
            <w:tcW w:w="2009" w:type="dxa"/>
            <w:tcBorders>
              <w:top w:val="single" w:color="auto" w:sz="8" w:space="0"/>
              <w:left w:val="nil"/>
              <w:bottom w:val="single" w:color="auto" w:sz="8" w:space="0"/>
              <w:right w:val="single" w:color="auto" w:sz="8" w:space="0"/>
            </w:tcBorders>
            <w:vAlign w:val="center"/>
          </w:tcPr>
          <w:p w14:paraId="0DB37166">
            <w:pPr>
              <w:spacing w:line="400" w:lineRule="exact"/>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资金落实情况</w:t>
            </w:r>
          </w:p>
        </w:tc>
        <w:tc>
          <w:tcPr>
            <w:tcW w:w="6826" w:type="dxa"/>
            <w:tcBorders>
              <w:top w:val="single" w:color="auto" w:sz="8" w:space="0"/>
              <w:left w:val="nil"/>
              <w:bottom w:val="single" w:color="auto" w:sz="8" w:space="0"/>
              <w:right w:val="single" w:color="auto" w:sz="8" w:space="0"/>
            </w:tcBorders>
            <w:vAlign w:val="center"/>
          </w:tcPr>
          <w:p w14:paraId="55A1F947">
            <w:pPr>
              <w:spacing w:line="400" w:lineRule="exact"/>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已落实</w:t>
            </w:r>
          </w:p>
        </w:tc>
      </w:tr>
      <w:tr w14:paraId="4A6CAF2A">
        <w:tblPrEx>
          <w:tblCellMar>
            <w:top w:w="0" w:type="dxa"/>
            <w:left w:w="0" w:type="dxa"/>
            <w:bottom w:w="0" w:type="dxa"/>
            <w:right w:w="0" w:type="dxa"/>
          </w:tblCellMar>
        </w:tblPrEx>
        <w:trPr>
          <w:trHeight w:val="643"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4FD5599B">
            <w:pPr>
              <w:spacing w:line="400" w:lineRule="exact"/>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1.2.2</w:t>
            </w:r>
          </w:p>
        </w:tc>
        <w:tc>
          <w:tcPr>
            <w:tcW w:w="2009" w:type="dxa"/>
            <w:tcBorders>
              <w:top w:val="single" w:color="auto" w:sz="8" w:space="0"/>
              <w:left w:val="nil"/>
              <w:bottom w:val="single" w:color="auto" w:sz="8" w:space="0"/>
              <w:right w:val="single" w:color="auto" w:sz="8" w:space="0"/>
            </w:tcBorders>
            <w:vAlign w:val="center"/>
          </w:tcPr>
          <w:p w14:paraId="6C65BB52">
            <w:pPr>
              <w:spacing w:line="400" w:lineRule="exact"/>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预算金额</w:t>
            </w:r>
          </w:p>
        </w:tc>
        <w:tc>
          <w:tcPr>
            <w:tcW w:w="6826" w:type="dxa"/>
            <w:tcBorders>
              <w:top w:val="single" w:color="auto" w:sz="8" w:space="0"/>
              <w:left w:val="nil"/>
              <w:bottom w:val="single" w:color="auto" w:sz="8" w:space="0"/>
              <w:right w:val="single" w:color="auto" w:sz="8" w:space="0"/>
            </w:tcBorders>
            <w:vAlign w:val="center"/>
          </w:tcPr>
          <w:p w14:paraId="018FBFB6">
            <w:pPr>
              <w:spacing w:line="400" w:lineRule="exact"/>
              <w:jc w:val="both"/>
              <w:rPr>
                <w:rFonts w:hint="eastAsia" w:ascii="宋体" w:hAnsi="宋体" w:eastAsia="宋体" w:cs="宋体"/>
                <w:color w:val="auto"/>
                <w:kern w:val="2"/>
                <w:sz w:val="24"/>
                <w:szCs w:val="24"/>
                <w:highlight w:val="none"/>
                <w:lang w:eastAsia="zh-CN"/>
              </w:rPr>
            </w:pPr>
            <w:r>
              <w:rPr>
                <w:rFonts w:hint="eastAsia" w:ascii="宋体" w:hAnsi="宋体" w:cs="宋体"/>
                <w:color w:val="auto"/>
                <w:sz w:val="24"/>
                <w:szCs w:val="24"/>
                <w:highlight w:val="none"/>
                <w:lang w:eastAsia="zh-CN"/>
              </w:rPr>
              <w:t>182.2万元</w:t>
            </w:r>
          </w:p>
        </w:tc>
      </w:tr>
      <w:tr w14:paraId="00B05F25">
        <w:tblPrEx>
          <w:tblCellMar>
            <w:top w:w="0" w:type="dxa"/>
            <w:left w:w="0" w:type="dxa"/>
            <w:bottom w:w="0" w:type="dxa"/>
            <w:right w:w="0" w:type="dxa"/>
          </w:tblCellMar>
        </w:tblPrEx>
        <w:trPr>
          <w:trHeight w:val="601"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4F6A3F1B">
            <w:pPr>
              <w:spacing w:line="400" w:lineRule="exact"/>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1.3.1</w:t>
            </w:r>
          </w:p>
        </w:tc>
        <w:tc>
          <w:tcPr>
            <w:tcW w:w="2009" w:type="dxa"/>
            <w:tcBorders>
              <w:top w:val="single" w:color="auto" w:sz="8" w:space="0"/>
              <w:left w:val="nil"/>
              <w:bottom w:val="single" w:color="auto" w:sz="8" w:space="0"/>
              <w:right w:val="single" w:color="auto" w:sz="8" w:space="0"/>
            </w:tcBorders>
            <w:vAlign w:val="center"/>
          </w:tcPr>
          <w:p w14:paraId="283BCA94">
            <w:pPr>
              <w:spacing w:line="400" w:lineRule="exact"/>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采购需求</w:t>
            </w:r>
          </w:p>
        </w:tc>
        <w:tc>
          <w:tcPr>
            <w:tcW w:w="6826" w:type="dxa"/>
            <w:tcBorders>
              <w:top w:val="single" w:color="auto" w:sz="8" w:space="0"/>
              <w:left w:val="nil"/>
              <w:bottom w:val="single" w:color="auto" w:sz="8" w:space="0"/>
              <w:right w:val="single" w:color="auto" w:sz="8" w:space="0"/>
            </w:tcBorders>
            <w:vAlign w:val="center"/>
          </w:tcPr>
          <w:p w14:paraId="3BED8902">
            <w:pPr>
              <w:spacing w:line="400" w:lineRule="exact"/>
              <w:jc w:val="both"/>
              <w:rPr>
                <w:rFonts w:ascii="宋体" w:hAnsi="宋体" w:cs="宋体"/>
                <w:color w:val="auto"/>
                <w:kern w:val="2"/>
                <w:sz w:val="24"/>
                <w:szCs w:val="24"/>
                <w:highlight w:val="none"/>
              </w:rPr>
            </w:pPr>
            <w:r>
              <w:rPr>
                <w:rFonts w:hint="eastAsia" w:ascii="宋体" w:hAnsi="宋体" w:cs="宋体"/>
                <w:color w:val="auto"/>
                <w:sz w:val="24"/>
                <w:szCs w:val="24"/>
                <w:highlight w:val="none"/>
              </w:rPr>
              <w:t>详见“第一章 招标公告 一、项目基本情况”</w:t>
            </w:r>
          </w:p>
        </w:tc>
      </w:tr>
      <w:tr w14:paraId="6008F2E1">
        <w:tblPrEx>
          <w:tblCellMar>
            <w:top w:w="0" w:type="dxa"/>
            <w:left w:w="0" w:type="dxa"/>
            <w:bottom w:w="0" w:type="dxa"/>
            <w:right w:w="0" w:type="dxa"/>
          </w:tblCellMar>
        </w:tblPrEx>
        <w:trPr>
          <w:trHeight w:val="890"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559EA7CC">
            <w:pPr>
              <w:spacing w:line="400" w:lineRule="exact"/>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1.3.2</w:t>
            </w:r>
          </w:p>
        </w:tc>
        <w:tc>
          <w:tcPr>
            <w:tcW w:w="2009" w:type="dxa"/>
            <w:tcBorders>
              <w:top w:val="single" w:color="auto" w:sz="8" w:space="0"/>
              <w:left w:val="nil"/>
              <w:bottom w:val="single" w:color="auto" w:sz="8" w:space="0"/>
              <w:right w:val="single" w:color="auto" w:sz="8" w:space="0"/>
            </w:tcBorders>
            <w:vAlign w:val="center"/>
          </w:tcPr>
          <w:p w14:paraId="3435EBFD">
            <w:pPr>
              <w:spacing w:line="400" w:lineRule="exact"/>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合同履行期限、质保期、质量标准</w:t>
            </w:r>
          </w:p>
        </w:tc>
        <w:tc>
          <w:tcPr>
            <w:tcW w:w="6826" w:type="dxa"/>
            <w:tcBorders>
              <w:top w:val="single" w:color="auto" w:sz="8" w:space="0"/>
              <w:left w:val="nil"/>
              <w:bottom w:val="single" w:color="auto" w:sz="8" w:space="0"/>
              <w:right w:val="single" w:color="auto" w:sz="8" w:space="0"/>
            </w:tcBorders>
            <w:vAlign w:val="center"/>
          </w:tcPr>
          <w:p w14:paraId="3FAA9D76">
            <w:pPr>
              <w:pStyle w:val="14"/>
              <w:spacing w:line="400" w:lineRule="exact"/>
              <w:jc w:val="both"/>
              <w:rPr>
                <w:rFonts w:ascii="宋体" w:hAnsi="宋体" w:cs="宋体"/>
                <w:color w:val="auto"/>
                <w:highlight w:val="none"/>
              </w:rPr>
            </w:pPr>
            <w:r>
              <w:rPr>
                <w:rFonts w:hint="eastAsia" w:ascii="宋体" w:hAnsi="宋体" w:cs="宋体"/>
                <w:color w:val="auto"/>
                <w:sz w:val="24"/>
                <w:highlight w:val="none"/>
              </w:rPr>
              <w:t>详见“第一章 招标公告 一、项目基本情况”</w:t>
            </w:r>
          </w:p>
        </w:tc>
      </w:tr>
      <w:tr w14:paraId="75826AEB">
        <w:tblPrEx>
          <w:tblCellMar>
            <w:top w:w="0" w:type="dxa"/>
            <w:left w:w="0" w:type="dxa"/>
            <w:bottom w:w="0" w:type="dxa"/>
            <w:right w:w="0" w:type="dxa"/>
          </w:tblCellMar>
        </w:tblPrEx>
        <w:trPr>
          <w:trHeight w:val="635"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148AE334">
            <w:pPr>
              <w:spacing w:line="400" w:lineRule="exact"/>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1.3.3</w:t>
            </w:r>
          </w:p>
        </w:tc>
        <w:tc>
          <w:tcPr>
            <w:tcW w:w="2009" w:type="dxa"/>
            <w:tcBorders>
              <w:top w:val="single" w:color="auto" w:sz="8" w:space="0"/>
              <w:left w:val="nil"/>
              <w:bottom w:val="single" w:color="auto" w:sz="8" w:space="0"/>
              <w:right w:val="single" w:color="auto" w:sz="8" w:space="0"/>
            </w:tcBorders>
            <w:vAlign w:val="center"/>
          </w:tcPr>
          <w:p w14:paraId="53372452">
            <w:pPr>
              <w:spacing w:line="400" w:lineRule="exact"/>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交货地点、</w:t>
            </w:r>
            <w:r>
              <w:rPr>
                <w:rFonts w:hint="eastAsia" w:ascii="宋体" w:hAnsi="宋体" w:cs="宋体"/>
                <w:color w:val="auto"/>
                <w:sz w:val="24"/>
                <w:szCs w:val="24"/>
                <w:highlight w:val="none"/>
              </w:rPr>
              <w:t>交货方式</w:t>
            </w:r>
          </w:p>
        </w:tc>
        <w:tc>
          <w:tcPr>
            <w:tcW w:w="6826" w:type="dxa"/>
            <w:tcBorders>
              <w:top w:val="single" w:color="auto" w:sz="8" w:space="0"/>
              <w:left w:val="nil"/>
              <w:bottom w:val="single" w:color="auto" w:sz="8" w:space="0"/>
              <w:right w:val="single" w:color="auto" w:sz="8" w:space="0"/>
            </w:tcBorders>
            <w:vAlign w:val="center"/>
          </w:tcPr>
          <w:p w14:paraId="5448FFA7">
            <w:pPr>
              <w:spacing w:line="400" w:lineRule="exact"/>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交货地点：昆明铁道职业技术学院指定地点</w:t>
            </w:r>
          </w:p>
          <w:p w14:paraId="7B4B4DF2">
            <w:pPr>
              <w:spacing w:line="400" w:lineRule="exact"/>
              <w:jc w:val="both"/>
              <w:rPr>
                <w:rFonts w:ascii="宋体" w:hAnsi="宋体" w:cs="宋体"/>
                <w:color w:val="auto"/>
                <w:highlight w:val="none"/>
              </w:rPr>
            </w:pPr>
            <w:r>
              <w:rPr>
                <w:rFonts w:hint="eastAsia" w:ascii="宋体" w:hAnsi="宋体" w:cs="宋体"/>
                <w:color w:val="auto"/>
                <w:sz w:val="24"/>
                <w:szCs w:val="24"/>
                <w:highlight w:val="none"/>
              </w:rPr>
              <w:t>交货方式：安装调试验收完成</w:t>
            </w:r>
          </w:p>
        </w:tc>
      </w:tr>
      <w:tr w14:paraId="6063703F">
        <w:tblPrEx>
          <w:tblCellMar>
            <w:top w:w="0" w:type="dxa"/>
            <w:left w:w="0" w:type="dxa"/>
            <w:bottom w:w="0" w:type="dxa"/>
            <w:right w:w="0" w:type="dxa"/>
          </w:tblCellMar>
        </w:tblPrEx>
        <w:trPr>
          <w:trHeight w:val="904"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6577E826">
            <w:pPr>
              <w:spacing w:line="400" w:lineRule="exact"/>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1.4.1</w:t>
            </w:r>
          </w:p>
        </w:tc>
        <w:tc>
          <w:tcPr>
            <w:tcW w:w="2009" w:type="dxa"/>
            <w:tcBorders>
              <w:top w:val="single" w:color="auto" w:sz="8" w:space="0"/>
              <w:left w:val="nil"/>
              <w:bottom w:val="single" w:color="auto" w:sz="8" w:space="0"/>
              <w:right w:val="single" w:color="auto" w:sz="8" w:space="0"/>
            </w:tcBorders>
            <w:vAlign w:val="center"/>
          </w:tcPr>
          <w:p w14:paraId="087B6D8A">
            <w:pPr>
              <w:spacing w:line="400" w:lineRule="exact"/>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投标人资格要求</w:t>
            </w:r>
          </w:p>
        </w:tc>
        <w:tc>
          <w:tcPr>
            <w:tcW w:w="6826" w:type="dxa"/>
            <w:tcBorders>
              <w:top w:val="single" w:color="auto" w:sz="8" w:space="0"/>
              <w:left w:val="nil"/>
              <w:bottom w:val="single" w:color="auto" w:sz="8" w:space="0"/>
              <w:right w:val="single" w:color="auto" w:sz="8" w:space="0"/>
            </w:tcBorders>
            <w:vAlign w:val="center"/>
          </w:tcPr>
          <w:p w14:paraId="3FE4B416">
            <w:pP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详见“第一章 招标公告二、</w:t>
            </w:r>
            <w:r>
              <w:rPr>
                <w:rFonts w:hint="eastAsia" w:ascii="宋体" w:hAnsi="宋体" w:cs="宋体"/>
                <w:color w:val="auto"/>
                <w:sz w:val="24"/>
                <w:szCs w:val="24"/>
                <w:highlight w:val="none"/>
                <w:lang w:val="en-US" w:eastAsia="zh-CN"/>
              </w:rPr>
              <w:t>投标人</w:t>
            </w:r>
            <w:r>
              <w:rPr>
                <w:rFonts w:hint="eastAsia" w:ascii="宋体" w:hAnsi="宋体" w:cs="宋体"/>
                <w:color w:val="auto"/>
                <w:sz w:val="24"/>
                <w:szCs w:val="24"/>
                <w:highlight w:val="none"/>
              </w:rPr>
              <w:t>的资格要求”</w:t>
            </w:r>
          </w:p>
        </w:tc>
      </w:tr>
      <w:tr w14:paraId="4DADCEAC">
        <w:tblPrEx>
          <w:tblCellMar>
            <w:top w:w="0" w:type="dxa"/>
            <w:left w:w="0" w:type="dxa"/>
            <w:bottom w:w="0" w:type="dxa"/>
            <w:right w:w="0" w:type="dxa"/>
          </w:tblCellMar>
        </w:tblPrEx>
        <w:trPr>
          <w:trHeight w:val="662"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020025CA">
            <w:pPr>
              <w:spacing w:line="400" w:lineRule="exact"/>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1.4.2</w:t>
            </w:r>
          </w:p>
        </w:tc>
        <w:tc>
          <w:tcPr>
            <w:tcW w:w="2009" w:type="dxa"/>
            <w:tcBorders>
              <w:top w:val="single" w:color="auto" w:sz="8" w:space="0"/>
              <w:left w:val="nil"/>
              <w:bottom w:val="single" w:color="auto" w:sz="8" w:space="0"/>
              <w:right w:val="single" w:color="auto" w:sz="8" w:space="0"/>
            </w:tcBorders>
            <w:vAlign w:val="center"/>
          </w:tcPr>
          <w:p w14:paraId="132C7749">
            <w:pPr>
              <w:spacing w:line="400" w:lineRule="exact"/>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是否接受联合体投标</w:t>
            </w:r>
          </w:p>
        </w:tc>
        <w:tc>
          <w:tcPr>
            <w:tcW w:w="6826" w:type="dxa"/>
            <w:tcBorders>
              <w:top w:val="single" w:color="auto" w:sz="8" w:space="0"/>
              <w:left w:val="nil"/>
              <w:bottom w:val="single" w:color="auto" w:sz="8" w:space="0"/>
              <w:right w:val="single" w:color="auto" w:sz="8" w:space="0"/>
            </w:tcBorders>
            <w:vAlign w:val="bottom"/>
          </w:tcPr>
          <w:p w14:paraId="5AF7E8A4">
            <w:pP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☑不接受</w:t>
            </w:r>
          </w:p>
          <w:p w14:paraId="3D58622C">
            <w:pP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□接受，应满足下列要求：</w:t>
            </w:r>
          </w:p>
          <w:p w14:paraId="500C3131">
            <w:pPr>
              <w:spacing w:line="400" w:lineRule="exact"/>
              <w:ind w:firstLine="482" w:firstLineChars="200"/>
              <w:rPr>
                <w:rFonts w:ascii="宋体" w:hAnsi="宋体" w:cs="宋体"/>
                <w:color w:val="auto"/>
                <w:sz w:val="24"/>
                <w:szCs w:val="24"/>
                <w:highlight w:val="none"/>
              </w:rPr>
            </w:pPr>
            <w:r>
              <w:rPr>
                <w:rFonts w:hint="eastAsia" w:ascii="宋体" w:hAnsi="宋体" w:cs="宋体"/>
                <w:b/>
                <w:bCs/>
                <w:color w:val="auto"/>
                <w:sz w:val="24"/>
                <w:szCs w:val="24"/>
                <w:highlight w:val="none"/>
              </w:rPr>
              <w:t>信用要求：</w:t>
            </w:r>
            <w:r>
              <w:rPr>
                <w:rFonts w:hint="eastAsia" w:ascii="宋体" w:hAnsi="宋体" w:cs="宋体"/>
                <w:color w:val="auto"/>
                <w:sz w:val="24"/>
                <w:szCs w:val="24"/>
                <w:highlight w:val="none"/>
              </w:rPr>
              <w:t>两个以上的自然人、法人或者其他组织组成一个联合体，以一个投标人的身份共同参加政府采购活动的，应当对所有联合体成员进行信用记录查询，联合体成员存在不良信用记录的，视同联合体存在不良信用记录。</w:t>
            </w:r>
          </w:p>
          <w:p w14:paraId="6262F2E7">
            <w:pPr>
              <w:spacing w:line="400" w:lineRule="exact"/>
              <w:ind w:firstLine="482" w:firstLineChars="200"/>
              <w:rPr>
                <w:rFonts w:ascii="宋体" w:hAnsi="宋体" w:cs="宋体"/>
                <w:color w:val="auto"/>
                <w:highlight w:val="none"/>
              </w:rPr>
            </w:pPr>
            <w:r>
              <w:rPr>
                <w:rFonts w:hint="eastAsia" w:ascii="宋体" w:hAnsi="宋体" w:cs="宋体"/>
                <w:b/>
                <w:bCs/>
                <w:color w:val="auto"/>
                <w:sz w:val="24"/>
                <w:szCs w:val="24"/>
                <w:highlight w:val="none"/>
              </w:rPr>
              <w:t>其他要求：</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u w:val="single"/>
              </w:rPr>
              <w:t>/</w:t>
            </w:r>
            <w:r>
              <w:rPr>
                <w:rFonts w:hint="eastAsia" w:ascii="宋体" w:hAnsi="宋体" w:cs="宋体"/>
                <w:color w:val="auto"/>
                <w:sz w:val="24"/>
                <w:szCs w:val="24"/>
                <w:highlight w:val="none"/>
              </w:rPr>
              <w:t>。</w:t>
            </w:r>
          </w:p>
        </w:tc>
      </w:tr>
      <w:tr w14:paraId="48CAC7D4">
        <w:tblPrEx>
          <w:tblCellMar>
            <w:top w:w="0" w:type="dxa"/>
            <w:left w:w="0" w:type="dxa"/>
            <w:bottom w:w="0" w:type="dxa"/>
            <w:right w:w="0" w:type="dxa"/>
          </w:tblCellMar>
        </w:tblPrEx>
        <w:trPr>
          <w:trHeight w:val="1238"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42CC213C">
            <w:pPr>
              <w:spacing w:line="400" w:lineRule="exact"/>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1.9.1</w:t>
            </w:r>
          </w:p>
        </w:tc>
        <w:tc>
          <w:tcPr>
            <w:tcW w:w="2009" w:type="dxa"/>
            <w:tcBorders>
              <w:top w:val="single" w:color="auto" w:sz="8" w:space="0"/>
              <w:left w:val="nil"/>
              <w:bottom w:val="single" w:color="auto" w:sz="8" w:space="0"/>
              <w:right w:val="single" w:color="auto" w:sz="8" w:space="0"/>
            </w:tcBorders>
            <w:vAlign w:val="center"/>
          </w:tcPr>
          <w:p w14:paraId="22596ACA">
            <w:pPr>
              <w:spacing w:line="400" w:lineRule="exact"/>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现场考察</w:t>
            </w:r>
          </w:p>
        </w:tc>
        <w:tc>
          <w:tcPr>
            <w:tcW w:w="6826" w:type="dxa"/>
            <w:tcBorders>
              <w:top w:val="single" w:color="auto" w:sz="8" w:space="0"/>
              <w:left w:val="nil"/>
              <w:bottom w:val="single" w:color="auto" w:sz="8" w:space="0"/>
              <w:right w:val="single" w:color="auto" w:sz="8" w:space="0"/>
            </w:tcBorders>
            <w:vAlign w:val="center"/>
          </w:tcPr>
          <w:p w14:paraId="04E73FD3">
            <w:pPr>
              <w:pStyle w:val="13"/>
              <w:topLinePunct/>
              <w:spacing w:line="400" w:lineRule="exact"/>
              <w:rPr>
                <w:rFonts w:hAnsi="宋体" w:cs="宋体"/>
                <w:color w:val="auto"/>
                <w:kern w:val="2"/>
                <w:highlight w:val="none"/>
              </w:rPr>
            </w:pPr>
            <w:r>
              <w:rPr>
                <w:rFonts w:hint="eastAsia" w:hAnsi="宋体" w:cs="宋体"/>
                <w:color w:val="auto"/>
                <w:kern w:val="2"/>
                <w:highlight w:val="none"/>
              </w:rPr>
              <w:t>☑不组织</w:t>
            </w:r>
          </w:p>
          <w:p w14:paraId="44DB1ECF">
            <w:pPr>
              <w:spacing w:line="400" w:lineRule="exact"/>
              <w:ind w:left="991" w:hanging="991" w:hangingChars="413"/>
              <w:rPr>
                <w:rFonts w:ascii="宋体" w:hAnsi="宋体" w:cs="宋体"/>
                <w:color w:val="auto"/>
                <w:kern w:val="2"/>
                <w:sz w:val="24"/>
                <w:szCs w:val="24"/>
                <w:highlight w:val="none"/>
                <w:u w:val="single"/>
              </w:rPr>
            </w:pPr>
            <w:r>
              <w:rPr>
                <w:rFonts w:hint="eastAsia" w:ascii="宋体" w:hAnsi="宋体" w:cs="宋体"/>
                <w:color w:val="auto"/>
                <w:kern w:val="2"/>
                <w:sz w:val="24"/>
                <w:szCs w:val="24"/>
                <w:highlight w:val="none"/>
              </w:rPr>
              <w:t>□组织，考察时间：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w:t>
            </w:r>
            <w:r>
              <w:rPr>
                <w:rFonts w:hint="eastAsia" w:ascii="宋体" w:hAnsi="宋体" w:cs="宋体"/>
                <w:color w:val="auto"/>
                <w:kern w:val="2"/>
                <w:sz w:val="24"/>
                <w:szCs w:val="24"/>
                <w:highlight w:val="none"/>
                <w:u w:val="single"/>
              </w:rPr>
              <w:t>（在招标文件提供期限截止后，开标前）</w:t>
            </w:r>
          </w:p>
          <w:p w14:paraId="5F9C7DBE">
            <w:pPr>
              <w:spacing w:line="400" w:lineRule="exact"/>
              <w:rPr>
                <w:rFonts w:ascii="宋体" w:hAnsi="宋体" w:cs="宋体"/>
                <w:color w:val="auto"/>
                <w:kern w:val="2"/>
                <w:sz w:val="24"/>
                <w:szCs w:val="24"/>
                <w:highlight w:val="none"/>
              </w:rPr>
            </w:pPr>
            <w:r>
              <w:rPr>
                <w:rFonts w:hint="eastAsia" w:ascii="宋体" w:hAnsi="宋体" w:cs="宋体"/>
                <w:color w:val="auto"/>
                <w:kern w:val="2"/>
                <w:sz w:val="24"/>
                <w:szCs w:val="24"/>
                <w:highlight w:val="none"/>
              </w:rPr>
              <w:t xml:space="preserve">        考察集中地点：</w:t>
            </w:r>
            <w:r>
              <w:rPr>
                <w:rFonts w:hint="eastAsia" w:ascii="宋体" w:hAnsi="宋体" w:cs="宋体"/>
                <w:color w:val="auto"/>
                <w:kern w:val="2"/>
                <w:sz w:val="24"/>
                <w:szCs w:val="24"/>
                <w:highlight w:val="none"/>
                <w:u w:val="single"/>
              </w:rPr>
              <w:t xml:space="preserve">                 </w:t>
            </w:r>
          </w:p>
        </w:tc>
      </w:tr>
      <w:tr w14:paraId="69B4D9C1">
        <w:tblPrEx>
          <w:tblCellMar>
            <w:top w:w="0" w:type="dxa"/>
            <w:left w:w="0" w:type="dxa"/>
            <w:bottom w:w="0" w:type="dxa"/>
            <w:right w:w="0" w:type="dxa"/>
          </w:tblCellMar>
        </w:tblPrEx>
        <w:trPr>
          <w:trHeight w:val="990"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02197612">
            <w:pPr>
              <w:spacing w:line="400" w:lineRule="exact"/>
              <w:jc w:val="center"/>
              <w:rPr>
                <w:rFonts w:ascii="宋体" w:hAnsi="宋体" w:cs="宋体"/>
                <w:b/>
                <w:bCs/>
                <w:color w:val="auto"/>
                <w:kern w:val="2"/>
                <w:sz w:val="24"/>
                <w:szCs w:val="24"/>
                <w:highlight w:val="none"/>
              </w:rPr>
            </w:pPr>
            <w:r>
              <w:rPr>
                <w:rFonts w:hint="eastAsia" w:ascii="宋体" w:hAnsi="宋体" w:cs="宋体"/>
                <w:b/>
                <w:bCs/>
                <w:color w:val="auto"/>
                <w:kern w:val="2"/>
                <w:sz w:val="24"/>
                <w:szCs w:val="24"/>
                <w:highlight w:val="none"/>
              </w:rPr>
              <w:t>1.10</w:t>
            </w:r>
          </w:p>
          <w:p w14:paraId="59046236">
            <w:pPr>
              <w:spacing w:line="400" w:lineRule="exact"/>
              <w:jc w:val="center"/>
              <w:rPr>
                <w:rFonts w:ascii="宋体" w:hAnsi="宋体" w:cs="宋体"/>
                <w:color w:val="auto"/>
                <w:highlight w:val="none"/>
              </w:rPr>
            </w:pPr>
            <w:r>
              <w:rPr>
                <w:rFonts w:hint="eastAsia" w:ascii="宋体" w:hAnsi="宋体" w:cs="宋体"/>
                <w:b/>
                <w:bCs/>
                <w:color w:val="auto"/>
                <w:kern w:val="2"/>
                <w:sz w:val="24"/>
                <w:szCs w:val="24"/>
                <w:highlight w:val="none"/>
              </w:rPr>
              <w:t>3.5.2</w:t>
            </w:r>
          </w:p>
        </w:tc>
        <w:tc>
          <w:tcPr>
            <w:tcW w:w="2009" w:type="dxa"/>
            <w:tcBorders>
              <w:top w:val="single" w:color="auto" w:sz="8" w:space="0"/>
              <w:left w:val="nil"/>
              <w:bottom w:val="single" w:color="auto" w:sz="8" w:space="0"/>
              <w:right w:val="single" w:color="auto" w:sz="8" w:space="0"/>
            </w:tcBorders>
            <w:vAlign w:val="center"/>
          </w:tcPr>
          <w:p w14:paraId="74E3F4C3">
            <w:pPr>
              <w:spacing w:line="400" w:lineRule="exact"/>
              <w:jc w:val="center"/>
              <w:rPr>
                <w:rFonts w:ascii="宋体" w:hAnsi="宋体" w:cs="宋体"/>
                <w:b/>
                <w:bCs/>
                <w:color w:val="auto"/>
                <w:kern w:val="2"/>
                <w:sz w:val="24"/>
                <w:szCs w:val="24"/>
                <w:highlight w:val="none"/>
              </w:rPr>
            </w:pPr>
            <w:r>
              <w:rPr>
                <w:rFonts w:hint="eastAsia" w:ascii="宋体" w:hAnsi="宋体" w:cs="宋体"/>
                <w:b/>
                <w:bCs/>
                <w:color w:val="auto"/>
                <w:kern w:val="2"/>
                <w:sz w:val="24"/>
                <w:szCs w:val="24"/>
                <w:highlight w:val="none"/>
              </w:rPr>
              <w:t>不允许偏离的实质性要求和条件</w:t>
            </w:r>
          </w:p>
        </w:tc>
        <w:tc>
          <w:tcPr>
            <w:tcW w:w="6826" w:type="dxa"/>
            <w:tcBorders>
              <w:top w:val="single" w:color="auto" w:sz="8" w:space="0"/>
              <w:left w:val="nil"/>
              <w:bottom w:val="single" w:color="auto" w:sz="8" w:space="0"/>
              <w:right w:val="single" w:color="auto" w:sz="8" w:space="0"/>
            </w:tcBorders>
            <w:vAlign w:val="center"/>
          </w:tcPr>
          <w:p w14:paraId="6F56EBEA">
            <w:pPr>
              <w:spacing w:line="400" w:lineRule="exact"/>
              <w:rPr>
                <w:rFonts w:ascii="宋体" w:hAnsi="宋体" w:cs="宋体"/>
                <w:color w:val="auto"/>
                <w:kern w:val="2"/>
                <w:sz w:val="24"/>
                <w:szCs w:val="24"/>
                <w:highlight w:val="none"/>
              </w:rPr>
            </w:pPr>
            <w:r>
              <w:rPr>
                <w:rFonts w:hint="eastAsia" w:ascii="宋体" w:hAnsi="宋体" w:cs="宋体"/>
                <w:b/>
                <w:bCs/>
                <w:color w:val="auto"/>
                <w:kern w:val="2"/>
                <w:sz w:val="24"/>
                <w:szCs w:val="24"/>
                <w:highlight w:val="none"/>
              </w:rPr>
              <w:t>资格要求、符合性审查及第</w:t>
            </w:r>
            <w:r>
              <w:rPr>
                <w:rFonts w:hint="eastAsia" w:ascii="宋体" w:hAnsi="宋体" w:cs="宋体"/>
                <w:b/>
                <w:bCs/>
                <w:color w:val="auto"/>
                <w:kern w:val="2"/>
                <w:sz w:val="24"/>
                <w:szCs w:val="24"/>
                <w:highlight w:val="none"/>
                <w:lang w:val="en-US" w:eastAsia="zh-CN"/>
              </w:rPr>
              <w:t>六</w:t>
            </w:r>
            <w:r>
              <w:rPr>
                <w:rFonts w:hint="eastAsia" w:ascii="宋体" w:hAnsi="宋体" w:cs="宋体"/>
                <w:b/>
                <w:bCs/>
                <w:color w:val="auto"/>
                <w:kern w:val="2"/>
                <w:sz w:val="24"/>
                <w:szCs w:val="24"/>
                <w:highlight w:val="none"/>
              </w:rPr>
              <w:t>章“采购内容及要求”标注“★”的技术参数不允许负偏离，标注“★”的技术参数需提供承诺书。</w:t>
            </w:r>
          </w:p>
        </w:tc>
      </w:tr>
      <w:tr w14:paraId="20D07888">
        <w:tblPrEx>
          <w:tblCellMar>
            <w:top w:w="0" w:type="dxa"/>
            <w:left w:w="0" w:type="dxa"/>
            <w:bottom w:w="0" w:type="dxa"/>
            <w:right w:w="0" w:type="dxa"/>
          </w:tblCellMar>
        </w:tblPrEx>
        <w:trPr>
          <w:trHeight w:val="386"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6751B5A9">
            <w:pPr>
              <w:spacing w:line="400" w:lineRule="exact"/>
              <w:jc w:val="center"/>
              <w:rPr>
                <w:rFonts w:ascii="宋体" w:hAnsi="宋体" w:cs="宋体"/>
                <w:color w:val="auto"/>
                <w:kern w:val="2"/>
                <w:sz w:val="24"/>
                <w:szCs w:val="24"/>
                <w:highlight w:val="none"/>
              </w:rPr>
            </w:pPr>
            <w:bookmarkStart w:id="83" w:name="page17"/>
            <w:bookmarkEnd w:id="83"/>
            <w:r>
              <w:rPr>
                <w:rFonts w:hint="eastAsia" w:ascii="宋体" w:hAnsi="宋体" w:cs="宋体"/>
                <w:color w:val="auto"/>
                <w:kern w:val="2"/>
                <w:sz w:val="24"/>
                <w:szCs w:val="24"/>
                <w:highlight w:val="none"/>
              </w:rPr>
              <w:t>2.1</w:t>
            </w:r>
          </w:p>
        </w:tc>
        <w:tc>
          <w:tcPr>
            <w:tcW w:w="2009" w:type="dxa"/>
            <w:tcBorders>
              <w:top w:val="single" w:color="auto" w:sz="8" w:space="0"/>
              <w:left w:val="nil"/>
              <w:bottom w:val="single" w:color="auto" w:sz="8" w:space="0"/>
              <w:right w:val="single" w:color="auto" w:sz="8" w:space="0"/>
            </w:tcBorders>
            <w:vAlign w:val="center"/>
          </w:tcPr>
          <w:p w14:paraId="3B749BD1">
            <w:pPr>
              <w:pStyle w:val="68"/>
              <w:spacing w:line="400" w:lineRule="exact"/>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构成招标文件的其他资料</w:t>
            </w:r>
          </w:p>
        </w:tc>
        <w:tc>
          <w:tcPr>
            <w:tcW w:w="6826" w:type="dxa"/>
            <w:tcBorders>
              <w:top w:val="single" w:color="auto" w:sz="8" w:space="0"/>
              <w:left w:val="nil"/>
              <w:bottom w:val="single" w:color="auto" w:sz="8" w:space="0"/>
              <w:right w:val="single" w:color="auto" w:sz="8" w:space="0"/>
            </w:tcBorders>
            <w:vAlign w:val="center"/>
          </w:tcPr>
          <w:p w14:paraId="170909B8">
            <w:pPr>
              <w:pStyle w:val="68"/>
              <w:spacing w:line="400" w:lineRule="exact"/>
              <w:rPr>
                <w:rFonts w:ascii="宋体" w:hAnsi="宋体" w:cs="宋体"/>
                <w:color w:val="auto"/>
                <w:kern w:val="2"/>
                <w:sz w:val="24"/>
                <w:szCs w:val="24"/>
                <w:highlight w:val="none"/>
              </w:rPr>
            </w:pPr>
            <w:r>
              <w:rPr>
                <w:rFonts w:hint="eastAsia" w:ascii="宋体" w:hAnsi="宋体" w:cs="宋体"/>
                <w:color w:val="auto"/>
                <w:kern w:val="2"/>
                <w:sz w:val="24"/>
                <w:szCs w:val="24"/>
                <w:highlight w:val="none"/>
              </w:rPr>
              <w:t>澄清、修改等内容</w:t>
            </w:r>
          </w:p>
        </w:tc>
      </w:tr>
      <w:tr w14:paraId="3D64FE5F">
        <w:tblPrEx>
          <w:tblCellMar>
            <w:top w:w="0" w:type="dxa"/>
            <w:left w:w="0" w:type="dxa"/>
            <w:bottom w:w="0" w:type="dxa"/>
            <w:right w:w="0" w:type="dxa"/>
          </w:tblCellMar>
        </w:tblPrEx>
        <w:trPr>
          <w:trHeight w:val="524"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7B9EEC24">
            <w:pPr>
              <w:spacing w:line="400" w:lineRule="exact"/>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2.2.2</w:t>
            </w:r>
          </w:p>
        </w:tc>
        <w:tc>
          <w:tcPr>
            <w:tcW w:w="2009" w:type="dxa"/>
            <w:tcBorders>
              <w:top w:val="single" w:color="auto" w:sz="8" w:space="0"/>
              <w:left w:val="nil"/>
              <w:bottom w:val="single" w:color="auto" w:sz="8" w:space="0"/>
              <w:right w:val="single" w:color="auto" w:sz="8" w:space="0"/>
            </w:tcBorders>
            <w:vAlign w:val="center"/>
          </w:tcPr>
          <w:p w14:paraId="66F94994">
            <w:pPr>
              <w:pStyle w:val="68"/>
              <w:spacing w:line="400" w:lineRule="exact"/>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招标文件澄清发出的形式</w:t>
            </w:r>
          </w:p>
        </w:tc>
        <w:tc>
          <w:tcPr>
            <w:tcW w:w="6826" w:type="dxa"/>
            <w:tcBorders>
              <w:top w:val="single" w:color="auto" w:sz="8" w:space="0"/>
              <w:left w:val="nil"/>
              <w:bottom w:val="single" w:color="auto" w:sz="8" w:space="0"/>
              <w:right w:val="single" w:color="auto" w:sz="8" w:space="0"/>
            </w:tcBorders>
            <w:vAlign w:val="center"/>
          </w:tcPr>
          <w:p w14:paraId="3F67AF0C">
            <w:pPr>
              <w:pStyle w:val="68"/>
              <w:spacing w:line="400" w:lineRule="exact"/>
              <w:rPr>
                <w:rFonts w:ascii="宋体" w:hAnsi="宋体" w:cs="宋体"/>
                <w:color w:val="auto"/>
                <w:kern w:val="2"/>
                <w:sz w:val="24"/>
                <w:szCs w:val="24"/>
                <w:highlight w:val="none"/>
              </w:rPr>
            </w:pPr>
            <w:r>
              <w:rPr>
                <w:rFonts w:hint="eastAsia" w:ascii="宋体" w:hAnsi="宋体" w:cs="宋体"/>
                <w:color w:val="auto"/>
                <w:kern w:val="2"/>
                <w:sz w:val="24"/>
                <w:szCs w:val="24"/>
                <w:highlight w:val="none"/>
              </w:rPr>
              <w:t>在公告发布媒介上发布澄清公告</w:t>
            </w:r>
          </w:p>
        </w:tc>
      </w:tr>
      <w:tr w14:paraId="230F0284">
        <w:tblPrEx>
          <w:tblCellMar>
            <w:top w:w="0" w:type="dxa"/>
            <w:left w:w="0" w:type="dxa"/>
            <w:bottom w:w="0" w:type="dxa"/>
            <w:right w:w="0" w:type="dxa"/>
          </w:tblCellMar>
        </w:tblPrEx>
        <w:trPr>
          <w:trHeight w:val="894" w:hRule="atLeast"/>
          <w:jc w:val="center"/>
        </w:trPr>
        <w:tc>
          <w:tcPr>
            <w:tcW w:w="1047" w:type="dxa"/>
            <w:tcBorders>
              <w:top w:val="nil"/>
              <w:left w:val="single" w:color="auto" w:sz="8" w:space="0"/>
              <w:bottom w:val="single" w:color="auto" w:sz="8" w:space="0"/>
              <w:right w:val="single" w:color="auto" w:sz="8" w:space="0"/>
            </w:tcBorders>
            <w:vAlign w:val="center"/>
          </w:tcPr>
          <w:p w14:paraId="0F39613B">
            <w:pPr>
              <w:spacing w:line="400" w:lineRule="exact"/>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2.2.3</w:t>
            </w:r>
          </w:p>
        </w:tc>
        <w:tc>
          <w:tcPr>
            <w:tcW w:w="2009" w:type="dxa"/>
            <w:tcBorders>
              <w:top w:val="nil"/>
              <w:left w:val="nil"/>
              <w:bottom w:val="single" w:color="auto" w:sz="8" w:space="0"/>
              <w:right w:val="single" w:color="auto" w:sz="8" w:space="0"/>
            </w:tcBorders>
            <w:vAlign w:val="center"/>
          </w:tcPr>
          <w:p w14:paraId="22A6F5C9">
            <w:pPr>
              <w:pStyle w:val="68"/>
              <w:spacing w:line="400" w:lineRule="exact"/>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投标人确认收到招标文件澄清</w:t>
            </w:r>
          </w:p>
        </w:tc>
        <w:tc>
          <w:tcPr>
            <w:tcW w:w="6826" w:type="dxa"/>
            <w:tcBorders>
              <w:top w:val="single" w:color="auto" w:sz="8" w:space="0"/>
              <w:left w:val="nil"/>
              <w:bottom w:val="single" w:color="auto" w:sz="8" w:space="0"/>
              <w:right w:val="single" w:color="auto" w:sz="8" w:space="0"/>
            </w:tcBorders>
            <w:vAlign w:val="center"/>
          </w:tcPr>
          <w:p w14:paraId="0D2A1D54">
            <w:pPr>
              <w:pStyle w:val="68"/>
              <w:spacing w:line="400" w:lineRule="exact"/>
              <w:rPr>
                <w:rFonts w:ascii="宋体" w:hAnsi="宋体" w:cs="宋体"/>
                <w:color w:val="auto"/>
                <w:kern w:val="2"/>
                <w:sz w:val="24"/>
                <w:szCs w:val="24"/>
                <w:highlight w:val="none"/>
              </w:rPr>
            </w:pPr>
            <w:r>
              <w:rPr>
                <w:rFonts w:hint="eastAsia" w:ascii="宋体" w:hAnsi="宋体" w:cs="宋体"/>
                <w:color w:val="auto"/>
                <w:kern w:val="2"/>
                <w:sz w:val="24"/>
                <w:szCs w:val="24"/>
                <w:highlight w:val="none"/>
              </w:rPr>
              <w:t>时间：24小时内</w:t>
            </w:r>
          </w:p>
          <w:p w14:paraId="4E03C2A0">
            <w:pPr>
              <w:pStyle w:val="68"/>
              <w:spacing w:line="400" w:lineRule="exact"/>
              <w:rPr>
                <w:rFonts w:ascii="宋体" w:hAnsi="宋体" w:cs="宋体"/>
                <w:color w:val="auto"/>
                <w:kern w:val="2"/>
                <w:sz w:val="24"/>
                <w:szCs w:val="24"/>
                <w:highlight w:val="none"/>
              </w:rPr>
            </w:pPr>
            <w:r>
              <w:rPr>
                <w:rFonts w:hint="eastAsia" w:ascii="宋体" w:hAnsi="宋体" w:cs="宋体"/>
                <w:color w:val="auto"/>
                <w:kern w:val="2"/>
                <w:sz w:val="24"/>
                <w:szCs w:val="24"/>
                <w:highlight w:val="none"/>
              </w:rPr>
              <w:t>形式：盖章确认后，以电子邮件形式向采购代理机构发送扫描件</w:t>
            </w:r>
          </w:p>
          <w:p w14:paraId="68E98B54">
            <w:pPr>
              <w:pStyle w:val="68"/>
              <w:spacing w:line="400" w:lineRule="exact"/>
              <w:rPr>
                <w:rFonts w:hint="eastAsia" w:ascii="宋体" w:hAnsi="宋体" w:eastAsia="宋体" w:cs="宋体"/>
                <w:color w:val="auto"/>
                <w:kern w:val="2"/>
                <w:sz w:val="24"/>
                <w:szCs w:val="24"/>
                <w:highlight w:val="none"/>
                <w:u w:val="single"/>
                <w:lang w:eastAsia="zh-CN"/>
              </w:rPr>
            </w:pPr>
            <w:r>
              <w:rPr>
                <w:rFonts w:hint="eastAsia" w:ascii="宋体" w:hAnsi="宋体" w:cs="宋体"/>
                <w:color w:val="auto"/>
                <w:kern w:val="2"/>
                <w:sz w:val="24"/>
                <w:szCs w:val="24"/>
                <w:highlight w:val="none"/>
              </w:rPr>
              <w:t>电子邮箱：</w:t>
            </w:r>
            <w:r>
              <w:rPr>
                <w:rFonts w:hint="eastAsia" w:ascii="宋体" w:hAnsi="宋体" w:cs="宋体"/>
                <w:color w:val="auto"/>
                <w:kern w:val="2"/>
                <w:sz w:val="24"/>
                <w:szCs w:val="24"/>
                <w:highlight w:val="none"/>
                <w:u w:val="single"/>
                <w:lang w:eastAsia="zh-CN"/>
              </w:rPr>
              <w:t>758126330@qq.com</w:t>
            </w:r>
          </w:p>
        </w:tc>
      </w:tr>
      <w:tr w14:paraId="3EEE0E76">
        <w:tblPrEx>
          <w:tblCellMar>
            <w:top w:w="0" w:type="dxa"/>
            <w:left w:w="0" w:type="dxa"/>
            <w:bottom w:w="0" w:type="dxa"/>
            <w:right w:w="0" w:type="dxa"/>
          </w:tblCellMar>
        </w:tblPrEx>
        <w:trPr>
          <w:trHeight w:val="559"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205EE333">
            <w:pPr>
              <w:spacing w:line="400" w:lineRule="exact"/>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2.3.1</w:t>
            </w:r>
          </w:p>
        </w:tc>
        <w:tc>
          <w:tcPr>
            <w:tcW w:w="2009" w:type="dxa"/>
            <w:tcBorders>
              <w:top w:val="single" w:color="auto" w:sz="8" w:space="0"/>
              <w:left w:val="nil"/>
              <w:bottom w:val="single" w:color="auto" w:sz="8" w:space="0"/>
              <w:right w:val="single" w:color="auto" w:sz="8" w:space="0"/>
            </w:tcBorders>
            <w:vAlign w:val="center"/>
          </w:tcPr>
          <w:p w14:paraId="1D77C2C7">
            <w:pPr>
              <w:spacing w:line="400" w:lineRule="exact"/>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招标文件修改发出的形式</w:t>
            </w:r>
          </w:p>
        </w:tc>
        <w:tc>
          <w:tcPr>
            <w:tcW w:w="6826" w:type="dxa"/>
            <w:tcBorders>
              <w:top w:val="single" w:color="auto" w:sz="8" w:space="0"/>
              <w:left w:val="nil"/>
              <w:bottom w:val="single" w:color="auto" w:sz="8" w:space="0"/>
              <w:right w:val="single" w:color="auto" w:sz="8" w:space="0"/>
            </w:tcBorders>
            <w:vAlign w:val="center"/>
          </w:tcPr>
          <w:p w14:paraId="00A723E0">
            <w:pPr>
              <w:pStyle w:val="68"/>
              <w:spacing w:line="400" w:lineRule="exact"/>
              <w:rPr>
                <w:rFonts w:ascii="宋体" w:hAnsi="宋体" w:cs="宋体"/>
                <w:color w:val="auto"/>
                <w:kern w:val="2"/>
                <w:sz w:val="24"/>
                <w:szCs w:val="24"/>
                <w:highlight w:val="none"/>
              </w:rPr>
            </w:pPr>
            <w:r>
              <w:rPr>
                <w:rFonts w:hint="eastAsia" w:ascii="宋体" w:hAnsi="宋体" w:cs="宋体"/>
                <w:color w:val="auto"/>
                <w:kern w:val="2"/>
                <w:sz w:val="24"/>
                <w:szCs w:val="24"/>
                <w:highlight w:val="none"/>
              </w:rPr>
              <w:t>在公告发布媒介上发布澄清公告</w:t>
            </w:r>
          </w:p>
        </w:tc>
      </w:tr>
      <w:tr w14:paraId="40E8569E">
        <w:tblPrEx>
          <w:tblCellMar>
            <w:top w:w="0" w:type="dxa"/>
            <w:left w:w="0" w:type="dxa"/>
            <w:bottom w:w="0" w:type="dxa"/>
            <w:right w:w="0" w:type="dxa"/>
          </w:tblCellMar>
        </w:tblPrEx>
        <w:trPr>
          <w:trHeight w:val="910" w:hRule="atLeast"/>
          <w:jc w:val="center"/>
        </w:trPr>
        <w:tc>
          <w:tcPr>
            <w:tcW w:w="1047" w:type="dxa"/>
            <w:tcBorders>
              <w:top w:val="nil"/>
              <w:left w:val="single" w:color="auto" w:sz="8" w:space="0"/>
              <w:bottom w:val="single" w:color="auto" w:sz="8" w:space="0"/>
              <w:right w:val="single" w:color="auto" w:sz="8" w:space="0"/>
            </w:tcBorders>
            <w:vAlign w:val="center"/>
          </w:tcPr>
          <w:p w14:paraId="1D81A6B4">
            <w:pPr>
              <w:spacing w:line="400" w:lineRule="exact"/>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2.3.2</w:t>
            </w:r>
          </w:p>
        </w:tc>
        <w:tc>
          <w:tcPr>
            <w:tcW w:w="2009" w:type="dxa"/>
            <w:tcBorders>
              <w:top w:val="nil"/>
              <w:left w:val="nil"/>
              <w:bottom w:val="single" w:color="auto" w:sz="8" w:space="0"/>
              <w:right w:val="single" w:color="auto" w:sz="8" w:space="0"/>
            </w:tcBorders>
            <w:vAlign w:val="center"/>
          </w:tcPr>
          <w:p w14:paraId="6CDE7994">
            <w:pPr>
              <w:spacing w:line="400" w:lineRule="exact"/>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投标人确认收到招标文件修改</w:t>
            </w:r>
          </w:p>
        </w:tc>
        <w:tc>
          <w:tcPr>
            <w:tcW w:w="6826" w:type="dxa"/>
            <w:tcBorders>
              <w:top w:val="single" w:color="auto" w:sz="8" w:space="0"/>
              <w:left w:val="nil"/>
              <w:bottom w:val="single" w:color="auto" w:sz="8" w:space="0"/>
              <w:right w:val="single" w:color="auto" w:sz="8" w:space="0"/>
            </w:tcBorders>
            <w:vAlign w:val="center"/>
          </w:tcPr>
          <w:p w14:paraId="62062B79">
            <w:pPr>
              <w:pStyle w:val="68"/>
              <w:spacing w:line="400" w:lineRule="exact"/>
              <w:rPr>
                <w:rFonts w:ascii="宋体" w:hAnsi="宋体" w:cs="宋体"/>
                <w:color w:val="auto"/>
                <w:kern w:val="2"/>
                <w:sz w:val="24"/>
                <w:szCs w:val="24"/>
                <w:highlight w:val="none"/>
              </w:rPr>
            </w:pPr>
            <w:r>
              <w:rPr>
                <w:rFonts w:hint="eastAsia" w:ascii="宋体" w:hAnsi="宋体" w:cs="宋体"/>
                <w:color w:val="auto"/>
                <w:kern w:val="2"/>
                <w:sz w:val="24"/>
                <w:szCs w:val="24"/>
                <w:highlight w:val="none"/>
              </w:rPr>
              <w:t>时间：24小时内</w:t>
            </w:r>
          </w:p>
          <w:p w14:paraId="291833E5">
            <w:pPr>
              <w:pStyle w:val="68"/>
              <w:spacing w:line="400" w:lineRule="exact"/>
              <w:rPr>
                <w:rFonts w:ascii="宋体" w:hAnsi="宋体" w:cs="宋体"/>
                <w:color w:val="auto"/>
                <w:kern w:val="2"/>
                <w:sz w:val="24"/>
                <w:szCs w:val="24"/>
                <w:highlight w:val="none"/>
              </w:rPr>
            </w:pPr>
            <w:r>
              <w:rPr>
                <w:rFonts w:hint="eastAsia" w:ascii="宋体" w:hAnsi="宋体" w:cs="宋体"/>
                <w:color w:val="auto"/>
                <w:kern w:val="2"/>
                <w:sz w:val="24"/>
                <w:szCs w:val="24"/>
                <w:highlight w:val="none"/>
              </w:rPr>
              <w:t>形式：盖章确认后，以电子邮件形式向采购代理机构发送扫描件</w:t>
            </w:r>
          </w:p>
          <w:p w14:paraId="7FD873E0">
            <w:pPr>
              <w:pStyle w:val="68"/>
              <w:spacing w:line="400" w:lineRule="exact"/>
              <w:rPr>
                <w:rFonts w:hint="eastAsia" w:ascii="宋体" w:hAnsi="宋体" w:eastAsia="宋体" w:cs="宋体"/>
                <w:color w:val="auto"/>
                <w:kern w:val="2"/>
                <w:sz w:val="24"/>
                <w:szCs w:val="24"/>
                <w:highlight w:val="none"/>
                <w:lang w:eastAsia="zh-CN"/>
              </w:rPr>
            </w:pPr>
            <w:r>
              <w:rPr>
                <w:rFonts w:hint="eastAsia" w:ascii="宋体" w:hAnsi="宋体" w:cs="宋体"/>
                <w:color w:val="auto"/>
                <w:kern w:val="2"/>
                <w:sz w:val="24"/>
                <w:szCs w:val="24"/>
                <w:highlight w:val="none"/>
              </w:rPr>
              <w:t>电子邮箱：</w:t>
            </w:r>
            <w:r>
              <w:rPr>
                <w:rFonts w:hint="eastAsia" w:ascii="宋体" w:hAnsi="宋体" w:cs="宋体"/>
                <w:color w:val="auto"/>
                <w:kern w:val="2"/>
                <w:sz w:val="24"/>
                <w:szCs w:val="24"/>
                <w:highlight w:val="none"/>
                <w:u w:val="single"/>
                <w:lang w:eastAsia="zh-CN"/>
              </w:rPr>
              <w:t>758126330@qq.com</w:t>
            </w:r>
          </w:p>
        </w:tc>
      </w:tr>
      <w:tr w14:paraId="35DC5D30">
        <w:tblPrEx>
          <w:tblCellMar>
            <w:top w:w="0" w:type="dxa"/>
            <w:left w:w="0" w:type="dxa"/>
            <w:bottom w:w="0" w:type="dxa"/>
            <w:right w:w="0" w:type="dxa"/>
          </w:tblCellMar>
        </w:tblPrEx>
        <w:trPr>
          <w:trHeight w:val="827"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46C746F3">
            <w:pPr>
              <w:spacing w:line="400" w:lineRule="exact"/>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3.2.3</w:t>
            </w:r>
          </w:p>
        </w:tc>
        <w:tc>
          <w:tcPr>
            <w:tcW w:w="2009" w:type="dxa"/>
            <w:tcBorders>
              <w:top w:val="single" w:color="auto" w:sz="8" w:space="0"/>
              <w:left w:val="nil"/>
              <w:bottom w:val="single" w:color="auto" w:sz="8" w:space="0"/>
              <w:right w:val="single" w:color="auto" w:sz="8" w:space="0"/>
            </w:tcBorders>
            <w:vAlign w:val="center"/>
          </w:tcPr>
          <w:p w14:paraId="606A104B">
            <w:pPr>
              <w:spacing w:line="400" w:lineRule="exact"/>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最高限价</w:t>
            </w:r>
          </w:p>
        </w:tc>
        <w:tc>
          <w:tcPr>
            <w:tcW w:w="6826" w:type="dxa"/>
            <w:tcBorders>
              <w:top w:val="single" w:color="auto" w:sz="8" w:space="0"/>
              <w:left w:val="nil"/>
              <w:bottom w:val="single" w:color="auto" w:sz="8" w:space="0"/>
              <w:right w:val="single" w:color="auto" w:sz="8" w:space="0"/>
            </w:tcBorders>
            <w:vAlign w:val="center"/>
          </w:tcPr>
          <w:p w14:paraId="4AB5BCA8">
            <w:pPr>
              <w:pStyle w:val="68"/>
              <w:spacing w:line="400" w:lineRule="exact"/>
              <w:rPr>
                <w:rFonts w:ascii="宋体" w:hAnsi="宋体" w:cs="宋体"/>
                <w:color w:val="auto"/>
                <w:kern w:val="2"/>
                <w:sz w:val="24"/>
                <w:szCs w:val="24"/>
                <w:highlight w:val="none"/>
              </w:rPr>
            </w:pPr>
            <w:r>
              <w:rPr>
                <w:rFonts w:hint="eastAsia" w:ascii="宋体" w:hAnsi="宋体" w:cs="宋体"/>
                <w:color w:val="auto"/>
                <w:kern w:val="2"/>
                <w:sz w:val="24"/>
                <w:szCs w:val="24"/>
                <w:highlight w:val="none"/>
              </w:rPr>
              <w:t>□无</w:t>
            </w:r>
          </w:p>
          <w:p w14:paraId="3980DD03">
            <w:pPr>
              <w:pStyle w:val="14"/>
              <w:rPr>
                <w:rFonts w:ascii="宋体" w:hAnsi="宋体" w:cs="宋体"/>
                <w:color w:val="auto"/>
                <w:sz w:val="24"/>
                <w:highlight w:val="none"/>
              </w:rPr>
            </w:pPr>
            <w:r>
              <w:rPr>
                <w:rFonts w:hint="eastAsia" w:ascii="宋体" w:hAnsi="宋体" w:cs="宋体"/>
                <w:color w:val="auto"/>
                <w:sz w:val="24"/>
                <w:highlight w:val="none"/>
              </w:rPr>
              <w:t>☑有，最高限价：（1）总价最高限价：</w:t>
            </w:r>
            <w:r>
              <w:rPr>
                <w:rFonts w:hint="eastAsia" w:ascii="宋体" w:hAnsi="宋体" w:cs="宋体"/>
                <w:color w:val="auto"/>
                <w:sz w:val="24"/>
                <w:highlight w:val="none"/>
                <w:lang w:val="en-US" w:eastAsia="zh-CN"/>
              </w:rPr>
              <w:t>182.2万元</w:t>
            </w:r>
            <w:r>
              <w:rPr>
                <w:rFonts w:hint="eastAsia" w:ascii="宋体" w:hAnsi="宋体" w:cs="宋体"/>
                <w:color w:val="auto"/>
                <w:sz w:val="24"/>
                <w:highlight w:val="none"/>
              </w:rPr>
              <w:t>；（2）分项报价时不得超过采购需求表中的预算单价。</w:t>
            </w:r>
          </w:p>
        </w:tc>
      </w:tr>
      <w:tr w14:paraId="6345AB83">
        <w:tblPrEx>
          <w:tblCellMar>
            <w:top w:w="0" w:type="dxa"/>
            <w:left w:w="0" w:type="dxa"/>
            <w:bottom w:w="0" w:type="dxa"/>
            <w:right w:w="0" w:type="dxa"/>
          </w:tblCellMar>
        </w:tblPrEx>
        <w:trPr>
          <w:trHeight w:val="2622"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00994822">
            <w:pPr>
              <w:spacing w:line="400" w:lineRule="exact"/>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3.2.4</w:t>
            </w:r>
          </w:p>
        </w:tc>
        <w:tc>
          <w:tcPr>
            <w:tcW w:w="2009" w:type="dxa"/>
            <w:tcBorders>
              <w:top w:val="single" w:color="auto" w:sz="8" w:space="0"/>
              <w:left w:val="nil"/>
              <w:bottom w:val="single" w:color="auto" w:sz="8" w:space="0"/>
              <w:right w:val="single" w:color="auto" w:sz="8" w:space="0"/>
            </w:tcBorders>
            <w:vAlign w:val="center"/>
          </w:tcPr>
          <w:p w14:paraId="7D99D0F6">
            <w:pPr>
              <w:spacing w:line="400" w:lineRule="exact"/>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投标报价的其他要求</w:t>
            </w:r>
          </w:p>
        </w:tc>
        <w:tc>
          <w:tcPr>
            <w:tcW w:w="6826" w:type="dxa"/>
            <w:tcBorders>
              <w:top w:val="single" w:color="auto" w:sz="8" w:space="0"/>
              <w:left w:val="nil"/>
              <w:bottom w:val="single" w:color="auto" w:sz="8" w:space="0"/>
              <w:right w:val="single" w:color="auto" w:sz="8" w:space="0"/>
            </w:tcBorders>
            <w:vAlign w:val="center"/>
          </w:tcPr>
          <w:p w14:paraId="2EDB3C14">
            <w:pPr>
              <w:suppressAutoHyphens/>
              <w:spacing w:line="40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（1）本次投标报价为总价，</w:t>
            </w:r>
            <w:r>
              <w:rPr>
                <w:rFonts w:hint="eastAsia" w:ascii="宋体" w:hAnsi="宋体" w:cs="宋体"/>
                <w:color w:val="auto"/>
                <w:sz w:val="24"/>
                <w:szCs w:val="24"/>
                <w:highlight w:val="none"/>
                <w:u w:val="single"/>
              </w:rPr>
              <w:t>报价应为人民币含税价（元），包括货物价格（含利润）、货物运输、装卸、保险、税收、培训、售后服务、招标代理服务费等完成本项目所需全部费用。</w:t>
            </w:r>
          </w:p>
          <w:p w14:paraId="09EFD0F9">
            <w:pPr>
              <w:spacing w:line="400" w:lineRule="exact"/>
              <w:rPr>
                <w:rFonts w:ascii="宋体" w:hAnsi="宋体" w:cs="宋体"/>
                <w:color w:val="auto"/>
                <w:kern w:val="2"/>
                <w:sz w:val="24"/>
                <w:szCs w:val="24"/>
                <w:highlight w:val="none"/>
              </w:rPr>
            </w:pPr>
            <w:r>
              <w:rPr>
                <w:rFonts w:hint="eastAsia" w:ascii="宋体" w:hAnsi="宋体" w:cs="宋体"/>
                <w:color w:val="auto"/>
                <w:sz w:val="24"/>
                <w:szCs w:val="24"/>
                <w:highlight w:val="none"/>
              </w:rPr>
              <w:t>（2）投标人应承担所有与参加招标有关的自身的所有费用，不论采购的结果如何，采购代理机构和采购人在任何情况下均无义务和责任承担这些费用。</w:t>
            </w:r>
          </w:p>
        </w:tc>
      </w:tr>
      <w:tr w14:paraId="0BB18167">
        <w:tblPrEx>
          <w:tblCellMar>
            <w:top w:w="0" w:type="dxa"/>
            <w:left w:w="0" w:type="dxa"/>
            <w:bottom w:w="0" w:type="dxa"/>
            <w:right w:w="0" w:type="dxa"/>
          </w:tblCellMar>
        </w:tblPrEx>
        <w:trPr>
          <w:trHeight w:val="827"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2E6052F3">
            <w:pPr>
              <w:spacing w:line="400" w:lineRule="exact"/>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3.3.1</w:t>
            </w:r>
          </w:p>
        </w:tc>
        <w:tc>
          <w:tcPr>
            <w:tcW w:w="2009" w:type="dxa"/>
            <w:tcBorders>
              <w:top w:val="single" w:color="auto" w:sz="8" w:space="0"/>
              <w:left w:val="nil"/>
              <w:bottom w:val="single" w:color="auto" w:sz="8" w:space="0"/>
              <w:right w:val="single" w:color="auto" w:sz="8" w:space="0"/>
            </w:tcBorders>
            <w:vAlign w:val="center"/>
          </w:tcPr>
          <w:p w14:paraId="03D4084B">
            <w:pPr>
              <w:spacing w:line="400" w:lineRule="exact"/>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投标有效期</w:t>
            </w:r>
          </w:p>
        </w:tc>
        <w:tc>
          <w:tcPr>
            <w:tcW w:w="6826" w:type="dxa"/>
            <w:tcBorders>
              <w:top w:val="single" w:color="auto" w:sz="8" w:space="0"/>
              <w:left w:val="nil"/>
              <w:bottom w:val="single" w:color="auto" w:sz="8" w:space="0"/>
              <w:right w:val="single" w:color="auto" w:sz="8" w:space="0"/>
            </w:tcBorders>
            <w:vAlign w:val="center"/>
          </w:tcPr>
          <w:p w14:paraId="0EE56B47">
            <w:pPr>
              <w:pStyle w:val="68"/>
              <w:spacing w:line="400" w:lineRule="exact"/>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投标有效期为</w:t>
            </w:r>
            <w:r>
              <w:rPr>
                <w:rFonts w:hint="eastAsia" w:ascii="宋体" w:hAnsi="宋体" w:cs="宋体"/>
                <w:color w:val="auto"/>
                <w:kern w:val="2"/>
                <w:sz w:val="24"/>
                <w:szCs w:val="24"/>
                <w:highlight w:val="none"/>
                <w:u w:val="single"/>
              </w:rPr>
              <w:t>90</w:t>
            </w:r>
            <w:r>
              <w:rPr>
                <w:rFonts w:hint="eastAsia" w:ascii="宋体" w:hAnsi="宋体" w:cs="宋体"/>
                <w:color w:val="auto"/>
                <w:kern w:val="2"/>
                <w:sz w:val="24"/>
                <w:szCs w:val="24"/>
                <w:highlight w:val="none"/>
              </w:rPr>
              <w:t>日历天</w:t>
            </w:r>
            <w:r>
              <w:rPr>
                <w:rFonts w:hint="eastAsia" w:ascii="宋体" w:hAnsi="宋体" w:cs="宋体"/>
                <w:color w:val="auto"/>
                <w:sz w:val="24"/>
                <w:szCs w:val="24"/>
                <w:highlight w:val="none"/>
              </w:rPr>
              <w:t>（从投标截止之日算起）</w:t>
            </w:r>
            <w:r>
              <w:rPr>
                <w:rFonts w:hint="eastAsia" w:ascii="宋体" w:hAnsi="宋体" w:cs="宋体"/>
                <w:color w:val="auto"/>
                <w:kern w:val="2"/>
                <w:sz w:val="24"/>
                <w:szCs w:val="24"/>
                <w:highlight w:val="none"/>
              </w:rPr>
              <w:t>。</w:t>
            </w:r>
          </w:p>
        </w:tc>
      </w:tr>
      <w:tr w14:paraId="1C7BEBF3">
        <w:tblPrEx>
          <w:tblCellMar>
            <w:top w:w="0" w:type="dxa"/>
            <w:left w:w="0" w:type="dxa"/>
            <w:bottom w:w="0" w:type="dxa"/>
            <w:right w:w="0" w:type="dxa"/>
          </w:tblCellMar>
        </w:tblPrEx>
        <w:trPr>
          <w:trHeight w:val="764"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73C79CAA">
            <w:pPr>
              <w:spacing w:line="400" w:lineRule="exact"/>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3.4.1</w:t>
            </w:r>
          </w:p>
        </w:tc>
        <w:tc>
          <w:tcPr>
            <w:tcW w:w="2009" w:type="dxa"/>
            <w:tcBorders>
              <w:top w:val="single" w:color="auto" w:sz="8" w:space="0"/>
              <w:left w:val="nil"/>
              <w:bottom w:val="single" w:color="auto" w:sz="8" w:space="0"/>
              <w:right w:val="single" w:color="auto" w:sz="8" w:space="0"/>
            </w:tcBorders>
            <w:vAlign w:val="center"/>
          </w:tcPr>
          <w:p w14:paraId="601FAD50">
            <w:pPr>
              <w:spacing w:line="400" w:lineRule="exact"/>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投标保证金</w:t>
            </w:r>
          </w:p>
        </w:tc>
        <w:tc>
          <w:tcPr>
            <w:tcW w:w="6826" w:type="dxa"/>
            <w:tcBorders>
              <w:top w:val="single" w:color="auto" w:sz="8" w:space="0"/>
              <w:left w:val="nil"/>
              <w:bottom w:val="single" w:color="auto" w:sz="8" w:space="0"/>
              <w:right w:val="single" w:color="auto" w:sz="8" w:space="0"/>
            </w:tcBorders>
            <w:vAlign w:val="center"/>
          </w:tcPr>
          <w:p w14:paraId="455FD001">
            <w:pPr>
              <w:pStyle w:val="68"/>
              <w:spacing w:line="400" w:lineRule="exact"/>
              <w:rPr>
                <w:rFonts w:hint="eastAsia" w:eastAsia="宋体"/>
                <w:color w:val="auto"/>
                <w:highlight w:val="none"/>
                <w:lang w:eastAsia="zh-CN"/>
              </w:rPr>
            </w:pPr>
            <w:r>
              <w:rPr>
                <w:rFonts w:hint="eastAsia" w:ascii="宋体" w:hAnsi="宋体" w:cs="宋体"/>
                <w:b/>
                <w:bCs/>
                <w:color w:val="auto"/>
                <w:kern w:val="2"/>
                <w:sz w:val="24"/>
                <w:szCs w:val="24"/>
                <w:highlight w:val="none"/>
              </w:rPr>
              <w:t>(1)投标保证金的金额：</w:t>
            </w:r>
            <w:r>
              <w:rPr>
                <w:rFonts w:hint="eastAsia" w:ascii="宋体" w:hAnsi="宋体" w:cs="宋体"/>
                <w:b/>
                <w:bCs/>
                <w:color w:val="auto"/>
                <w:kern w:val="2"/>
                <w:sz w:val="24"/>
                <w:szCs w:val="24"/>
                <w:highlight w:val="none"/>
                <w:lang w:val="en-US" w:eastAsia="zh-CN"/>
              </w:rPr>
              <w:t>￥</w:t>
            </w:r>
            <w:r>
              <w:rPr>
                <w:rFonts w:hint="eastAsia" w:ascii="宋体" w:hAnsi="宋体" w:cs="宋体"/>
                <w:b/>
                <w:bCs/>
                <w:color w:val="auto"/>
                <w:kern w:val="2"/>
                <w:sz w:val="24"/>
                <w:szCs w:val="24"/>
                <w:highlight w:val="none"/>
                <w:u w:val="single"/>
                <w:lang w:val="en-US" w:eastAsia="zh-CN"/>
              </w:rPr>
              <w:t>18000</w:t>
            </w:r>
            <w:r>
              <w:rPr>
                <w:rFonts w:hint="eastAsia" w:ascii="宋体" w:hAnsi="宋体" w:cs="宋体"/>
                <w:b/>
                <w:bCs/>
                <w:color w:val="auto"/>
                <w:kern w:val="2"/>
                <w:sz w:val="24"/>
                <w:szCs w:val="24"/>
                <w:highlight w:val="none"/>
                <w:u w:val="single"/>
              </w:rPr>
              <w:t>.00元</w:t>
            </w:r>
            <w:r>
              <w:rPr>
                <w:rFonts w:hint="eastAsia" w:ascii="宋体" w:hAnsi="宋体" w:cs="宋体"/>
                <w:b/>
                <w:bCs/>
                <w:color w:val="auto"/>
                <w:kern w:val="2"/>
                <w:sz w:val="24"/>
                <w:szCs w:val="24"/>
                <w:highlight w:val="none"/>
                <w:u w:val="single"/>
                <w:lang w:eastAsia="zh-CN"/>
              </w:rPr>
              <w:t>（</w:t>
            </w:r>
            <w:r>
              <w:rPr>
                <w:rFonts w:hint="eastAsia" w:ascii="宋体" w:hAnsi="宋体" w:cs="宋体"/>
                <w:b/>
                <w:bCs/>
                <w:color w:val="auto"/>
                <w:kern w:val="2"/>
                <w:sz w:val="24"/>
                <w:szCs w:val="24"/>
                <w:highlight w:val="none"/>
                <w:u w:val="single"/>
                <w:lang w:val="en-US" w:eastAsia="zh-CN"/>
              </w:rPr>
              <w:t>大写：壹万捌仟元整</w:t>
            </w:r>
            <w:r>
              <w:rPr>
                <w:rFonts w:hint="eastAsia" w:ascii="宋体" w:hAnsi="宋体" w:cs="宋体"/>
                <w:b/>
                <w:bCs/>
                <w:color w:val="auto"/>
                <w:kern w:val="2"/>
                <w:sz w:val="24"/>
                <w:szCs w:val="24"/>
                <w:highlight w:val="none"/>
                <w:u w:val="single"/>
                <w:lang w:eastAsia="zh-CN"/>
              </w:rPr>
              <w:t>）</w:t>
            </w:r>
          </w:p>
          <w:p w14:paraId="69D28988">
            <w:pPr>
              <w:pStyle w:val="68"/>
              <w:spacing w:line="400" w:lineRule="exact"/>
              <w:rPr>
                <w:color w:val="auto"/>
                <w:highlight w:val="none"/>
              </w:rPr>
            </w:pPr>
            <w:r>
              <w:rPr>
                <w:rFonts w:hint="eastAsia" w:ascii="宋体" w:hAnsi="宋体" w:cs="宋体"/>
                <w:b/>
                <w:bCs/>
                <w:color w:val="auto"/>
                <w:kern w:val="2"/>
                <w:sz w:val="24"/>
                <w:szCs w:val="24"/>
                <w:highlight w:val="none"/>
              </w:rPr>
              <w:t>(2)账户名称：</w:t>
            </w:r>
            <w:r>
              <w:rPr>
                <w:rFonts w:hint="eastAsia" w:ascii="宋体" w:hAnsi="宋体" w:cs="宋体"/>
                <w:color w:val="auto"/>
                <w:kern w:val="2"/>
                <w:sz w:val="24"/>
                <w:szCs w:val="24"/>
                <w:highlight w:val="none"/>
                <w:lang w:eastAsia="zh-CN"/>
              </w:rPr>
              <w:t>云南兴语招标有限公司</w:t>
            </w:r>
            <w:r>
              <w:rPr>
                <w:rFonts w:hint="eastAsia" w:ascii="宋体" w:hAnsi="宋体" w:cs="宋体"/>
                <w:color w:val="auto"/>
                <w:kern w:val="2"/>
                <w:sz w:val="24"/>
                <w:szCs w:val="24"/>
                <w:highlight w:val="none"/>
              </w:rPr>
              <w:t>。</w:t>
            </w:r>
          </w:p>
          <w:p w14:paraId="04CE9AF1">
            <w:pPr>
              <w:pStyle w:val="68"/>
              <w:spacing w:line="400" w:lineRule="exact"/>
              <w:rPr>
                <w:color w:val="auto"/>
                <w:highlight w:val="none"/>
              </w:rPr>
            </w:pPr>
            <w:r>
              <w:rPr>
                <w:rFonts w:hint="eastAsia" w:ascii="宋体" w:hAnsi="宋体" w:cs="宋体"/>
                <w:b/>
                <w:bCs/>
                <w:color w:val="auto"/>
                <w:kern w:val="2"/>
                <w:sz w:val="24"/>
                <w:szCs w:val="24"/>
                <w:highlight w:val="none"/>
              </w:rPr>
              <w:t>(3)开 户 行</w:t>
            </w:r>
            <w:r>
              <w:rPr>
                <w:rFonts w:hint="eastAsia" w:ascii="宋体" w:hAnsi="宋体" w:cs="宋体"/>
                <w:color w:val="auto"/>
                <w:kern w:val="2"/>
                <w:sz w:val="24"/>
                <w:szCs w:val="24"/>
                <w:highlight w:val="none"/>
              </w:rPr>
              <w:t>：</w:t>
            </w:r>
            <w:r>
              <w:rPr>
                <w:rFonts w:hint="eastAsia" w:ascii="宋体" w:hAnsi="宋体" w:cs="宋体"/>
                <w:color w:val="auto"/>
                <w:sz w:val="24"/>
                <w:szCs w:val="24"/>
                <w:highlight w:val="none"/>
                <w:lang w:eastAsia="zh-CN"/>
              </w:rPr>
              <w:t>中国农业银行昆明金康支行</w:t>
            </w:r>
            <w:r>
              <w:rPr>
                <w:rFonts w:hint="eastAsia" w:ascii="宋体" w:hAnsi="宋体" w:cs="宋体"/>
                <w:color w:val="auto"/>
                <w:kern w:val="2"/>
                <w:sz w:val="24"/>
                <w:szCs w:val="24"/>
                <w:highlight w:val="none"/>
              </w:rPr>
              <w:t>。</w:t>
            </w:r>
          </w:p>
          <w:p w14:paraId="5AEEA7FD">
            <w:pPr>
              <w:pStyle w:val="68"/>
              <w:spacing w:line="400" w:lineRule="exact"/>
              <w:rPr>
                <w:color w:val="auto"/>
                <w:highlight w:val="none"/>
              </w:rPr>
            </w:pPr>
            <w:r>
              <w:rPr>
                <w:rFonts w:hint="eastAsia" w:ascii="宋体" w:hAnsi="宋体" w:cs="宋体"/>
                <w:b/>
                <w:bCs/>
                <w:color w:val="auto"/>
                <w:kern w:val="2"/>
                <w:sz w:val="24"/>
                <w:szCs w:val="24"/>
                <w:highlight w:val="none"/>
              </w:rPr>
              <w:t>(4)账    号：</w:t>
            </w:r>
            <w:r>
              <w:rPr>
                <w:rFonts w:hint="eastAsia" w:ascii="宋体" w:hAnsi="宋体" w:cs="宋体"/>
                <w:b/>
                <w:bCs/>
                <w:color w:val="auto"/>
                <w:kern w:val="2"/>
                <w:sz w:val="24"/>
                <w:szCs w:val="24"/>
                <w:highlight w:val="none"/>
                <w:lang w:eastAsia="zh-CN"/>
              </w:rPr>
              <w:t>24014201040004655</w:t>
            </w:r>
            <w:r>
              <w:rPr>
                <w:rFonts w:hint="eastAsia" w:ascii="宋体" w:hAnsi="宋体" w:cs="宋体"/>
                <w:color w:val="auto"/>
                <w:kern w:val="2"/>
                <w:sz w:val="24"/>
                <w:szCs w:val="24"/>
                <w:highlight w:val="none"/>
              </w:rPr>
              <w:t>。</w:t>
            </w:r>
          </w:p>
          <w:p w14:paraId="0168C825">
            <w:pPr>
              <w:pStyle w:val="68"/>
              <w:spacing w:line="400" w:lineRule="exact"/>
              <w:rPr>
                <w:color w:val="auto"/>
                <w:highlight w:val="none"/>
              </w:rPr>
            </w:pPr>
            <w:r>
              <w:rPr>
                <w:rFonts w:hint="eastAsia" w:ascii="宋体" w:hAnsi="宋体" w:cs="宋体"/>
                <w:b/>
                <w:bCs/>
                <w:color w:val="auto"/>
                <w:kern w:val="2"/>
                <w:sz w:val="24"/>
                <w:szCs w:val="24"/>
                <w:highlight w:val="none"/>
              </w:rPr>
              <w:t>(</w:t>
            </w:r>
            <w:r>
              <w:rPr>
                <w:rFonts w:hint="eastAsia" w:ascii="宋体" w:hAnsi="宋体" w:cs="宋体"/>
                <w:b/>
                <w:bCs/>
                <w:color w:val="auto"/>
                <w:kern w:val="2"/>
                <w:sz w:val="24"/>
                <w:szCs w:val="24"/>
                <w:highlight w:val="none"/>
                <w:lang w:val="en-US" w:eastAsia="zh-CN"/>
              </w:rPr>
              <w:t>5</w:t>
            </w:r>
            <w:r>
              <w:rPr>
                <w:rFonts w:hint="eastAsia" w:ascii="宋体" w:hAnsi="宋体" w:cs="宋体"/>
                <w:b/>
                <w:bCs/>
                <w:color w:val="auto"/>
                <w:kern w:val="2"/>
                <w:sz w:val="24"/>
                <w:szCs w:val="24"/>
                <w:highlight w:val="none"/>
              </w:rPr>
              <w:t>)提交截止时间：</w:t>
            </w:r>
            <w:r>
              <w:rPr>
                <w:rFonts w:hint="eastAsia" w:ascii="宋体" w:hAnsi="宋体" w:cs="宋体"/>
                <w:color w:val="auto"/>
                <w:kern w:val="2"/>
                <w:sz w:val="24"/>
                <w:szCs w:val="24"/>
                <w:highlight w:val="none"/>
              </w:rPr>
              <w:t>同投标文件递交截止时间。</w:t>
            </w:r>
          </w:p>
          <w:p w14:paraId="6ABEB1D6">
            <w:pPr>
              <w:pStyle w:val="68"/>
              <w:spacing w:line="400" w:lineRule="exact"/>
              <w:rPr>
                <w:color w:val="auto"/>
                <w:highlight w:val="none"/>
              </w:rPr>
            </w:pPr>
            <w:r>
              <w:rPr>
                <w:rFonts w:hint="eastAsia" w:ascii="宋体" w:hAnsi="宋体" w:cs="宋体"/>
                <w:b/>
                <w:bCs/>
                <w:color w:val="auto"/>
                <w:kern w:val="2"/>
                <w:sz w:val="24"/>
                <w:szCs w:val="24"/>
                <w:highlight w:val="none"/>
              </w:rPr>
              <w:t>(</w:t>
            </w:r>
            <w:r>
              <w:rPr>
                <w:rFonts w:hint="eastAsia" w:ascii="宋体" w:hAnsi="宋体" w:cs="宋体"/>
                <w:b/>
                <w:bCs/>
                <w:color w:val="auto"/>
                <w:kern w:val="2"/>
                <w:sz w:val="24"/>
                <w:szCs w:val="24"/>
                <w:highlight w:val="none"/>
                <w:lang w:val="en-US" w:eastAsia="zh-CN"/>
              </w:rPr>
              <w:t>6</w:t>
            </w:r>
            <w:r>
              <w:rPr>
                <w:rFonts w:hint="eastAsia" w:ascii="宋体" w:hAnsi="宋体" w:cs="宋体"/>
                <w:b/>
                <w:bCs/>
                <w:color w:val="auto"/>
                <w:kern w:val="2"/>
                <w:sz w:val="24"/>
                <w:szCs w:val="24"/>
                <w:highlight w:val="none"/>
              </w:rPr>
              <w:t>)提交方式：支票或汇票或本票或银行转账或银行保函或保证保险等非现金形式。</w:t>
            </w:r>
          </w:p>
          <w:p w14:paraId="70C56421">
            <w:pPr>
              <w:pStyle w:val="68"/>
              <w:spacing w:line="400" w:lineRule="exact"/>
              <w:rPr>
                <w:color w:val="auto"/>
                <w:highlight w:val="none"/>
              </w:rPr>
            </w:pPr>
            <w:r>
              <w:rPr>
                <w:rFonts w:hint="eastAsia" w:ascii="宋体" w:hAnsi="宋体" w:cs="宋体"/>
                <w:b/>
                <w:bCs/>
                <w:color w:val="auto"/>
                <w:kern w:val="2"/>
                <w:sz w:val="24"/>
                <w:szCs w:val="24"/>
                <w:highlight w:val="none"/>
              </w:rPr>
              <w:t>(</w:t>
            </w:r>
            <w:r>
              <w:rPr>
                <w:rFonts w:hint="eastAsia" w:ascii="宋体" w:hAnsi="宋体" w:cs="宋体"/>
                <w:b/>
                <w:bCs/>
                <w:color w:val="auto"/>
                <w:kern w:val="2"/>
                <w:sz w:val="24"/>
                <w:szCs w:val="24"/>
                <w:highlight w:val="none"/>
                <w:lang w:val="en-US" w:eastAsia="zh-CN"/>
              </w:rPr>
              <w:t>7</w:t>
            </w:r>
            <w:r>
              <w:rPr>
                <w:rFonts w:hint="eastAsia" w:ascii="宋体" w:hAnsi="宋体" w:cs="宋体"/>
                <w:b/>
                <w:bCs/>
                <w:color w:val="auto"/>
                <w:kern w:val="2"/>
                <w:sz w:val="24"/>
                <w:szCs w:val="24"/>
                <w:highlight w:val="none"/>
              </w:rPr>
              <w:t>)有效期限：</w:t>
            </w:r>
            <w:r>
              <w:rPr>
                <w:rFonts w:hint="eastAsia" w:ascii="宋体" w:hAnsi="宋体" w:cs="宋体"/>
                <w:color w:val="auto"/>
                <w:kern w:val="2"/>
                <w:sz w:val="24"/>
                <w:szCs w:val="24"/>
                <w:highlight w:val="none"/>
              </w:rPr>
              <w:t>投标保证金在投标有效期内保持有效。</w:t>
            </w:r>
          </w:p>
          <w:p w14:paraId="7E8D8949">
            <w:pPr>
              <w:autoSpaceDE w:val="0"/>
              <w:spacing w:line="400" w:lineRule="exact"/>
              <w:rPr>
                <w:color w:val="auto"/>
                <w:highlight w:val="none"/>
              </w:rPr>
            </w:pPr>
            <w:r>
              <w:rPr>
                <w:rFonts w:hint="eastAsia" w:ascii="宋体" w:hAnsi="宋体" w:cs="宋体"/>
                <w:b/>
                <w:bCs/>
                <w:color w:val="auto"/>
                <w:kern w:val="2"/>
                <w:sz w:val="24"/>
                <w:szCs w:val="24"/>
                <w:highlight w:val="none"/>
              </w:rPr>
              <w:t>(</w:t>
            </w:r>
            <w:r>
              <w:rPr>
                <w:rFonts w:hint="eastAsia" w:ascii="宋体" w:hAnsi="宋体" w:cs="宋体"/>
                <w:b/>
                <w:bCs/>
                <w:color w:val="auto"/>
                <w:kern w:val="2"/>
                <w:sz w:val="24"/>
                <w:szCs w:val="24"/>
                <w:highlight w:val="none"/>
                <w:lang w:val="en-US" w:eastAsia="zh-CN"/>
              </w:rPr>
              <w:t>8</w:t>
            </w:r>
            <w:r>
              <w:rPr>
                <w:rFonts w:hint="eastAsia" w:ascii="宋体" w:hAnsi="宋体" w:cs="宋体"/>
                <w:b/>
                <w:bCs/>
                <w:color w:val="auto"/>
                <w:kern w:val="2"/>
                <w:sz w:val="24"/>
                <w:szCs w:val="24"/>
                <w:highlight w:val="none"/>
              </w:rPr>
              <w:t>)注意事项：</w:t>
            </w:r>
          </w:p>
          <w:p w14:paraId="18A92E34">
            <w:pPr>
              <w:autoSpaceDE w:val="0"/>
              <w:spacing w:line="400" w:lineRule="exact"/>
              <w:rPr>
                <w:color w:val="auto"/>
                <w:highlight w:val="none"/>
              </w:rPr>
            </w:pPr>
            <w:r>
              <w:rPr>
                <w:rFonts w:hint="eastAsia" w:ascii="宋体" w:hAnsi="宋体" w:cs="宋体"/>
                <w:color w:val="auto"/>
                <w:kern w:val="2"/>
                <w:sz w:val="24"/>
                <w:szCs w:val="24"/>
                <w:highlight w:val="none"/>
              </w:rPr>
              <w:t>①保证金必须从投标人的基本账户划出。</w:t>
            </w:r>
          </w:p>
          <w:p w14:paraId="0883C70C">
            <w:pPr>
              <w:autoSpaceDE w:val="0"/>
              <w:spacing w:line="400" w:lineRule="exact"/>
              <w:rPr>
                <w:color w:val="auto"/>
                <w:highlight w:val="none"/>
              </w:rPr>
            </w:pPr>
            <w:r>
              <w:rPr>
                <w:rFonts w:hint="eastAsia" w:ascii="宋体" w:hAnsi="宋体" w:cs="宋体"/>
                <w:color w:val="auto"/>
                <w:kern w:val="2"/>
                <w:sz w:val="24"/>
                <w:szCs w:val="24"/>
                <w:highlight w:val="none"/>
              </w:rPr>
              <w:t>②汇款时在“摘要”或“用途”栏目内填入“项目名称+编号”。</w:t>
            </w:r>
          </w:p>
          <w:p w14:paraId="4AF5F6F1">
            <w:pPr>
              <w:autoSpaceDE w:val="0"/>
              <w:spacing w:line="400" w:lineRule="exact"/>
              <w:rPr>
                <w:color w:val="auto"/>
                <w:highlight w:val="none"/>
              </w:rPr>
            </w:pPr>
            <w:r>
              <w:rPr>
                <w:rFonts w:hint="eastAsia" w:ascii="宋体" w:hAnsi="宋体" w:cs="宋体"/>
                <w:b/>
                <w:bCs/>
                <w:color w:val="auto"/>
                <w:kern w:val="2"/>
                <w:sz w:val="24"/>
                <w:szCs w:val="24"/>
                <w:highlight w:val="none"/>
              </w:rPr>
              <w:t>(</w:t>
            </w:r>
            <w:r>
              <w:rPr>
                <w:rFonts w:hint="eastAsia" w:ascii="宋体" w:hAnsi="宋体" w:cs="宋体"/>
                <w:b/>
                <w:bCs/>
                <w:color w:val="auto"/>
                <w:kern w:val="2"/>
                <w:sz w:val="24"/>
                <w:szCs w:val="24"/>
                <w:highlight w:val="none"/>
                <w:lang w:val="en-US" w:eastAsia="zh-CN"/>
              </w:rPr>
              <w:t>9</w:t>
            </w:r>
            <w:r>
              <w:rPr>
                <w:rFonts w:hint="eastAsia" w:ascii="宋体" w:hAnsi="宋体" w:cs="宋体"/>
                <w:b/>
                <w:bCs/>
                <w:color w:val="auto"/>
                <w:kern w:val="2"/>
                <w:sz w:val="24"/>
                <w:szCs w:val="24"/>
                <w:highlight w:val="none"/>
              </w:rPr>
              <w:t>)投标保证金的退还要求：</w:t>
            </w:r>
          </w:p>
          <w:p w14:paraId="1C2D3D43">
            <w:pPr>
              <w:autoSpaceDE w:val="0"/>
              <w:spacing w:line="400" w:lineRule="exact"/>
              <w:rPr>
                <w:color w:val="auto"/>
                <w:highlight w:val="none"/>
              </w:rPr>
            </w:pPr>
            <w:r>
              <w:rPr>
                <w:rFonts w:hint="eastAsia" w:ascii="宋体" w:hAnsi="宋体" w:cs="宋体"/>
                <w:color w:val="auto"/>
                <w:kern w:val="2"/>
                <w:sz w:val="24"/>
                <w:szCs w:val="24"/>
                <w:highlight w:val="none"/>
              </w:rPr>
              <w:t>投标人所缴纳的投标保证金不计利息，在办理退还投标保证金时，应填写好“保证金退还申请表”，向采购代理机构财务工作人员递交“保证金退还申请表”，以便尽快退还投标人的保证金。</w:t>
            </w:r>
          </w:p>
          <w:p w14:paraId="1604751D">
            <w:pPr>
              <w:autoSpaceDE w:val="0"/>
              <w:spacing w:line="400" w:lineRule="exact"/>
              <w:rPr>
                <w:rFonts w:ascii="宋体" w:hAnsi="宋体" w:cs="宋体"/>
                <w:color w:val="auto"/>
                <w:kern w:val="2"/>
                <w:sz w:val="24"/>
                <w:szCs w:val="24"/>
                <w:highlight w:val="none"/>
              </w:rPr>
            </w:pPr>
            <w:r>
              <w:rPr>
                <w:rFonts w:hint="eastAsia" w:ascii="宋体" w:hAnsi="宋体" w:cs="宋体"/>
                <w:color w:val="auto"/>
                <w:kern w:val="2"/>
                <w:sz w:val="24"/>
                <w:szCs w:val="24"/>
                <w:highlight w:val="none"/>
              </w:rPr>
              <w:t>注：①因投标人自身原因造成的投标保证金延迟退还，采购代理机构不承担相应责任；②投标人因涉嫌违法违规，按照规定应当不予退还保证金的，有关部门处理认定违法违规行为期间不计入退还保证金时限之内。</w:t>
            </w:r>
          </w:p>
        </w:tc>
      </w:tr>
      <w:tr w14:paraId="67FDE5CD">
        <w:tblPrEx>
          <w:tblCellMar>
            <w:top w:w="0" w:type="dxa"/>
            <w:left w:w="0" w:type="dxa"/>
            <w:bottom w:w="0" w:type="dxa"/>
            <w:right w:w="0" w:type="dxa"/>
          </w:tblCellMar>
        </w:tblPrEx>
        <w:trPr>
          <w:trHeight w:val="764"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7DDF1721">
            <w:pPr>
              <w:spacing w:line="400" w:lineRule="exact"/>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3.5.3</w:t>
            </w:r>
          </w:p>
        </w:tc>
        <w:tc>
          <w:tcPr>
            <w:tcW w:w="2009" w:type="dxa"/>
            <w:tcBorders>
              <w:top w:val="single" w:color="auto" w:sz="8" w:space="0"/>
              <w:left w:val="nil"/>
              <w:bottom w:val="single" w:color="auto" w:sz="8" w:space="0"/>
              <w:right w:val="single" w:color="auto" w:sz="8" w:space="0"/>
            </w:tcBorders>
            <w:vAlign w:val="center"/>
          </w:tcPr>
          <w:p w14:paraId="68EF4ECD">
            <w:pPr>
              <w:spacing w:line="400" w:lineRule="exact"/>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投标文件签署、盖章</w:t>
            </w:r>
          </w:p>
        </w:tc>
        <w:tc>
          <w:tcPr>
            <w:tcW w:w="6826" w:type="dxa"/>
            <w:tcBorders>
              <w:top w:val="single" w:color="auto" w:sz="8" w:space="0"/>
              <w:left w:val="nil"/>
              <w:bottom w:val="single" w:color="auto" w:sz="8" w:space="0"/>
              <w:right w:val="single" w:color="auto" w:sz="8" w:space="0"/>
            </w:tcBorders>
            <w:vAlign w:val="center"/>
          </w:tcPr>
          <w:p w14:paraId="5DBF244F">
            <w:pPr>
              <w:autoSpaceDE w:val="0"/>
              <w:spacing w:line="400" w:lineRule="exact"/>
              <w:rPr>
                <w:rFonts w:ascii="宋体" w:hAnsi="宋体" w:cs="宋体"/>
                <w:color w:val="auto"/>
                <w:kern w:val="2"/>
                <w:sz w:val="24"/>
                <w:szCs w:val="24"/>
                <w:highlight w:val="none"/>
              </w:rPr>
            </w:pPr>
            <w:r>
              <w:rPr>
                <w:rFonts w:hint="eastAsia" w:ascii="宋体" w:hAnsi="宋体" w:cs="宋体"/>
                <w:color w:val="auto"/>
                <w:kern w:val="2"/>
                <w:sz w:val="24"/>
                <w:szCs w:val="24"/>
                <w:highlight w:val="none"/>
              </w:rPr>
              <w:t>投标文件</w:t>
            </w:r>
            <w:r>
              <w:rPr>
                <w:rFonts w:ascii="宋体" w:hAnsi="宋体" w:cs="宋体"/>
                <w:color w:val="auto"/>
                <w:kern w:val="2"/>
                <w:sz w:val="24"/>
                <w:szCs w:val="24"/>
                <w:highlight w:val="none"/>
              </w:rPr>
              <w:t>编制完成后须用CA按格式进行签署，在所要求的位置进行单位电子签章，法定代表人（单位负责人）或其委托代理人电子签章或电子签名，均使用CA按格式进行签署。</w:t>
            </w:r>
          </w:p>
          <w:p w14:paraId="5863802B">
            <w:pPr>
              <w:autoSpaceDE w:val="0"/>
              <w:spacing w:line="400" w:lineRule="exact"/>
              <w:rPr>
                <w:rFonts w:ascii="宋体" w:hAnsi="宋体" w:cs="宋体"/>
                <w:color w:val="auto"/>
                <w:kern w:val="2"/>
                <w:sz w:val="24"/>
                <w:szCs w:val="24"/>
                <w:highlight w:val="none"/>
              </w:rPr>
            </w:pPr>
            <w:r>
              <w:rPr>
                <w:rFonts w:ascii="宋体" w:hAnsi="宋体" w:cs="宋体"/>
                <w:color w:val="auto"/>
                <w:kern w:val="2"/>
                <w:sz w:val="24"/>
                <w:szCs w:val="24"/>
                <w:highlight w:val="none"/>
              </w:rPr>
              <w:t>参与评审的签署、盖章见“第</w:t>
            </w:r>
            <w:r>
              <w:rPr>
                <w:rFonts w:hint="eastAsia" w:ascii="宋体" w:hAnsi="宋体" w:cs="宋体"/>
                <w:color w:val="auto"/>
                <w:kern w:val="2"/>
                <w:sz w:val="24"/>
                <w:szCs w:val="24"/>
                <w:highlight w:val="none"/>
              </w:rPr>
              <w:t>七</w:t>
            </w:r>
            <w:r>
              <w:rPr>
                <w:rFonts w:ascii="宋体" w:hAnsi="宋体" w:cs="宋体"/>
                <w:color w:val="auto"/>
                <w:kern w:val="2"/>
                <w:sz w:val="24"/>
                <w:szCs w:val="24"/>
                <w:highlight w:val="none"/>
              </w:rPr>
              <w:t>章 评</w:t>
            </w:r>
            <w:r>
              <w:rPr>
                <w:rFonts w:hint="eastAsia" w:ascii="宋体" w:hAnsi="宋体" w:cs="宋体"/>
                <w:color w:val="auto"/>
                <w:kern w:val="2"/>
                <w:sz w:val="24"/>
                <w:szCs w:val="24"/>
                <w:highlight w:val="none"/>
              </w:rPr>
              <w:t>标</w:t>
            </w:r>
            <w:r>
              <w:rPr>
                <w:rFonts w:ascii="宋体" w:hAnsi="宋体" w:cs="宋体"/>
                <w:color w:val="auto"/>
                <w:kern w:val="2"/>
                <w:sz w:val="24"/>
                <w:szCs w:val="24"/>
                <w:highlight w:val="none"/>
              </w:rPr>
              <w:t>办法”。</w:t>
            </w:r>
          </w:p>
        </w:tc>
      </w:tr>
      <w:tr w14:paraId="0D9B93E4">
        <w:tblPrEx>
          <w:tblCellMar>
            <w:top w:w="0" w:type="dxa"/>
            <w:left w:w="0" w:type="dxa"/>
            <w:bottom w:w="0" w:type="dxa"/>
            <w:right w:w="0" w:type="dxa"/>
          </w:tblCellMar>
        </w:tblPrEx>
        <w:trPr>
          <w:trHeight w:val="764"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14E7DBF0">
            <w:pPr>
              <w:spacing w:line="400" w:lineRule="exact"/>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4.1.1</w:t>
            </w:r>
          </w:p>
        </w:tc>
        <w:tc>
          <w:tcPr>
            <w:tcW w:w="2009" w:type="dxa"/>
            <w:tcBorders>
              <w:top w:val="single" w:color="auto" w:sz="8" w:space="0"/>
              <w:left w:val="nil"/>
              <w:bottom w:val="single" w:color="auto" w:sz="8" w:space="0"/>
              <w:right w:val="single" w:color="auto" w:sz="8" w:space="0"/>
            </w:tcBorders>
            <w:vAlign w:val="center"/>
          </w:tcPr>
          <w:p w14:paraId="574D0AED">
            <w:pPr>
              <w:spacing w:line="400" w:lineRule="exact"/>
              <w:jc w:val="center"/>
              <w:rPr>
                <w:rFonts w:ascii="宋体" w:hAnsi="宋体" w:cs="宋体"/>
                <w:color w:val="auto"/>
                <w:sz w:val="24"/>
                <w:szCs w:val="24"/>
                <w:highlight w:val="none"/>
              </w:rPr>
            </w:pPr>
            <w:r>
              <w:rPr>
                <w:rFonts w:hint="eastAsia" w:ascii="宋体" w:hAnsi="宋体" w:cs="宋体"/>
                <w:color w:val="auto"/>
                <w:kern w:val="2"/>
                <w:sz w:val="24"/>
                <w:szCs w:val="24"/>
                <w:highlight w:val="none"/>
              </w:rPr>
              <w:t>投标文件加密要求</w:t>
            </w:r>
          </w:p>
        </w:tc>
        <w:tc>
          <w:tcPr>
            <w:tcW w:w="6826" w:type="dxa"/>
            <w:tcBorders>
              <w:top w:val="single" w:color="auto" w:sz="8" w:space="0"/>
              <w:left w:val="nil"/>
              <w:bottom w:val="single" w:color="auto" w:sz="8" w:space="0"/>
              <w:right w:val="single" w:color="auto" w:sz="8" w:space="0"/>
            </w:tcBorders>
            <w:vAlign w:val="center"/>
          </w:tcPr>
          <w:p w14:paraId="18BD70DF">
            <w:pP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CA锁加密</w:t>
            </w:r>
          </w:p>
        </w:tc>
      </w:tr>
      <w:tr w14:paraId="21218AE9">
        <w:tblPrEx>
          <w:tblCellMar>
            <w:top w:w="0" w:type="dxa"/>
            <w:left w:w="0" w:type="dxa"/>
            <w:bottom w:w="0" w:type="dxa"/>
            <w:right w:w="0" w:type="dxa"/>
          </w:tblCellMar>
        </w:tblPrEx>
        <w:trPr>
          <w:trHeight w:val="542"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28D4DB76">
            <w:pPr>
              <w:spacing w:line="400" w:lineRule="exact"/>
              <w:jc w:val="center"/>
              <w:rPr>
                <w:rFonts w:ascii="宋体" w:hAnsi="宋体" w:cs="宋体"/>
                <w:color w:val="auto"/>
                <w:highlight w:val="none"/>
              </w:rPr>
            </w:pPr>
            <w:r>
              <w:rPr>
                <w:rFonts w:hint="eastAsia" w:ascii="宋体" w:hAnsi="宋体" w:cs="宋体"/>
                <w:color w:val="auto"/>
                <w:sz w:val="24"/>
                <w:szCs w:val="24"/>
                <w:highlight w:val="none"/>
              </w:rPr>
              <w:t>4.2.1.1</w:t>
            </w:r>
          </w:p>
        </w:tc>
        <w:tc>
          <w:tcPr>
            <w:tcW w:w="2009" w:type="dxa"/>
            <w:tcBorders>
              <w:top w:val="single" w:color="auto" w:sz="8" w:space="0"/>
              <w:left w:val="nil"/>
              <w:bottom w:val="single" w:color="auto" w:sz="8" w:space="0"/>
              <w:right w:val="single" w:color="auto" w:sz="8" w:space="0"/>
            </w:tcBorders>
            <w:vAlign w:val="center"/>
          </w:tcPr>
          <w:p w14:paraId="6F8D3457">
            <w:pPr>
              <w:spacing w:line="400" w:lineRule="exact"/>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投标截止时间</w:t>
            </w:r>
          </w:p>
        </w:tc>
        <w:tc>
          <w:tcPr>
            <w:tcW w:w="6826" w:type="dxa"/>
            <w:tcBorders>
              <w:top w:val="single" w:color="auto" w:sz="8" w:space="0"/>
              <w:left w:val="nil"/>
              <w:bottom w:val="single" w:color="auto" w:sz="8" w:space="0"/>
              <w:right w:val="single" w:color="auto" w:sz="8" w:space="0"/>
            </w:tcBorders>
            <w:vAlign w:val="center"/>
          </w:tcPr>
          <w:p w14:paraId="0D0ADB7E">
            <w:pPr>
              <w:spacing w:line="400" w:lineRule="exact"/>
              <w:jc w:val="both"/>
              <w:rPr>
                <w:rFonts w:ascii="宋体" w:hAnsi="宋体" w:cs="宋体"/>
                <w:color w:val="auto"/>
                <w:kern w:val="2"/>
                <w:sz w:val="24"/>
                <w:szCs w:val="24"/>
                <w:highlight w:val="none"/>
              </w:rPr>
            </w:pPr>
            <w:r>
              <w:rPr>
                <w:rFonts w:hint="eastAsia" w:ascii="宋体" w:hAnsi="宋体" w:cs="宋体"/>
                <w:color w:val="auto"/>
                <w:sz w:val="24"/>
                <w:szCs w:val="24"/>
                <w:highlight w:val="none"/>
              </w:rPr>
              <w:t>详见“第一章 招标公告四、提交投标文件截止时间、开标时间和地点”</w:t>
            </w:r>
          </w:p>
        </w:tc>
      </w:tr>
      <w:tr w14:paraId="0CC8012C">
        <w:tblPrEx>
          <w:tblCellMar>
            <w:top w:w="0" w:type="dxa"/>
            <w:left w:w="0" w:type="dxa"/>
            <w:bottom w:w="0" w:type="dxa"/>
            <w:right w:w="0" w:type="dxa"/>
          </w:tblCellMar>
        </w:tblPrEx>
        <w:trPr>
          <w:trHeight w:val="943"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36378380">
            <w:pPr>
              <w:spacing w:line="400" w:lineRule="exact"/>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4.2.1.2</w:t>
            </w:r>
          </w:p>
        </w:tc>
        <w:tc>
          <w:tcPr>
            <w:tcW w:w="2009" w:type="dxa"/>
            <w:tcBorders>
              <w:top w:val="single" w:color="auto" w:sz="8" w:space="0"/>
              <w:left w:val="nil"/>
              <w:bottom w:val="single" w:color="auto" w:sz="8" w:space="0"/>
              <w:right w:val="single" w:color="auto" w:sz="8" w:space="0"/>
            </w:tcBorders>
            <w:vAlign w:val="center"/>
          </w:tcPr>
          <w:p w14:paraId="6E3B869E">
            <w:pPr>
              <w:spacing w:line="400" w:lineRule="exact"/>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投标文件递交地点</w:t>
            </w:r>
          </w:p>
        </w:tc>
        <w:tc>
          <w:tcPr>
            <w:tcW w:w="6826" w:type="dxa"/>
            <w:tcBorders>
              <w:top w:val="single" w:color="auto" w:sz="8" w:space="0"/>
              <w:left w:val="nil"/>
              <w:bottom w:val="single" w:color="auto" w:sz="8" w:space="0"/>
              <w:right w:val="single" w:color="auto" w:sz="8" w:space="0"/>
            </w:tcBorders>
            <w:vAlign w:val="center"/>
          </w:tcPr>
          <w:p w14:paraId="22DF6679">
            <w:pPr>
              <w:spacing w:line="400" w:lineRule="exact"/>
              <w:rPr>
                <w:rFonts w:ascii="宋体" w:hAnsi="宋体" w:cs="宋体"/>
                <w:color w:val="auto"/>
                <w:sz w:val="24"/>
                <w:highlight w:val="none"/>
              </w:rPr>
            </w:pPr>
            <w:r>
              <w:rPr>
                <w:rFonts w:hint="eastAsia" w:ascii="宋体" w:hAnsi="宋体" w:cs="宋体"/>
                <w:color w:val="auto"/>
                <w:sz w:val="24"/>
                <w:szCs w:val="24"/>
                <w:highlight w:val="none"/>
              </w:rPr>
              <w:t xml:space="preserve">详见“第一章 招标公告四、提交投标文件截止时间、开标时间和地点”                 </w:t>
            </w:r>
          </w:p>
        </w:tc>
      </w:tr>
      <w:tr w14:paraId="3C857A82">
        <w:tblPrEx>
          <w:tblCellMar>
            <w:top w:w="0" w:type="dxa"/>
            <w:left w:w="0" w:type="dxa"/>
            <w:bottom w:w="0" w:type="dxa"/>
            <w:right w:w="0" w:type="dxa"/>
          </w:tblCellMar>
        </w:tblPrEx>
        <w:trPr>
          <w:trHeight w:val="943"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5C2156A1">
            <w:pPr>
              <w:spacing w:line="400" w:lineRule="exact"/>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4.2.1.3</w:t>
            </w:r>
          </w:p>
        </w:tc>
        <w:tc>
          <w:tcPr>
            <w:tcW w:w="2009" w:type="dxa"/>
            <w:tcBorders>
              <w:top w:val="single" w:color="auto" w:sz="8" w:space="0"/>
              <w:left w:val="nil"/>
              <w:bottom w:val="single" w:color="auto" w:sz="8" w:space="0"/>
              <w:right w:val="single" w:color="auto" w:sz="8" w:space="0"/>
            </w:tcBorders>
            <w:vAlign w:val="center"/>
          </w:tcPr>
          <w:p w14:paraId="46937D0F">
            <w:pPr>
              <w:spacing w:line="400" w:lineRule="exact"/>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投标文件是否退还</w:t>
            </w:r>
          </w:p>
        </w:tc>
        <w:tc>
          <w:tcPr>
            <w:tcW w:w="6826" w:type="dxa"/>
            <w:tcBorders>
              <w:top w:val="single" w:color="auto" w:sz="8" w:space="0"/>
              <w:left w:val="nil"/>
              <w:bottom w:val="single" w:color="auto" w:sz="8" w:space="0"/>
              <w:right w:val="single" w:color="auto" w:sz="8" w:space="0"/>
            </w:tcBorders>
            <w:vAlign w:val="center"/>
          </w:tcPr>
          <w:p w14:paraId="474FA4C2">
            <w:pPr>
              <w:spacing w:line="400" w:lineRule="exact"/>
              <w:rPr>
                <w:rFonts w:ascii="宋体" w:hAnsi="宋体" w:cs="宋体"/>
                <w:color w:val="auto"/>
                <w:kern w:val="2"/>
                <w:sz w:val="24"/>
                <w:szCs w:val="24"/>
                <w:highlight w:val="none"/>
              </w:rPr>
            </w:pPr>
            <w:r>
              <w:rPr>
                <w:rFonts w:hint="eastAsia" w:ascii="宋体" w:hAnsi="宋体" w:cs="宋体"/>
                <w:color w:val="auto"/>
                <w:kern w:val="2"/>
                <w:sz w:val="24"/>
                <w:szCs w:val="24"/>
                <w:highlight w:val="none"/>
              </w:rPr>
              <w:t>投标文件退还：☑否</w:t>
            </w:r>
          </w:p>
          <w:p w14:paraId="2833B5AA">
            <w:pPr>
              <w:spacing w:line="400" w:lineRule="exact"/>
              <w:ind w:firstLine="1680"/>
              <w:rPr>
                <w:rFonts w:ascii="宋体" w:hAnsi="宋体" w:cs="宋体"/>
                <w:color w:val="auto"/>
                <w:kern w:val="2"/>
                <w:sz w:val="24"/>
                <w:szCs w:val="24"/>
                <w:highlight w:val="none"/>
              </w:rPr>
            </w:pPr>
            <w:r>
              <w:rPr>
                <w:rFonts w:hint="eastAsia" w:ascii="宋体" w:hAnsi="宋体" w:cs="宋体"/>
                <w:color w:val="auto"/>
                <w:kern w:val="2"/>
                <w:sz w:val="24"/>
                <w:szCs w:val="24"/>
                <w:highlight w:val="none"/>
              </w:rPr>
              <w:t>□是，退还时间：</w:t>
            </w:r>
            <w:r>
              <w:rPr>
                <w:rFonts w:hint="eastAsia" w:ascii="宋体" w:hAnsi="宋体" w:cs="宋体"/>
                <w:color w:val="auto"/>
                <w:kern w:val="2"/>
                <w:sz w:val="24"/>
                <w:szCs w:val="24"/>
                <w:highlight w:val="none"/>
                <w:u w:val="single"/>
              </w:rPr>
              <w:t>/</w:t>
            </w:r>
          </w:p>
        </w:tc>
      </w:tr>
      <w:tr w14:paraId="4A21F914">
        <w:tblPrEx>
          <w:tblCellMar>
            <w:top w:w="0" w:type="dxa"/>
            <w:left w:w="0" w:type="dxa"/>
            <w:bottom w:w="0" w:type="dxa"/>
            <w:right w:w="0" w:type="dxa"/>
          </w:tblCellMar>
        </w:tblPrEx>
        <w:trPr>
          <w:trHeight w:val="902"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4F35449E">
            <w:pPr>
              <w:spacing w:line="400" w:lineRule="exact"/>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5.1</w:t>
            </w:r>
          </w:p>
        </w:tc>
        <w:tc>
          <w:tcPr>
            <w:tcW w:w="2009" w:type="dxa"/>
            <w:tcBorders>
              <w:top w:val="single" w:color="auto" w:sz="8" w:space="0"/>
              <w:left w:val="nil"/>
              <w:bottom w:val="single" w:color="auto" w:sz="8" w:space="0"/>
              <w:right w:val="single" w:color="auto" w:sz="8" w:space="0"/>
            </w:tcBorders>
            <w:vAlign w:val="center"/>
          </w:tcPr>
          <w:p w14:paraId="01B2983C">
            <w:pPr>
              <w:spacing w:line="400" w:lineRule="exact"/>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开标时间和地点</w:t>
            </w:r>
          </w:p>
        </w:tc>
        <w:tc>
          <w:tcPr>
            <w:tcW w:w="6826" w:type="dxa"/>
            <w:tcBorders>
              <w:top w:val="single" w:color="auto" w:sz="8" w:space="0"/>
              <w:left w:val="nil"/>
              <w:bottom w:val="single" w:color="auto" w:sz="8" w:space="0"/>
              <w:right w:val="single" w:color="auto" w:sz="8" w:space="0"/>
            </w:tcBorders>
            <w:vAlign w:val="center"/>
          </w:tcPr>
          <w:p w14:paraId="39267C60">
            <w:pPr>
              <w:spacing w:line="400" w:lineRule="exact"/>
              <w:rPr>
                <w:rFonts w:ascii="宋体" w:hAnsi="宋体" w:cs="宋体"/>
                <w:color w:val="auto"/>
                <w:kern w:val="2"/>
                <w:sz w:val="24"/>
                <w:szCs w:val="24"/>
                <w:highlight w:val="none"/>
              </w:rPr>
            </w:pPr>
            <w:r>
              <w:rPr>
                <w:rFonts w:hint="eastAsia" w:ascii="宋体" w:hAnsi="宋体" w:cs="宋体"/>
                <w:color w:val="auto"/>
                <w:kern w:val="2"/>
                <w:sz w:val="24"/>
                <w:szCs w:val="24"/>
                <w:highlight w:val="none"/>
              </w:rPr>
              <w:t>开标时间：同投标截止时间</w:t>
            </w:r>
          </w:p>
          <w:p w14:paraId="21F97E2A">
            <w:pPr>
              <w:spacing w:line="400" w:lineRule="exact"/>
              <w:rPr>
                <w:rFonts w:ascii="宋体" w:hAnsi="宋体" w:cs="宋体"/>
                <w:color w:val="auto"/>
                <w:kern w:val="2"/>
                <w:sz w:val="24"/>
                <w:szCs w:val="24"/>
                <w:highlight w:val="none"/>
              </w:rPr>
            </w:pPr>
            <w:r>
              <w:rPr>
                <w:rFonts w:hint="eastAsia" w:ascii="宋体" w:hAnsi="宋体" w:cs="宋体"/>
                <w:color w:val="auto"/>
                <w:kern w:val="2"/>
                <w:sz w:val="24"/>
                <w:szCs w:val="24"/>
                <w:highlight w:val="none"/>
              </w:rPr>
              <w:t>开标地点：同投标文件递交地点</w:t>
            </w:r>
          </w:p>
        </w:tc>
      </w:tr>
      <w:tr w14:paraId="71756543">
        <w:tblPrEx>
          <w:tblCellMar>
            <w:top w:w="0" w:type="dxa"/>
            <w:left w:w="0" w:type="dxa"/>
            <w:bottom w:w="0" w:type="dxa"/>
            <w:right w:w="0" w:type="dxa"/>
          </w:tblCellMar>
        </w:tblPrEx>
        <w:trPr>
          <w:trHeight w:val="1264"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69382CAC">
            <w:pPr>
              <w:spacing w:line="400" w:lineRule="exact"/>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5.2（4）</w:t>
            </w:r>
          </w:p>
        </w:tc>
        <w:tc>
          <w:tcPr>
            <w:tcW w:w="2009" w:type="dxa"/>
            <w:tcBorders>
              <w:top w:val="single" w:color="auto" w:sz="8" w:space="0"/>
              <w:left w:val="nil"/>
              <w:bottom w:val="single" w:color="auto" w:sz="8" w:space="0"/>
              <w:right w:val="single" w:color="auto" w:sz="8" w:space="0"/>
            </w:tcBorders>
            <w:vAlign w:val="center"/>
          </w:tcPr>
          <w:p w14:paraId="465D204B">
            <w:pPr>
              <w:spacing w:line="400" w:lineRule="exact"/>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开标程序</w:t>
            </w:r>
          </w:p>
        </w:tc>
        <w:tc>
          <w:tcPr>
            <w:tcW w:w="6826" w:type="dxa"/>
            <w:tcBorders>
              <w:top w:val="single" w:color="auto" w:sz="8" w:space="0"/>
              <w:left w:val="nil"/>
              <w:bottom w:val="single" w:color="auto" w:sz="8" w:space="0"/>
              <w:right w:val="single" w:color="auto" w:sz="8" w:space="0"/>
            </w:tcBorders>
            <w:vAlign w:val="center"/>
          </w:tcPr>
          <w:p w14:paraId="39DAF709">
            <w:pPr>
              <w:spacing w:line="400" w:lineRule="exact"/>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开标顺序：□随机开启</w:t>
            </w:r>
          </w:p>
          <w:p w14:paraId="1AC9FDCF">
            <w:pPr>
              <w:spacing w:line="400" w:lineRule="exact"/>
              <w:ind w:firstLine="1200" w:firstLineChars="500"/>
              <w:rPr>
                <w:rFonts w:ascii="宋体" w:hAnsi="宋体" w:cs="宋体"/>
                <w:color w:val="auto"/>
                <w:kern w:val="2"/>
                <w:sz w:val="24"/>
                <w:szCs w:val="24"/>
                <w:highlight w:val="none"/>
              </w:rPr>
            </w:pPr>
            <w:r>
              <w:rPr>
                <w:rFonts w:hint="eastAsia" w:ascii="宋体" w:hAnsi="宋体" w:cs="宋体"/>
                <w:color w:val="auto"/>
                <w:kern w:val="2"/>
                <w:sz w:val="24"/>
                <w:szCs w:val="24"/>
                <w:highlight w:val="none"/>
              </w:rPr>
              <w:t>□按递交先后顺序开启</w:t>
            </w:r>
          </w:p>
          <w:p w14:paraId="1668AD54">
            <w:pPr>
              <w:spacing w:line="400" w:lineRule="exact"/>
              <w:ind w:firstLine="1200" w:firstLineChars="500"/>
              <w:rPr>
                <w:rFonts w:ascii="宋体" w:hAnsi="宋体" w:cs="宋体"/>
                <w:color w:val="auto"/>
                <w:kern w:val="2"/>
                <w:sz w:val="24"/>
                <w:szCs w:val="24"/>
                <w:highlight w:val="none"/>
              </w:rPr>
            </w:pPr>
            <w:r>
              <w:rPr>
                <w:rFonts w:hint="eastAsia" w:ascii="宋体" w:hAnsi="宋体" w:cs="宋体"/>
                <w:color w:val="auto"/>
                <w:kern w:val="2"/>
                <w:sz w:val="24"/>
                <w:szCs w:val="24"/>
                <w:highlight w:val="none"/>
              </w:rPr>
              <w:t>☑其他开启方式：</w:t>
            </w:r>
            <w:r>
              <w:rPr>
                <w:rFonts w:hint="eastAsia" w:ascii="宋体" w:hAnsi="宋体" w:cs="宋体"/>
                <w:color w:val="auto"/>
                <w:kern w:val="2"/>
                <w:sz w:val="24"/>
                <w:szCs w:val="24"/>
                <w:highlight w:val="none"/>
                <w:u w:val="single"/>
              </w:rPr>
              <w:t>按照交易平台自动提取所有投标人的顺序开启</w:t>
            </w:r>
          </w:p>
        </w:tc>
      </w:tr>
      <w:tr w14:paraId="1559436D">
        <w:tblPrEx>
          <w:tblCellMar>
            <w:top w:w="0" w:type="dxa"/>
            <w:left w:w="0" w:type="dxa"/>
            <w:bottom w:w="0" w:type="dxa"/>
            <w:right w:w="0" w:type="dxa"/>
          </w:tblCellMar>
        </w:tblPrEx>
        <w:trPr>
          <w:trHeight w:val="1297"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0B8F6B67">
            <w:pPr>
              <w:spacing w:line="400" w:lineRule="exact"/>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7.1.1</w:t>
            </w:r>
          </w:p>
        </w:tc>
        <w:tc>
          <w:tcPr>
            <w:tcW w:w="2009" w:type="dxa"/>
            <w:tcBorders>
              <w:top w:val="single" w:color="auto" w:sz="8" w:space="0"/>
              <w:left w:val="nil"/>
              <w:bottom w:val="single" w:color="auto" w:sz="8" w:space="0"/>
              <w:right w:val="single" w:color="auto" w:sz="8" w:space="0"/>
            </w:tcBorders>
            <w:vAlign w:val="center"/>
          </w:tcPr>
          <w:p w14:paraId="381DC680">
            <w:pPr>
              <w:spacing w:line="400" w:lineRule="exact"/>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评标委员会的组成</w:t>
            </w:r>
          </w:p>
        </w:tc>
        <w:tc>
          <w:tcPr>
            <w:tcW w:w="6826" w:type="dxa"/>
            <w:tcBorders>
              <w:top w:val="single" w:color="auto" w:sz="8" w:space="0"/>
              <w:left w:val="nil"/>
              <w:bottom w:val="single" w:color="auto" w:sz="8" w:space="0"/>
              <w:right w:val="single" w:color="auto" w:sz="8" w:space="0"/>
            </w:tcBorders>
            <w:vAlign w:val="center"/>
          </w:tcPr>
          <w:p w14:paraId="40530D57">
            <w:pPr>
              <w:spacing w:line="400" w:lineRule="exact"/>
              <w:rPr>
                <w:rFonts w:ascii="宋体" w:hAnsi="宋体" w:cs="宋体"/>
                <w:color w:val="auto"/>
                <w:kern w:val="2"/>
                <w:sz w:val="24"/>
                <w:szCs w:val="24"/>
                <w:highlight w:val="none"/>
              </w:rPr>
            </w:pPr>
            <w:r>
              <w:rPr>
                <w:rFonts w:hint="eastAsia" w:ascii="宋体" w:hAnsi="宋体" w:cs="宋体"/>
                <w:color w:val="auto"/>
                <w:sz w:val="24"/>
                <w:szCs w:val="24"/>
                <w:highlight w:val="none"/>
              </w:rPr>
              <w:t>评标委员会由采购人代表和评审专家组成，成员人数为</w:t>
            </w:r>
            <w:r>
              <w:rPr>
                <w:rFonts w:hint="eastAsia" w:ascii="宋体" w:hAnsi="宋体" w:cs="宋体"/>
                <w:color w:val="auto"/>
                <w:sz w:val="24"/>
                <w:szCs w:val="24"/>
                <w:highlight w:val="none"/>
                <w:u w:val="single"/>
              </w:rPr>
              <w:t>5</w:t>
            </w:r>
            <w:r>
              <w:rPr>
                <w:rFonts w:hint="eastAsia" w:ascii="宋体" w:hAnsi="宋体" w:cs="宋体"/>
                <w:color w:val="auto"/>
                <w:sz w:val="24"/>
                <w:szCs w:val="24"/>
                <w:highlight w:val="none"/>
              </w:rPr>
              <w:t>人及以上单数，其中技术、经济专家不得少于成员总数的三分之二。</w:t>
            </w:r>
          </w:p>
          <w:p w14:paraId="035941FF">
            <w:pPr>
              <w:spacing w:line="400" w:lineRule="exact"/>
              <w:rPr>
                <w:rFonts w:ascii="宋体" w:hAnsi="宋体" w:cs="宋体"/>
                <w:color w:val="auto"/>
                <w:kern w:val="2"/>
                <w:sz w:val="24"/>
                <w:szCs w:val="24"/>
                <w:highlight w:val="none"/>
              </w:rPr>
            </w:pPr>
            <w:r>
              <w:rPr>
                <w:rFonts w:hint="eastAsia" w:ascii="宋体" w:hAnsi="宋体" w:cs="宋体"/>
                <w:color w:val="auto"/>
                <w:kern w:val="2"/>
                <w:sz w:val="24"/>
                <w:szCs w:val="24"/>
                <w:highlight w:val="none"/>
              </w:rPr>
              <w:t>评标专家确定方式：从《云南省政府采购网专家库》中随机抽取。</w:t>
            </w:r>
          </w:p>
        </w:tc>
      </w:tr>
      <w:tr w14:paraId="5F511CFF">
        <w:tblPrEx>
          <w:tblCellMar>
            <w:top w:w="0" w:type="dxa"/>
            <w:left w:w="0" w:type="dxa"/>
            <w:bottom w:w="0" w:type="dxa"/>
            <w:right w:w="0" w:type="dxa"/>
          </w:tblCellMar>
        </w:tblPrEx>
        <w:trPr>
          <w:trHeight w:val="865"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09A367DA">
            <w:pPr>
              <w:spacing w:line="400" w:lineRule="exact"/>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7.3.2</w:t>
            </w:r>
          </w:p>
        </w:tc>
        <w:tc>
          <w:tcPr>
            <w:tcW w:w="2009" w:type="dxa"/>
            <w:tcBorders>
              <w:top w:val="single" w:color="auto" w:sz="8" w:space="0"/>
              <w:left w:val="nil"/>
              <w:bottom w:val="single" w:color="auto" w:sz="8" w:space="0"/>
              <w:right w:val="single" w:color="auto" w:sz="8" w:space="0"/>
            </w:tcBorders>
            <w:vAlign w:val="center"/>
          </w:tcPr>
          <w:p w14:paraId="0CC64B1C">
            <w:pPr>
              <w:spacing w:line="400" w:lineRule="exact"/>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评标委员会推荐中标候选人的人数</w:t>
            </w:r>
          </w:p>
        </w:tc>
        <w:tc>
          <w:tcPr>
            <w:tcW w:w="6826" w:type="dxa"/>
            <w:tcBorders>
              <w:top w:val="single" w:color="auto" w:sz="8" w:space="0"/>
              <w:left w:val="nil"/>
              <w:bottom w:val="single" w:color="auto" w:sz="8" w:space="0"/>
              <w:right w:val="single" w:color="auto" w:sz="8" w:space="0"/>
            </w:tcBorders>
            <w:vAlign w:val="center"/>
          </w:tcPr>
          <w:p w14:paraId="37C089C8">
            <w:pPr>
              <w:pStyle w:val="68"/>
              <w:spacing w:line="400" w:lineRule="exact"/>
              <w:jc w:val="both"/>
              <w:rPr>
                <w:rFonts w:ascii="宋体" w:hAnsi="宋体" w:cs="宋体"/>
                <w:color w:val="auto"/>
                <w:kern w:val="2"/>
                <w:sz w:val="24"/>
                <w:szCs w:val="24"/>
                <w:highlight w:val="none"/>
              </w:rPr>
            </w:pPr>
            <w:r>
              <w:rPr>
                <w:rFonts w:hint="eastAsia" w:ascii="宋体" w:hAnsi="宋体" w:cs="宋体"/>
                <w:color w:val="auto"/>
                <w:sz w:val="24"/>
                <w:szCs w:val="24"/>
                <w:highlight w:val="none"/>
                <w:u w:val="single"/>
              </w:rPr>
              <w:t>3名</w:t>
            </w:r>
          </w:p>
        </w:tc>
      </w:tr>
      <w:tr w14:paraId="5CEACF86">
        <w:tblPrEx>
          <w:tblCellMar>
            <w:top w:w="0" w:type="dxa"/>
            <w:left w:w="0" w:type="dxa"/>
            <w:bottom w:w="0" w:type="dxa"/>
            <w:right w:w="0" w:type="dxa"/>
          </w:tblCellMar>
        </w:tblPrEx>
        <w:trPr>
          <w:trHeight w:val="827"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67F21147">
            <w:pPr>
              <w:spacing w:line="400" w:lineRule="exact"/>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8.1</w:t>
            </w:r>
          </w:p>
        </w:tc>
        <w:tc>
          <w:tcPr>
            <w:tcW w:w="2009" w:type="dxa"/>
            <w:tcBorders>
              <w:top w:val="single" w:color="auto" w:sz="8" w:space="0"/>
              <w:left w:val="nil"/>
              <w:bottom w:val="single" w:color="auto" w:sz="8" w:space="0"/>
              <w:right w:val="single" w:color="auto" w:sz="8" w:space="0"/>
            </w:tcBorders>
            <w:vAlign w:val="center"/>
          </w:tcPr>
          <w:p w14:paraId="43279402">
            <w:pPr>
              <w:spacing w:line="400" w:lineRule="exact"/>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是否授权评标委员会确定中标人</w:t>
            </w:r>
          </w:p>
        </w:tc>
        <w:tc>
          <w:tcPr>
            <w:tcW w:w="6826" w:type="dxa"/>
            <w:tcBorders>
              <w:top w:val="single" w:color="auto" w:sz="8" w:space="0"/>
              <w:left w:val="nil"/>
              <w:bottom w:val="single" w:color="auto" w:sz="8" w:space="0"/>
              <w:right w:val="single" w:color="auto" w:sz="8" w:space="0"/>
            </w:tcBorders>
            <w:vAlign w:val="center"/>
          </w:tcPr>
          <w:p w14:paraId="716E4843">
            <w:pPr>
              <w:spacing w:line="400" w:lineRule="exact"/>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□是</w:t>
            </w:r>
          </w:p>
          <w:p w14:paraId="52292F1D">
            <w:pPr>
              <w:spacing w:line="400" w:lineRule="exact"/>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☑否</w:t>
            </w:r>
          </w:p>
        </w:tc>
      </w:tr>
      <w:tr w14:paraId="10B7651F">
        <w:tblPrEx>
          <w:tblCellMar>
            <w:top w:w="0" w:type="dxa"/>
            <w:left w:w="0" w:type="dxa"/>
            <w:bottom w:w="0" w:type="dxa"/>
            <w:right w:w="0" w:type="dxa"/>
          </w:tblCellMar>
        </w:tblPrEx>
        <w:trPr>
          <w:trHeight w:val="846"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5E34A21C">
            <w:pPr>
              <w:spacing w:line="400" w:lineRule="exact"/>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8.2</w:t>
            </w:r>
          </w:p>
        </w:tc>
        <w:tc>
          <w:tcPr>
            <w:tcW w:w="2009" w:type="dxa"/>
            <w:tcBorders>
              <w:top w:val="single" w:color="auto" w:sz="8" w:space="0"/>
              <w:left w:val="nil"/>
              <w:bottom w:val="single" w:color="auto" w:sz="8" w:space="0"/>
              <w:right w:val="single" w:color="auto" w:sz="8" w:space="0"/>
            </w:tcBorders>
            <w:vAlign w:val="center"/>
          </w:tcPr>
          <w:p w14:paraId="40E0950D">
            <w:pPr>
              <w:spacing w:line="400" w:lineRule="exact"/>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中标公告发布媒介及期限</w:t>
            </w:r>
          </w:p>
        </w:tc>
        <w:tc>
          <w:tcPr>
            <w:tcW w:w="6826" w:type="dxa"/>
            <w:tcBorders>
              <w:top w:val="single" w:color="auto" w:sz="8" w:space="0"/>
              <w:left w:val="nil"/>
              <w:bottom w:val="single" w:color="auto" w:sz="8" w:space="0"/>
              <w:right w:val="single" w:color="auto" w:sz="8" w:space="0"/>
            </w:tcBorders>
            <w:vAlign w:val="center"/>
          </w:tcPr>
          <w:p w14:paraId="2017BEBB">
            <w:pPr>
              <w:spacing w:line="400" w:lineRule="exact"/>
              <w:rPr>
                <w:rFonts w:ascii="宋体" w:hAnsi="宋体" w:cs="宋体"/>
                <w:color w:val="auto"/>
                <w:kern w:val="2"/>
                <w:sz w:val="24"/>
                <w:szCs w:val="24"/>
                <w:highlight w:val="none"/>
              </w:rPr>
            </w:pPr>
            <w:r>
              <w:rPr>
                <w:rFonts w:hint="eastAsia" w:ascii="宋体" w:hAnsi="宋体" w:cs="宋体"/>
                <w:color w:val="auto"/>
                <w:kern w:val="2"/>
                <w:sz w:val="24"/>
                <w:szCs w:val="24"/>
                <w:highlight w:val="none"/>
              </w:rPr>
              <w:t>公告媒介：同发布招标公告的媒介</w:t>
            </w:r>
          </w:p>
          <w:p w14:paraId="65FAD002">
            <w:pPr>
              <w:spacing w:line="400" w:lineRule="exact"/>
              <w:rPr>
                <w:rFonts w:ascii="宋体" w:hAnsi="宋体" w:cs="宋体"/>
                <w:color w:val="auto"/>
                <w:kern w:val="2"/>
                <w:sz w:val="24"/>
                <w:szCs w:val="24"/>
                <w:highlight w:val="none"/>
                <w:u w:val="single"/>
              </w:rPr>
            </w:pPr>
            <w:r>
              <w:rPr>
                <w:rFonts w:hint="eastAsia" w:ascii="宋体" w:hAnsi="宋体" w:cs="宋体"/>
                <w:color w:val="auto"/>
                <w:kern w:val="2"/>
                <w:sz w:val="24"/>
                <w:szCs w:val="24"/>
                <w:highlight w:val="none"/>
              </w:rPr>
              <w:t>公告期限：1个工作日</w:t>
            </w:r>
          </w:p>
        </w:tc>
      </w:tr>
      <w:tr w14:paraId="1A3939C6">
        <w:tblPrEx>
          <w:tblCellMar>
            <w:top w:w="0" w:type="dxa"/>
            <w:left w:w="0" w:type="dxa"/>
            <w:bottom w:w="0" w:type="dxa"/>
            <w:right w:w="0" w:type="dxa"/>
          </w:tblCellMar>
        </w:tblPrEx>
        <w:trPr>
          <w:trHeight w:val="3114"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7F326C32">
            <w:pPr>
              <w:spacing w:line="400" w:lineRule="exact"/>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8.4.1</w:t>
            </w:r>
          </w:p>
        </w:tc>
        <w:tc>
          <w:tcPr>
            <w:tcW w:w="2009" w:type="dxa"/>
            <w:tcBorders>
              <w:top w:val="single" w:color="auto" w:sz="8" w:space="0"/>
              <w:left w:val="nil"/>
              <w:bottom w:val="single" w:color="auto" w:sz="8" w:space="0"/>
              <w:right w:val="single" w:color="auto" w:sz="8" w:space="0"/>
            </w:tcBorders>
            <w:vAlign w:val="center"/>
          </w:tcPr>
          <w:p w14:paraId="6729E94F">
            <w:pPr>
              <w:spacing w:line="400" w:lineRule="exact"/>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履约保证金</w:t>
            </w:r>
          </w:p>
        </w:tc>
        <w:tc>
          <w:tcPr>
            <w:tcW w:w="6826" w:type="dxa"/>
            <w:tcBorders>
              <w:top w:val="single" w:color="auto" w:sz="8" w:space="0"/>
              <w:left w:val="nil"/>
              <w:bottom w:val="single" w:color="auto" w:sz="8" w:space="0"/>
              <w:right w:val="single" w:color="auto" w:sz="8" w:space="0"/>
            </w:tcBorders>
            <w:vAlign w:val="center"/>
          </w:tcPr>
          <w:p w14:paraId="50604E47">
            <w:pPr>
              <w:spacing w:line="400" w:lineRule="exact"/>
              <w:rPr>
                <w:rFonts w:ascii="宋体" w:hAnsi="宋体" w:cs="宋体"/>
                <w:color w:val="auto"/>
                <w:kern w:val="2"/>
                <w:sz w:val="24"/>
                <w:szCs w:val="24"/>
                <w:highlight w:val="none"/>
              </w:rPr>
            </w:pPr>
            <w:r>
              <w:rPr>
                <w:rFonts w:hint="eastAsia" w:ascii="宋体" w:hAnsi="宋体" w:cs="宋体"/>
                <w:color w:val="auto"/>
                <w:kern w:val="2"/>
                <w:sz w:val="24"/>
                <w:szCs w:val="24"/>
                <w:highlight w:val="none"/>
              </w:rPr>
              <w:t>是否要求中标人提交履约保证金：</w:t>
            </w:r>
          </w:p>
          <w:p w14:paraId="41C28FCC">
            <w:pPr>
              <w:pStyle w:val="12"/>
              <w:rPr>
                <w:rFonts w:ascii="宋体" w:hAnsi="宋体" w:cs="宋体"/>
                <w:color w:val="auto"/>
                <w:kern w:val="2"/>
                <w:sz w:val="24"/>
                <w:szCs w:val="24"/>
                <w:highlight w:val="none"/>
              </w:rPr>
            </w:pPr>
            <w:r>
              <w:rPr>
                <w:rFonts w:hint="eastAsia" w:ascii="宋体" w:hAnsi="宋体" w:cs="宋体"/>
                <w:color w:val="auto"/>
                <w:kern w:val="2"/>
                <w:sz w:val="24"/>
                <w:szCs w:val="24"/>
                <w:highlight w:val="none"/>
              </w:rPr>
              <w:t>☑要求，履约保证金的形式：</w:t>
            </w:r>
            <w:r>
              <w:rPr>
                <w:rFonts w:hint="eastAsia" w:ascii="宋体" w:hAnsi="宋体" w:cs="宋体"/>
                <w:color w:val="auto"/>
                <w:kern w:val="2"/>
                <w:sz w:val="24"/>
                <w:szCs w:val="24"/>
                <w:highlight w:val="none"/>
                <w:u w:val="single"/>
              </w:rPr>
              <w:t>银行转账或银行保函或保险保函(保单)或担保保函</w:t>
            </w:r>
            <w:r>
              <w:rPr>
                <w:rFonts w:hint="eastAsia" w:ascii="宋体" w:hAnsi="宋体" w:cs="宋体"/>
                <w:color w:val="auto"/>
                <w:kern w:val="2"/>
                <w:sz w:val="24"/>
                <w:szCs w:val="24"/>
                <w:highlight w:val="none"/>
              </w:rPr>
              <w:t>等非现金形式提交；</w:t>
            </w:r>
          </w:p>
          <w:p w14:paraId="129BF43A">
            <w:pPr>
              <w:spacing w:line="400" w:lineRule="exact"/>
              <w:ind w:firstLine="960"/>
              <w:rPr>
                <w:rFonts w:ascii="宋体" w:hAnsi="宋体" w:cs="宋体"/>
                <w:color w:val="auto"/>
                <w:kern w:val="2"/>
                <w:sz w:val="24"/>
                <w:szCs w:val="24"/>
                <w:highlight w:val="none"/>
              </w:rPr>
            </w:pPr>
            <w:r>
              <w:rPr>
                <w:rFonts w:hint="eastAsia" w:ascii="宋体" w:hAnsi="宋体" w:cs="宋体"/>
                <w:color w:val="auto"/>
                <w:kern w:val="2"/>
                <w:sz w:val="24"/>
                <w:szCs w:val="24"/>
                <w:highlight w:val="none"/>
              </w:rPr>
              <w:t>履约保证金的金额：</w:t>
            </w:r>
            <w:r>
              <w:rPr>
                <w:rFonts w:hint="eastAsia" w:ascii="宋体" w:hAnsi="宋体" w:cs="宋体"/>
                <w:color w:val="auto"/>
                <w:kern w:val="2"/>
                <w:sz w:val="24"/>
                <w:szCs w:val="24"/>
                <w:highlight w:val="none"/>
                <w:u w:val="single"/>
              </w:rPr>
              <w:t>合同金额的10%</w:t>
            </w:r>
            <w:r>
              <w:rPr>
                <w:rFonts w:hint="eastAsia" w:ascii="宋体" w:hAnsi="宋体" w:cs="宋体"/>
                <w:color w:val="auto"/>
                <w:kern w:val="2"/>
                <w:sz w:val="24"/>
                <w:szCs w:val="24"/>
                <w:highlight w:val="none"/>
              </w:rPr>
              <w:t>。</w:t>
            </w:r>
          </w:p>
          <w:p w14:paraId="08E6D169">
            <w:pPr>
              <w:spacing w:line="400" w:lineRule="exact"/>
              <w:ind w:firstLine="960"/>
              <w:rPr>
                <w:rFonts w:ascii="宋体" w:hAnsi="宋体" w:cs="宋体"/>
                <w:color w:val="auto"/>
                <w:kern w:val="2"/>
                <w:sz w:val="24"/>
                <w:szCs w:val="24"/>
                <w:highlight w:val="none"/>
              </w:rPr>
            </w:pPr>
            <w:r>
              <w:rPr>
                <w:rFonts w:hint="eastAsia" w:ascii="宋体" w:hAnsi="宋体" w:cs="宋体"/>
                <w:color w:val="auto"/>
                <w:kern w:val="2"/>
                <w:sz w:val="24"/>
                <w:szCs w:val="24"/>
                <w:highlight w:val="none"/>
              </w:rPr>
              <w:t>履约保证金退还时间：</w:t>
            </w:r>
            <w:r>
              <w:rPr>
                <w:rFonts w:hint="eastAsia" w:ascii="宋体" w:hAnsi="宋体" w:cs="宋体"/>
                <w:color w:val="auto"/>
                <w:kern w:val="2"/>
                <w:sz w:val="24"/>
                <w:szCs w:val="24"/>
                <w:highlight w:val="none"/>
                <w:u w:val="single"/>
              </w:rPr>
              <w:t>履约保证金在项目终验合格后30个日历天内无息退还</w:t>
            </w:r>
            <w:r>
              <w:rPr>
                <w:rFonts w:hint="eastAsia" w:ascii="宋体" w:hAnsi="宋体" w:cs="宋体"/>
                <w:color w:val="auto"/>
                <w:kern w:val="2"/>
                <w:sz w:val="24"/>
                <w:szCs w:val="24"/>
                <w:highlight w:val="none"/>
              </w:rPr>
              <w:t>。</w:t>
            </w:r>
          </w:p>
          <w:p w14:paraId="2778B176">
            <w:pPr>
              <w:spacing w:line="400" w:lineRule="exact"/>
              <w:rPr>
                <w:rFonts w:hint="eastAsia" w:ascii="宋体" w:hAnsi="宋体" w:cs="宋体"/>
                <w:color w:val="auto"/>
                <w:kern w:val="2"/>
                <w:sz w:val="24"/>
                <w:szCs w:val="24"/>
                <w:highlight w:val="none"/>
              </w:rPr>
            </w:pPr>
            <w:r>
              <w:rPr>
                <w:rFonts w:hint="eastAsia" w:ascii="宋体" w:hAnsi="宋体" w:cs="宋体"/>
                <w:color w:val="auto"/>
                <w:kern w:val="2"/>
                <w:sz w:val="24"/>
                <w:szCs w:val="24"/>
                <w:highlight w:val="none"/>
              </w:rPr>
              <w:t>□不要求</w:t>
            </w:r>
          </w:p>
        </w:tc>
      </w:tr>
      <w:tr w14:paraId="271828DE">
        <w:tblPrEx>
          <w:tblCellMar>
            <w:top w:w="0" w:type="dxa"/>
            <w:left w:w="0" w:type="dxa"/>
            <w:bottom w:w="0" w:type="dxa"/>
            <w:right w:w="0" w:type="dxa"/>
          </w:tblCellMar>
        </w:tblPrEx>
        <w:trPr>
          <w:trHeight w:val="634"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429249C7">
            <w:pPr>
              <w:spacing w:line="400" w:lineRule="exact"/>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12</w:t>
            </w:r>
          </w:p>
        </w:tc>
        <w:tc>
          <w:tcPr>
            <w:tcW w:w="8835" w:type="dxa"/>
            <w:gridSpan w:val="2"/>
            <w:tcBorders>
              <w:top w:val="single" w:color="auto" w:sz="8" w:space="0"/>
              <w:left w:val="nil"/>
              <w:bottom w:val="single" w:color="auto" w:sz="8" w:space="0"/>
              <w:right w:val="single" w:color="auto" w:sz="8" w:space="0"/>
            </w:tcBorders>
            <w:vAlign w:val="center"/>
          </w:tcPr>
          <w:p w14:paraId="37BD8DA4">
            <w:pPr>
              <w:spacing w:line="400" w:lineRule="exact"/>
              <w:rPr>
                <w:rFonts w:ascii="宋体" w:hAnsi="宋体" w:cs="宋体"/>
                <w:color w:val="auto"/>
                <w:kern w:val="2"/>
                <w:sz w:val="24"/>
                <w:szCs w:val="24"/>
                <w:highlight w:val="none"/>
              </w:rPr>
            </w:pPr>
            <w:r>
              <w:rPr>
                <w:rFonts w:hint="eastAsia" w:ascii="宋体" w:hAnsi="宋体" w:cs="宋体"/>
                <w:b/>
                <w:bCs/>
                <w:color w:val="auto"/>
                <w:kern w:val="2"/>
                <w:sz w:val="24"/>
                <w:szCs w:val="24"/>
                <w:highlight w:val="none"/>
              </w:rPr>
              <w:t>需要补充的其他内容</w:t>
            </w:r>
          </w:p>
        </w:tc>
      </w:tr>
      <w:tr w14:paraId="6264466E">
        <w:tblPrEx>
          <w:tblCellMar>
            <w:top w:w="0" w:type="dxa"/>
            <w:left w:w="0" w:type="dxa"/>
            <w:bottom w:w="0" w:type="dxa"/>
            <w:right w:w="0" w:type="dxa"/>
          </w:tblCellMar>
        </w:tblPrEx>
        <w:trPr>
          <w:trHeight w:val="941"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23D1A545">
            <w:pPr>
              <w:spacing w:line="400" w:lineRule="exact"/>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12.1</w:t>
            </w:r>
          </w:p>
        </w:tc>
        <w:tc>
          <w:tcPr>
            <w:tcW w:w="2009" w:type="dxa"/>
            <w:tcBorders>
              <w:top w:val="single" w:color="auto" w:sz="8" w:space="0"/>
              <w:left w:val="nil"/>
              <w:bottom w:val="single" w:color="auto" w:sz="8" w:space="0"/>
              <w:right w:val="single" w:color="auto" w:sz="8" w:space="0"/>
            </w:tcBorders>
            <w:vAlign w:val="center"/>
          </w:tcPr>
          <w:p w14:paraId="7DF9446C">
            <w:pPr>
              <w:spacing w:line="400" w:lineRule="exact"/>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核心产品</w:t>
            </w:r>
          </w:p>
        </w:tc>
        <w:tc>
          <w:tcPr>
            <w:tcW w:w="6826" w:type="dxa"/>
            <w:tcBorders>
              <w:top w:val="single" w:color="auto" w:sz="8" w:space="0"/>
              <w:left w:val="nil"/>
              <w:bottom w:val="single" w:color="auto" w:sz="8" w:space="0"/>
              <w:right w:val="single" w:color="auto" w:sz="8" w:space="0"/>
            </w:tcBorders>
            <w:vAlign w:val="center"/>
          </w:tcPr>
          <w:p w14:paraId="4B5F4160">
            <w:pPr>
              <w:spacing w:line="400" w:lineRule="exact"/>
              <w:jc w:val="both"/>
              <w:rPr>
                <w:rFonts w:ascii="宋体" w:hAnsi="宋体" w:cs="宋体"/>
                <w:color w:val="auto"/>
                <w:kern w:val="2"/>
                <w:sz w:val="24"/>
                <w:szCs w:val="24"/>
                <w:highlight w:val="none"/>
              </w:rPr>
            </w:pPr>
            <w:bookmarkStart w:id="84" w:name="OLE_LINK11"/>
            <w:r>
              <w:rPr>
                <w:rFonts w:hint="eastAsia" w:ascii="宋体" w:hAnsi="宋体" w:cs="宋体"/>
                <w:color w:val="auto"/>
                <w:kern w:val="2"/>
                <w:sz w:val="24"/>
                <w:szCs w:val="24"/>
                <w:highlight w:val="none"/>
              </w:rPr>
              <w:t>物联网全栈智能应用实训套装</w:t>
            </w:r>
            <w:bookmarkEnd w:id="84"/>
          </w:p>
        </w:tc>
      </w:tr>
      <w:tr w14:paraId="7051E0BA">
        <w:tblPrEx>
          <w:tblCellMar>
            <w:top w:w="0" w:type="dxa"/>
            <w:left w:w="0" w:type="dxa"/>
            <w:bottom w:w="0" w:type="dxa"/>
            <w:right w:w="0" w:type="dxa"/>
          </w:tblCellMar>
        </w:tblPrEx>
        <w:trPr>
          <w:trHeight w:val="941"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50AD1E42">
            <w:pPr>
              <w:spacing w:line="400" w:lineRule="exact"/>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12.2</w:t>
            </w:r>
          </w:p>
        </w:tc>
        <w:tc>
          <w:tcPr>
            <w:tcW w:w="2009" w:type="dxa"/>
            <w:tcBorders>
              <w:top w:val="single" w:color="auto" w:sz="8" w:space="0"/>
              <w:left w:val="nil"/>
              <w:bottom w:val="single" w:color="auto" w:sz="8" w:space="0"/>
              <w:right w:val="single" w:color="auto" w:sz="8" w:space="0"/>
            </w:tcBorders>
            <w:vAlign w:val="center"/>
          </w:tcPr>
          <w:p w14:paraId="41AD0502">
            <w:pPr>
              <w:spacing w:line="400" w:lineRule="exact"/>
              <w:jc w:val="center"/>
              <w:rPr>
                <w:rFonts w:ascii="宋体" w:hAnsi="宋体" w:cs="宋体"/>
                <w:color w:val="auto"/>
                <w:kern w:val="2"/>
                <w:sz w:val="24"/>
                <w:szCs w:val="24"/>
                <w:highlight w:val="none"/>
              </w:rPr>
            </w:pPr>
            <w:r>
              <w:rPr>
                <w:rFonts w:hint="eastAsia" w:ascii="宋体" w:hAnsi="宋体"/>
                <w:color w:val="auto"/>
                <w:kern w:val="2"/>
                <w:sz w:val="24"/>
                <w:szCs w:val="24"/>
                <w:highlight w:val="none"/>
              </w:rPr>
              <w:t>本项目所属行业</w:t>
            </w:r>
          </w:p>
        </w:tc>
        <w:tc>
          <w:tcPr>
            <w:tcW w:w="6826" w:type="dxa"/>
            <w:tcBorders>
              <w:top w:val="single" w:color="auto" w:sz="8" w:space="0"/>
              <w:left w:val="nil"/>
              <w:bottom w:val="single" w:color="auto" w:sz="8" w:space="0"/>
              <w:right w:val="single" w:color="auto" w:sz="8" w:space="0"/>
            </w:tcBorders>
            <w:vAlign w:val="center"/>
          </w:tcPr>
          <w:p w14:paraId="673EF38E">
            <w:pPr>
              <w:spacing w:line="400" w:lineRule="exact"/>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工业</w:t>
            </w:r>
          </w:p>
        </w:tc>
      </w:tr>
      <w:tr w14:paraId="03062F41">
        <w:tblPrEx>
          <w:tblCellMar>
            <w:top w:w="0" w:type="dxa"/>
            <w:left w:w="0" w:type="dxa"/>
            <w:bottom w:w="0" w:type="dxa"/>
            <w:right w:w="0" w:type="dxa"/>
          </w:tblCellMar>
        </w:tblPrEx>
        <w:trPr>
          <w:trHeight w:val="941"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566AB434">
            <w:pPr>
              <w:spacing w:line="400" w:lineRule="exact"/>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12.3</w:t>
            </w:r>
          </w:p>
        </w:tc>
        <w:tc>
          <w:tcPr>
            <w:tcW w:w="2009" w:type="dxa"/>
            <w:tcBorders>
              <w:top w:val="single" w:color="auto" w:sz="8" w:space="0"/>
              <w:left w:val="nil"/>
              <w:bottom w:val="single" w:color="auto" w:sz="8" w:space="0"/>
              <w:right w:val="single" w:color="auto" w:sz="8" w:space="0"/>
            </w:tcBorders>
            <w:vAlign w:val="center"/>
          </w:tcPr>
          <w:p w14:paraId="388C3874">
            <w:pPr>
              <w:spacing w:line="400" w:lineRule="exact"/>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评标方法</w:t>
            </w:r>
          </w:p>
        </w:tc>
        <w:tc>
          <w:tcPr>
            <w:tcW w:w="6826" w:type="dxa"/>
            <w:tcBorders>
              <w:top w:val="single" w:color="auto" w:sz="8" w:space="0"/>
              <w:left w:val="nil"/>
              <w:bottom w:val="single" w:color="auto" w:sz="8" w:space="0"/>
              <w:right w:val="single" w:color="auto" w:sz="8" w:space="0"/>
            </w:tcBorders>
            <w:vAlign w:val="center"/>
          </w:tcPr>
          <w:p w14:paraId="2E9E51B4">
            <w:pPr>
              <w:spacing w:line="400" w:lineRule="exact"/>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☑综合评分法</w:t>
            </w:r>
          </w:p>
          <w:p w14:paraId="49724859">
            <w:pPr>
              <w:spacing w:line="400" w:lineRule="exact"/>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□最低评标价法</w:t>
            </w:r>
          </w:p>
        </w:tc>
      </w:tr>
      <w:tr w14:paraId="54E76BC9">
        <w:tblPrEx>
          <w:tblCellMar>
            <w:top w:w="0" w:type="dxa"/>
            <w:left w:w="0" w:type="dxa"/>
            <w:bottom w:w="0" w:type="dxa"/>
            <w:right w:w="0" w:type="dxa"/>
          </w:tblCellMar>
        </w:tblPrEx>
        <w:trPr>
          <w:trHeight w:val="1823"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08D87F61">
            <w:pPr>
              <w:spacing w:line="400" w:lineRule="exact"/>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12.4</w:t>
            </w:r>
          </w:p>
        </w:tc>
        <w:tc>
          <w:tcPr>
            <w:tcW w:w="2009" w:type="dxa"/>
            <w:tcBorders>
              <w:top w:val="single" w:color="auto" w:sz="8" w:space="0"/>
              <w:left w:val="nil"/>
              <w:bottom w:val="single" w:color="auto" w:sz="8" w:space="0"/>
              <w:right w:val="single" w:color="auto" w:sz="8" w:space="0"/>
            </w:tcBorders>
            <w:vAlign w:val="center"/>
          </w:tcPr>
          <w:p w14:paraId="0C924895">
            <w:pPr>
              <w:spacing w:line="400" w:lineRule="exact"/>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追加合同金额</w:t>
            </w:r>
          </w:p>
        </w:tc>
        <w:tc>
          <w:tcPr>
            <w:tcW w:w="6826" w:type="dxa"/>
            <w:tcBorders>
              <w:top w:val="single" w:color="auto" w:sz="8" w:space="0"/>
              <w:left w:val="nil"/>
              <w:bottom w:val="single" w:color="auto" w:sz="8" w:space="0"/>
              <w:right w:val="single" w:color="auto" w:sz="8" w:space="0"/>
            </w:tcBorders>
            <w:vAlign w:val="center"/>
          </w:tcPr>
          <w:p w14:paraId="1C6DBB17">
            <w:pPr>
              <w:spacing w:line="400" w:lineRule="exact"/>
              <w:rPr>
                <w:rFonts w:ascii="宋体" w:hAnsi="宋体" w:cs="宋体"/>
                <w:color w:val="auto"/>
                <w:kern w:val="2"/>
                <w:sz w:val="24"/>
                <w:szCs w:val="24"/>
                <w:highlight w:val="none"/>
              </w:rPr>
            </w:pPr>
            <w:r>
              <w:rPr>
                <w:rFonts w:hint="eastAsia" w:ascii="宋体" w:hAnsi="宋体" w:cs="宋体"/>
                <w:color w:val="auto"/>
                <w:sz w:val="24"/>
                <w:szCs w:val="24"/>
                <w:highlight w:val="none"/>
              </w:rPr>
              <w:t>政府采购合同履行中，采购人需追加与合同标的相同的货物的，</w:t>
            </w:r>
            <w:r>
              <w:rPr>
                <w:rFonts w:hint="eastAsia" w:ascii="宋体" w:hAnsi="宋体" w:cs="宋体"/>
                <w:color w:val="auto"/>
                <w:sz w:val="24"/>
                <w:highlight w:val="none"/>
              </w:rPr>
              <w:t>在不改变合同其他条款的前提下，可以与中标人签订补充合同，但所有补充合同的采购金额变更不得超过原合同采购金额的10%，其中金额增加需办理合同追加手续。</w:t>
            </w:r>
          </w:p>
        </w:tc>
      </w:tr>
      <w:tr w14:paraId="4041BB0C">
        <w:tblPrEx>
          <w:tblCellMar>
            <w:top w:w="0" w:type="dxa"/>
            <w:left w:w="0" w:type="dxa"/>
            <w:bottom w:w="0" w:type="dxa"/>
            <w:right w:w="0" w:type="dxa"/>
          </w:tblCellMar>
        </w:tblPrEx>
        <w:trPr>
          <w:trHeight w:val="790"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591C4483">
            <w:pPr>
              <w:spacing w:line="400" w:lineRule="exact"/>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12.5</w:t>
            </w:r>
          </w:p>
        </w:tc>
        <w:tc>
          <w:tcPr>
            <w:tcW w:w="2009" w:type="dxa"/>
            <w:tcBorders>
              <w:top w:val="single" w:color="auto" w:sz="8" w:space="0"/>
              <w:left w:val="nil"/>
              <w:bottom w:val="single" w:color="auto" w:sz="8" w:space="0"/>
              <w:right w:val="single" w:color="auto" w:sz="8" w:space="0"/>
            </w:tcBorders>
            <w:vAlign w:val="center"/>
          </w:tcPr>
          <w:p w14:paraId="676E3254">
            <w:pPr>
              <w:spacing w:line="400" w:lineRule="exact"/>
              <w:jc w:val="center"/>
              <w:rPr>
                <w:rFonts w:ascii="宋体" w:hAnsi="宋体" w:cs="宋体"/>
                <w:color w:val="auto"/>
                <w:kern w:val="2"/>
                <w:sz w:val="24"/>
                <w:szCs w:val="24"/>
                <w:highlight w:val="none"/>
              </w:rPr>
            </w:pPr>
            <w:r>
              <w:rPr>
                <w:rFonts w:hint="eastAsia" w:ascii="宋体" w:hAnsi="宋体" w:cs="宋体"/>
                <w:color w:val="auto"/>
                <w:sz w:val="24"/>
                <w:szCs w:val="24"/>
                <w:highlight w:val="none"/>
              </w:rPr>
              <w:t>中标服务费</w:t>
            </w:r>
          </w:p>
        </w:tc>
        <w:tc>
          <w:tcPr>
            <w:tcW w:w="6826" w:type="dxa"/>
            <w:tcBorders>
              <w:top w:val="single" w:color="auto" w:sz="8" w:space="0"/>
              <w:left w:val="nil"/>
              <w:bottom w:val="single" w:color="auto" w:sz="8" w:space="0"/>
              <w:right w:val="single" w:color="auto" w:sz="8" w:space="0"/>
            </w:tcBorders>
            <w:vAlign w:val="center"/>
          </w:tcPr>
          <w:p w14:paraId="05BC41AE">
            <w:pPr>
              <w:spacing w:line="400" w:lineRule="exact"/>
              <w:rPr>
                <w:rFonts w:hint="eastAsia" w:ascii="宋体" w:hAnsi="宋体" w:eastAsia="宋体" w:cs="宋体"/>
                <w:b/>
                <w:bCs/>
                <w:color w:val="auto"/>
                <w:sz w:val="24"/>
                <w:highlight w:val="none"/>
                <w:lang w:eastAsia="zh-CN"/>
              </w:rPr>
            </w:pPr>
            <w:r>
              <w:rPr>
                <w:rFonts w:hint="eastAsia" w:ascii="宋体" w:hAnsi="宋体" w:cs="宋体"/>
                <w:color w:val="auto"/>
                <w:kern w:val="2"/>
                <w:sz w:val="24"/>
                <w:szCs w:val="24"/>
                <w:highlight w:val="none"/>
              </w:rPr>
              <w:t>参照原国家计委《关于印发&lt;招标代理服务收费管理暂行办法&gt;的通知》（计价格[2002]1980号）中收费标准下浮30%计算，由中标人向</w:t>
            </w:r>
            <w:r>
              <w:rPr>
                <w:rFonts w:hint="eastAsia" w:ascii="宋体" w:hAnsi="宋体" w:cs="宋体"/>
                <w:color w:val="auto"/>
                <w:kern w:val="2"/>
                <w:sz w:val="24"/>
                <w:szCs w:val="24"/>
                <w:highlight w:val="none"/>
                <w:lang w:eastAsia="zh-CN"/>
              </w:rPr>
              <w:t>云南兴语招标有限公司</w:t>
            </w:r>
            <w:r>
              <w:rPr>
                <w:rFonts w:hint="eastAsia" w:ascii="宋体" w:hAnsi="宋体" w:cs="宋体"/>
                <w:color w:val="auto"/>
                <w:kern w:val="2"/>
                <w:sz w:val="24"/>
                <w:szCs w:val="24"/>
                <w:highlight w:val="none"/>
              </w:rPr>
              <w:t>交纳。</w:t>
            </w:r>
          </w:p>
        </w:tc>
      </w:tr>
      <w:tr w14:paraId="7FE3D5DC">
        <w:tblPrEx>
          <w:tblCellMar>
            <w:top w:w="0" w:type="dxa"/>
            <w:left w:w="0" w:type="dxa"/>
            <w:bottom w:w="0" w:type="dxa"/>
            <w:right w:w="0" w:type="dxa"/>
          </w:tblCellMar>
        </w:tblPrEx>
        <w:trPr>
          <w:trHeight w:val="790"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01105623">
            <w:pPr>
              <w:spacing w:line="400" w:lineRule="exact"/>
              <w:jc w:val="center"/>
              <w:rPr>
                <w:rFonts w:ascii="宋体" w:hAnsi="宋体" w:cs="宋体"/>
                <w:b/>
                <w:bCs/>
                <w:color w:val="auto"/>
                <w:kern w:val="2"/>
                <w:sz w:val="24"/>
                <w:szCs w:val="24"/>
                <w:highlight w:val="none"/>
              </w:rPr>
            </w:pPr>
            <w:r>
              <w:rPr>
                <w:rFonts w:hint="eastAsia" w:ascii="宋体" w:hAnsi="宋体" w:cs="宋体"/>
                <w:b/>
                <w:bCs/>
                <w:color w:val="auto"/>
                <w:kern w:val="2"/>
                <w:sz w:val="24"/>
                <w:szCs w:val="24"/>
                <w:highlight w:val="none"/>
              </w:rPr>
              <w:t>12.5</w:t>
            </w:r>
          </w:p>
        </w:tc>
        <w:tc>
          <w:tcPr>
            <w:tcW w:w="2009" w:type="dxa"/>
            <w:tcBorders>
              <w:top w:val="single" w:color="auto" w:sz="8" w:space="0"/>
              <w:left w:val="nil"/>
              <w:bottom w:val="single" w:color="auto" w:sz="8" w:space="0"/>
              <w:right w:val="single" w:color="auto" w:sz="8" w:space="0"/>
            </w:tcBorders>
            <w:vAlign w:val="center"/>
          </w:tcPr>
          <w:p w14:paraId="3743A213">
            <w:pPr>
              <w:spacing w:line="400" w:lineRule="exact"/>
              <w:jc w:val="center"/>
              <w:rPr>
                <w:rFonts w:ascii="宋体" w:hAnsi="宋体" w:cs="宋体"/>
                <w:b/>
                <w:bCs/>
                <w:color w:val="auto"/>
                <w:sz w:val="24"/>
                <w:szCs w:val="24"/>
                <w:highlight w:val="none"/>
              </w:rPr>
            </w:pPr>
            <w:r>
              <w:rPr>
                <w:rFonts w:hint="eastAsia" w:ascii="宋体" w:hAnsi="宋体"/>
                <w:b/>
                <w:bCs/>
                <w:color w:val="auto"/>
                <w:kern w:val="2"/>
                <w:sz w:val="24"/>
                <w:szCs w:val="24"/>
                <w:highlight w:val="none"/>
                <w:lang w:eastAsia="zh-CN"/>
              </w:rPr>
              <w:t>政采云客服电话</w:t>
            </w:r>
          </w:p>
        </w:tc>
        <w:tc>
          <w:tcPr>
            <w:tcW w:w="6826" w:type="dxa"/>
            <w:tcBorders>
              <w:top w:val="single" w:color="auto" w:sz="8" w:space="0"/>
              <w:left w:val="nil"/>
              <w:bottom w:val="single" w:color="auto" w:sz="8" w:space="0"/>
              <w:right w:val="single" w:color="auto" w:sz="8" w:space="0"/>
            </w:tcBorders>
            <w:vAlign w:val="center"/>
          </w:tcPr>
          <w:p w14:paraId="7004DCBA">
            <w:pPr>
              <w:spacing w:line="400" w:lineRule="exact"/>
              <w:jc w:val="both"/>
              <w:rPr>
                <w:rFonts w:ascii="宋体" w:hAnsi="宋体" w:cs="宋体"/>
                <w:b/>
                <w:bCs/>
                <w:color w:val="auto"/>
                <w:kern w:val="2"/>
                <w:sz w:val="24"/>
                <w:szCs w:val="24"/>
                <w:highlight w:val="none"/>
              </w:rPr>
            </w:pPr>
            <w:r>
              <w:rPr>
                <w:rFonts w:hint="eastAsia" w:ascii="宋体" w:hAnsi="宋体" w:cs="宋体"/>
                <w:b/>
                <w:bCs/>
                <w:color w:val="auto"/>
                <w:kern w:val="2"/>
                <w:sz w:val="24"/>
                <w:szCs w:val="24"/>
                <w:highlight w:val="none"/>
              </w:rPr>
              <w:t>政采云客户服务热线95763</w:t>
            </w:r>
          </w:p>
        </w:tc>
      </w:tr>
      <w:tr w14:paraId="72172908">
        <w:tblPrEx>
          <w:tblCellMar>
            <w:top w:w="0" w:type="dxa"/>
            <w:left w:w="0" w:type="dxa"/>
            <w:bottom w:w="0" w:type="dxa"/>
            <w:right w:w="0" w:type="dxa"/>
          </w:tblCellMar>
        </w:tblPrEx>
        <w:trPr>
          <w:trHeight w:val="2835"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6067348A">
            <w:pPr>
              <w:spacing w:line="400" w:lineRule="exact"/>
              <w:jc w:val="center"/>
              <w:rPr>
                <w:rFonts w:ascii="宋体" w:hAnsi="宋体" w:cs="宋体"/>
                <w:b/>
                <w:bCs/>
                <w:color w:val="auto"/>
                <w:kern w:val="2"/>
                <w:sz w:val="24"/>
                <w:szCs w:val="24"/>
                <w:highlight w:val="none"/>
              </w:rPr>
            </w:pPr>
            <w:r>
              <w:rPr>
                <w:rFonts w:hint="eastAsia" w:ascii="宋体" w:hAnsi="宋体" w:cs="宋体"/>
                <w:b/>
                <w:bCs/>
                <w:color w:val="auto"/>
                <w:kern w:val="2"/>
                <w:sz w:val="24"/>
                <w:szCs w:val="24"/>
                <w:highlight w:val="none"/>
              </w:rPr>
              <w:t>12.6</w:t>
            </w:r>
          </w:p>
        </w:tc>
        <w:tc>
          <w:tcPr>
            <w:tcW w:w="2009" w:type="dxa"/>
            <w:tcBorders>
              <w:top w:val="single" w:color="auto" w:sz="8" w:space="0"/>
              <w:left w:val="nil"/>
              <w:bottom w:val="single" w:color="auto" w:sz="8" w:space="0"/>
              <w:right w:val="single" w:color="auto" w:sz="8" w:space="0"/>
            </w:tcBorders>
            <w:vAlign w:val="center"/>
          </w:tcPr>
          <w:p w14:paraId="616C820D">
            <w:pPr>
              <w:spacing w:line="400" w:lineRule="exact"/>
              <w:jc w:val="center"/>
              <w:rPr>
                <w:rFonts w:ascii="宋体" w:hAnsi="宋体" w:cs="宋体"/>
                <w:b/>
                <w:bCs/>
                <w:color w:val="auto"/>
                <w:kern w:val="2"/>
                <w:sz w:val="24"/>
                <w:szCs w:val="24"/>
                <w:highlight w:val="none"/>
              </w:rPr>
            </w:pPr>
            <w:r>
              <w:rPr>
                <w:rFonts w:hint="eastAsia" w:ascii="宋体" w:hAnsi="宋体" w:cs="宋体"/>
                <w:b/>
                <w:bCs/>
                <w:color w:val="auto"/>
                <w:sz w:val="24"/>
                <w:szCs w:val="24"/>
                <w:highlight w:val="none"/>
              </w:rPr>
              <w:t>其他</w:t>
            </w:r>
          </w:p>
        </w:tc>
        <w:tc>
          <w:tcPr>
            <w:tcW w:w="6826" w:type="dxa"/>
            <w:tcBorders>
              <w:top w:val="single" w:color="auto" w:sz="8" w:space="0"/>
              <w:left w:val="nil"/>
              <w:bottom w:val="single" w:color="auto" w:sz="8" w:space="0"/>
              <w:right w:val="single" w:color="auto" w:sz="8" w:space="0"/>
            </w:tcBorders>
            <w:vAlign w:val="center"/>
          </w:tcPr>
          <w:p w14:paraId="4835CAA1">
            <w:pPr>
              <w:pStyle w:val="14"/>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（1）本项目采用远程解密投标文件。</w:t>
            </w:r>
          </w:p>
          <w:p w14:paraId="0001318B">
            <w:pPr>
              <w:pStyle w:val="14"/>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（2）投标人在资格审查、符合性审查合格后进行现场</w:t>
            </w:r>
            <w:r>
              <w:rPr>
                <w:rFonts w:hint="eastAsia" w:ascii="宋体" w:hAnsi="宋体" w:cs="宋体"/>
                <w:b/>
                <w:bCs/>
                <w:color w:val="auto"/>
                <w:sz w:val="24"/>
                <w:highlight w:val="none"/>
                <w:lang w:val="en-US" w:eastAsia="zh-CN"/>
              </w:rPr>
              <w:t>演示</w:t>
            </w:r>
            <w:r>
              <w:rPr>
                <w:rFonts w:hint="eastAsia" w:ascii="宋体" w:hAnsi="宋体" w:cs="宋体"/>
                <w:b/>
                <w:bCs/>
                <w:color w:val="auto"/>
                <w:sz w:val="24"/>
                <w:highlight w:val="none"/>
              </w:rPr>
              <w:t>，投标人请于</w:t>
            </w:r>
            <w:r>
              <w:rPr>
                <w:rFonts w:hint="eastAsia" w:ascii="宋体" w:hAnsi="宋体" w:cs="宋体"/>
                <w:b/>
                <w:bCs/>
                <w:color w:val="auto"/>
                <w:sz w:val="24"/>
                <w:highlight w:val="yellow"/>
              </w:rPr>
              <w:t>202</w:t>
            </w:r>
            <w:r>
              <w:rPr>
                <w:rFonts w:hint="eastAsia" w:ascii="宋体" w:hAnsi="宋体" w:cs="宋体"/>
                <w:b/>
                <w:bCs/>
                <w:color w:val="auto"/>
                <w:sz w:val="24"/>
                <w:highlight w:val="yellow"/>
                <w:lang w:val="en-US" w:eastAsia="zh-CN"/>
              </w:rPr>
              <w:t>5</w:t>
            </w:r>
            <w:r>
              <w:rPr>
                <w:rFonts w:hint="eastAsia" w:ascii="宋体" w:hAnsi="宋体" w:cs="宋体"/>
                <w:b/>
                <w:bCs/>
                <w:color w:val="auto"/>
                <w:sz w:val="24"/>
                <w:highlight w:val="yellow"/>
              </w:rPr>
              <w:t>年</w:t>
            </w:r>
            <w:r>
              <w:rPr>
                <w:rFonts w:hint="eastAsia" w:ascii="宋体" w:hAnsi="宋体" w:cs="宋体"/>
                <w:b/>
                <w:bCs/>
                <w:color w:val="auto"/>
                <w:sz w:val="24"/>
                <w:highlight w:val="yellow"/>
                <w:lang w:val="en-US" w:eastAsia="zh-CN"/>
              </w:rPr>
              <w:t>07</w:t>
            </w:r>
            <w:r>
              <w:rPr>
                <w:rFonts w:hint="eastAsia" w:ascii="宋体" w:hAnsi="宋体" w:cs="宋体"/>
                <w:b/>
                <w:bCs/>
                <w:color w:val="auto"/>
                <w:sz w:val="24"/>
                <w:highlight w:val="yellow"/>
              </w:rPr>
              <w:t>月</w:t>
            </w:r>
            <w:r>
              <w:rPr>
                <w:rFonts w:hint="eastAsia" w:ascii="宋体" w:hAnsi="宋体" w:cs="宋体"/>
                <w:b/>
                <w:bCs/>
                <w:color w:val="auto"/>
                <w:sz w:val="24"/>
                <w:highlight w:val="yellow"/>
                <w:lang w:val="en-US" w:eastAsia="zh-CN"/>
              </w:rPr>
              <w:t>15</w:t>
            </w:r>
            <w:r>
              <w:rPr>
                <w:rFonts w:hint="eastAsia" w:ascii="宋体" w:hAnsi="宋体" w:cs="宋体"/>
                <w:b/>
                <w:bCs/>
                <w:color w:val="auto"/>
                <w:sz w:val="24"/>
                <w:highlight w:val="yellow"/>
              </w:rPr>
              <w:t>日</w:t>
            </w:r>
            <w:r>
              <w:rPr>
                <w:rFonts w:hint="eastAsia" w:ascii="宋体" w:hAnsi="宋体" w:cs="宋体"/>
                <w:b/>
                <w:bCs/>
                <w:color w:val="auto"/>
                <w:sz w:val="24"/>
                <w:highlight w:val="yellow"/>
                <w:lang w:val="en-US" w:eastAsia="zh-CN"/>
              </w:rPr>
              <w:t>10</w:t>
            </w:r>
            <w:r>
              <w:rPr>
                <w:rFonts w:hint="eastAsia" w:ascii="宋体" w:hAnsi="宋体" w:cs="宋体"/>
                <w:b/>
                <w:bCs/>
                <w:color w:val="auto"/>
                <w:sz w:val="24"/>
                <w:highlight w:val="yellow"/>
              </w:rPr>
              <w:t>时</w:t>
            </w:r>
            <w:r>
              <w:rPr>
                <w:rFonts w:hint="eastAsia" w:ascii="宋体" w:hAnsi="宋体" w:cs="宋体"/>
                <w:b/>
                <w:bCs/>
                <w:color w:val="auto"/>
                <w:sz w:val="24"/>
                <w:highlight w:val="yellow"/>
                <w:lang w:val="en-US" w:eastAsia="zh-CN"/>
              </w:rPr>
              <w:t>00</w:t>
            </w:r>
            <w:r>
              <w:rPr>
                <w:rFonts w:hint="eastAsia" w:ascii="宋体" w:hAnsi="宋体" w:cs="宋体"/>
                <w:b/>
                <w:bCs/>
                <w:color w:val="auto"/>
                <w:sz w:val="24"/>
                <w:highlight w:val="yellow"/>
              </w:rPr>
              <w:t>分</w:t>
            </w:r>
            <w:r>
              <w:rPr>
                <w:rFonts w:hint="eastAsia" w:ascii="宋体" w:hAnsi="宋体" w:cs="宋体"/>
                <w:b/>
                <w:bCs/>
                <w:color w:val="auto"/>
                <w:sz w:val="24"/>
                <w:highlight w:val="none"/>
              </w:rPr>
              <w:t>前到</w:t>
            </w:r>
            <w:r>
              <w:rPr>
                <w:rFonts w:hint="eastAsia" w:ascii="宋体" w:hAnsi="宋体" w:cs="宋体"/>
                <w:b/>
                <w:bCs/>
                <w:color w:val="auto"/>
                <w:sz w:val="24"/>
                <w:highlight w:val="none"/>
                <w:lang w:eastAsia="zh-CN"/>
              </w:rPr>
              <w:t>昆明市盘龙区同德昆明广场B区4栋1401</w:t>
            </w:r>
            <w:r>
              <w:rPr>
                <w:rFonts w:hint="eastAsia" w:ascii="宋体" w:hAnsi="宋体" w:cs="宋体"/>
                <w:b/>
                <w:bCs/>
                <w:color w:val="auto"/>
                <w:sz w:val="24"/>
                <w:highlight w:val="none"/>
              </w:rPr>
              <w:t>准备</w:t>
            </w:r>
            <w:r>
              <w:rPr>
                <w:rFonts w:hint="eastAsia" w:ascii="宋体" w:hAnsi="宋体" w:cs="宋体"/>
                <w:b/>
                <w:bCs/>
                <w:color w:val="auto"/>
                <w:sz w:val="24"/>
                <w:highlight w:val="none"/>
                <w:lang w:val="en-US" w:eastAsia="zh-CN"/>
              </w:rPr>
              <w:t>现场演示</w:t>
            </w:r>
            <w:r>
              <w:rPr>
                <w:rFonts w:hint="eastAsia" w:ascii="宋体" w:hAnsi="宋体" w:cs="宋体"/>
                <w:b/>
                <w:bCs/>
                <w:color w:val="auto"/>
                <w:sz w:val="24"/>
                <w:highlight w:val="none"/>
                <w:lang w:eastAsia="zh-CN"/>
              </w:rPr>
              <w:t>相关事宜</w:t>
            </w:r>
            <w:r>
              <w:rPr>
                <w:rFonts w:hint="eastAsia" w:ascii="宋体" w:hAnsi="宋体" w:cs="宋体"/>
                <w:b/>
                <w:bCs/>
                <w:color w:val="auto"/>
                <w:sz w:val="24"/>
                <w:highlight w:val="none"/>
              </w:rPr>
              <w:t>。若</w:t>
            </w:r>
            <w:r>
              <w:rPr>
                <w:rFonts w:hint="eastAsia" w:ascii="宋体" w:hAnsi="宋体" w:cs="宋体"/>
                <w:b/>
                <w:bCs/>
                <w:color w:val="auto"/>
                <w:sz w:val="24"/>
                <w:highlight w:val="none"/>
                <w:lang w:val="en-US" w:eastAsia="zh-CN"/>
              </w:rPr>
              <w:t>现场演示</w:t>
            </w:r>
            <w:r>
              <w:rPr>
                <w:rFonts w:hint="eastAsia" w:ascii="宋体" w:hAnsi="宋体" w:cs="宋体"/>
                <w:b/>
                <w:bCs/>
                <w:color w:val="auto"/>
                <w:sz w:val="24"/>
                <w:highlight w:val="none"/>
              </w:rPr>
              <w:t>时间开始，投标人仍未到达以上地点的，投标人不得再参加</w:t>
            </w:r>
            <w:r>
              <w:rPr>
                <w:rFonts w:hint="eastAsia" w:ascii="宋体" w:hAnsi="宋体" w:cs="宋体"/>
                <w:b/>
                <w:bCs/>
                <w:color w:val="auto"/>
                <w:sz w:val="24"/>
                <w:highlight w:val="none"/>
                <w:lang w:val="en-US" w:eastAsia="zh-CN"/>
              </w:rPr>
              <w:t>现场演示</w:t>
            </w:r>
            <w:r>
              <w:rPr>
                <w:rFonts w:hint="eastAsia" w:ascii="宋体" w:hAnsi="宋体" w:cs="宋体"/>
                <w:b/>
                <w:bCs/>
                <w:color w:val="auto"/>
                <w:sz w:val="24"/>
                <w:highlight w:val="none"/>
              </w:rPr>
              <w:t>。</w:t>
            </w:r>
          </w:p>
          <w:p w14:paraId="694BF9B2">
            <w:pPr>
              <w:pStyle w:val="14"/>
              <w:spacing w:line="400" w:lineRule="exact"/>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eastAsia="zh-CN"/>
              </w:rPr>
              <w:t>（</w:t>
            </w:r>
            <w:r>
              <w:rPr>
                <w:rFonts w:hint="eastAsia" w:ascii="宋体" w:hAnsi="宋体" w:cs="宋体"/>
                <w:b/>
                <w:bCs/>
                <w:color w:val="auto"/>
                <w:sz w:val="24"/>
                <w:highlight w:val="none"/>
                <w:lang w:val="en-US" w:eastAsia="zh-CN"/>
              </w:rPr>
              <w:t>3）</w:t>
            </w:r>
            <w:r>
              <w:rPr>
                <w:rFonts w:hint="eastAsia" w:ascii="宋体" w:hAnsi="宋体" w:cs="宋体"/>
                <w:b/>
                <w:bCs/>
                <w:color w:val="auto"/>
                <w:sz w:val="24"/>
                <w:highlight w:val="none"/>
              </w:rPr>
              <w:t>不进行</w:t>
            </w:r>
            <w:r>
              <w:rPr>
                <w:rFonts w:hint="eastAsia" w:ascii="宋体" w:hAnsi="宋体" w:cs="宋体"/>
                <w:b/>
                <w:bCs/>
                <w:color w:val="auto"/>
                <w:sz w:val="24"/>
                <w:highlight w:val="none"/>
                <w:lang w:val="en-US" w:eastAsia="zh-CN"/>
              </w:rPr>
              <w:t>现场演示</w:t>
            </w:r>
            <w:r>
              <w:rPr>
                <w:rFonts w:hint="eastAsia" w:ascii="宋体" w:hAnsi="宋体" w:cs="宋体"/>
                <w:b/>
                <w:bCs/>
                <w:color w:val="auto"/>
                <w:sz w:val="24"/>
                <w:highlight w:val="none"/>
              </w:rPr>
              <w:t>的投标人无须到现场。</w:t>
            </w:r>
          </w:p>
        </w:tc>
      </w:tr>
    </w:tbl>
    <w:p w14:paraId="0E54AF4E">
      <w:pPr>
        <w:pStyle w:val="3"/>
        <w:spacing w:before="0" w:after="0" w:line="360" w:lineRule="auto"/>
        <w:ind w:firstLine="321" w:firstLineChars="100"/>
        <w:rPr>
          <w:rFonts w:ascii="宋体" w:hAnsi="宋体" w:eastAsia="宋体" w:cs="宋体"/>
          <w:color w:val="auto"/>
          <w:sz w:val="28"/>
          <w:szCs w:val="28"/>
          <w:highlight w:val="none"/>
        </w:rPr>
      </w:pPr>
      <w:r>
        <w:rPr>
          <w:rFonts w:hint="eastAsia" w:ascii="宋体" w:hAnsi="宋体" w:eastAsia="宋体" w:cs="宋体"/>
          <w:color w:val="auto"/>
          <w:highlight w:val="none"/>
        </w:rPr>
        <w:br w:type="page"/>
      </w:r>
      <w:bookmarkStart w:id="85" w:name="_Toc20589"/>
      <w:bookmarkEnd w:id="85"/>
      <w:bookmarkStart w:id="86" w:name="_Toc27064"/>
      <w:bookmarkEnd w:id="86"/>
      <w:bookmarkStart w:id="87" w:name="_Toc20444"/>
      <w:bookmarkStart w:id="88" w:name="_Toc19039"/>
      <w:r>
        <w:rPr>
          <w:rFonts w:hint="eastAsia" w:ascii="宋体" w:hAnsi="宋体" w:eastAsia="宋体" w:cs="宋体"/>
          <w:color w:val="auto"/>
          <w:sz w:val="28"/>
          <w:szCs w:val="28"/>
          <w:highlight w:val="none"/>
        </w:rPr>
        <w:t>1. 总则</w:t>
      </w:r>
      <w:bookmarkEnd w:id="87"/>
      <w:bookmarkEnd w:id="88"/>
    </w:p>
    <w:p w14:paraId="0B380005">
      <w:pPr>
        <w:spacing w:line="360" w:lineRule="auto"/>
        <w:rPr>
          <w:rFonts w:ascii="宋体" w:hAnsi="宋体" w:cs="宋体"/>
          <w:b/>
          <w:color w:val="auto"/>
          <w:sz w:val="24"/>
          <w:szCs w:val="24"/>
          <w:highlight w:val="none"/>
        </w:rPr>
      </w:pPr>
      <w:bookmarkStart w:id="89" w:name="_Toc31335"/>
      <w:bookmarkEnd w:id="89"/>
      <w:bookmarkStart w:id="90" w:name="_Toc700"/>
      <w:r>
        <w:rPr>
          <w:rFonts w:hint="eastAsia" w:ascii="宋体" w:hAnsi="宋体" w:cs="宋体"/>
          <w:b/>
          <w:color w:val="auto"/>
          <w:sz w:val="24"/>
          <w:szCs w:val="24"/>
          <w:highlight w:val="none"/>
        </w:rPr>
        <w:t>1.1 项目概况</w:t>
      </w:r>
      <w:bookmarkEnd w:id="90"/>
    </w:p>
    <w:p w14:paraId="64F872A5">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1.1.1根据《中华人民共和国政府采购法》、《中华人民共和国政府采购法实施条例》、《政府采购货物和服务招标投标管理办法》（财政部令第87号）、《政府采购需求管理办法》等有关法律、法规和规章的规定，本招标项目已具备招标条件，现对本项目进行招标。</w:t>
      </w:r>
    </w:p>
    <w:p w14:paraId="4EE49F84">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1.1.2 采购人：见投标人须知前附表。</w:t>
      </w:r>
    </w:p>
    <w:p w14:paraId="67B5DF08">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1.1.3 采购代理机构：见投标人须知前附表。</w:t>
      </w:r>
    </w:p>
    <w:p w14:paraId="12DED377">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1.1.4 项目名称：见投标人须知前附表。</w:t>
      </w:r>
    </w:p>
    <w:p w14:paraId="27B8668B">
      <w:pPr>
        <w:spacing w:line="360" w:lineRule="auto"/>
        <w:rPr>
          <w:rFonts w:ascii="宋体" w:hAnsi="宋体" w:cs="宋体"/>
          <w:b/>
          <w:color w:val="auto"/>
          <w:sz w:val="24"/>
          <w:szCs w:val="24"/>
          <w:highlight w:val="none"/>
        </w:rPr>
      </w:pPr>
      <w:bookmarkStart w:id="91" w:name="_Toc27395"/>
      <w:bookmarkEnd w:id="91"/>
      <w:bookmarkStart w:id="92" w:name="_Toc28747"/>
      <w:r>
        <w:rPr>
          <w:rFonts w:hint="eastAsia" w:ascii="宋体" w:hAnsi="宋体" w:cs="宋体"/>
          <w:b/>
          <w:color w:val="auto"/>
          <w:sz w:val="24"/>
          <w:szCs w:val="24"/>
          <w:highlight w:val="none"/>
        </w:rPr>
        <w:t>1.2 招标项目的资金情况</w:t>
      </w:r>
      <w:bookmarkEnd w:id="92"/>
    </w:p>
    <w:p w14:paraId="75D2C79B">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1.2.1 资金落实情况：见投标人须知前附表。</w:t>
      </w:r>
    </w:p>
    <w:p w14:paraId="1A38159D">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1.2.2 预算金额：见投标人须知前附表。</w:t>
      </w:r>
    </w:p>
    <w:p w14:paraId="453068C5">
      <w:pPr>
        <w:spacing w:line="360" w:lineRule="auto"/>
        <w:rPr>
          <w:rFonts w:ascii="宋体" w:hAnsi="宋体" w:cs="宋体"/>
          <w:b/>
          <w:color w:val="auto"/>
          <w:sz w:val="24"/>
          <w:szCs w:val="24"/>
          <w:highlight w:val="none"/>
        </w:rPr>
      </w:pPr>
      <w:bookmarkStart w:id="93" w:name="_Toc16064"/>
      <w:bookmarkEnd w:id="93"/>
      <w:bookmarkStart w:id="94" w:name="_Toc20957"/>
      <w:r>
        <w:rPr>
          <w:rFonts w:hint="eastAsia" w:ascii="宋体" w:hAnsi="宋体" w:cs="宋体"/>
          <w:b/>
          <w:color w:val="auto"/>
          <w:sz w:val="24"/>
          <w:szCs w:val="24"/>
          <w:highlight w:val="none"/>
        </w:rPr>
        <w:t>1.3采购需求、合同履行期限、质保期、质量标准、交货地点</w:t>
      </w:r>
      <w:bookmarkEnd w:id="94"/>
      <w:r>
        <w:rPr>
          <w:rFonts w:hint="eastAsia" w:ascii="宋体" w:hAnsi="宋体" w:cs="宋体"/>
          <w:b/>
          <w:color w:val="auto"/>
          <w:sz w:val="24"/>
          <w:szCs w:val="24"/>
          <w:highlight w:val="none"/>
        </w:rPr>
        <w:t>、交货方式</w:t>
      </w:r>
    </w:p>
    <w:p w14:paraId="23F21320">
      <w:pPr>
        <w:spacing w:line="360" w:lineRule="auto"/>
        <w:ind w:firstLine="480" w:firstLineChars="200"/>
        <w:rPr>
          <w:rFonts w:ascii="宋体" w:hAnsi="宋体" w:cs="宋体"/>
          <w:color w:val="auto"/>
          <w:sz w:val="24"/>
          <w:szCs w:val="24"/>
          <w:highlight w:val="none"/>
        </w:rPr>
      </w:pPr>
      <w:bookmarkStart w:id="95" w:name="_Toc16202"/>
      <w:bookmarkEnd w:id="95"/>
      <w:r>
        <w:rPr>
          <w:rFonts w:hint="eastAsia" w:ascii="宋体" w:hAnsi="宋体" w:cs="宋体"/>
          <w:color w:val="auto"/>
          <w:sz w:val="24"/>
          <w:szCs w:val="24"/>
          <w:highlight w:val="none"/>
        </w:rPr>
        <w:t>1.3.1 采购需求：见投标人须知前附表。</w:t>
      </w:r>
    </w:p>
    <w:p w14:paraId="6D556B62">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1.3.2 合同履行期限、质保期、质量标准：见投标人须知前附表。</w:t>
      </w:r>
    </w:p>
    <w:p w14:paraId="1969FE52">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1.3.3 交货地点、交货方式：见投标人须知前附表。</w:t>
      </w:r>
    </w:p>
    <w:p w14:paraId="0781F4E6">
      <w:pPr>
        <w:spacing w:line="360" w:lineRule="auto"/>
        <w:rPr>
          <w:rFonts w:ascii="宋体" w:hAnsi="宋体" w:cs="宋体"/>
          <w:b/>
          <w:color w:val="auto"/>
          <w:sz w:val="24"/>
          <w:szCs w:val="24"/>
          <w:highlight w:val="none"/>
        </w:rPr>
      </w:pPr>
      <w:bookmarkStart w:id="96" w:name="_Toc17694"/>
      <w:bookmarkEnd w:id="96"/>
      <w:bookmarkStart w:id="97" w:name="_Toc10611"/>
      <w:r>
        <w:rPr>
          <w:rFonts w:hint="eastAsia" w:ascii="宋体" w:hAnsi="宋体" w:cs="宋体"/>
          <w:b/>
          <w:color w:val="auto"/>
          <w:sz w:val="24"/>
          <w:szCs w:val="24"/>
          <w:highlight w:val="none"/>
        </w:rPr>
        <w:t>1.4 投标人资格要求</w:t>
      </w:r>
      <w:bookmarkEnd w:id="97"/>
    </w:p>
    <w:p w14:paraId="4B16B9C5">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1.4.1 投标人应具备承担本项目的资格条件。</w:t>
      </w:r>
    </w:p>
    <w:p w14:paraId="4D9EA3F8">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1.4.2 </w:t>
      </w:r>
      <w:r>
        <w:rPr>
          <w:rFonts w:hint="eastAsia" w:ascii="宋体" w:hAnsi="宋体" w:cs="宋体"/>
          <w:color w:val="auto"/>
          <w:kern w:val="2"/>
          <w:sz w:val="24"/>
          <w:szCs w:val="24"/>
          <w:highlight w:val="none"/>
        </w:rPr>
        <w:t>是否接受联合体投标：</w:t>
      </w:r>
      <w:r>
        <w:rPr>
          <w:rFonts w:hint="eastAsia" w:ascii="宋体" w:hAnsi="宋体" w:cs="宋体"/>
          <w:color w:val="auto"/>
          <w:sz w:val="24"/>
          <w:szCs w:val="24"/>
          <w:highlight w:val="none"/>
        </w:rPr>
        <w:t>见投标人须知前附表。</w:t>
      </w:r>
    </w:p>
    <w:p w14:paraId="14D1472F">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如投标人须知前附表规定接受联合体投标的，联合体除应符合本章第1.4.1 项和投标人须知前附表的要求外，还应遵守以下规定：</w:t>
      </w:r>
    </w:p>
    <w:p w14:paraId="6905E845">
      <w:pPr>
        <w:spacing w:line="360" w:lineRule="auto"/>
        <w:ind w:firstLine="540" w:firstLineChars="225"/>
        <w:rPr>
          <w:rFonts w:ascii="宋体" w:hAnsi="宋体" w:cs="宋体"/>
          <w:color w:val="auto"/>
          <w:sz w:val="24"/>
          <w:szCs w:val="24"/>
          <w:highlight w:val="none"/>
        </w:rPr>
      </w:pPr>
      <w:r>
        <w:rPr>
          <w:rFonts w:hint="eastAsia" w:ascii="宋体" w:hAnsi="宋体" w:cs="宋体"/>
          <w:color w:val="auto"/>
          <w:sz w:val="24"/>
          <w:szCs w:val="24"/>
          <w:highlight w:val="none"/>
        </w:rPr>
        <w:t>（1）联合体各方应按招标文件提供的格式签订联合体协议书，明确联合体牵头人和各方权利义务，并承诺就中标项目向采购人承担连带责任；</w:t>
      </w:r>
    </w:p>
    <w:p w14:paraId="4BA70B3C">
      <w:pPr>
        <w:spacing w:line="360" w:lineRule="auto"/>
        <w:ind w:firstLine="540" w:firstLineChars="225"/>
        <w:rPr>
          <w:rFonts w:ascii="宋体" w:hAnsi="宋体" w:cs="宋体"/>
          <w:color w:val="auto"/>
          <w:sz w:val="24"/>
          <w:szCs w:val="24"/>
          <w:highlight w:val="none"/>
        </w:rPr>
      </w:pPr>
      <w:r>
        <w:rPr>
          <w:rFonts w:hint="eastAsia" w:ascii="宋体" w:hAnsi="宋体" w:cs="宋体"/>
          <w:color w:val="auto"/>
          <w:sz w:val="24"/>
          <w:szCs w:val="24"/>
          <w:highlight w:val="none"/>
        </w:rPr>
        <w:t>（2）联合体中有同类资质的投标人按照联合体分工承担相同工作的，应当按照资质等级较低的投标人确定资质等级；</w:t>
      </w:r>
    </w:p>
    <w:p w14:paraId="28BD48A9">
      <w:pPr>
        <w:spacing w:line="360" w:lineRule="auto"/>
        <w:ind w:firstLine="540" w:firstLineChars="225"/>
        <w:rPr>
          <w:rFonts w:ascii="宋体" w:hAnsi="宋体" w:cs="宋体"/>
          <w:color w:val="auto"/>
          <w:sz w:val="24"/>
          <w:szCs w:val="24"/>
          <w:highlight w:val="none"/>
        </w:rPr>
      </w:pPr>
      <w:r>
        <w:rPr>
          <w:rFonts w:hint="eastAsia" w:ascii="宋体" w:hAnsi="宋体" w:cs="宋体"/>
          <w:color w:val="auto"/>
          <w:sz w:val="24"/>
          <w:szCs w:val="24"/>
          <w:highlight w:val="none"/>
        </w:rPr>
        <w:t>（3）以联合体形式参加政府采购活动的，联合体各方不得再单独参加或者与其他投标人另外组成联合体参加同一合同项下的政府采购活动。</w:t>
      </w:r>
    </w:p>
    <w:p w14:paraId="173CA406">
      <w:pPr>
        <w:spacing w:line="360" w:lineRule="auto"/>
        <w:rPr>
          <w:rFonts w:ascii="宋体" w:hAnsi="宋体" w:cs="宋体"/>
          <w:b/>
          <w:color w:val="auto"/>
          <w:sz w:val="24"/>
          <w:szCs w:val="24"/>
          <w:highlight w:val="none"/>
        </w:rPr>
      </w:pPr>
      <w:bookmarkStart w:id="98" w:name="_Toc27960"/>
      <w:bookmarkEnd w:id="98"/>
      <w:bookmarkStart w:id="99" w:name="_Toc18144"/>
      <w:r>
        <w:rPr>
          <w:rFonts w:hint="eastAsia" w:ascii="宋体" w:hAnsi="宋体" w:cs="宋体"/>
          <w:b/>
          <w:color w:val="auto"/>
          <w:sz w:val="24"/>
          <w:szCs w:val="24"/>
          <w:highlight w:val="none"/>
        </w:rPr>
        <w:t>1.5 费用承担</w:t>
      </w:r>
      <w:bookmarkEnd w:id="99"/>
    </w:p>
    <w:p w14:paraId="6E2F66FE">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投标人准备和参加投标活动发生的费用自理。</w:t>
      </w:r>
    </w:p>
    <w:p w14:paraId="71A98901">
      <w:pPr>
        <w:spacing w:line="360" w:lineRule="auto"/>
        <w:rPr>
          <w:rFonts w:ascii="宋体" w:hAnsi="宋体" w:cs="宋体"/>
          <w:b/>
          <w:color w:val="auto"/>
          <w:sz w:val="24"/>
          <w:szCs w:val="24"/>
          <w:highlight w:val="none"/>
        </w:rPr>
      </w:pPr>
      <w:bookmarkStart w:id="100" w:name="_Toc6230"/>
      <w:bookmarkEnd w:id="100"/>
      <w:bookmarkStart w:id="101" w:name="_Toc16680"/>
      <w:r>
        <w:rPr>
          <w:rFonts w:hint="eastAsia" w:ascii="宋体" w:hAnsi="宋体" w:cs="宋体"/>
          <w:b/>
          <w:color w:val="auto"/>
          <w:sz w:val="24"/>
          <w:szCs w:val="24"/>
          <w:highlight w:val="none"/>
        </w:rPr>
        <w:t>1.6 保密</w:t>
      </w:r>
      <w:bookmarkEnd w:id="101"/>
    </w:p>
    <w:p w14:paraId="3B2A1CCC">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参与招标投标活动的各方应对招标文件和投标文件中的商业和技术等秘密保密，则应承担相应的法律责任。</w:t>
      </w:r>
    </w:p>
    <w:p w14:paraId="2DC8AF6A">
      <w:pPr>
        <w:spacing w:line="360" w:lineRule="auto"/>
        <w:rPr>
          <w:rFonts w:ascii="宋体" w:hAnsi="宋体" w:cs="宋体"/>
          <w:b/>
          <w:color w:val="auto"/>
          <w:sz w:val="24"/>
          <w:szCs w:val="24"/>
          <w:highlight w:val="none"/>
        </w:rPr>
      </w:pPr>
      <w:bookmarkStart w:id="102" w:name="_Toc31781"/>
      <w:bookmarkEnd w:id="102"/>
      <w:bookmarkStart w:id="103" w:name="_Toc787"/>
      <w:r>
        <w:rPr>
          <w:rFonts w:hint="eastAsia" w:ascii="宋体" w:hAnsi="宋体" w:cs="宋体"/>
          <w:b/>
          <w:color w:val="auto"/>
          <w:sz w:val="24"/>
          <w:szCs w:val="24"/>
          <w:highlight w:val="none"/>
        </w:rPr>
        <w:t>1.7 语言文字</w:t>
      </w:r>
      <w:bookmarkEnd w:id="103"/>
    </w:p>
    <w:p w14:paraId="4C18F47E">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招标投标文件使用的语言文字为中文。专用术语使用外文的，应附有中文注释。</w:t>
      </w:r>
    </w:p>
    <w:p w14:paraId="330508F0">
      <w:pPr>
        <w:spacing w:line="360" w:lineRule="auto"/>
        <w:rPr>
          <w:rFonts w:ascii="宋体" w:hAnsi="宋体" w:cs="宋体"/>
          <w:b/>
          <w:color w:val="auto"/>
          <w:sz w:val="24"/>
          <w:szCs w:val="24"/>
          <w:highlight w:val="none"/>
        </w:rPr>
      </w:pPr>
      <w:bookmarkStart w:id="104" w:name="_Toc29423"/>
      <w:bookmarkEnd w:id="104"/>
      <w:bookmarkStart w:id="105" w:name="_Toc29116"/>
      <w:r>
        <w:rPr>
          <w:rFonts w:hint="eastAsia" w:ascii="宋体" w:hAnsi="宋体" w:cs="宋体"/>
          <w:b/>
          <w:color w:val="auto"/>
          <w:sz w:val="24"/>
          <w:szCs w:val="24"/>
          <w:highlight w:val="none"/>
        </w:rPr>
        <w:t>1.8 计量单位</w:t>
      </w:r>
      <w:bookmarkEnd w:id="105"/>
    </w:p>
    <w:p w14:paraId="606D91DD">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所有计量均采用中华人民共和国法定计量单位。</w:t>
      </w:r>
    </w:p>
    <w:p w14:paraId="5E701A30">
      <w:pPr>
        <w:spacing w:line="360" w:lineRule="auto"/>
        <w:rPr>
          <w:rFonts w:ascii="宋体" w:hAnsi="宋体" w:cs="宋体"/>
          <w:b/>
          <w:color w:val="auto"/>
          <w:sz w:val="24"/>
          <w:szCs w:val="24"/>
          <w:highlight w:val="none"/>
        </w:rPr>
      </w:pPr>
      <w:bookmarkStart w:id="106" w:name="_Toc152042315"/>
      <w:bookmarkEnd w:id="106"/>
      <w:bookmarkStart w:id="107" w:name="_Toc29812"/>
      <w:bookmarkEnd w:id="107"/>
      <w:bookmarkStart w:id="108" w:name="_Toc296602429"/>
      <w:bookmarkEnd w:id="108"/>
      <w:bookmarkStart w:id="109" w:name="_Toc247592876"/>
      <w:bookmarkEnd w:id="109"/>
      <w:bookmarkStart w:id="110" w:name="_Toc152045539"/>
      <w:bookmarkEnd w:id="110"/>
      <w:bookmarkStart w:id="111" w:name="_Toc144974507"/>
      <w:bookmarkEnd w:id="111"/>
      <w:bookmarkStart w:id="112" w:name="_Toc247513962"/>
      <w:bookmarkEnd w:id="112"/>
      <w:bookmarkStart w:id="113" w:name="_Toc247527563"/>
      <w:bookmarkEnd w:id="113"/>
      <w:bookmarkStart w:id="114" w:name="_Toc29408"/>
      <w:r>
        <w:rPr>
          <w:rFonts w:hint="eastAsia" w:ascii="宋体" w:hAnsi="宋体" w:cs="宋体"/>
          <w:b/>
          <w:color w:val="auto"/>
          <w:sz w:val="24"/>
          <w:szCs w:val="24"/>
          <w:highlight w:val="none"/>
        </w:rPr>
        <w:t>1.9 现场</w:t>
      </w:r>
      <w:bookmarkEnd w:id="114"/>
      <w:r>
        <w:rPr>
          <w:rFonts w:hint="eastAsia" w:ascii="宋体" w:hAnsi="宋体" w:cs="宋体"/>
          <w:b/>
          <w:color w:val="auto"/>
          <w:sz w:val="24"/>
          <w:szCs w:val="24"/>
          <w:highlight w:val="none"/>
        </w:rPr>
        <w:t>考察</w:t>
      </w:r>
    </w:p>
    <w:p w14:paraId="40F1086C">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1.9.1 投标人须知前附表规定组织现场考察的，采购人按投标人须知前附表规定的时间、地点组织投标人考察项目现场。 </w:t>
      </w:r>
    </w:p>
    <w:p w14:paraId="1AE3EB20">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1.9.2 投标人考察现场发生的费用自理。</w:t>
      </w:r>
    </w:p>
    <w:p w14:paraId="5F8E2527">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1.9.3 除采购人的原因外，投标人自行负责在考察现场中所发生的人员伤亡和财产损失。</w:t>
      </w:r>
    </w:p>
    <w:p w14:paraId="403D0B18">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1.9.4 采购人在考察现场中介绍的项目场地和相关的周边环境情况，供投标人在编制投标文件时参考，采购人不对投标人据此作出的判断和决策负责。</w:t>
      </w:r>
    </w:p>
    <w:p w14:paraId="2A15D3D9">
      <w:pPr>
        <w:spacing w:line="360" w:lineRule="auto"/>
        <w:rPr>
          <w:rFonts w:ascii="宋体" w:hAnsi="宋体" w:cs="宋体"/>
          <w:b/>
          <w:color w:val="auto"/>
          <w:sz w:val="24"/>
          <w:szCs w:val="24"/>
          <w:highlight w:val="none"/>
        </w:rPr>
      </w:pPr>
      <w:bookmarkStart w:id="115" w:name="_Toc587"/>
      <w:bookmarkEnd w:id="115"/>
      <w:bookmarkStart w:id="116" w:name="_Toc31848"/>
      <w:bookmarkEnd w:id="116"/>
      <w:bookmarkStart w:id="117" w:name="_Toc29345"/>
      <w:r>
        <w:rPr>
          <w:rFonts w:hint="eastAsia" w:ascii="宋体" w:hAnsi="宋体" w:cs="宋体"/>
          <w:b/>
          <w:color w:val="auto"/>
          <w:sz w:val="24"/>
          <w:szCs w:val="24"/>
          <w:highlight w:val="none"/>
        </w:rPr>
        <w:t>1.10响应和偏</w:t>
      </w:r>
      <w:bookmarkEnd w:id="117"/>
      <w:r>
        <w:rPr>
          <w:rFonts w:hint="eastAsia" w:ascii="宋体" w:hAnsi="宋体" w:cs="宋体"/>
          <w:b/>
          <w:color w:val="auto"/>
          <w:sz w:val="24"/>
          <w:szCs w:val="24"/>
          <w:highlight w:val="none"/>
        </w:rPr>
        <w:t>离</w:t>
      </w:r>
    </w:p>
    <w:p w14:paraId="7E957DDD">
      <w:pPr>
        <w:spacing w:line="360" w:lineRule="auto"/>
        <w:ind w:firstLine="480" w:firstLineChars="200"/>
        <w:rPr>
          <w:rFonts w:ascii="宋体" w:hAnsi="宋体" w:cs="宋体"/>
          <w:color w:val="auto"/>
          <w:sz w:val="24"/>
          <w:szCs w:val="24"/>
          <w:highlight w:val="none"/>
        </w:rPr>
      </w:pPr>
      <w:bookmarkStart w:id="118" w:name="page22"/>
      <w:bookmarkEnd w:id="118"/>
      <w:r>
        <w:rPr>
          <w:rFonts w:hint="eastAsia" w:ascii="宋体" w:hAnsi="宋体" w:cs="宋体"/>
          <w:color w:val="auto"/>
          <w:sz w:val="24"/>
          <w:szCs w:val="24"/>
          <w:highlight w:val="none"/>
        </w:rPr>
        <w:t>投标文件应当对招标文件的实质性要求和条件作出响应，否则，投标人投标无效。</w:t>
      </w:r>
      <w:r>
        <w:rPr>
          <w:rFonts w:hint="eastAsia" w:ascii="宋体" w:hAnsi="宋体" w:cs="宋体"/>
          <w:b/>
          <w:bCs/>
          <w:color w:val="auto"/>
          <w:kern w:val="2"/>
          <w:sz w:val="24"/>
          <w:szCs w:val="24"/>
          <w:highlight w:val="none"/>
        </w:rPr>
        <w:t>不允许偏离的</w:t>
      </w:r>
      <w:r>
        <w:rPr>
          <w:rFonts w:hint="eastAsia" w:ascii="宋体" w:hAnsi="宋体" w:cs="宋体"/>
          <w:b/>
          <w:bCs/>
          <w:color w:val="auto"/>
          <w:sz w:val="24"/>
          <w:szCs w:val="24"/>
          <w:highlight w:val="none"/>
        </w:rPr>
        <w:t>实质性要求和条件见投标人须知前附表。</w:t>
      </w:r>
    </w:p>
    <w:p w14:paraId="424E116D">
      <w:pPr>
        <w:pStyle w:val="3"/>
        <w:spacing w:before="0" w:after="0" w:line="360" w:lineRule="auto"/>
        <w:rPr>
          <w:rFonts w:ascii="宋体" w:hAnsi="宋体" w:eastAsia="宋体" w:cs="宋体"/>
          <w:color w:val="auto"/>
          <w:sz w:val="28"/>
          <w:szCs w:val="28"/>
          <w:highlight w:val="none"/>
        </w:rPr>
      </w:pPr>
      <w:bookmarkStart w:id="119" w:name="_Toc32012"/>
      <w:bookmarkEnd w:id="119"/>
      <w:bookmarkStart w:id="120" w:name="_Toc31795"/>
      <w:bookmarkEnd w:id="120"/>
      <w:bookmarkStart w:id="121" w:name="_Toc31733"/>
      <w:bookmarkStart w:id="122" w:name="_Toc26880"/>
      <w:r>
        <w:rPr>
          <w:rFonts w:hint="eastAsia" w:ascii="宋体" w:hAnsi="宋体" w:eastAsia="宋体" w:cs="宋体"/>
          <w:color w:val="auto"/>
          <w:sz w:val="28"/>
          <w:szCs w:val="28"/>
          <w:highlight w:val="none"/>
        </w:rPr>
        <w:t>2. 招标文件</w:t>
      </w:r>
      <w:bookmarkEnd w:id="121"/>
      <w:bookmarkEnd w:id="122"/>
    </w:p>
    <w:p w14:paraId="5B2FCA3C">
      <w:pPr>
        <w:spacing w:line="360" w:lineRule="auto"/>
        <w:rPr>
          <w:rFonts w:ascii="宋体" w:hAnsi="宋体" w:cs="宋体"/>
          <w:b/>
          <w:color w:val="auto"/>
          <w:sz w:val="24"/>
          <w:szCs w:val="24"/>
          <w:highlight w:val="none"/>
        </w:rPr>
      </w:pPr>
      <w:bookmarkStart w:id="123" w:name="_Toc21536"/>
      <w:bookmarkEnd w:id="123"/>
      <w:bookmarkStart w:id="124" w:name="_Toc16596"/>
      <w:r>
        <w:rPr>
          <w:rFonts w:hint="eastAsia" w:ascii="宋体" w:hAnsi="宋体" w:cs="宋体"/>
          <w:b/>
          <w:color w:val="auto"/>
          <w:sz w:val="24"/>
          <w:szCs w:val="24"/>
          <w:highlight w:val="none"/>
        </w:rPr>
        <w:t>2.1 招标文件的组成</w:t>
      </w:r>
      <w:bookmarkEnd w:id="124"/>
    </w:p>
    <w:p w14:paraId="0364FA00">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本招标文件包括：</w:t>
      </w:r>
    </w:p>
    <w:p w14:paraId="33D4C626">
      <w:pPr>
        <w:spacing w:line="360" w:lineRule="auto"/>
        <w:ind w:firstLine="540" w:firstLineChars="225"/>
        <w:rPr>
          <w:rFonts w:ascii="宋体" w:hAnsi="宋体" w:cs="宋体"/>
          <w:color w:val="auto"/>
          <w:sz w:val="24"/>
          <w:szCs w:val="24"/>
          <w:highlight w:val="none"/>
        </w:rPr>
      </w:pPr>
      <w:r>
        <w:rPr>
          <w:rFonts w:hint="eastAsia" w:ascii="宋体" w:hAnsi="宋体" w:cs="宋体"/>
          <w:color w:val="auto"/>
          <w:sz w:val="24"/>
          <w:szCs w:val="24"/>
          <w:highlight w:val="none"/>
        </w:rPr>
        <w:t>（1）公开招标公告；</w:t>
      </w:r>
    </w:p>
    <w:p w14:paraId="1F6CEFA7">
      <w:pPr>
        <w:spacing w:line="360" w:lineRule="auto"/>
        <w:ind w:firstLine="540" w:firstLineChars="225"/>
        <w:rPr>
          <w:rFonts w:ascii="宋体" w:hAnsi="宋体" w:cs="宋体"/>
          <w:color w:val="auto"/>
          <w:sz w:val="24"/>
          <w:szCs w:val="24"/>
          <w:highlight w:val="none"/>
        </w:rPr>
      </w:pPr>
      <w:r>
        <w:rPr>
          <w:rFonts w:hint="eastAsia" w:ascii="宋体" w:hAnsi="宋体" w:cs="宋体"/>
          <w:color w:val="auto"/>
          <w:sz w:val="24"/>
          <w:szCs w:val="24"/>
          <w:highlight w:val="none"/>
        </w:rPr>
        <w:t>（2）投标人须知；</w:t>
      </w:r>
    </w:p>
    <w:p w14:paraId="11D8B59C">
      <w:pPr>
        <w:spacing w:line="360" w:lineRule="auto"/>
        <w:ind w:firstLine="540" w:firstLineChars="225"/>
        <w:rPr>
          <w:rFonts w:ascii="宋体" w:hAnsi="宋体" w:cs="宋体"/>
          <w:color w:val="auto"/>
          <w:sz w:val="24"/>
          <w:szCs w:val="24"/>
          <w:highlight w:val="none"/>
        </w:rPr>
      </w:pPr>
      <w:r>
        <w:rPr>
          <w:rFonts w:hint="eastAsia" w:ascii="宋体" w:hAnsi="宋体" w:cs="宋体"/>
          <w:color w:val="auto"/>
          <w:sz w:val="24"/>
          <w:szCs w:val="24"/>
          <w:highlight w:val="none"/>
        </w:rPr>
        <w:t>（3）合同条款及格式；</w:t>
      </w:r>
    </w:p>
    <w:p w14:paraId="36C466CA">
      <w:pPr>
        <w:spacing w:line="360" w:lineRule="auto"/>
        <w:ind w:firstLine="540" w:firstLineChars="225"/>
        <w:rPr>
          <w:rFonts w:ascii="宋体" w:hAnsi="宋体" w:cs="宋体"/>
          <w:color w:val="auto"/>
          <w:sz w:val="24"/>
          <w:szCs w:val="24"/>
          <w:highlight w:val="none"/>
        </w:rPr>
      </w:pPr>
      <w:r>
        <w:rPr>
          <w:rFonts w:hint="eastAsia" w:ascii="宋体" w:hAnsi="宋体" w:cs="宋体"/>
          <w:color w:val="auto"/>
          <w:sz w:val="24"/>
          <w:szCs w:val="24"/>
          <w:highlight w:val="none"/>
        </w:rPr>
        <w:t>（4）投标文件格式；</w:t>
      </w:r>
    </w:p>
    <w:p w14:paraId="63C84E84">
      <w:pPr>
        <w:spacing w:line="360" w:lineRule="auto"/>
        <w:ind w:firstLine="540" w:firstLineChars="225"/>
        <w:rPr>
          <w:rFonts w:ascii="宋体" w:hAnsi="宋体" w:cs="宋体"/>
          <w:color w:val="auto"/>
          <w:sz w:val="24"/>
          <w:szCs w:val="24"/>
          <w:highlight w:val="none"/>
        </w:rPr>
      </w:pPr>
      <w:r>
        <w:rPr>
          <w:rFonts w:hint="eastAsia" w:ascii="宋体" w:hAnsi="宋体" w:cs="宋体"/>
          <w:color w:val="auto"/>
          <w:sz w:val="24"/>
          <w:szCs w:val="24"/>
          <w:highlight w:val="none"/>
        </w:rPr>
        <w:t>（5）采购内容及要求；</w:t>
      </w:r>
    </w:p>
    <w:p w14:paraId="0A7296BA">
      <w:pPr>
        <w:spacing w:line="360" w:lineRule="auto"/>
        <w:ind w:firstLine="540" w:firstLineChars="225"/>
        <w:rPr>
          <w:rFonts w:ascii="宋体" w:hAnsi="宋体" w:cs="宋体"/>
          <w:color w:val="auto"/>
          <w:sz w:val="24"/>
          <w:szCs w:val="24"/>
          <w:highlight w:val="none"/>
        </w:rPr>
      </w:pPr>
      <w:r>
        <w:rPr>
          <w:rFonts w:hint="eastAsia" w:ascii="宋体" w:hAnsi="宋体" w:cs="宋体"/>
          <w:color w:val="auto"/>
          <w:sz w:val="24"/>
          <w:szCs w:val="24"/>
          <w:highlight w:val="none"/>
        </w:rPr>
        <w:t>（6）资格审查；</w:t>
      </w:r>
    </w:p>
    <w:p w14:paraId="2118F6D5">
      <w:pPr>
        <w:spacing w:line="360" w:lineRule="auto"/>
        <w:ind w:firstLine="540" w:firstLineChars="225"/>
        <w:rPr>
          <w:rFonts w:ascii="宋体" w:hAnsi="宋体" w:cs="宋体"/>
          <w:color w:val="auto"/>
          <w:sz w:val="24"/>
          <w:szCs w:val="24"/>
          <w:highlight w:val="none"/>
        </w:rPr>
      </w:pPr>
      <w:r>
        <w:rPr>
          <w:rFonts w:hint="eastAsia" w:ascii="宋体" w:hAnsi="宋体" w:cs="宋体"/>
          <w:color w:val="auto"/>
          <w:sz w:val="24"/>
          <w:szCs w:val="24"/>
          <w:highlight w:val="none"/>
        </w:rPr>
        <w:t>（7）评标办法；</w:t>
      </w:r>
    </w:p>
    <w:p w14:paraId="1F0F803C">
      <w:pPr>
        <w:spacing w:line="360" w:lineRule="auto"/>
        <w:ind w:firstLine="540" w:firstLineChars="225"/>
        <w:rPr>
          <w:rFonts w:ascii="宋体" w:hAnsi="宋体" w:cs="宋体"/>
          <w:color w:val="auto"/>
          <w:sz w:val="24"/>
          <w:szCs w:val="24"/>
          <w:highlight w:val="none"/>
        </w:rPr>
      </w:pPr>
      <w:r>
        <w:rPr>
          <w:rFonts w:hint="eastAsia" w:ascii="宋体" w:hAnsi="宋体" w:cs="宋体"/>
          <w:color w:val="auto"/>
          <w:sz w:val="24"/>
          <w:szCs w:val="24"/>
          <w:highlight w:val="none"/>
        </w:rPr>
        <w:t>（8）投标人须知前附表规定的其他材料。</w:t>
      </w:r>
    </w:p>
    <w:p w14:paraId="59E9FFA7">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根据本章第2.2 款和第2.3 款对招标文件所作的澄清、修改，构成招标文件的组成部分。</w:t>
      </w:r>
    </w:p>
    <w:p w14:paraId="1B6BDEEC">
      <w:pPr>
        <w:spacing w:line="360" w:lineRule="auto"/>
        <w:rPr>
          <w:rFonts w:ascii="宋体" w:hAnsi="宋体" w:cs="宋体"/>
          <w:b/>
          <w:color w:val="auto"/>
          <w:sz w:val="24"/>
          <w:szCs w:val="24"/>
          <w:highlight w:val="none"/>
        </w:rPr>
      </w:pPr>
      <w:bookmarkStart w:id="125" w:name="_Toc23003"/>
      <w:bookmarkEnd w:id="125"/>
      <w:bookmarkStart w:id="126" w:name="_Toc13591"/>
      <w:r>
        <w:rPr>
          <w:rFonts w:hint="eastAsia" w:ascii="宋体" w:hAnsi="宋体" w:cs="宋体"/>
          <w:b/>
          <w:color w:val="auto"/>
          <w:sz w:val="24"/>
          <w:szCs w:val="24"/>
          <w:highlight w:val="none"/>
        </w:rPr>
        <w:t>2.2 招标文件的澄清</w:t>
      </w:r>
      <w:bookmarkEnd w:id="126"/>
    </w:p>
    <w:p w14:paraId="3C426FC2">
      <w:pPr>
        <w:pStyle w:val="14"/>
        <w:ind w:firstLine="480" w:firstLineChars="200"/>
        <w:rPr>
          <w:rFonts w:ascii="宋体" w:hAnsi="宋体" w:cs="宋体"/>
          <w:color w:val="auto"/>
          <w:kern w:val="0"/>
          <w:sz w:val="24"/>
          <w:highlight w:val="none"/>
        </w:rPr>
      </w:pPr>
      <w:r>
        <w:rPr>
          <w:rFonts w:hint="eastAsia" w:ascii="宋体" w:hAnsi="宋体" w:cs="宋体"/>
          <w:color w:val="auto"/>
          <w:sz w:val="24"/>
          <w:highlight w:val="none"/>
        </w:rPr>
        <w:t>2.2.1 投标人应仔细阅读和检查招标文件的全部内容。如发现缺页或附件不全，应及时向采购代理机构提出，以便补齐。</w:t>
      </w:r>
    </w:p>
    <w:p w14:paraId="2586A553">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2.2.2招标文件的澄清以投标人须知前附表规定的形式发给所有获取招标文件的投标人，但不指明澄清问题的来源。澄清发出的时间距本章第4.2.1项规定的投标截止时间不足15日的，并且澄清内容可能影响投标文件编制的，将相应延长投标截止时间。</w:t>
      </w:r>
    </w:p>
    <w:p w14:paraId="6C7BD9E0">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2.2.3投标人在收到澄清通知后，应按投标人须知前附表规定的时间和形式通知采购人，确认已收到该澄清。</w:t>
      </w:r>
    </w:p>
    <w:p w14:paraId="2D2527AE">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2.2.4除非采购人认为确有必要答复，否则，采购人有权拒绝回复投标人在本章第2.2.2项规定的时间后的任何澄清要求。</w:t>
      </w:r>
    </w:p>
    <w:p w14:paraId="25A79ED0">
      <w:pPr>
        <w:spacing w:line="360" w:lineRule="auto"/>
        <w:rPr>
          <w:rFonts w:ascii="宋体" w:hAnsi="宋体" w:cs="宋体"/>
          <w:b/>
          <w:color w:val="auto"/>
          <w:sz w:val="24"/>
          <w:szCs w:val="24"/>
          <w:highlight w:val="none"/>
        </w:rPr>
      </w:pPr>
      <w:bookmarkStart w:id="127" w:name="_Toc17621"/>
      <w:bookmarkEnd w:id="127"/>
      <w:bookmarkStart w:id="128" w:name="_Toc8029"/>
      <w:r>
        <w:rPr>
          <w:rFonts w:hint="eastAsia" w:ascii="宋体" w:hAnsi="宋体" w:cs="宋体"/>
          <w:b/>
          <w:color w:val="auto"/>
          <w:sz w:val="24"/>
          <w:szCs w:val="24"/>
          <w:highlight w:val="none"/>
        </w:rPr>
        <w:t>2.3 招标文件的修改</w:t>
      </w:r>
      <w:bookmarkEnd w:id="128"/>
    </w:p>
    <w:p w14:paraId="577A1002">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2.3.1 采购人以投标人须知前附表规定的形式修改招标文件，并通知所有已获取招标文件的投标人。修改招标文件的时间距本章4.2.1项规定的投标截止时间不足15日的，并且修改内容可能影响投标文件编制的，将相应延长投标截止时间。</w:t>
      </w:r>
    </w:p>
    <w:p w14:paraId="69F416A4">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2.3.2投标人收到修改内容后，应按投标人须知前附表规定的时间和形式通知采购人，确认已收到该修改。</w:t>
      </w:r>
    </w:p>
    <w:p w14:paraId="4A3134AE">
      <w:pPr>
        <w:pStyle w:val="3"/>
        <w:spacing w:before="0" w:after="0" w:line="360" w:lineRule="auto"/>
        <w:rPr>
          <w:rFonts w:ascii="宋体" w:hAnsi="宋体" w:eastAsia="宋体" w:cs="宋体"/>
          <w:color w:val="auto"/>
          <w:sz w:val="28"/>
          <w:szCs w:val="28"/>
          <w:highlight w:val="none"/>
        </w:rPr>
      </w:pPr>
      <w:bookmarkStart w:id="129" w:name="_Toc24916"/>
      <w:bookmarkEnd w:id="129"/>
      <w:bookmarkStart w:id="130" w:name="_Toc16663"/>
      <w:bookmarkEnd w:id="130"/>
      <w:bookmarkStart w:id="131" w:name="_Toc29741"/>
      <w:bookmarkEnd w:id="131"/>
      <w:bookmarkStart w:id="132" w:name="_Toc12060"/>
      <w:bookmarkStart w:id="133" w:name="_Toc24768"/>
      <w:r>
        <w:rPr>
          <w:rFonts w:hint="eastAsia" w:ascii="宋体" w:hAnsi="宋体" w:eastAsia="宋体" w:cs="宋体"/>
          <w:color w:val="auto"/>
          <w:sz w:val="28"/>
          <w:szCs w:val="28"/>
          <w:highlight w:val="none"/>
        </w:rPr>
        <w:t>3. 投标文件</w:t>
      </w:r>
      <w:bookmarkEnd w:id="132"/>
      <w:bookmarkEnd w:id="133"/>
    </w:p>
    <w:p w14:paraId="06DEC049">
      <w:pPr>
        <w:spacing w:line="360" w:lineRule="auto"/>
        <w:rPr>
          <w:rFonts w:ascii="宋体" w:hAnsi="宋体" w:cs="宋体"/>
          <w:b/>
          <w:color w:val="auto"/>
          <w:sz w:val="24"/>
          <w:szCs w:val="24"/>
          <w:highlight w:val="none"/>
        </w:rPr>
      </w:pPr>
      <w:bookmarkStart w:id="134" w:name="_Toc2432"/>
      <w:bookmarkEnd w:id="134"/>
      <w:bookmarkStart w:id="135" w:name="_Toc4962"/>
      <w:r>
        <w:rPr>
          <w:rFonts w:hint="eastAsia" w:ascii="宋体" w:hAnsi="宋体" w:cs="宋体"/>
          <w:b/>
          <w:color w:val="auto"/>
          <w:sz w:val="24"/>
          <w:szCs w:val="24"/>
          <w:highlight w:val="none"/>
        </w:rPr>
        <w:t>3.1 投标文件的组成</w:t>
      </w:r>
      <w:bookmarkEnd w:id="135"/>
    </w:p>
    <w:p w14:paraId="2A176FDB">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3.1.1 投标文件资格审查部分详见第四章“投标文件格式”资格审查部分中的内容。</w:t>
      </w:r>
    </w:p>
    <w:p w14:paraId="3EEEE9FE">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3.1.2 投标文件商务技术部分详见第四章“投标文件格式”商务技术部分中的内容。</w:t>
      </w:r>
    </w:p>
    <w:p w14:paraId="23397B3D">
      <w:pPr>
        <w:spacing w:line="360" w:lineRule="auto"/>
        <w:ind w:firstLine="540" w:firstLineChars="225"/>
        <w:rPr>
          <w:rFonts w:ascii="宋体" w:hAnsi="宋体" w:cs="宋体"/>
          <w:color w:val="auto"/>
          <w:sz w:val="24"/>
          <w:szCs w:val="24"/>
          <w:highlight w:val="none"/>
        </w:rPr>
      </w:pPr>
      <w:r>
        <w:rPr>
          <w:rFonts w:hint="eastAsia" w:ascii="宋体" w:hAnsi="宋体" w:cs="宋体"/>
          <w:color w:val="auto"/>
          <w:sz w:val="24"/>
          <w:szCs w:val="24"/>
          <w:highlight w:val="none"/>
        </w:rPr>
        <w:t>投标人在评标过程中作出的符合法律法规和招标文件规定的澄清确认，构成投标文件的组成部分。</w:t>
      </w:r>
    </w:p>
    <w:p w14:paraId="535E5C7B">
      <w:pPr>
        <w:spacing w:line="360" w:lineRule="auto"/>
        <w:ind w:firstLine="540" w:firstLineChars="225"/>
        <w:rPr>
          <w:rFonts w:ascii="宋体" w:hAnsi="宋体" w:cs="宋体"/>
          <w:color w:val="auto"/>
          <w:sz w:val="24"/>
          <w:szCs w:val="24"/>
          <w:highlight w:val="none"/>
        </w:rPr>
      </w:pPr>
      <w:r>
        <w:rPr>
          <w:rFonts w:hint="eastAsia" w:ascii="宋体" w:hAnsi="宋体" w:cs="宋体"/>
          <w:color w:val="auto"/>
          <w:sz w:val="24"/>
          <w:szCs w:val="24"/>
          <w:highlight w:val="none"/>
        </w:rPr>
        <w:t>3.1.3 投标人须知前附表未要求提交投标保证金的，投标文件不包括第四章“投标文件格式”商务技术部分中所指的投标保证金。</w:t>
      </w:r>
    </w:p>
    <w:p w14:paraId="76FB0158">
      <w:pPr>
        <w:spacing w:line="360" w:lineRule="auto"/>
        <w:rPr>
          <w:rFonts w:ascii="宋体" w:hAnsi="宋体" w:cs="宋体"/>
          <w:b/>
          <w:color w:val="auto"/>
          <w:sz w:val="24"/>
          <w:szCs w:val="24"/>
          <w:highlight w:val="none"/>
        </w:rPr>
      </w:pPr>
      <w:bookmarkStart w:id="136" w:name="_Toc3252"/>
      <w:bookmarkEnd w:id="136"/>
      <w:bookmarkStart w:id="137" w:name="_Toc21369"/>
      <w:r>
        <w:rPr>
          <w:rFonts w:hint="eastAsia" w:ascii="宋体" w:hAnsi="宋体" w:cs="宋体"/>
          <w:b/>
          <w:color w:val="auto"/>
          <w:sz w:val="24"/>
          <w:szCs w:val="24"/>
          <w:highlight w:val="none"/>
        </w:rPr>
        <w:t>3.2 投标报价</w:t>
      </w:r>
      <w:bookmarkEnd w:id="137"/>
    </w:p>
    <w:p w14:paraId="3FBD0BB8">
      <w:pPr>
        <w:spacing w:line="360" w:lineRule="auto"/>
        <w:ind w:firstLine="540" w:firstLineChars="225"/>
        <w:rPr>
          <w:rFonts w:ascii="宋体" w:hAnsi="宋体" w:cs="宋体"/>
          <w:color w:val="auto"/>
          <w:sz w:val="24"/>
          <w:szCs w:val="24"/>
          <w:highlight w:val="none"/>
        </w:rPr>
      </w:pPr>
      <w:r>
        <w:rPr>
          <w:rFonts w:hint="eastAsia" w:ascii="宋体" w:hAnsi="宋体" w:cs="宋体"/>
          <w:color w:val="auto"/>
          <w:sz w:val="24"/>
          <w:szCs w:val="24"/>
          <w:highlight w:val="none"/>
        </w:rPr>
        <w:t>3.2.1 投标人应按第四章“投标文件格式”的要求在投标函中进行报价。</w:t>
      </w:r>
    </w:p>
    <w:p w14:paraId="4B666543">
      <w:pPr>
        <w:spacing w:line="360" w:lineRule="auto"/>
        <w:ind w:firstLine="540" w:firstLineChars="225"/>
        <w:rPr>
          <w:rFonts w:ascii="宋体" w:hAnsi="宋体" w:cs="宋体"/>
          <w:color w:val="auto"/>
          <w:sz w:val="24"/>
          <w:szCs w:val="24"/>
          <w:highlight w:val="none"/>
        </w:rPr>
      </w:pPr>
      <w:r>
        <w:rPr>
          <w:rFonts w:hint="eastAsia" w:ascii="宋体" w:hAnsi="宋体" w:cs="宋体"/>
          <w:color w:val="auto"/>
          <w:sz w:val="24"/>
          <w:szCs w:val="24"/>
          <w:highlight w:val="none"/>
        </w:rPr>
        <w:t>3.2.2 投标人应充分了解该项目的总体情况以及影响投标报价的其他要素。</w:t>
      </w:r>
    </w:p>
    <w:p w14:paraId="48CE3103">
      <w:pPr>
        <w:spacing w:line="360" w:lineRule="auto"/>
        <w:ind w:firstLine="540" w:firstLineChars="225"/>
        <w:rPr>
          <w:rFonts w:ascii="宋体" w:hAnsi="宋体" w:cs="宋体"/>
          <w:color w:val="auto"/>
          <w:sz w:val="24"/>
          <w:szCs w:val="24"/>
          <w:highlight w:val="none"/>
        </w:rPr>
      </w:pPr>
      <w:r>
        <w:rPr>
          <w:rFonts w:hint="eastAsia" w:ascii="宋体" w:hAnsi="宋体" w:cs="宋体"/>
          <w:color w:val="auto"/>
          <w:sz w:val="24"/>
          <w:szCs w:val="24"/>
          <w:highlight w:val="none"/>
        </w:rPr>
        <w:t>3.2.3 投标人的投标报价不得超过预算金额，若采购人还设有最高限价的，投标人的投标报价还应当不得超过最高限价，最高限价在投标人须知前附表中载明。</w:t>
      </w:r>
    </w:p>
    <w:p w14:paraId="1D15C894">
      <w:pPr>
        <w:spacing w:line="360" w:lineRule="auto"/>
        <w:ind w:firstLine="540" w:firstLineChars="225"/>
        <w:rPr>
          <w:rFonts w:ascii="宋体" w:hAnsi="宋体" w:cs="宋体"/>
          <w:color w:val="auto"/>
          <w:sz w:val="24"/>
          <w:szCs w:val="24"/>
          <w:highlight w:val="none"/>
        </w:rPr>
      </w:pPr>
      <w:r>
        <w:rPr>
          <w:rFonts w:hint="eastAsia" w:ascii="宋体" w:hAnsi="宋体" w:cs="宋体"/>
          <w:color w:val="auto"/>
          <w:sz w:val="24"/>
          <w:szCs w:val="24"/>
          <w:highlight w:val="none"/>
        </w:rPr>
        <w:t>3.2.4 投标报价的其他要求见投标人须知前附表。</w:t>
      </w:r>
    </w:p>
    <w:p w14:paraId="7FF7AA86">
      <w:pPr>
        <w:spacing w:line="360" w:lineRule="auto"/>
        <w:ind w:firstLine="540" w:firstLineChars="225"/>
        <w:rPr>
          <w:rFonts w:ascii="宋体" w:hAnsi="宋体" w:cs="宋体"/>
          <w:color w:val="auto"/>
          <w:sz w:val="24"/>
          <w:szCs w:val="24"/>
          <w:highlight w:val="none"/>
        </w:rPr>
      </w:pPr>
      <w:r>
        <w:rPr>
          <w:rFonts w:hint="eastAsia" w:ascii="宋体" w:hAnsi="宋体" w:cs="宋体"/>
          <w:color w:val="auto"/>
          <w:sz w:val="24"/>
          <w:szCs w:val="24"/>
          <w:highlight w:val="none"/>
        </w:rPr>
        <w:t>3.2.5投标报价货币为人民币含税价（元）。</w:t>
      </w:r>
    </w:p>
    <w:p w14:paraId="55E5978C">
      <w:pPr>
        <w:spacing w:line="360" w:lineRule="auto"/>
        <w:rPr>
          <w:rFonts w:ascii="宋体" w:hAnsi="宋体" w:cs="宋体"/>
          <w:b/>
          <w:color w:val="auto"/>
          <w:sz w:val="24"/>
          <w:szCs w:val="24"/>
          <w:highlight w:val="none"/>
        </w:rPr>
      </w:pPr>
      <w:bookmarkStart w:id="138" w:name="_Toc12995"/>
      <w:bookmarkEnd w:id="138"/>
      <w:bookmarkStart w:id="139" w:name="_Toc14190"/>
      <w:r>
        <w:rPr>
          <w:rFonts w:hint="eastAsia" w:ascii="宋体" w:hAnsi="宋体" w:cs="宋体"/>
          <w:b/>
          <w:color w:val="auto"/>
          <w:sz w:val="24"/>
          <w:szCs w:val="24"/>
          <w:highlight w:val="none"/>
        </w:rPr>
        <w:t>3.3 投标有效期</w:t>
      </w:r>
      <w:bookmarkEnd w:id="139"/>
    </w:p>
    <w:p w14:paraId="7DF40BF4">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3.3.1投标有效期见投标人须知前附表。</w:t>
      </w:r>
    </w:p>
    <w:p w14:paraId="637765FA">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3.3.2在投标有效期内，投标人撤销或修改其投标文件的，应承担招标文件和法律规定的责任。</w:t>
      </w:r>
    </w:p>
    <w:p w14:paraId="6AA655D5">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3.3.3 出现特殊情况需要延长投标有效期的，采购人以书面形式通知所有投标人延长投标有效期。投标人应予以书面答复，同意延长的，应相应延长其投标保证金的有效期，但不得要求或被允许修改其投标文件；投标人拒绝延长的，其投标失效，但投标人有权收回其投标保证金。</w:t>
      </w:r>
    </w:p>
    <w:p w14:paraId="76BBDDD3">
      <w:pPr>
        <w:spacing w:line="360" w:lineRule="auto"/>
        <w:rPr>
          <w:rFonts w:ascii="宋体" w:hAnsi="宋体" w:cs="宋体"/>
          <w:b/>
          <w:color w:val="auto"/>
          <w:sz w:val="24"/>
          <w:szCs w:val="24"/>
          <w:highlight w:val="none"/>
        </w:rPr>
      </w:pPr>
      <w:bookmarkStart w:id="140" w:name="_Toc1543"/>
      <w:bookmarkEnd w:id="140"/>
      <w:bookmarkStart w:id="141" w:name="_Toc23125"/>
      <w:r>
        <w:rPr>
          <w:rFonts w:hint="eastAsia" w:ascii="宋体" w:hAnsi="宋体" w:cs="宋体"/>
          <w:b/>
          <w:color w:val="auto"/>
          <w:sz w:val="24"/>
          <w:szCs w:val="24"/>
          <w:highlight w:val="none"/>
        </w:rPr>
        <w:t>3.4 投标保证金</w:t>
      </w:r>
      <w:bookmarkEnd w:id="141"/>
    </w:p>
    <w:p w14:paraId="097A195B">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3.4.1投标人在递交投标文件的同时，应按投标人须知前附表规定的金额、形式和第四章“投标文件格式”规定的投标保证金格式递交投标保证金，并作为其投标文件的组成部分。应当从其基本账户转出。</w:t>
      </w:r>
    </w:p>
    <w:p w14:paraId="53A6C9C2">
      <w:pPr>
        <w:spacing w:line="360" w:lineRule="auto"/>
        <w:ind w:left="479" w:leftChars="228"/>
        <w:rPr>
          <w:rFonts w:ascii="宋体" w:hAnsi="宋体" w:cs="宋体"/>
          <w:color w:val="auto"/>
          <w:sz w:val="24"/>
          <w:szCs w:val="24"/>
          <w:highlight w:val="none"/>
        </w:rPr>
      </w:pPr>
      <w:r>
        <w:rPr>
          <w:rFonts w:hint="eastAsia" w:ascii="宋体" w:hAnsi="宋体" w:cs="宋体"/>
          <w:color w:val="auto"/>
          <w:sz w:val="24"/>
          <w:szCs w:val="24"/>
          <w:highlight w:val="none"/>
        </w:rPr>
        <w:t>3.4.2 投标人不按本章第3.4.1 项要求提交投标保证金的，其投标将被视为无效投标。3.4.3 采购人或者采购代理机构应当自中标通知书发出之日起5个工作日内退还未中标人的投标保证金，自采购合同签订之日起5个工作日内退还中标人的投标保证金。</w:t>
      </w:r>
    </w:p>
    <w:p w14:paraId="66352153">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3.4.4 有下列情形之一的，投标保证金将不予退还：</w:t>
      </w:r>
    </w:p>
    <w:p w14:paraId="59891F32">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（1）投标人在投标有效期内撤销投标文件；</w:t>
      </w:r>
    </w:p>
    <w:p w14:paraId="5A268CB1">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（2）中标人在收到中标通知书后，无正当理由不与采购人订立合同，在签订合同时向采购人提出附加条件，或者不按照招标文件要求提交履约保证金；</w:t>
      </w:r>
    </w:p>
    <w:p w14:paraId="5858200A">
      <w:pPr>
        <w:spacing w:line="360" w:lineRule="auto"/>
        <w:ind w:left="479" w:leftChars="228"/>
        <w:rPr>
          <w:rFonts w:ascii="宋体" w:hAnsi="宋体" w:cs="宋体"/>
          <w:color w:val="auto"/>
          <w:sz w:val="24"/>
          <w:szCs w:val="24"/>
          <w:highlight w:val="none"/>
        </w:rPr>
      </w:pPr>
      <w:r>
        <w:rPr>
          <w:rFonts w:hint="eastAsia" w:ascii="宋体" w:hAnsi="宋体" w:cs="宋体"/>
          <w:color w:val="auto"/>
          <w:sz w:val="24"/>
          <w:szCs w:val="24"/>
          <w:highlight w:val="none"/>
        </w:rPr>
        <w:t>（3）其他法律法规要求不予退还投标保证金的情形。</w:t>
      </w:r>
    </w:p>
    <w:p w14:paraId="1AD6CBF9">
      <w:pPr>
        <w:spacing w:line="360" w:lineRule="auto"/>
        <w:rPr>
          <w:rFonts w:ascii="宋体" w:hAnsi="宋体" w:cs="宋体"/>
          <w:b/>
          <w:color w:val="auto"/>
          <w:sz w:val="24"/>
          <w:szCs w:val="24"/>
          <w:highlight w:val="none"/>
        </w:rPr>
      </w:pPr>
      <w:bookmarkStart w:id="142" w:name="_Toc32408"/>
      <w:bookmarkEnd w:id="142"/>
      <w:bookmarkStart w:id="143" w:name="_Toc4859"/>
      <w:r>
        <w:rPr>
          <w:rFonts w:hint="eastAsia" w:ascii="宋体" w:hAnsi="宋体" w:cs="宋体"/>
          <w:b/>
          <w:color w:val="auto"/>
          <w:sz w:val="24"/>
          <w:szCs w:val="24"/>
          <w:highlight w:val="none"/>
        </w:rPr>
        <w:t>3.5投标文件的编制</w:t>
      </w:r>
      <w:bookmarkEnd w:id="143"/>
    </w:p>
    <w:p w14:paraId="4C86DDE7">
      <w:pPr>
        <w:spacing w:line="360" w:lineRule="auto"/>
        <w:ind w:firstLine="480" w:firstLineChars="200"/>
        <w:rPr>
          <w:rFonts w:ascii="宋体" w:hAnsi="宋体" w:cs="宋体"/>
          <w:color w:val="auto"/>
          <w:sz w:val="24"/>
          <w:szCs w:val="24"/>
          <w:highlight w:val="none"/>
        </w:rPr>
      </w:pPr>
      <w:bookmarkStart w:id="144" w:name="_Toc7149"/>
      <w:r>
        <w:rPr>
          <w:rFonts w:hint="eastAsia" w:ascii="宋体" w:hAnsi="宋体" w:cs="宋体"/>
          <w:color w:val="auto"/>
          <w:sz w:val="24"/>
          <w:szCs w:val="24"/>
          <w:highlight w:val="none"/>
        </w:rPr>
        <w:t>3.5.1 投标文件应按第</w:t>
      </w:r>
      <w:r>
        <w:rPr>
          <w:rFonts w:hint="eastAsia" w:ascii="宋体" w:hAnsi="宋体" w:cs="宋体"/>
          <w:color w:val="auto"/>
          <w:sz w:val="24"/>
          <w:szCs w:val="24"/>
          <w:highlight w:val="none"/>
          <w:lang w:val="en-US" w:eastAsia="zh-CN"/>
        </w:rPr>
        <w:t>四</w:t>
      </w:r>
      <w:r>
        <w:rPr>
          <w:rFonts w:hint="eastAsia" w:ascii="宋体" w:hAnsi="宋体" w:cs="宋体"/>
          <w:color w:val="auto"/>
          <w:sz w:val="24"/>
          <w:szCs w:val="24"/>
          <w:highlight w:val="none"/>
        </w:rPr>
        <w:t>章“投标文件格式”进行编写，投标人应安装“政采云”投标客户端，根据招标文件格式编制投标文件，投标文件编制完成后须用 CA 按格式进行电子签章，在所要求的位置有法定代表人的电子签名或盖章，均使用 CA 按格式进行电子签章，最终生成加密标书后进行上传。</w:t>
      </w:r>
    </w:p>
    <w:p w14:paraId="616D2117">
      <w:pPr>
        <w:spacing w:line="360" w:lineRule="auto"/>
        <w:ind w:firstLine="480" w:firstLineChars="200"/>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3.5.2 投标文件应当对招标文件投标人须知前附表1.10规定的不允许偏离的实质性要求和条件作出响应。</w:t>
      </w:r>
    </w:p>
    <w:p w14:paraId="1FEAE028">
      <w:pPr>
        <w:spacing w:line="360" w:lineRule="auto"/>
        <w:ind w:firstLine="480" w:firstLineChars="200"/>
        <w:rPr>
          <w:rFonts w:ascii="宋体" w:hAnsi="宋体" w:cs="宋体"/>
          <w:color w:val="auto"/>
          <w:sz w:val="24"/>
          <w:szCs w:val="24"/>
          <w:highlight w:val="none"/>
        </w:rPr>
      </w:pPr>
      <w:bookmarkStart w:id="145" w:name="_Toc1490"/>
      <w:bookmarkEnd w:id="145"/>
      <w:bookmarkStart w:id="146" w:name="_Toc13757"/>
      <w:bookmarkEnd w:id="146"/>
      <w:r>
        <w:rPr>
          <w:rFonts w:hint="eastAsia" w:ascii="宋体" w:hAnsi="宋体" w:cs="宋体"/>
          <w:color w:val="auto"/>
          <w:sz w:val="24"/>
          <w:szCs w:val="24"/>
          <w:highlight w:val="none"/>
        </w:rPr>
        <w:t>3.5.3投标文件份数及文件</w:t>
      </w:r>
      <w:r>
        <w:rPr>
          <w:rFonts w:hint="eastAsia" w:ascii="宋体" w:hAnsi="宋体" w:cs="宋体"/>
          <w:color w:val="auto"/>
          <w:kern w:val="2"/>
          <w:sz w:val="24"/>
          <w:szCs w:val="24"/>
          <w:highlight w:val="none"/>
        </w:rPr>
        <w:t>签署、盖章</w:t>
      </w:r>
      <w:r>
        <w:rPr>
          <w:rFonts w:hint="eastAsia" w:ascii="宋体" w:hAnsi="宋体" w:cs="宋体"/>
          <w:color w:val="auto"/>
          <w:sz w:val="24"/>
          <w:szCs w:val="24"/>
          <w:highlight w:val="none"/>
        </w:rPr>
        <w:t>：投标人须知前附表。</w:t>
      </w:r>
    </w:p>
    <w:p w14:paraId="2CC8E9AC">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3.5.4如投标人提交的电子标书不符合3.5.1、3.5.3要求或开标时无法读取导入或解密，其投标文件将不予受理。</w:t>
      </w:r>
    </w:p>
    <w:p w14:paraId="3DB6543F">
      <w:pPr>
        <w:pStyle w:val="3"/>
        <w:spacing w:before="0" w:after="0" w:line="360" w:lineRule="auto"/>
        <w:rPr>
          <w:rFonts w:ascii="宋体" w:hAnsi="宋体" w:eastAsia="宋体" w:cs="宋体"/>
          <w:color w:val="auto"/>
          <w:sz w:val="28"/>
          <w:szCs w:val="28"/>
          <w:highlight w:val="none"/>
        </w:rPr>
      </w:pPr>
      <w:bookmarkStart w:id="147" w:name="_Toc32542"/>
      <w:r>
        <w:rPr>
          <w:rFonts w:hint="eastAsia" w:ascii="宋体" w:hAnsi="宋体" w:eastAsia="宋体" w:cs="宋体"/>
          <w:color w:val="auto"/>
          <w:sz w:val="28"/>
          <w:szCs w:val="28"/>
          <w:highlight w:val="none"/>
        </w:rPr>
        <w:t>4. 投标</w:t>
      </w:r>
      <w:bookmarkEnd w:id="144"/>
      <w:bookmarkEnd w:id="147"/>
    </w:p>
    <w:p w14:paraId="769ECBAA">
      <w:pPr>
        <w:spacing w:line="360" w:lineRule="auto"/>
        <w:rPr>
          <w:rFonts w:ascii="宋体" w:hAnsi="宋体" w:cs="宋体"/>
          <w:b/>
          <w:color w:val="auto"/>
          <w:sz w:val="24"/>
          <w:szCs w:val="24"/>
          <w:highlight w:val="none"/>
        </w:rPr>
      </w:pPr>
      <w:bookmarkStart w:id="148" w:name="_Toc1523"/>
      <w:bookmarkEnd w:id="148"/>
      <w:bookmarkStart w:id="149" w:name="_Toc25497"/>
      <w:r>
        <w:rPr>
          <w:rFonts w:hint="eastAsia" w:ascii="宋体" w:hAnsi="宋体" w:cs="宋体"/>
          <w:b/>
          <w:color w:val="auto"/>
          <w:sz w:val="24"/>
          <w:szCs w:val="24"/>
          <w:highlight w:val="none"/>
        </w:rPr>
        <w:t>4.1 投标文件的密封和标记</w:t>
      </w:r>
      <w:bookmarkEnd w:id="149"/>
    </w:p>
    <w:p w14:paraId="0D7BA5CB">
      <w:pPr>
        <w:spacing w:line="360" w:lineRule="auto"/>
        <w:ind w:firstLine="480"/>
        <w:rPr>
          <w:rFonts w:ascii="宋体" w:hAnsi="宋体" w:cs="宋体"/>
          <w:color w:val="auto"/>
          <w:sz w:val="24"/>
          <w:szCs w:val="24"/>
          <w:highlight w:val="none"/>
        </w:rPr>
      </w:pPr>
      <w:bookmarkStart w:id="150" w:name="_Toc27596"/>
      <w:bookmarkEnd w:id="150"/>
      <w:r>
        <w:rPr>
          <w:rFonts w:hint="eastAsia" w:ascii="宋体" w:hAnsi="宋体" w:cs="宋体"/>
          <w:color w:val="auto"/>
          <w:sz w:val="24"/>
          <w:szCs w:val="24"/>
          <w:highlight w:val="none"/>
        </w:rPr>
        <w:t>4.1.1 投标人应当按照“政采云”的要求加密投标文件，具体要求见投标人须知前附表。</w:t>
      </w:r>
    </w:p>
    <w:p w14:paraId="231682FB">
      <w:pPr>
        <w:spacing w:line="360" w:lineRule="auto"/>
        <w:rPr>
          <w:rFonts w:ascii="宋体" w:hAnsi="宋体" w:cs="宋体"/>
          <w:b/>
          <w:color w:val="auto"/>
          <w:sz w:val="24"/>
          <w:szCs w:val="24"/>
          <w:highlight w:val="none"/>
        </w:rPr>
      </w:pPr>
      <w:bookmarkStart w:id="151" w:name="_Toc20611"/>
      <w:bookmarkEnd w:id="151"/>
      <w:bookmarkStart w:id="152" w:name="_Toc9134"/>
      <w:r>
        <w:rPr>
          <w:rFonts w:hint="eastAsia" w:ascii="宋体" w:hAnsi="宋体" w:cs="宋体"/>
          <w:b/>
          <w:color w:val="auto"/>
          <w:sz w:val="24"/>
          <w:szCs w:val="24"/>
          <w:highlight w:val="none"/>
        </w:rPr>
        <w:t>4.2 投标文件的递交</w:t>
      </w:r>
      <w:bookmarkEnd w:id="152"/>
    </w:p>
    <w:p w14:paraId="53F7F6B0">
      <w:pPr>
        <w:pStyle w:val="14"/>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4.2.1投标文件的递交</w:t>
      </w:r>
    </w:p>
    <w:p w14:paraId="31D97755">
      <w:pPr>
        <w:pStyle w:val="14"/>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4.2.1.1 投标人应在投标人须知前附表规定的投标截止时间前递交投标文件。</w:t>
      </w:r>
    </w:p>
    <w:p w14:paraId="08E05C9D">
      <w:pPr>
        <w:pStyle w:val="14"/>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4.2.1.2 投标人递交投标文件地点：见投标人须知前附表。</w:t>
      </w:r>
    </w:p>
    <w:p w14:paraId="2D71508A">
      <w:pPr>
        <w:pStyle w:val="14"/>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4.2.1.3 除投标人须知前附表另有规定外，投标人所递交的投标文件不予退还。</w:t>
      </w:r>
    </w:p>
    <w:p w14:paraId="72FEE58C">
      <w:pPr>
        <w:pStyle w:val="14"/>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4.2.1.4 采购人或者采购代理机构收到投标文件后，应当如实记载投标文件的送达时间和密封情况，签收保存，并向投标人出具签收回执。</w:t>
      </w:r>
    </w:p>
    <w:p w14:paraId="43F712AB">
      <w:pPr>
        <w:pStyle w:val="14"/>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 xml:space="preserve">4.2.1.5 </w:t>
      </w:r>
      <w:r>
        <w:rPr>
          <w:rFonts w:hint="eastAsia" w:ascii="宋体" w:hAnsi="宋体" w:cs="宋体"/>
          <w:color w:val="auto"/>
          <w:sz w:val="24"/>
          <w:highlight w:val="none"/>
        </w:rPr>
        <w:t>逾期送达的、未送达指定地点的或者不按照招标文件要求密封的投标文件，采购人、采购代理机构将予以拒收</w:t>
      </w:r>
      <w:r>
        <w:rPr>
          <w:rFonts w:hint="eastAsia" w:ascii="宋体" w:hAnsi="宋体" w:cs="宋体"/>
          <w:color w:val="auto"/>
          <w:kern w:val="0"/>
          <w:sz w:val="24"/>
          <w:highlight w:val="none"/>
        </w:rPr>
        <w:t>。</w:t>
      </w:r>
    </w:p>
    <w:p w14:paraId="460804E9">
      <w:pPr>
        <w:spacing w:line="360" w:lineRule="auto"/>
        <w:rPr>
          <w:rFonts w:ascii="宋体" w:hAnsi="宋体" w:cs="宋体"/>
          <w:b/>
          <w:color w:val="auto"/>
          <w:sz w:val="24"/>
          <w:szCs w:val="24"/>
          <w:highlight w:val="none"/>
        </w:rPr>
      </w:pPr>
      <w:bookmarkStart w:id="153" w:name="_Toc8975"/>
      <w:bookmarkEnd w:id="153"/>
      <w:bookmarkStart w:id="154" w:name="_Toc21133"/>
      <w:bookmarkEnd w:id="154"/>
      <w:bookmarkStart w:id="155" w:name="_Toc5071"/>
      <w:r>
        <w:rPr>
          <w:rFonts w:hint="eastAsia" w:ascii="宋体" w:hAnsi="宋体" w:cs="宋体"/>
          <w:b/>
          <w:color w:val="auto"/>
          <w:sz w:val="24"/>
          <w:szCs w:val="24"/>
          <w:highlight w:val="none"/>
        </w:rPr>
        <w:t>4.3 投标文件的修改与撤回</w:t>
      </w:r>
      <w:bookmarkEnd w:id="155"/>
    </w:p>
    <w:p w14:paraId="1EA1E8F2">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4.3.1 在本章第4.2.1 项规定的投标截止时间前，投标人可以修改或撤回已递交的投标文件，无须书面形式通知采购人。</w:t>
      </w:r>
    </w:p>
    <w:p w14:paraId="51AED2CC">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4.3.2 投标人修改的投标文件按照电子交易平台的</w:t>
      </w:r>
      <w:r>
        <w:rPr>
          <w:rFonts w:hint="eastAsia" w:ascii="宋体" w:hAnsi="宋体" w:cs="宋体"/>
          <w:color w:val="auto"/>
          <w:sz w:val="24"/>
          <w:szCs w:val="24"/>
          <w:highlight w:val="none"/>
          <w:lang w:bidi="ar"/>
        </w:rPr>
        <w:t>规定进行编制、密封、标记和递交。</w:t>
      </w:r>
      <w:r>
        <w:rPr>
          <w:rFonts w:hint="eastAsia" w:ascii="宋体" w:hAnsi="宋体" w:cs="宋体"/>
          <w:color w:val="auto"/>
          <w:sz w:val="24"/>
          <w:szCs w:val="24"/>
          <w:highlight w:val="none"/>
        </w:rPr>
        <w:t>采购人如收到书面通知后，向投标人出具签收回执。</w:t>
      </w:r>
    </w:p>
    <w:p w14:paraId="698A4F47">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4.3.3 投标人在投标截止时间前撤回已提交的投标文件的，采购人或者采购代理机构应当自收到投标人书面撤回通知之日起5个工作日内，退还已收取的投标保证金，但因投标人自身原因导致无法及时退还的除外。</w:t>
      </w:r>
    </w:p>
    <w:p w14:paraId="2BC7AB10">
      <w:pPr>
        <w:spacing w:line="360" w:lineRule="auto"/>
        <w:ind w:firstLine="480" w:firstLineChars="200"/>
        <w:rPr>
          <w:rFonts w:ascii="宋体" w:hAnsi="宋体" w:cs="宋体"/>
          <w:color w:val="auto"/>
          <w:sz w:val="24"/>
          <w:szCs w:val="24"/>
          <w:highlight w:val="none"/>
        </w:rPr>
      </w:pPr>
      <w:bookmarkStart w:id="156" w:name="_Toc9271"/>
      <w:bookmarkEnd w:id="156"/>
      <w:bookmarkStart w:id="157" w:name="_Toc14362"/>
      <w:bookmarkEnd w:id="157"/>
      <w:bookmarkStart w:id="158" w:name="_Toc20324"/>
      <w:r>
        <w:rPr>
          <w:rFonts w:hint="eastAsia" w:ascii="宋体" w:hAnsi="宋体" w:cs="宋体"/>
          <w:color w:val="auto"/>
          <w:sz w:val="24"/>
          <w:szCs w:val="24"/>
          <w:highlight w:val="none"/>
        </w:rPr>
        <w:t>4.3.4 修改的内容为投标文件的组成部分。修改的投标文件应按照本章第3条、第4条的规定进行编制、密封、标记和递交，并标明“修改”字样。</w:t>
      </w:r>
    </w:p>
    <w:p w14:paraId="446010D0">
      <w:pPr>
        <w:pStyle w:val="3"/>
        <w:spacing w:before="0" w:after="0" w:line="360" w:lineRule="auto"/>
        <w:rPr>
          <w:rFonts w:ascii="宋体" w:hAnsi="宋体" w:eastAsia="宋体" w:cs="宋体"/>
          <w:color w:val="auto"/>
          <w:sz w:val="28"/>
          <w:szCs w:val="28"/>
          <w:highlight w:val="none"/>
        </w:rPr>
      </w:pPr>
      <w:bookmarkStart w:id="159" w:name="_Toc25416"/>
      <w:r>
        <w:rPr>
          <w:rFonts w:hint="eastAsia" w:ascii="宋体" w:hAnsi="宋体" w:eastAsia="宋体" w:cs="宋体"/>
          <w:color w:val="auto"/>
          <w:sz w:val="28"/>
          <w:szCs w:val="28"/>
          <w:highlight w:val="none"/>
        </w:rPr>
        <w:t>5. 开标</w:t>
      </w:r>
      <w:bookmarkEnd w:id="158"/>
      <w:bookmarkEnd w:id="159"/>
    </w:p>
    <w:p w14:paraId="1D128606">
      <w:pPr>
        <w:spacing w:line="360" w:lineRule="auto"/>
        <w:rPr>
          <w:rFonts w:ascii="宋体" w:hAnsi="宋体" w:cs="宋体"/>
          <w:b/>
          <w:color w:val="auto"/>
          <w:sz w:val="24"/>
          <w:szCs w:val="24"/>
          <w:highlight w:val="none"/>
        </w:rPr>
      </w:pPr>
      <w:bookmarkStart w:id="160" w:name="_Toc1527"/>
      <w:bookmarkEnd w:id="160"/>
      <w:bookmarkStart w:id="161" w:name="_Toc9143"/>
      <w:r>
        <w:rPr>
          <w:rFonts w:hint="eastAsia" w:ascii="宋体" w:hAnsi="宋体" w:cs="宋体"/>
          <w:b/>
          <w:color w:val="auto"/>
          <w:sz w:val="24"/>
          <w:szCs w:val="24"/>
          <w:highlight w:val="none"/>
        </w:rPr>
        <w:t>5.1 开标时间和地点</w:t>
      </w:r>
      <w:bookmarkEnd w:id="161"/>
    </w:p>
    <w:p w14:paraId="5978DCF5">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采购人在本章第4.2.1款规定的投标截止时间（开标时间）和投标人须知前附表规定的地点公开开标。</w:t>
      </w:r>
    </w:p>
    <w:p w14:paraId="4BC049CD">
      <w:pPr>
        <w:spacing w:line="360" w:lineRule="auto"/>
        <w:rPr>
          <w:rFonts w:ascii="宋体" w:hAnsi="宋体" w:cs="宋体"/>
          <w:b/>
          <w:color w:val="auto"/>
          <w:sz w:val="24"/>
          <w:szCs w:val="24"/>
          <w:highlight w:val="none"/>
        </w:rPr>
      </w:pPr>
      <w:bookmarkStart w:id="162" w:name="_Toc27792"/>
      <w:bookmarkEnd w:id="162"/>
      <w:bookmarkStart w:id="163" w:name="_Toc21332"/>
      <w:bookmarkEnd w:id="163"/>
      <w:bookmarkStart w:id="164" w:name="_Toc24636"/>
      <w:r>
        <w:rPr>
          <w:rFonts w:hint="eastAsia" w:ascii="宋体" w:hAnsi="宋体" w:cs="宋体"/>
          <w:b/>
          <w:color w:val="auto"/>
          <w:sz w:val="24"/>
          <w:szCs w:val="24"/>
          <w:highlight w:val="none"/>
        </w:rPr>
        <w:t>5.2 开标程序</w:t>
      </w:r>
      <w:bookmarkEnd w:id="164"/>
    </w:p>
    <w:p w14:paraId="15FBEC5E">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开标会现场由采购代理机构主持，具体流程如下：</w:t>
      </w:r>
    </w:p>
    <w:p w14:paraId="48795245">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（1）采购代理机构依托电子交易平台发起开始解密指令，投标人须使用加密时所用的 CA 锁按平台提示和招标文件的规定登录到“政采云”平台电子开标大厅签到，并在发起解密指令之时起60分钟内完成对电子投标文件在线解密。</w:t>
      </w:r>
    </w:p>
    <w:p w14:paraId="03F8E299">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（2）发起解密指令之时起5分钟内投标人还未进行解密的，采购代理机构可通知投标人，投标人未预留联系方式或预留联系方式无效，导致采购代理机构无法联系到投标人进行解密的，视为撤回投标文件。</w:t>
      </w:r>
    </w:p>
    <w:p w14:paraId="4EB2FE83">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（3）如投标人成功解密投标文件，但未在“政采云”电子开标大厅参加开标的，视同认可开标过程和结果，由此产生的后果由投标人自行负责。</w:t>
      </w:r>
    </w:p>
    <w:p w14:paraId="5A73068A">
      <w:pPr>
        <w:spacing w:line="360" w:lineRule="auto"/>
        <w:ind w:firstLine="540" w:firstLineChars="225"/>
        <w:rPr>
          <w:rFonts w:ascii="宋体" w:hAnsi="宋体" w:cs="宋体"/>
          <w:color w:val="auto"/>
          <w:sz w:val="24"/>
          <w:szCs w:val="24"/>
          <w:highlight w:val="none"/>
        </w:rPr>
      </w:pPr>
      <w:r>
        <w:rPr>
          <w:rFonts w:hint="eastAsia" w:ascii="宋体" w:hAnsi="宋体" w:cs="宋体"/>
          <w:color w:val="auto"/>
          <w:sz w:val="24"/>
          <w:szCs w:val="24"/>
          <w:highlight w:val="none"/>
        </w:rPr>
        <w:t>投标人不足3家的，不得开标。</w:t>
      </w:r>
    </w:p>
    <w:p w14:paraId="2C10FACE">
      <w:pPr>
        <w:spacing w:line="360" w:lineRule="auto"/>
        <w:rPr>
          <w:rFonts w:ascii="宋体" w:hAnsi="宋体" w:cs="宋体"/>
          <w:b/>
          <w:color w:val="auto"/>
          <w:sz w:val="24"/>
          <w:szCs w:val="24"/>
          <w:highlight w:val="none"/>
        </w:rPr>
      </w:pPr>
      <w:bookmarkStart w:id="165" w:name="_Toc27216"/>
      <w:bookmarkEnd w:id="165"/>
      <w:bookmarkStart w:id="166" w:name="_Toc22860"/>
      <w:r>
        <w:rPr>
          <w:rFonts w:hint="eastAsia" w:ascii="宋体" w:hAnsi="宋体" w:cs="宋体"/>
          <w:b/>
          <w:color w:val="auto"/>
          <w:sz w:val="24"/>
          <w:szCs w:val="24"/>
          <w:highlight w:val="none"/>
        </w:rPr>
        <w:t>5.3 开标疑义</w:t>
      </w:r>
      <w:bookmarkEnd w:id="166"/>
    </w:p>
    <w:p w14:paraId="6E8F92C5">
      <w:pPr>
        <w:spacing w:line="360" w:lineRule="auto"/>
        <w:ind w:firstLine="540" w:firstLineChars="225"/>
        <w:rPr>
          <w:rFonts w:ascii="宋体" w:hAnsi="宋体" w:cs="宋体"/>
          <w:color w:val="auto"/>
          <w:sz w:val="24"/>
          <w:szCs w:val="24"/>
          <w:highlight w:val="none"/>
        </w:rPr>
      </w:pPr>
      <w:r>
        <w:rPr>
          <w:rFonts w:hint="eastAsia" w:ascii="宋体" w:hAnsi="宋体" w:cs="宋体"/>
          <w:color w:val="auto"/>
          <w:sz w:val="24"/>
          <w:szCs w:val="24"/>
          <w:highlight w:val="none"/>
        </w:rPr>
        <w:t>开标过程应当由采购人或者采购代理机构负责记录，由参加开标的各投标人代表和相关工作人员签字确认后随招标文件一并存档。</w:t>
      </w:r>
    </w:p>
    <w:p w14:paraId="3877DA36">
      <w:pPr>
        <w:spacing w:line="360" w:lineRule="auto"/>
        <w:ind w:firstLine="540" w:firstLineChars="225"/>
        <w:rPr>
          <w:rFonts w:ascii="宋体" w:hAnsi="宋体" w:cs="宋体"/>
          <w:color w:val="auto"/>
          <w:sz w:val="24"/>
          <w:szCs w:val="24"/>
          <w:highlight w:val="none"/>
        </w:rPr>
      </w:pPr>
      <w:r>
        <w:rPr>
          <w:rFonts w:hint="eastAsia" w:ascii="宋体" w:hAnsi="宋体" w:cs="宋体"/>
          <w:color w:val="auto"/>
          <w:sz w:val="24"/>
          <w:szCs w:val="24"/>
          <w:highlight w:val="none"/>
        </w:rPr>
        <w:t>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14:paraId="634963D3">
      <w:pPr>
        <w:spacing w:line="360" w:lineRule="auto"/>
        <w:ind w:firstLine="540" w:firstLineChars="225"/>
        <w:rPr>
          <w:rFonts w:ascii="宋体" w:hAnsi="宋体" w:cs="宋体"/>
          <w:color w:val="auto"/>
          <w:sz w:val="24"/>
          <w:szCs w:val="24"/>
          <w:highlight w:val="none"/>
        </w:rPr>
      </w:pPr>
      <w:r>
        <w:rPr>
          <w:rFonts w:hint="eastAsia" w:ascii="宋体" w:hAnsi="宋体" w:cs="宋体"/>
          <w:color w:val="auto"/>
          <w:sz w:val="24"/>
          <w:szCs w:val="24"/>
          <w:highlight w:val="none"/>
        </w:rPr>
        <w:t>投标人未参加开标或未当场提出异议的，视同认可开标结果。</w:t>
      </w:r>
    </w:p>
    <w:p w14:paraId="25814384">
      <w:pPr>
        <w:pStyle w:val="3"/>
        <w:spacing w:before="0" w:after="0" w:line="360" w:lineRule="auto"/>
        <w:rPr>
          <w:rFonts w:ascii="宋体" w:hAnsi="宋体" w:eastAsia="宋体" w:cs="宋体"/>
          <w:color w:val="auto"/>
          <w:sz w:val="28"/>
          <w:szCs w:val="28"/>
          <w:highlight w:val="none"/>
        </w:rPr>
      </w:pPr>
      <w:bookmarkStart w:id="167" w:name="_Toc26040"/>
      <w:bookmarkEnd w:id="167"/>
      <w:bookmarkStart w:id="168" w:name="_Toc27754"/>
      <w:bookmarkEnd w:id="168"/>
      <w:bookmarkStart w:id="169" w:name="_Toc18599"/>
      <w:bookmarkStart w:id="170" w:name="_Toc30133"/>
      <w:r>
        <w:rPr>
          <w:rFonts w:hint="eastAsia" w:ascii="宋体" w:hAnsi="宋体" w:eastAsia="宋体" w:cs="宋体"/>
          <w:color w:val="auto"/>
          <w:sz w:val="28"/>
          <w:szCs w:val="28"/>
          <w:highlight w:val="none"/>
        </w:rPr>
        <w:t>6. 资格审查</w:t>
      </w:r>
      <w:bookmarkEnd w:id="169"/>
      <w:bookmarkEnd w:id="170"/>
    </w:p>
    <w:p w14:paraId="5F6D9B12">
      <w:pPr>
        <w:spacing w:line="360" w:lineRule="auto"/>
        <w:ind w:firstLine="540" w:firstLineChars="225"/>
        <w:rPr>
          <w:rFonts w:ascii="宋体" w:hAnsi="宋体" w:cs="宋体"/>
          <w:color w:val="auto"/>
          <w:sz w:val="24"/>
          <w:szCs w:val="24"/>
          <w:highlight w:val="none"/>
        </w:rPr>
      </w:pPr>
      <w:r>
        <w:rPr>
          <w:rFonts w:hint="eastAsia" w:ascii="宋体" w:hAnsi="宋体" w:cs="宋体"/>
          <w:color w:val="auto"/>
          <w:sz w:val="24"/>
          <w:szCs w:val="24"/>
          <w:highlight w:val="none"/>
        </w:rPr>
        <w:t>公开招标采购项目开标结束后，采购人或者采购代理机构应当依法对投标人的资格进行审查。</w:t>
      </w:r>
    </w:p>
    <w:p w14:paraId="0D912F9E">
      <w:pPr>
        <w:spacing w:line="360" w:lineRule="auto"/>
        <w:ind w:firstLine="540" w:firstLineChars="225"/>
        <w:rPr>
          <w:rFonts w:ascii="宋体" w:hAnsi="宋体" w:cs="宋体"/>
          <w:color w:val="auto"/>
          <w:sz w:val="24"/>
          <w:szCs w:val="24"/>
          <w:highlight w:val="none"/>
        </w:rPr>
      </w:pPr>
      <w:r>
        <w:rPr>
          <w:rFonts w:hint="eastAsia" w:ascii="宋体" w:hAnsi="宋体" w:cs="宋体"/>
          <w:color w:val="auto"/>
          <w:sz w:val="24"/>
          <w:szCs w:val="24"/>
          <w:highlight w:val="none"/>
        </w:rPr>
        <w:t>合格投标人不足3家的，不得评标。</w:t>
      </w:r>
    </w:p>
    <w:p w14:paraId="0942095D">
      <w:pPr>
        <w:pStyle w:val="3"/>
        <w:spacing w:before="0" w:after="0" w:line="360" w:lineRule="auto"/>
        <w:rPr>
          <w:rFonts w:ascii="宋体" w:hAnsi="宋体" w:eastAsia="宋体" w:cs="宋体"/>
          <w:color w:val="auto"/>
          <w:sz w:val="28"/>
          <w:szCs w:val="28"/>
          <w:highlight w:val="none"/>
        </w:rPr>
      </w:pPr>
      <w:bookmarkStart w:id="171" w:name="_Toc11518"/>
      <w:bookmarkEnd w:id="171"/>
      <w:bookmarkStart w:id="172" w:name="_Toc25563"/>
      <w:bookmarkEnd w:id="172"/>
      <w:bookmarkStart w:id="173" w:name="_Toc30626"/>
      <w:bookmarkStart w:id="174" w:name="_Toc29087"/>
      <w:r>
        <w:rPr>
          <w:rFonts w:hint="eastAsia" w:ascii="宋体" w:hAnsi="宋体" w:eastAsia="宋体" w:cs="宋体"/>
          <w:color w:val="auto"/>
          <w:sz w:val="28"/>
          <w:szCs w:val="28"/>
          <w:highlight w:val="none"/>
        </w:rPr>
        <w:t>7. 评标</w:t>
      </w:r>
      <w:bookmarkEnd w:id="173"/>
      <w:bookmarkEnd w:id="174"/>
    </w:p>
    <w:p w14:paraId="19790B62">
      <w:pPr>
        <w:spacing w:line="360" w:lineRule="auto"/>
        <w:rPr>
          <w:rFonts w:ascii="宋体" w:hAnsi="宋体" w:cs="宋体"/>
          <w:b/>
          <w:color w:val="auto"/>
          <w:sz w:val="24"/>
          <w:szCs w:val="24"/>
          <w:highlight w:val="none"/>
        </w:rPr>
      </w:pPr>
      <w:bookmarkStart w:id="175" w:name="_Toc11207"/>
      <w:bookmarkEnd w:id="175"/>
      <w:bookmarkStart w:id="176" w:name="_Toc4770"/>
      <w:r>
        <w:rPr>
          <w:rFonts w:hint="eastAsia" w:ascii="宋体" w:hAnsi="宋体" w:cs="宋体"/>
          <w:b/>
          <w:color w:val="auto"/>
          <w:sz w:val="24"/>
          <w:szCs w:val="24"/>
          <w:highlight w:val="none"/>
        </w:rPr>
        <w:t>7.1 评标委员会</w:t>
      </w:r>
      <w:bookmarkEnd w:id="176"/>
    </w:p>
    <w:p w14:paraId="01DCA8F9">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7.1.1 评标委员会由采购人代表以及有关技术、经济等方面的专家组成。评标委员会成员人数以及技术、经济等方面专家的确定方式见投标人须知前附表。</w:t>
      </w:r>
    </w:p>
    <w:p w14:paraId="3CFE496D">
      <w:pPr>
        <w:spacing w:line="360" w:lineRule="auto"/>
        <w:ind w:firstLine="540" w:firstLineChars="225"/>
        <w:rPr>
          <w:rFonts w:ascii="宋体" w:hAnsi="宋体" w:cs="宋体"/>
          <w:color w:val="auto"/>
          <w:sz w:val="24"/>
          <w:szCs w:val="24"/>
          <w:highlight w:val="none"/>
        </w:rPr>
      </w:pPr>
      <w:r>
        <w:rPr>
          <w:rFonts w:hint="eastAsia" w:ascii="宋体" w:hAnsi="宋体" w:cs="宋体"/>
          <w:color w:val="auto"/>
          <w:sz w:val="24"/>
          <w:szCs w:val="24"/>
          <w:highlight w:val="none"/>
        </w:rPr>
        <w:t>7.1.2 评标中因评标委员会成员缺席、回避或者健康等特殊原因导致评标委员会组成不符合《政府采购货物和服务招标投标管理办法》（财政部令第87号）规定的，采购人或者采购代理机构应当依法补足后继续评标。被更换的评标委员会成员所作出的评标意见无效。无法及时补足评标委员会成员的，采购人或者采购代理机构应当停止评标活动，封存所有投标文件和开标、评标资料，依法重新组建评标委员会进行评标。原评标委员会所作出的评标意见无效。采购人或者采购代理机构应当将变更、重新组建评标委员会的情况予以记录，并随招标文件一并存档。</w:t>
      </w:r>
    </w:p>
    <w:p w14:paraId="14A4549D">
      <w:pPr>
        <w:spacing w:line="360" w:lineRule="auto"/>
        <w:rPr>
          <w:rFonts w:ascii="宋体" w:hAnsi="宋体" w:cs="宋体"/>
          <w:b/>
          <w:color w:val="auto"/>
          <w:sz w:val="24"/>
          <w:szCs w:val="24"/>
          <w:highlight w:val="none"/>
        </w:rPr>
      </w:pPr>
      <w:bookmarkStart w:id="177" w:name="_Toc28237"/>
      <w:bookmarkEnd w:id="177"/>
      <w:bookmarkStart w:id="178" w:name="_Toc6336"/>
      <w:r>
        <w:rPr>
          <w:rFonts w:hint="eastAsia" w:ascii="宋体" w:hAnsi="宋体" w:cs="宋体"/>
          <w:b/>
          <w:color w:val="auto"/>
          <w:sz w:val="24"/>
          <w:szCs w:val="24"/>
          <w:highlight w:val="none"/>
        </w:rPr>
        <w:t>7.2 评标原则</w:t>
      </w:r>
      <w:bookmarkEnd w:id="178"/>
    </w:p>
    <w:p w14:paraId="6C9C251B">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评标活动遵循公平、公正、科学和择优的原则。</w:t>
      </w:r>
    </w:p>
    <w:p w14:paraId="6C45B693">
      <w:pPr>
        <w:spacing w:line="360" w:lineRule="auto"/>
        <w:rPr>
          <w:rFonts w:ascii="宋体" w:hAnsi="宋体" w:cs="宋体"/>
          <w:b/>
          <w:color w:val="auto"/>
          <w:sz w:val="24"/>
          <w:szCs w:val="24"/>
          <w:highlight w:val="none"/>
        </w:rPr>
      </w:pPr>
      <w:bookmarkStart w:id="179" w:name="_Toc10442"/>
      <w:bookmarkEnd w:id="179"/>
      <w:bookmarkStart w:id="180" w:name="_Toc5282"/>
      <w:r>
        <w:rPr>
          <w:rFonts w:hint="eastAsia" w:ascii="宋体" w:hAnsi="宋体" w:cs="宋体"/>
          <w:b/>
          <w:color w:val="auto"/>
          <w:sz w:val="24"/>
          <w:szCs w:val="24"/>
          <w:highlight w:val="none"/>
        </w:rPr>
        <w:t>7.3 评标</w:t>
      </w:r>
      <w:bookmarkEnd w:id="180"/>
    </w:p>
    <w:p w14:paraId="32F56ECB">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7.3.1 评标委员会按照第七章“评标办法”规定的方法、评审因素、标准和程序对投标文件进行评审。第七章“评标办法”没有规定的方法、评审因素和标准，不作为评标依据。</w:t>
      </w:r>
    </w:p>
    <w:p w14:paraId="5903653E">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7.3.2 评标完成后，评标委员会应当向采购人提交书面评标报告和中标候选人名单。评标委员会推荐中标候选人的人数见投标人须知前附表。</w:t>
      </w:r>
    </w:p>
    <w:p w14:paraId="372FACA6">
      <w:pPr>
        <w:pStyle w:val="3"/>
        <w:spacing w:before="0" w:after="0" w:line="360" w:lineRule="auto"/>
        <w:rPr>
          <w:rFonts w:ascii="宋体" w:hAnsi="宋体" w:eastAsia="宋体" w:cs="宋体"/>
          <w:color w:val="auto"/>
          <w:sz w:val="28"/>
          <w:szCs w:val="28"/>
          <w:highlight w:val="none"/>
        </w:rPr>
      </w:pPr>
      <w:bookmarkStart w:id="181" w:name="_Toc30483"/>
      <w:bookmarkEnd w:id="181"/>
      <w:bookmarkStart w:id="182" w:name="_Toc6003"/>
      <w:bookmarkEnd w:id="182"/>
      <w:bookmarkStart w:id="183" w:name="_Toc20315"/>
      <w:bookmarkStart w:id="184" w:name="_Toc22840"/>
      <w:r>
        <w:rPr>
          <w:rFonts w:hint="eastAsia" w:ascii="宋体" w:hAnsi="宋体" w:eastAsia="宋体" w:cs="宋体"/>
          <w:color w:val="auto"/>
          <w:sz w:val="28"/>
          <w:szCs w:val="28"/>
          <w:highlight w:val="none"/>
        </w:rPr>
        <w:t>8. 中标和合同</w:t>
      </w:r>
      <w:bookmarkEnd w:id="183"/>
      <w:bookmarkEnd w:id="184"/>
    </w:p>
    <w:p w14:paraId="41E211ED">
      <w:pPr>
        <w:spacing w:line="360" w:lineRule="auto"/>
        <w:rPr>
          <w:rFonts w:ascii="宋体" w:hAnsi="宋体" w:cs="宋体"/>
          <w:b/>
          <w:color w:val="auto"/>
          <w:sz w:val="24"/>
          <w:szCs w:val="24"/>
          <w:highlight w:val="none"/>
        </w:rPr>
      </w:pPr>
      <w:bookmarkStart w:id="185" w:name="_Toc18219"/>
      <w:bookmarkEnd w:id="185"/>
      <w:bookmarkStart w:id="186" w:name="_Toc31217"/>
      <w:r>
        <w:rPr>
          <w:rFonts w:hint="eastAsia" w:ascii="宋体" w:hAnsi="宋体" w:cs="宋体"/>
          <w:b/>
          <w:color w:val="auto"/>
          <w:sz w:val="24"/>
          <w:szCs w:val="24"/>
          <w:highlight w:val="none"/>
        </w:rPr>
        <w:t>8.1 定标</w:t>
      </w:r>
      <w:bookmarkEnd w:id="186"/>
    </w:p>
    <w:p w14:paraId="683D64CC">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按照投标人须知前附表的规定，采购人或采购人授权的评标委员会依法确定中标人。</w:t>
      </w:r>
    </w:p>
    <w:p w14:paraId="30E0CF01">
      <w:pPr>
        <w:spacing w:line="360" w:lineRule="auto"/>
        <w:rPr>
          <w:rFonts w:ascii="宋体" w:hAnsi="宋体" w:cs="宋体"/>
          <w:b/>
          <w:color w:val="auto"/>
          <w:sz w:val="24"/>
          <w:szCs w:val="24"/>
          <w:highlight w:val="none"/>
        </w:rPr>
      </w:pPr>
      <w:bookmarkStart w:id="187" w:name="_Toc18811"/>
      <w:bookmarkEnd w:id="187"/>
      <w:bookmarkStart w:id="188" w:name="_Toc18115"/>
      <w:r>
        <w:rPr>
          <w:rFonts w:hint="eastAsia" w:ascii="宋体" w:hAnsi="宋体" w:cs="宋体"/>
          <w:b/>
          <w:color w:val="auto"/>
          <w:sz w:val="24"/>
          <w:szCs w:val="24"/>
          <w:highlight w:val="none"/>
        </w:rPr>
        <w:t>8.2中标公告</w:t>
      </w:r>
      <w:bookmarkEnd w:id="188"/>
    </w:p>
    <w:p w14:paraId="7E5CA9A2">
      <w:pPr>
        <w:widowControl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采购人或者采购代理机构应当自中标人确定之日起2个工作日内，按照投标人须知前附表规定的发布媒介和期限公告中标结果，招标文件应当随中标结果同时公告。</w:t>
      </w:r>
    </w:p>
    <w:p w14:paraId="18C92849">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中标公告期限详见投标人须知前附表。</w:t>
      </w:r>
    </w:p>
    <w:p w14:paraId="257DA90E">
      <w:pPr>
        <w:spacing w:line="360" w:lineRule="auto"/>
        <w:rPr>
          <w:rFonts w:ascii="宋体" w:hAnsi="宋体" w:cs="宋体"/>
          <w:b/>
          <w:color w:val="auto"/>
          <w:sz w:val="24"/>
          <w:szCs w:val="24"/>
          <w:highlight w:val="none"/>
        </w:rPr>
      </w:pPr>
      <w:bookmarkStart w:id="189" w:name="_Toc8411"/>
      <w:bookmarkEnd w:id="189"/>
      <w:bookmarkStart w:id="190" w:name="_Toc16495"/>
      <w:bookmarkEnd w:id="190"/>
      <w:bookmarkStart w:id="191" w:name="_Toc3833"/>
      <w:r>
        <w:rPr>
          <w:rFonts w:hint="eastAsia" w:ascii="宋体" w:hAnsi="宋体" w:cs="宋体"/>
          <w:b/>
          <w:color w:val="auto"/>
          <w:sz w:val="24"/>
          <w:szCs w:val="24"/>
          <w:highlight w:val="none"/>
        </w:rPr>
        <w:t>8.3中标通知</w:t>
      </w:r>
      <w:bookmarkEnd w:id="191"/>
    </w:p>
    <w:p w14:paraId="50065BB0">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在本章第3.3 款规定的投标有效期内，在公告中标结果的同时，采购人或者采购代理机构应当向中标人发出中标通知书。</w:t>
      </w:r>
    </w:p>
    <w:p w14:paraId="12516173">
      <w:pPr>
        <w:spacing w:line="360" w:lineRule="auto"/>
        <w:rPr>
          <w:rFonts w:ascii="宋体" w:hAnsi="宋体" w:cs="宋体"/>
          <w:b/>
          <w:color w:val="auto"/>
          <w:sz w:val="24"/>
          <w:szCs w:val="24"/>
          <w:highlight w:val="none"/>
        </w:rPr>
      </w:pPr>
      <w:bookmarkStart w:id="192" w:name="_Toc13042"/>
      <w:bookmarkEnd w:id="192"/>
      <w:bookmarkStart w:id="193" w:name="_Toc7193"/>
      <w:r>
        <w:rPr>
          <w:rFonts w:hint="eastAsia" w:ascii="宋体" w:hAnsi="宋体" w:cs="宋体"/>
          <w:b/>
          <w:color w:val="auto"/>
          <w:sz w:val="24"/>
          <w:szCs w:val="24"/>
          <w:highlight w:val="none"/>
        </w:rPr>
        <w:t>8.4 履约保证金</w:t>
      </w:r>
      <w:bookmarkEnd w:id="193"/>
    </w:p>
    <w:p w14:paraId="55AECBA3">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8.4.1 在签订合同前，中标人应按投标人须知前附表规定的形式、金额向采购人提交履约保证金。</w:t>
      </w:r>
    </w:p>
    <w:p w14:paraId="04BDA824">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8.4.2 中标人不能按本章第8.4.1项要求提交履约保证金的，视为放弃中标，其投标保证金不予退还，给采购人造成的损失超过投标保证金数额的，中标人还应当对超过部分予以赔偿。</w:t>
      </w:r>
    </w:p>
    <w:p w14:paraId="696EC75B">
      <w:pPr>
        <w:rPr>
          <w:rFonts w:hint="eastAsia" w:ascii="宋体" w:hAnsi="宋体" w:cs="宋体"/>
          <w:b/>
          <w:color w:val="auto"/>
          <w:sz w:val="24"/>
          <w:szCs w:val="24"/>
          <w:highlight w:val="none"/>
        </w:rPr>
      </w:pPr>
      <w:bookmarkStart w:id="194" w:name="_Toc6413"/>
      <w:bookmarkEnd w:id="194"/>
      <w:bookmarkStart w:id="195" w:name="_Toc18519"/>
      <w:r>
        <w:rPr>
          <w:rFonts w:hint="eastAsia" w:ascii="宋体" w:hAnsi="宋体" w:cs="宋体"/>
          <w:b/>
          <w:color w:val="auto"/>
          <w:sz w:val="24"/>
          <w:szCs w:val="24"/>
          <w:highlight w:val="none"/>
        </w:rPr>
        <w:br w:type="page"/>
      </w:r>
    </w:p>
    <w:p w14:paraId="202E5C9B">
      <w:pP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8.5 签订合同</w:t>
      </w:r>
      <w:bookmarkEnd w:id="195"/>
    </w:p>
    <w:p w14:paraId="2428B470">
      <w:pPr>
        <w:spacing w:line="360" w:lineRule="auto"/>
        <w:ind w:firstLine="480" w:firstLineChars="20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8.5.1中标人在领取中标通知书时需提交一式三份纸质版投标文件（需装订成册）给采购人归档，此装订成册的投标文件应从政采云平台下载打印（内容应与电子投标文件完全一致，一正两副，正本需彩色打印）</w:t>
      </w:r>
    </w:p>
    <w:p w14:paraId="73850248">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8.5.2</w:t>
      </w:r>
      <w:r>
        <w:rPr>
          <w:rFonts w:hint="eastAsia" w:ascii="宋体" w:hAnsi="宋体" w:cs="宋体"/>
          <w:color w:val="auto"/>
          <w:sz w:val="24"/>
          <w:szCs w:val="24"/>
          <w:highlight w:val="none"/>
        </w:rPr>
        <w:t>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14:paraId="189D759D">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8.5.</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 xml:space="preserve"> 中标通知书发出后，采购人不得违法改变中标结果，中标人无正当理由不得放弃中标。</w:t>
      </w:r>
    </w:p>
    <w:p w14:paraId="599A1C36">
      <w:pPr>
        <w:pStyle w:val="3"/>
        <w:spacing w:before="0" w:after="0" w:line="360" w:lineRule="auto"/>
        <w:rPr>
          <w:rFonts w:ascii="宋体" w:hAnsi="宋体" w:eastAsia="宋体" w:cs="宋体"/>
          <w:color w:val="auto"/>
          <w:sz w:val="28"/>
          <w:szCs w:val="28"/>
          <w:highlight w:val="none"/>
        </w:rPr>
      </w:pPr>
      <w:bookmarkStart w:id="196" w:name="_Toc21606"/>
      <w:r>
        <w:rPr>
          <w:rFonts w:hint="eastAsia" w:ascii="宋体" w:hAnsi="宋体" w:eastAsia="宋体" w:cs="宋体"/>
          <w:color w:val="auto"/>
          <w:sz w:val="28"/>
          <w:szCs w:val="28"/>
          <w:highlight w:val="none"/>
        </w:rPr>
        <w:t>9. 询问与答复</w:t>
      </w:r>
      <w:bookmarkEnd w:id="196"/>
    </w:p>
    <w:p w14:paraId="1ECD5E69">
      <w:pPr>
        <w:pStyle w:val="14"/>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凡对本次招标采购活动事项有疑问的，可以向采购代理机构提出询问，采购代理机构将及时作出答复，但答复的内容不得涉及商业秘密。</w:t>
      </w:r>
    </w:p>
    <w:p w14:paraId="2D03B3E5">
      <w:pPr>
        <w:pStyle w:val="3"/>
        <w:spacing w:before="0" w:after="0" w:line="360" w:lineRule="auto"/>
        <w:rPr>
          <w:rFonts w:ascii="宋体" w:hAnsi="宋体" w:eastAsia="宋体" w:cs="宋体"/>
          <w:color w:val="auto"/>
          <w:sz w:val="28"/>
          <w:szCs w:val="28"/>
          <w:highlight w:val="none"/>
        </w:rPr>
      </w:pPr>
      <w:bookmarkStart w:id="197" w:name="_Toc20692"/>
      <w:bookmarkEnd w:id="197"/>
      <w:bookmarkStart w:id="198" w:name="_Toc11854"/>
      <w:bookmarkEnd w:id="198"/>
      <w:bookmarkStart w:id="199" w:name="_Toc12821"/>
      <w:bookmarkStart w:id="200" w:name="_Toc20594"/>
      <w:r>
        <w:rPr>
          <w:rFonts w:hint="eastAsia" w:ascii="宋体" w:hAnsi="宋体" w:eastAsia="宋体" w:cs="宋体"/>
          <w:color w:val="auto"/>
          <w:sz w:val="28"/>
          <w:szCs w:val="28"/>
          <w:highlight w:val="none"/>
        </w:rPr>
        <w:t>10. 质疑接收、回复</w:t>
      </w:r>
      <w:bookmarkEnd w:id="199"/>
    </w:p>
    <w:p w14:paraId="3EE669E0">
      <w:pP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   10.1质疑接收</w:t>
      </w:r>
    </w:p>
    <w:p w14:paraId="16F89A6C">
      <w:pPr>
        <w:widowControl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10.1.1投标人认为招标文件、招标过程和中标结果使自己的权益受到损害的，可以根据《中华人民共和国政府采购法》、《中华人民共和国政府采购法实施条例》和《政府采购质疑和投诉办法》的有关规定，依法向采购人或其委托的采购代理机构提出质疑。</w:t>
      </w:r>
    </w:p>
    <w:p w14:paraId="0367B282">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10.1.2 质疑供应商应按照财政部制定的《政府采购质疑函范本》格式和《政府采购质疑和投诉办法》的要求，在法定质疑期内书面形式提出质疑，针对同一采购程序环节的质疑应一次性提出。</w:t>
      </w:r>
    </w:p>
    <w:p w14:paraId="2531F037">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超出法定质疑期的、重复提出的、分次提出的或内容、形式不符合《政府采购质疑和投诉办法》的，质疑供应商将依法承担不利后果。</w:t>
      </w:r>
    </w:p>
    <w:p w14:paraId="7E62689C">
      <w:pPr>
        <w:wordWrap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10.1.3采购代理机构接收质疑函的方式、联系部门、联系电话和通讯地址。</w:t>
      </w:r>
    </w:p>
    <w:p w14:paraId="3551C6DD">
      <w:pPr>
        <w:wordWrap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接收质疑函的方式：质疑函采取现场书面递交形式。由法定代表人持本人身份证原件或授权委托代理人持本人身份证原件及授权委托书原件，同时携带质疑函（原件）和加盖单位公章的相关依据和证明材料，送至采购代理机构或将以上资料原件扫描件发送至</w:t>
      </w:r>
      <w:r>
        <w:rPr>
          <w:rFonts w:hint="eastAsia" w:ascii="宋体" w:hAnsi="宋体" w:cs="宋体"/>
          <w:color w:val="auto"/>
          <w:sz w:val="24"/>
          <w:szCs w:val="24"/>
          <w:highlight w:val="none"/>
          <w:lang w:eastAsia="zh-CN"/>
        </w:rPr>
        <w:t>758126330@qq.com</w:t>
      </w:r>
      <w:r>
        <w:rPr>
          <w:rFonts w:hint="eastAsia" w:ascii="宋体" w:hAnsi="宋体" w:cs="宋体"/>
          <w:color w:val="auto"/>
          <w:sz w:val="24"/>
          <w:szCs w:val="24"/>
          <w:highlight w:val="none"/>
        </w:rPr>
        <w:t>。</w:t>
      </w:r>
    </w:p>
    <w:p w14:paraId="69230C9A">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联系部门：</w:t>
      </w:r>
      <w:r>
        <w:rPr>
          <w:rFonts w:hint="eastAsia" w:ascii="宋体" w:hAnsi="宋体" w:cs="宋体"/>
          <w:color w:val="auto"/>
          <w:sz w:val="24"/>
          <w:szCs w:val="24"/>
          <w:highlight w:val="none"/>
          <w:lang w:eastAsia="zh-CN"/>
        </w:rPr>
        <w:t>云南兴语招标有限公司</w:t>
      </w:r>
      <w:r>
        <w:rPr>
          <w:rFonts w:hint="eastAsia" w:ascii="宋体" w:hAnsi="宋体" w:cs="宋体"/>
          <w:color w:val="auto"/>
          <w:sz w:val="24"/>
          <w:szCs w:val="24"/>
          <w:highlight w:val="none"/>
        </w:rPr>
        <w:t>。</w:t>
      </w:r>
    </w:p>
    <w:p w14:paraId="42CE74EF">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联系电话：</w:t>
      </w:r>
      <w:r>
        <w:rPr>
          <w:rFonts w:hint="eastAsia" w:ascii="宋体" w:hAnsi="宋体" w:cs="宋体"/>
          <w:color w:val="auto"/>
          <w:sz w:val="24"/>
          <w:szCs w:val="24"/>
          <w:highlight w:val="none"/>
          <w:u w:val="none"/>
          <w:lang w:eastAsia="zh-CN"/>
        </w:rPr>
        <w:t>0871-65611303</w:t>
      </w:r>
    </w:p>
    <w:p w14:paraId="5B40133E">
      <w:pPr>
        <w:pStyle w:val="14"/>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rPr>
        <w:t>通讯地址：</w:t>
      </w:r>
      <w:r>
        <w:rPr>
          <w:rFonts w:hint="eastAsia" w:ascii="宋体" w:hAnsi="宋体" w:cs="宋体"/>
          <w:color w:val="auto"/>
          <w:sz w:val="24"/>
          <w:highlight w:val="none"/>
          <w:lang w:eastAsia="zh-CN"/>
        </w:rPr>
        <w:t>昆明市盘龙区同德昆明广场B区4栋1401</w:t>
      </w:r>
    </w:p>
    <w:p w14:paraId="1B59E89B">
      <w:pPr>
        <w:pStyle w:val="14"/>
        <w:ind w:firstLine="482" w:firstLineChars="200"/>
        <w:rPr>
          <w:rFonts w:ascii="宋体" w:hAnsi="宋体" w:cs="宋体"/>
          <w:b/>
          <w:color w:val="auto"/>
          <w:kern w:val="0"/>
          <w:sz w:val="24"/>
          <w:highlight w:val="none"/>
        </w:rPr>
      </w:pPr>
      <w:r>
        <w:rPr>
          <w:rFonts w:hint="eastAsia" w:ascii="宋体" w:hAnsi="宋体" w:cs="宋体"/>
          <w:b/>
          <w:color w:val="auto"/>
          <w:kern w:val="0"/>
          <w:sz w:val="24"/>
          <w:highlight w:val="none"/>
        </w:rPr>
        <w:t>10.1.4不按上述要求提出的，采购人和采购代理机构将不予受理。</w:t>
      </w:r>
    </w:p>
    <w:p w14:paraId="41370757">
      <w:pPr>
        <w:spacing w:line="360" w:lineRule="auto"/>
        <w:ind w:firstLine="482" w:firstLineChars="200"/>
        <w:rPr>
          <w:rFonts w:ascii="宋体" w:hAnsi="宋体" w:cs="宋体"/>
          <w:b/>
          <w:color w:val="auto"/>
          <w:sz w:val="24"/>
          <w:szCs w:val="24"/>
          <w:highlight w:val="none"/>
        </w:rPr>
      </w:pPr>
      <w:r>
        <w:rPr>
          <w:rFonts w:hint="eastAsia" w:ascii="宋体" w:hAnsi="宋体" w:cs="宋体"/>
          <w:b/>
          <w:color w:val="auto"/>
          <w:sz w:val="24"/>
          <w:szCs w:val="24"/>
          <w:highlight w:val="none"/>
        </w:rPr>
        <w:t>10.2质疑回复</w:t>
      </w:r>
    </w:p>
    <w:p w14:paraId="6AE4B4A0">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采购人或者采购代理机构应在收到质疑函后7个工作日内作出答复，并以书面形式通知质疑投标人和其他有关投标人，质疑答复的内容不得涉及商业秘密。</w:t>
      </w:r>
    </w:p>
    <w:p w14:paraId="5B47712D">
      <w:pPr>
        <w:spacing w:line="360" w:lineRule="auto"/>
        <w:ind w:firstLine="482" w:firstLineChars="200"/>
        <w:rPr>
          <w:rFonts w:ascii="宋体" w:hAnsi="宋体" w:cs="宋体"/>
          <w:b/>
          <w:color w:val="auto"/>
          <w:sz w:val="24"/>
          <w:szCs w:val="24"/>
          <w:highlight w:val="none"/>
        </w:rPr>
      </w:pPr>
      <w:r>
        <w:rPr>
          <w:rFonts w:hint="eastAsia" w:ascii="宋体" w:hAnsi="宋体" w:cs="宋体"/>
          <w:b/>
          <w:color w:val="auto"/>
          <w:sz w:val="24"/>
          <w:szCs w:val="24"/>
          <w:highlight w:val="none"/>
        </w:rPr>
        <w:t>10.3投诉</w:t>
      </w:r>
    </w:p>
    <w:p w14:paraId="6337103E">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投诉必须首先经过质疑程序。质疑人对采购人、采购代理机构的答复不满意，或者采购人、采购代理机构未在规定的时间内做出答复的，可以在答复期满后15个工作日内书面向同级财政部门提出投诉。</w:t>
      </w:r>
    </w:p>
    <w:p w14:paraId="4D1CFF79">
      <w:pPr>
        <w:pStyle w:val="3"/>
        <w:spacing w:before="0" w:after="0" w:line="360" w:lineRule="auto"/>
        <w:rPr>
          <w:rFonts w:ascii="宋体" w:hAnsi="宋体" w:eastAsia="宋体" w:cs="宋体"/>
          <w:color w:val="auto"/>
          <w:sz w:val="28"/>
          <w:szCs w:val="28"/>
          <w:highlight w:val="none"/>
        </w:rPr>
      </w:pPr>
      <w:bookmarkStart w:id="201" w:name="_Toc24138"/>
      <w:r>
        <w:rPr>
          <w:rFonts w:hint="eastAsia" w:ascii="宋体" w:hAnsi="宋体" w:eastAsia="宋体" w:cs="宋体"/>
          <w:color w:val="auto"/>
          <w:sz w:val="28"/>
          <w:szCs w:val="28"/>
          <w:highlight w:val="none"/>
        </w:rPr>
        <w:t>11. 纪律和监督</w:t>
      </w:r>
      <w:bookmarkEnd w:id="200"/>
      <w:bookmarkEnd w:id="201"/>
    </w:p>
    <w:p w14:paraId="6AD22CD8">
      <w:pPr>
        <w:spacing w:line="360" w:lineRule="auto"/>
        <w:rPr>
          <w:rFonts w:ascii="宋体" w:hAnsi="宋体" w:cs="宋体"/>
          <w:b/>
          <w:color w:val="auto"/>
          <w:sz w:val="24"/>
          <w:szCs w:val="24"/>
          <w:highlight w:val="none"/>
        </w:rPr>
      </w:pPr>
      <w:bookmarkStart w:id="202" w:name="_Toc453"/>
      <w:bookmarkEnd w:id="202"/>
      <w:bookmarkStart w:id="203" w:name="_Toc14990"/>
      <w:r>
        <w:rPr>
          <w:rFonts w:hint="eastAsia" w:ascii="宋体" w:hAnsi="宋体" w:cs="宋体"/>
          <w:b/>
          <w:color w:val="auto"/>
          <w:sz w:val="24"/>
          <w:szCs w:val="24"/>
          <w:highlight w:val="none"/>
        </w:rPr>
        <w:t>11.1 对采购人的纪律要求</w:t>
      </w:r>
      <w:bookmarkEnd w:id="203"/>
    </w:p>
    <w:p w14:paraId="35C8C82D">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（1）按照《政府采购货物和服务招标投标管理办法》（财政部令第87号）的规定编制采购需求；</w:t>
      </w:r>
    </w:p>
    <w:p w14:paraId="25E1E4EB">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（2）采购人不得向供应商索要或者接受其给予的赠品、回扣或者与采购无关的其他商品、服务；</w:t>
      </w:r>
    </w:p>
    <w:p w14:paraId="7951F563">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（3）在规定时间内确定中标人；</w:t>
      </w:r>
    </w:p>
    <w:p w14:paraId="3C3B4E34">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（4）不得向中标人提出不合理要求作为签订合同条件。</w:t>
      </w:r>
    </w:p>
    <w:p w14:paraId="2C265B60">
      <w:pPr>
        <w:spacing w:line="360" w:lineRule="auto"/>
        <w:rPr>
          <w:rFonts w:ascii="宋体" w:hAnsi="宋体" w:cs="宋体"/>
          <w:b/>
          <w:color w:val="auto"/>
          <w:sz w:val="24"/>
          <w:szCs w:val="24"/>
          <w:highlight w:val="none"/>
        </w:rPr>
      </w:pPr>
      <w:bookmarkStart w:id="204" w:name="_Toc20446"/>
      <w:bookmarkEnd w:id="204"/>
      <w:bookmarkStart w:id="205" w:name="_Toc14876"/>
      <w:r>
        <w:rPr>
          <w:rFonts w:hint="eastAsia" w:ascii="宋体" w:hAnsi="宋体" w:cs="宋体"/>
          <w:b/>
          <w:color w:val="auto"/>
          <w:sz w:val="24"/>
          <w:szCs w:val="24"/>
          <w:highlight w:val="none"/>
        </w:rPr>
        <w:t>11.2 对投标人的纪律要求</w:t>
      </w:r>
      <w:bookmarkEnd w:id="205"/>
    </w:p>
    <w:p w14:paraId="4FE20FB7">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投标人不得相互串通投标或者与采购人串通投标，不得向采购人或者评标委员会成员行贿谋取中标，不得以他人名义投标或者以其他方式弄虚作假骗取中标；投标人不得以任何方式干扰、影响评标工作。</w:t>
      </w:r>
    </w:p>
    <w:p w14:paraId="619FE5BE">
      <w:pPr>
        <w:spacing w:line="360" w:lineRule="auto"/>
        <w:rPr>
          <w:rFonts w:ascii="宋体" w:hAnsi="宋体" w:cs="宋体"/>
          <w:b/>
          <w:color w:val="auto"/>
          <w:sz w:val="24"/>
          <w:szCs w:val="24"/>
          <w:highlight w:val="none"/>
        </w:rPr>
      </w:pPr>
      <w:bookmarkStart w:id="206" w:name="_Toc17796"/>
      <w:bookmarkEnd w:id="206"/>
      <w:bookmarkStart w:id="207" w:name="_Toc29247"/>
      <w:r>
        <w:rPr>
          <w:rFonts w:hint="eastAsia" w:ascii="宋体" w:hAnsi="宋体" w:cs="宋体"/>
          <w:b/>
          <w:color w:val="auto"/>
          <w:sz w:val="24"/>
          <w:szCs w:val="24"/>
          <w:highlight w:val="none"/>
        </w:rPr>
        <w:t>11.3 对评标委员会成员的纪律要求</w:t>
      </w:r>
      <w:bookmarkEnd w:id="207"/>
    </w:p>
    <w:p w14:paraId="425EE047">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评标委员会及其成员不得有下列行为：</w:t>
      </w:r>
    </w:p>
    <w:p w14:paraId="46DF3376">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（1）确定参与评标至评标结束前私自接触投标人；</w:t>
      </w:r>
    </w:p>
    <w:p w14:paraId="312E0AE9">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（2）接受投标人提出的与投标文件不一致的澄清或者说明；</w:t>
      </w:r>
    </w:p>
    <w:p w14:paraId="4BCE1596">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（3）违反评标纪律发表倾向性意见或者征询采购人的倾向性意见；</w:t>
      </w:r>
    </w:p>
    <w:p w14:paraId="3ED9016A">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（4）对需要专业判断的主观评审因素协商评分；</w:t>
      </w:r>
    </w:p>
    <w:p w14:paraId="5794CF8A">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（5）在评标过程中擅离职守，影响评标程序正常进行的；</w:t>
      </w:r>
    </w:p>
    <w:p w14:paraId="761E437E">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（6）记录、复制或者带走任何评标资料；</w:t>
      </w:r>
    </w:p>
    <w:p w14:paraId="3625F80A">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（7）其他不遵守评标纪律的行为。</w:t>
      </w:r>
    </w:p>
    <w:p w14:paraId="697DFE10">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评标委员会成员有前款第（1）至（7）项行为之一的，其评审意见无效，并不得获取评审劳务报酬和报销异地评审差旅费。</w:t>
      </w:r>
    </w:p>
    <w:p w14:paraId="4ECAED2F">
      <w:pPr>
        <w:spacing w:line="360" w:lineRule="auto"/>
        <w:rPr>
          <w:rFonts w:ascii="宋体" w:hAnsi="宋体" w:cs="宋体"/>
          <w:b/>
          <w:color w:val="auto"/>
          <w:sz w:val="24"/>
          <w:szCs w:val="24"/>
          <w:highlight w:val="none"/>
        </w:rPr>
      </w:pPr>
      <w:bookmarkStart w:id="208" w:name="_Toc22639"/>
      <w:bookmarkEnd w:id="208"/>
      <w:bookmarkStart w:id="209" w:name="_Toc5153"/>
      <w:r>
        <w:rPr>
          <w:rFonts w:hint="eastAsia" w:ascii="宋体" w:hAnsi="宋体" w:cs="宋体"/>
          <w:b/>
          <w:color w:val="auto"/>
          <w:sz w:val="24"/>
          <w:szCs w:val="24"/>
          <w:highlight w:val="none"/>
        </w:rPr>
        <w:t>11.4 对与评标活动有关的工作人员的纪律要求</w:t>
      </w:r>
      <w:bookmarkEnd w:id="209"/>
    </w:p>
    <w:p w14:paraId="1D1E72A4">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14:paraId="6B0A89CD">
      <w:pPr>
        <w:pStyle w:val="3"/>
        <w:spacing w:before="0" w:after="0" w:line="360" w:lineRule="auto"/>
        <w:rPr>
          <w:rFonts w:ascii="宋体" w:hAnsi="宋体" w:eastAsia="宋体" w:cs="宋体"/>
          <w:color w:val="auto"/>
          <w:sz w:val="28"/>
          <w:szCs w:val="28"/>
          <w:highlight w:val="none"/>
        </w:rPr>
      </w:pPr>
      <w:bookmarkStart w:id="210" w:name="_Toc18697"/>
      <w:bookmarkEnd w:id="210"/>
      <w:bookmarkStart w:id="211" w:name="_Toc19873"/>
      <w:bookmarkEnd w:id="211"/>
      <w:bookmarkStart w:id="212" w:name="_Toc11354"/>
      <w:bookmarkEnd w:id="212"/>
      <w:bookmarkStart w:id="213" w:name="_Toc11291"/>
      <w:bookmarkEnd w:id="213"/>
      <w:bookmarkStart w:id="214" w:name="_Toc3960"/>
      <w:bookmarkEnd w:id="214"/>
      <w:bookmarkStart w:id="215" w:name="_Toc14857"/>
      <w:bookmarkStart w:id="216" w:name="_Toc9939"/>
      <w:r>
        <w:rPr>
          <w:rFonts w:hint="eastAsia" w:ascii="宋体" w:hAnsi="宋体" w:eastAsia="宋体" w:cs="宋体"/>
          <w:color w:val="auto"/>
          <w:sz w:val="28"/>
          <w:szCs w:val="28"/>
          <w:highlight w:val="none"/>
        </w:rPr>
        <w:t>12. 需要补充的其他内容</w:t>
      </w:r>
      <w:bookmarkEnd w:id="215"/>
      <w:bookmarkEnd w:id="216"/>
    </w:p>
    <w:p w14:paraId="6CF890C3">
      <w:pP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12.1采用综合评分法的招标项目对相同品牌产品的处理</w:t>
      </w:r>
    </w:p>
    <w:p w14:paraId="414DDDE7">
      <w:pPr>
        <w:pStyle w:val="71"/>
        <w:spacing w:after="0" w:line="360" w:lineRule="auto"/>
        <w:ind w:firstLine="480" w:firstLineChars="200"/>
        <w:jc w:val="left"/>
        <w:rPr>
          <w:rFonts w:hAnsi="宋体" w:cs="宋体"/>
          <w:bCs/>
          <w:color w:val="auto"/>
          <w:sz w:val="24"/>
          <w:szCs w:val="24"/>
          <w:highlight w:val="none"/>
        </w:rPr>
      </w:pPr>
      <w:r>
        <w:rPr>
          <w:rFonts w:hint="eastAsia" w:hAnsi="宋体" w:cs="宋体"/>
          <w:bCs/>
          <w:color w:val="auto"/>
          <w:sz w:val="24"/>
          <w:szCs w:val="24"/>
          <w:highlight w:val="none"/>
        </w:rPr>
        <w:t>提供相同品牌产品且通过资格审查、符合性审查的不同投标人参加同一合同项下投标的，按一家投标人计算，评审后得分最高的同品牌投标人获得中标人推荐资格；总得分相同的，按投标报价由低到高顺序排列。得分且投标报价相同的并列。投标文件满足招标文件全部实质性要求，且按照评审因素的量化指标评审得分最高的投标人为排名第一的中标候选人。其他同品牌投标人不作为中标候选人。</w:t>
      </w:r>
    </w:p>
    <w:p w14:paraId="441C8D09">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需要补充的其他内容：见投标人须知前附表。</w:t>
      </w:r>
    </w:p>
    <w:p w14:paraId="0C81B9B8">
      <w:pPr>
        <w:spacing w:line="240" w:lineRule="exact"/>
        <w:rPr>
          <w:rFonts w:ascii="宋体" w:hAnsi="宋体" w:cs="宋体"/>
          <w:color w:val="auto"/>
          <w:highlight w:val="none"/>
        </w:rPr>
      </w:pPr>
      <w:r>
        <w:rPr>
          <w:rFonts w:hint="eastAsia" w:ascii="宋体" w:hAnsi="宋体" w:cs="宋体"/>
          <w:color w:val="auto"/>
          <w:sz w:val="32"/>
          <w:szCs w:val="32"/>
          <w:highlight w:val="none"/>
        </w:rPr>
        <w:br w:type="page"/>
      </w:r>
      <w:bookmarkStart w:id="217" w:name="_Toc31137"/>
      <w:bookmarkEnd w:id="217"/>
      <w:bookmarkStart w:id="218" w:name="_Toc13313"/>
    </w:p>
    <w:p w14:paraId="6EDFB0AB">
      <w:pPr>
        <w:spacing w:line="360" w:lineRule="auto"/>
        <w:rPr>
          <w:rStyle w:val="63"/>
          <w:rFonts w:ascii="宋体" w:hAnsi="宋体" w:cs="宋体"/>
          <w:color w:val="auto"/>
          <w:sz w:val="28"/>
          <w:szCs w:val="28"/>
          <w:highlight w:val="none"/>
        </w:rPr>
      </w:pPr>
      <w:r>
        <w:rPr>
          <w:rStyle w:val="63"/>
          <w:rFonts w:hint="eastAsia" w:ascii="宋体" w:hAnsi="宋体" w:cs="宋体"/>
          <w:color w:val="auto"/>
          <w:sz w:val="28"/>
          <w:szCs w:val="28"/>
          <w:highlight w:val="none"/>
        </w:rPr>
        <w:t>附件</w:t>
      </w:r>
      <w:bookmarkEnd w:id="218"/>
      <w:r>
        <w:rPr>
          <w:rStyle w:val="63"/>
          <w:rFonts w:hint="eastAsia" w:ascii="宋体" w:hAnsi="宋体" w:cs="宋体"/>
          <w:color w:val="auto"/>
          <w:sz w:val="28"/>
          <w:szCs w:val="28"/>
          <w:highlight w:val="none"/>
        </w:rPr>
        <w:t>一：问题澄清通知</w:t>
      </w:r>
    </w:p>
    <w:p w14:paraId="3311241C">
      <w:pPr>
        <w:spacing w:line="320" w:lineRule="exact"/>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 </w:t>
      </w:r>
    </w:p>
    <w:p w14:paraId="12A2648C">
      <w:pPr>
        <w:spacing w:line="360" w:lineRule="auto"/>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问题澄清通知</w:t>
      </w:r>
    </w:p>
    <w:p w14:paraId="405E3031">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52A2F7CE">
      <w:pPr>
        <w:spacing w:line="360" w:lineRule="auto"/>
        <w:jc w:val="center"/>
        <w:rPr>
          <w:rFonts w:ascii="宋体" w:hAnsi="宋体" w:cs="宋体"/>
          <w:color w:val="auto"/>
          <w:sz w:val="24"/>
          <w:szCs w:val="24"/>
          <w:highlight w:val="none"/>
        </w:rPr>
      </w:pPr>
    </w:p>
    <w:p w14:paraId="62CAEEDC">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（投标人名称）</w:t>
      </w:r>
    </w:p>
    <w:p w14:paraId="36C44689">
      <w:pPr>
        <w:spacing w:line="360" w:lineRule="auto"/>
        <w:ind w:left="360" w:right="357"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评标委员会对你方的投标文件进行了仔细的审查，现需你方对下列问题以书面形式予以澄清、说明或补正：</w:t>
      </w:r>
    </w:p>
    <w:p w14:paraId="4BA9E6AD">
      <w:pPr>
        <w:spacing w:line="360" w:lineRule="auto"/>
        <w:ind w:left="360" w:right="357"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w:t>
      </w:r>
    </w:p>
    <w:p w14:paraId="5D881FD0">
      <w:pPr>
        <w:spacing w:line="360" w:lineRule="auto"/>
        <w:ind w:left="360" w:right="357"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w:t>
      </w:r>
    </w:p>
    <w:p w14:paraId="71B75769">
      <w:pPr>
        <w:spacing w:line="360" w:lineRule="auto"/>
        <w:ind w:left="360" w:right="357"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w:t>
      </w:r>
    </w:p>
    <w:p w14:paraId="77BEEFB5">
      <w:pPr>
        <w:spacing w:line="360" w:lineRule="auto"/>
        <w:ind w:right="357" w:firstLine="720" w:firstLineChars="300"/>
        <w:rPr>
          <w:rFonts w:ascii="宋体" w:hAnsi="宋体" w:cs="宋体"/>
          <w:color w:val="auto"/>
          <w:sz w:val="24"/>
          <w:szCs w:val="24"/>
          <w:highlight w:val="none"/>
        </w:rPr>
      </w:pPr>
      <w:r>
        <w:rPr>
          <w:rFonts w:hint="eastAsia" w:ascii="宋体" w:hAnsi="宋体" w:cs="宋体"/>
          <w:color w:val="auto"/>
          <w:sz w:val="24"/>
          <w:szCs w:val="24"/>
          <w:highlight w:val="none"/>
        </w:rPr>
        <w:t>请将上述问题的澄清、说明或补正于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时前递交至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（详细地址）或以扫描件发送至</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（邮箱号）。采用扫描件发送方式的，应在</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时前将原件递交至</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（详细地址）。</w:t>
      </w:r>
    </w:p>
    <w:p w14:paraId="5F979468">
      <w:pPr>
        <w:spacing w:line="360" w:lineRule="auto"/>
        <w:ind w:right="357"/>
        <w:rPr>
          <w:rFonts w:ascii="宋体" w:hAnsi="宋体" w:cs="宋体"/>
          <w:color w:val="auto"/>
          <w:sz w:val="24"/>
          <w:szCs w:val="24"/>
          <w:highlight w:val="none"/>
        </w:rPr>
      </w:pPr>
      <w:r>
        <w:rPr>
          <w:rFonts w:hint="eastAsia" w:ascii="宋体" w:hAnsi="宋体" w:cs="宋体"/>
          <w:color w:val="auto"/>
          <w:sz w:val="24"/>
          <w:szCs w:val="24"/>
          <w:highlight w:val="none"/>
        </w:rPr>
        <w:t xml:space="preserve">                                        </w:t>
      </w:r>
    </w:p>
    <w:p w14:paraId="4C9AE6F2">
      <w:pPr>
        <w:spacing w:line="360" w:lineRule="auto"/>
        <w:ind w:right="357"/>
        <w:rPr>
          <w:rFonts w:ascii="宋体" w:hAnsi="宋体" w:cs="宋体"/>
          <w:color w:val="auto"/>
          <w:sz w:val="24"/>
          <w:szCs w:val="24"/>
          <w:highlight w:val="none"/>
        </w:rPr>
      </w:pPr>
      <w:r>
        <w:rPr>
          <w:rFonts w:hint="eastAsia" w:ascii="宋体" w:hAnsi="宋体" w:cs="宋体"/>
          <w:color w:val="auto"/>
          <w:sz w:val="24"/>
          <w:szCs w:val="24"/>
          <w:highlight w:val="none"/>
        </w:rPr>
        <w:t xml:space="preserve"> </w:t>
      </w:r>
    </w:p>
    <w:p w14:paraId="467E03FD">
      <w:pPr>
        <w:spacing w:line="360" w:lineRule="auto"/>
        <w:ind w:right="357" w:firstLine="960" w:firstLineChars="400"/>
        <w:rPr>
          <w:rFonts w:ascii="宋体" w:hAnsi="宋体" w:cs="宋体"/>
          <w:color w:val="auto"/>
          <w:sz w:val="24"/>
          <w:szCs w:val="24"/>
          <w:highlight w:val="none"/>
        </w:rPr>
      </w:pPr>
      <w:r>
        <w:rPr>
          <w:rFonts w:hint="eastAsia" w:ascii="宋体" w:hAnsi="宋体" w:cs="宋体"/>
          <w:color w:val="auto"/>
          <w:sz w:val="24"/>
          <w:szCs w:val="24"/>
          <w:highlight w:val="none"/>
        </w:rPr>
        <w:t xml:space="preserve">评标委员会授权的采购人或采购代理机构： </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（签字或盖章）</w:t>
      </w:r>
    </w:p>
    <w:p w14:paraId="38B65D36">
      <w:pPr>
        <w:spacing w:line="360" w:lineRule="auto"/>
        <w:ind w:right="357"/>
        <w:rPr>
          <w:rFonts w:ascii="宋体" w:hAnsi="宋体" w:cs="宋体"/>
          <w:color w:val="auto"/>
          <w:sz w:val="24"/>
          <w:szCs w:val="24"/>
          <w:highlight w:val="none"/>
        </w:rPr>
      </w:pPr>
      <w:r>
        <w:rPr>
          <w:rFonts w:hint="eastAsia" w:ascii="宋体" w:hAnsi="宋体" w:cs="宋体"/>
          <w:color w:val="auto"/>
          <w:sz w:val="24"/>
          <w:szCs w:val="24"/>
          <w:highlight w:val="none"/>
        </w:rPr>
        <w:t xml:space="preserve"> </w:t>
      </w:r>
    </w:p>
    <w:p w14:paraId="51317608">
      <w:pPr>
        <w:spacing w:line="360" w:lineRule="auto"/>
        <w:ind w:firstLine="4920" w:firstLineChars="2050"/>
        <w:rPr>
          <w:rFonts w:ascii="宋体" w:hAnsi="宋体" w:cs="宋体"/>
          <w:color w:val="auto"/>
          <w:sz w:val="24"/>
          <w:szCs w:val="24"/>
          <w:highlight w:val="none"/>
        </w:rPr>
      </w:pPr>
      <w:r>
        <w:rPr>
          <w:rFonts w:hint="eastAsia" w:ascii="宋体" w:hAnsi="宋体" w:cs="宋体"/>
          <w:color w:val="auto"/>
          <w:sz w:val="24"/>
          <w:szCs w:val="24"/>
          <w:highlight w:val="none"/>
        </w:rPr>
        <w:t>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w:t>
      </w:r>
    </w:p>
    <w:p w14:paraId="4D395A4C">
      <w:pPr>
        <w:spacing w:line="240" w:lineRule="exact"/>
        <w:rPr>
          <w:rFonts w:ascii="宋体" w:hAnsi="宋体" w:cs="宋体"/>
          <w:color w:val="auto"/>
          <w:highlight w:val="none"/>
        </w:rPr>
      </w:pPr>
      <w:r>
        <w:rPr>
          <w:rFonts w:hint="eastAsia" w:ascii="宋体" w:hAnsi="宋体" w:cs="宋体"/>
          <w:color w:val="auto"/>
          <w:sz w:val="32"/>
          <w:szCs w:val="32"/>
          <w:highlight w:val="none"/>
        </w:rPr>
        <w:br w:type="page"/>
      </w:r>
      <w:bookmarkStart w:id="219" w:name="_Toc10860"/>
      <w:bookmarkEnd w:id="219"/>
      <w:bookmarkStart w:id="220" w:name="_Toc4237"/>
    </w:p>
    <w:p w14:paraId="3C670A83">
      <w:pPr>
        <w:rPr>
          <w:rStyle w:val="63"/>
          <w:rFonts w:ascii="宋体" w:hAnsi="宋体" w:cs="宋体"/>
          <w:color w:val="auto"/>
          <w:sz w:val="28"/>
          <w:szCs w:val="28"/>
          <w:highlight w:val="none"/>
        </w:rPr>
      </w:pPr>
      <w:r>
        <w:rPr>
          <w:rStyle w:val="63"/>
          <w:rFonts w:hint="eastAsia" w:ascii="宋体" w:hAnsi="宋体" w:cs="宋体"/>
          <w:color w:val="auto"/>
          <w:sz w:val="28"/>
          <w:szCs w:val="28"/>
          <w:highlight w:val="none"/>
        </w:rPr>
        <w:t>附件</w:t>
      </w:r>
      <w:bookmarkEnd w:id="220"/>
      <w:r>
        <w:rPr>
          <w:rStyle w:val="63"/>
          <w:rFonts w:hint="eastAsia" w:ascii="宋体" w:hAnsi="宋体" w:cs="宋体"/>
          <w:color w:val="auto"/>
          <w:sz w:val="28"/>
          <w:szCs w:val="28"/>
          <w:highlight w:val="none"/>
        </w:rPr>
        <w:t>二：问题的澄清</w:t>
      </w:r>
    </w:p>
    <w:p w14:paraId="762BDEC3">
      <w:pPr>
        <w:spacing w:line="320" w:lineRule="exact"/>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 </w:t>
      </w:r>
    </w:p>
    <w:p w14:paraId="554C0F80">
      <w:pPr>
        <w:spacing w:line="360" w:lineRule="auto"/>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问题的澄清</w:t>
      </w:r>
    </w:p>
    <w:p w14:paraId="364B956C">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p>
    <w:p w14:paraId="57A411C8">
      <w:pPr>
        <w:spacing w:line="360" w:lineRule="auto"/>
        <w:jc w:val="center"/>
        <w:rPr>
          <w:rFonts w:ascii="宋体" w:hAnsi="宋体" w:cs="宋体"/>
          <w:color w:val="auto"/>
          <w:sz w:val="24"/>
          <w:szCs w:val="24"/>
          <w:highlight w:val="none"/>
        </w:rPr>
      </w:pPr>
    </w:p>
    <w:p w14:paraId="5FCA3A5C">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评标委员会：</w:t>
      </w:r>
    </w:p>
    <w:p w14:paraId="2B6880D8">
      <w:pPr>
        <w:spacing w:line="360" w:lineRule="auto"/>
        <w:ind w:firstLine="600" w:firstLineChars="250"/>
        <w:rPr>
          <w:rFonts w:ascii="宋体" w:hAnsi="宋体" w:cs="宋体"/>
          <w:color w:val="auto"/>
          <w:sz w:val="24"/>
          <w:szCs w:val="24"/>
          <w:highlight w:val="none"/>
        </w:rPr>
      </w:pPr>
      <w:r>
        <w:rPr>
          <w:rFonts w:hint="eastAsia" w:ascii="宋体" w:hAnsi="宋体" w:cs="宋体"/>
          <w:color w:val="auto"/>
          <w:sz w:val="24"/>
          <w:szCs w:val="24"/>
          <w:highlight w:val="none"/>
        </w:rPr>
        <w:t>问题澄清通知（编号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）已收悉，现澄清、说明或补正如下：</w:t>
      </w:r>
    </w:p>
    <w:p w14:paraId="020761F8">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 1.</w:t>
      </w:r>
    </w:p>
    <w:p w14:paraId="6BC1214B">
      <w:pPr>
        <w:spacing w:line="360" w:lineRule="auto"/>
        <w:ind w:firstLine="600" w:firstLineChars="250"/>
        <w:rPr>
          <w:rFonts w:ascii="宋体" w:hAnsi="宋体" w:cs="宋体"/>
          <w:color w:val="auto"/>
          <w:sz w:val="24"/>
          <w:szCs w:val="24"/>
          <w:highlight w:val="none"/>
        </w:rPr>
      </w:pPr>
      <w:r>
        <w:rPr>
          <w:rFonts w:hint="eastAsia" w:ascii="宋体" w:hAnsi="宋体" w:cs="宋体"/>
          <w:color w:val="auto"/>
          <w:sz w:val="24"/>
          <w:szCs w:val="24"/>
          <w:highlight w:val="none"/>
        </w:rPr>
        <w:t>2.</w:t>
      </w:r>
    </w:p>
    <w:p w14:paraId="3A625664">
      <w:pPr>
        <w:spacing w:line="360" w:lineRule="auto"/>
        <w:ind w:firstLine="600" w:firstLineChars="250"/>
        <w:rPr>
          <w:rFonts w:ascii="宋体" w:hAnsi="宋体" w:cs="宋体"/>
          <w:color w:val="auto"/>
          <w:sz w:val="24"/>
          <w:szCs w:val="24"/>
          <w:highlight w:val="none"/>
        </w:rPr>
      </w:pPr>
      <w:r>
        <w:rPr>
          <w:rFonts w:hint="eastAsia" w:ascii="宋体" w:hAnsi="宋体" w:cs="宋体"/>
          <w:color w:val="auto"/>
          <w:sz w:val="24"/>
          <w:szCs w:val="24"/>
          <w:highlight w:val="none"/>
        </w:rPr>
        <w:t xml:space="preserve"> ……</w:t>
      </w:r>
    </w:p>
    <w:p w14:paraId="4F63EA25">
      <w:pPr>
        <w:spacing w:line="360" w:lineRule="auto"/>
        <w:ind w:firstLine="600" w:firstLineChars="250"/>
        <w:rPr>
          <w:rFonts w:ascii="宋体" w:hAnsi="宋体" w:cs="宋体"/>
          <w:color w:val="auto"/>
          <w:sz w:val="24"/>
          <w:szCs w:val="24"/>
          <w:highlight w:val="none"/>
        </w:rPr>
      </w:pPr>
      <w:r>
        <w:rPr>
          <w:rFonts w:hint="eastAsia" w:ascii="宋体" w:hAnsi="宋体" w:cs="宋体"/>
          <w:color w:val="auto"/>
          <w:sz w:val="24"/>
          <w:szCs w:val="24"/>
          <w:highlight w:val="none"/>
        </w:rPr>
        <w:t>上述问题澄清、说明或补正，不改变我方投标文件的实质性内容，构成我方投标文件的组成部分。</w:t>
      </w:r>
    </w:p>
    <w:p w14:paraId="72343559">
      <w:pPr>
        <w:spacing w:line="360" w:lineRule="auto"/>
        <w:ind w:firstLine="2880" w:firstLineChars="1200"/>
        <w:rPr>
          <w:rFonts w:ascii="宋体" w:hAnsi="宋体" w:cs="宋体"/>
          <w:color w:val="auto"/>
          <w:sz w:val="24"/>
          <w:szCs w:val="24"/>
          <w:highlight w:val="none"/>
        </w:rPr>
      </w:pPr>
      <w:r>
        <w:rPr>
          <w:rFonts w:hint="eastAsia" w:ascii="宋体" w:hAnsi="宋体" w:cs="宋体"/>
          <w:color w:val="auto"/>
          <w:sz w:val="24"/>
          <w:szCs w:val="24"/>
          <w:highlight w:val="none"/>
        </w:rPr>
        <w:t xml:space="preserve"> </w:t>
      </w:r>
    </w:p>
    <w:tbl>
      <w:tblPr>
        <w:tblStyle w:val="32"/>
        <w:tblW w:w="0" w:type="auto"/>
        <w:tblInd w:w="1101" w:type="dxa"/>
        <w:tblLayout w:type="fixed"/>
        <w:tblCellMar>
          <w:top w:w="0" w:type="dxa"/>
          <w:left w:w="108" w:type="dxa"/>
          <w:bottom w:w="0" w:type="dxa"/>
          <w:right w:w="108" w:type="dxa"/>
        </w:tblCellMar>
      </w:tblPr>
      <w:tblGrid>
        <w:gridCol w:w="4677"/>
        <w:gridCol w:w="4178"/>
      </w:tblGrid>
      <w:tr w14:paraId="0A931E21">
        <w:tblPrEx>
          <w:tblCellMar>
            <w:top w:w="0" w:type="dxa"/>
            <w:left w:w="108" w:type="dxa"/>
            <w:bottom w:w="0" w:type="dxa"/>
            <w:right w:w="108" w:type="dxa"/>
          </w:tblCellMar>
        </w:tblPrEx>
        <w:tc>
          <w:tcPr>
            <w:tcW w:w="4677" w:type="dxa"/>
          </w:tcPr>
          <w:p w14:paraId="4723D626">
            <w:pPr>
              <w:widowControl w:val="0"/>
              <w:spacing w:line="720" w:lineRule="auto"/>
              <w:ind w:right="-107" w:rightChars="-51"/>
              <w:jc w:val="right"/>
              <w:rPr>
                <w:rFonts w:ascii="宋体" w:hAnsi="宋体" w:cs="宋体"/>
                <w:color w:val="auto"/>
                <w:sz w:val="24"/>
                <w:szCs w:val="24"/>
                <w:highlight w:val="none"/>
              </w:rPr>
            </w:pPr>
            <w:r>
              <w:rPr>
                <w:rFonts w:hint="eastAsia" w:ascii="宋体" w:hAnsi="宋体" w:cs="宋体"/>
                <w:color w:val="auto"/>
                <w:sz w:val="24"/>
                <w:szCs w:val="24"/>
                <w:highlight w:val="none"/>
              </w:rPr>
              <w:t>投标人：</w:t>
            </w:r>
          </w:p>
        </w:tc>
        <w:tc>
          <w:tcPr>
            <w:tcW w:w="4178" w:type="dxa"/>
          </w:tcPr>
          <w:p w14:paraId="1CD691BE">
            <w:pPr>
              <w:widowControl w:val="0"/>
              <w:spacing w:line="720" w:lineRule="auto"/>
              <w:ind w:left="-2" w:leftChars="-75" w:hanging="156" w:hangingChars="65"/>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（加盖单位公章）</w:t>
            </w:r>
          </w:p>
        </w:tc>
      </w:tr>
      <w:tr w14:paraId="6A7CD1E0">
        <w:tblPrEx>
          <w:tblCellMar>
            <w:top w:w="0" w:type="dxa"/>
            <w:left w:w="108" w:type="dxa"/>
            <w:bottom w:w="0" w:type="dxa"/>
            <w:right w:w="108" w:type="dxa"/>
          </w:tblCellMar>
        </w:tblPrEx>
        <w:tc>
          <w:tcPr>
            <w:tcW w:w="4677" w:type="dxa"/>
          </w:tcPr>
          <w:p w14:paraId="2E8B92ED">
            <w:pPr>
              <w:widowControl w:val="0"/>
              <w:spacing w:line="720" w:lineRule="auto"/>
              <w:ind w:right="-107" w:rightChars="-51"/>
              <w:jc w:val="right"/>
              <w:rPr>
                <w:rFonts w:ascii="宋体" w:hAnsi="宋体" w:cs="宋体"/>
                <w:color w:val="auto"/>
                <w:sz w:val="24"/>
                <w:szCs w:val="24"/>
                <w:highlight w:val="none"/>
              </w:rPr>
            </w:pPr>
            <w:r>
              <w:rPr>
                <w:rFonts w:hint="eastAsia" w:ascii="宋体" w:hAnsi="宋体" w:cs="宋体"/>
                <w:color w:val="auto"/>
                <w:sz w:val="24"/>
                <w:szCs w:val="24"/>
                <w:highlight w:val="none"/>
              </w:rPr>
              <w:t>法定代表人（单位负责人）或其委托代理人：</w:t>
            </w:r>
          </w:p>
        </w:tc>
        <w:tc>
          <w:tcPr>
            <w:tcW w:w="4178" w:type="dxa"/>
          </w:tcPr>
          <w:p w14:paraId="5769069B">
            <w:pPr>
              <w:widowControl w:val="0"/>
              <w:spacing w:line="720" w:lineRule="auto"/>
              <w:ind w:left="-2" w:leftChars="-75" w:hanging="156" w:hangingChars="65"/>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（签字或盖章）</w:t>
            </w:r>
          </w:p>
        </w:tc>
      </w:tr>
      <w:tr w14:paraId="48B1A975">
        <w:tblPrEx>
          <w:tblCellMar>
            <w:top w:w="0" w:type="dxa"/>
            <w:left w:w="108" w:type="dxa"/>
            <w:bottom w:w="0" w:type="dxa"/>
            <w:right w:w="108" w:type="dxa"/>
          </w:tblCellMar>
        </w:tblPrEx>
        <w:tc>
          <w:tcPr>
            <w:tcW w:w="4677" w:type="dxa"/>
          </w:tcPr>
          <w:p w14:paraId="6FC8C332">
            <w:pPr>
              <w:widowControl w:val="0"/>
              <w:spacing w:line="720" w:lineRule="auto"/>
              <w:ind w:right="-107" w:rightChars="-51"/>
              <w:jc w:val="right"/>
              <w:rPr>
                <w:rFonts w:ascii="宋体" w:hAnsi="宋体" w:cs="宋体"/>
                <w:color w:val="auto"/>
                <w:sz w:val="24"/>
                <w:szCs w:val="24"/>
                <w:highlight w:val="none"/>
              </w:rPr>
            </w:pPr>
            <w:r>
              <w:rPr>
                <w:rFonts w:hint="eastAsia" w:ascii="宋体" w:hAnsi="宋体" w:cs="宋体"/>
                <w:color w:val="auto"/>
                <w:sz w:val="24"/>
                <w:szCs w:val="24"/>
                <w:highlight w:val="none"/>
              </w:rPr>
              <w:t>日期：</w:t>
            </w:r>
          </w:p>
        </w:tc>
        <w:tc>
          <w:tcPr>
            <w:tcW w:w="4178" w:type="dxa"/>
          </w:tcPr>
          <w:p w14:paraId="6FA4FFDF">
            <w:pPr>
              <w:widowControl w:val="0"/>
              <w:spacing w:line="720" w:lineRule="auto"/>
              <w:ind w:left="-2" w:leftChars="-75" w:hanging="156" w:hangingChars="65"/>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w:t>
            </w:r>
          </w:p>
        </w:tc>
      </w:tr>
    </w:tbl>
    <w:p w14:paraId="01DCCE4D">
      <w:pPr>
        <w:spacing w:line="360" w:lineRule="auto"/>
        <w:ind w:firstLine="2880" w:firstLineChars="1200"/>
        <w:rPr>
          <w:rFonts w:ascii="宋体" w:hAnsi="宋体" w:cs="宋体"/>
          <w:color w:val="auto"/>
          <w:sz w:val="24"/>
          <w:szCs w:val="24"/>
          <w:highlight w:val="none"/>
        </w:rPr>
      </w:pPr>
    </w:p>
    <w:p w14:paraId="7574BE3E">
      <w:pPr>
        <w:spacing w:line="360" w:lineRule="auto"/>
        <w:ind w:firstLine="4680" w:firstLineChars="1950"/>
        <w:rPr>
          <w:rFonts w:ascii="宋体" w:hAnsi="宋体" w:cs="宋体"/>
          <w:color w:val="auto"/>
          <w:sz w:val="24"/>
          <w:szCs w:val="24"/>
          <w:highlight w:val="none"/>
        </w:rPr>
      </w:pPr>
    </w:p>
    <w:p w14:paraId="6B7BA970">
      <w:pPr>
        <w:spacing w:line="240" w:lineRule="exact"/>
        <w:rPr>
          <w:rFonts w:ascii="宋体" w:hAnsi="宋体" w:cs="宋体"/>
          <w:color w:val="auto"/>
          <w:highlight w:val="none"/>
        </w:rPr>
      </w:pPr>
      <w:r>
        <w:rPr>
          <w:rFonts w:hint="eastAsia" w:ascii="宋体" w:hAnsi="宋体" w:cs="宋体"/>
          <w:color w:val="auto"/>
          <w:sz w:val="32"/>
          <w:szCs w:val="32"/>
          <w:highlight w:val="none"/>
        </w:rPr>
        <w:br w:type="page"/>
      </w:r>
      <w:bookmarkStart w:id="221" w:name="_Toc19810"/>
      <w:bookmarkEnd w:id="221"/>
      <w:bookmarkStart w:id="222" w:name="_Toc23493"/>
    </w:p>
    <w:bookmarkEnd w:id="222"/>
    <w:p w14:paraId="1AAD6927">
      <w:pPr>
        <w:rPr>
          <w:rStyle w:val="63"/>
          <w:rFonts w:ascii="宋体" w:hAnsi="宋体" w:cs="宋体"/>
          <w:color w:val="auto"/>
          <w:sz w:val="28"/>
          <w:szCs w:val="28"/>
          <w:highlight w:val="none"/>
        </w:rPr>
      </w:pPr>
      <w:bookmarkStart w:id="223" w:name="_Toc22933"/>
      <w:bookmarkEnd w:id="223"/>
      <w:bookmarkStart w:id="224" w:name="_Toc30796"/>
      <w:r>
        <w:rPr>
          <w:rStyle w:val="63"/>
          <w:rFonts w:hint="eastAsia" w:ascii="宋体" w:hAnsi="宋体" w:cs="宋体"/>
          <w:color w:val="auto"/>
          <w:sz w:val="28"/>
          <w:szCs w:val="28"/>
          <w:highlight w:val="none"/>
        </w:rPr>
        <w:t>附件</w:t>
      </w:r>
      <w:bookmarkEnd w:id="224"/>
      <w:r>
        <w:rPr>
          <w:rStyle w:val="63"/>
          <w:rFonts w:hint="eastAsia" w:ascii="宋体" w:hAnsi="宋体" w:cs="宋体"/>
          <w:color w:val="auto"/>
          <w:sz w:val="28"/>
          <w:szCs w:val="28"/>
          <w:highlight w:val="none"/>
        </w:rPr>
        <w:t>三：确认通知</w:t>
      </w:r>
    </w:p>
    <w:p w14:paraId="7FBCDC44">
      <w:pPr>
        <w:spacing w:line="320" w:lineRule="exact"/>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 </w:t>
      </w:r>
    </w:p>
    <w:p w14:paraId="7CB537B1">
      <w:pPr>
        <w:spacing w:line="320" w:lineRule="exact"/>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 </w:t>
      </w:r>
    </w:p>
    <w:p w14:paraId="15EFD89F">
      <w:pPr>
        <w:spacing w:line="360" w:lineRule="auto"/>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确认通知</w:t>
      </w:r>
    </w:p>
    <w:p w14:paraId="25B2C07B">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w:t>
      </w:r>
    </w:p>
    <w:p w14:paraId="687285CB">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（采购人名称）：</w:t>
      </w:r>
    </w:p>
    <w:p w14:paraId="097F7B65">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你方于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日发出的</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（项目名称）招标关于</w:t>
      </w:r>
      <w:r>
        <w:rPr>
          <w:rFonts w:hint="eastAsia" w:ascii="宋体" w:hAnsi="宋体" w:cs="宋体"/>
          <w:color w:val="auto"/>
          <w:sz w:val="24"/>
          <w:szCs w:val="24"/>
          <w:highlight w:val="none"/>
          <w:u w:val="single"/>
        </w:rPr>
        <w:t>招标文件的澄清/修改</w:t>
      </w:r>
      <w:r>
        <w:rPr>
          <w:rFonts w:hint="eastAsia" w:ascii="宋体" w:hAnsi="宋体" w:cs="宋体"/>
          <w:color w:val="auto"/>
          <w:sz w:val="24"/>
          <w:szCs w:val="24"/>
          <w:highlight w:val="none"/>
        </w:rPr>
        <w:t>的通知，我方已于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日收到。</w:t>
      </w:r>
    </w:p>
    <w:p w14:paraId="1533947F">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特此确认。</w:t>
      </w:r>
    </w:p>
    <w:p w14:paraId="13CA2679">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w:t>
      </w:r>
    </w:p>
    <w:tbl>
      <w:tblPr>
        <w:tblStyle w:val="32"/>
        <w:tblW w:w="0" w:type="auto"/>
        <w:tblInd w:w="959" w:type="dxa"/>
        <w:tblLayout w:type="fixed"/>
        <w:tblCellMar>
          <w:top w:w="0" w:type="dxa"/>
          <w:left w:w="108" w:type="dxa"/>
          <w:bottom w:w="0" w:type="dxa"/>
          <w:right w:w="108" w:type="dxa"/>
        </w:tblCellMar>
      </w:tblPr>
      <w:tblGrid>
        <w:gridCol w:w="4536"/>
        <w:gridCol w:w="4111"/>
      </w:tblGrid>
      <w:tr w14:paraId="4854DD1E">
        <w:tc>
          <w:tcPr>
            <w:tcW w:w="4536" w:type="dxa"/>
          </w:tcPr>
          <w:p w14:paraId="54303E85">
            <w:pPr>
              <w:widowControl w:val="0"/>
              <w:spacing w:line="720" w:lineRule="auto"/>
              <w:ind w:right="-57" w:rightChars="-27"/>
              <w:jc w:val="right"/>
              <w:rPr>
                <w:rFonts w:ascii="宋体" w:hAnsi="宋体" w:cs="宋体"/>
                <w:bCs/>
                <w:color w:val="auto"/>
                <w:sz w:val="24"/>
                <w:szCs w:val="24"/>
                <w:highlight w:val="none"/>
              </w:rPr>
            </w:pPr>
            <w:r>
              <w:rPr>
                <w:rFonts w:hint="eastAsia" w:ascii="宋体" w:hAnsi="宋体" w:cs="宋体"/>
                <w:bCs/>
                <w:color w:val="auto"/>
                <w:sz w:val="24"/>
                <w:szCs w:val="24"/>
                <w:highlight w:val="none"/>
              </w:rPr>
              <w:t>投标人：</w:t>
            </w:r>
          </w:p>
        </w:tc>
        <w:tc>
          <w:tcPr>
            <w:tcW w:w="4111" w:type="dxa"/>
          </w:tcPr>
          <w:p w14:paraId="63BD3518">
            <w:pPr>
              <w:widowControl w:val="0"/>
              <w:spacing w:line="720" w:lineRule="auto"/>
              <w:ind w:left="-2" w:leftChars="-75" w:hanging="156" w:hangingChars="65"/>
              <w:rPr>
                <w:rFonts w:ascii="宋体" w:hAnsi="宋体" w:cs="宋体"/>
                <w:bCs/>
                <w:color w:val="auto"/>
                <w:sz w:val="24"/>
                <w:szCs w:val="24"/>
                <w:highlight w:val="none"/>
              </w:rPr>
            </w:pP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（加盖单位公章）</w:t>
            </w:r>
          </w:p>
        </w:tc>
      </w:tr>
      <w:tr w14:paraId="111444BA">
        <w:tblPrEx>
          <w:tblCellMar>
            <w:top w:w="0" w:type="dxa"/>
            <w:left w:w="108" w:type="dxa"/>
            <w:bottom w:w="0" w:type="dxa"/>
            <w:right w:w="108" w:type="dxa"/>
          </w:tblCellMar>
        </w:tblPrEx>
        <w:tc>
          <w:tcPr>
            <w:tcW w:w="4536" w:type="dxa"/>
          </w:tcPr>
          <w:p w14:paraId="32B882EF">
            <w:pPr>
              <w:widowControl w:val="0"/>
              <w:spacing w:line="720" w:lineRule="auto"/>
              <w:ind w:right="-57" w:rightChars="-27"/>
              <w:jc w:val="right"/>
              <w:rPr>
                <w:rFonts w:ascii="宋体" w:hAnsi="宋体" w:cs="宋体"/>
                <w:bCs/>
                <w:color w:val="auto"/>
                <w:sz w:val="24"/>
                <w:szCs w:val="24"/>
                <w:highlight w:val="none"/>
              </w:rPr>
            </w:pPr>
            <w:r>
              <w:rPr>
                <w:rFonts w:hint="eastAsia" w:ascii="宋体" w:hAnsi="宋体" w:cs="宋体"/>
                <w:bCs/>
                <w:color w:val="auto"/>
                <w:sz w:val="24"/>
                <w:szCs w:val="24"/>
                <w:highlight w:val="none"/>
              </w:rPr>
              <w:t>法定代表人（单位负责人）或委托代理人：</w:t>
            </w:r>
          </w:p>
        </w:tc>
        <w:tc>
          <w:tcPr>
            <w:tcW w:w="4111" w:type="dxa"/>
          </w:tcPr>
          <w:p w14:paraId="5317C941">
            <w:pPr>
              <w:widowControl w:val="0"/>
              <w:spacing w:line="720" w:lineRule="auto"/>
              <w:ind w:left="-2" w:leftChars="-75" w:hanging="156" w:hangingChars="65"/>
              <w:rPr>
                <w:rFonts w:ascii="宋体" w:hAnsi="宋体" w:cs="宋体"/>
                <w:bCs/>
                <w:color w:val="auto"/>
                <w:sz w:val="24"/>
                <w:szCs w:val="24"/>
                <w:highlight w:val="none"/>
              </w:rPr>
            </w:pPr>
            <w:r>
              <w:rPr>
                <w:rFonts w:hint="eastAsia" w:ascii="宋体" w:hAnsi="宋体" w:cs="宋体"/>
                <w:bCs/>
                <w:color w:val="auto"/>
                <w:sz w:val="24"/>
                <w:szCs w:val="24"/>
                <w:highlight w:val="none"/>
                <w:u w:val="single"/>
              </w:rPr>
              <w:t xml:space="preserve">                  </w:t>
            </w:r>
            <w:r>
              <w:rPr>
                <w:rFonts w:hint="eastAsia" w:ascii="宋体" w:hAnsi="宋体" w:cs="宋体"/>
                <w:color w:val="auto"/>
                <w:sz w:val="24"/>
                <w:szCs w:val="24"/>
                <w:highlight w:val="none"/>
              </w:rPr>
              <w:t>（签字或盖章）</w:t>
            </w:r>
          </w:p>
        </w:tc>
      </w:tr>
      <w:tr w14:paraId="3383DAAB">
        <w:tblPrEx>
          <w:tblCellMar>
            <w:top w:w="0" w:type="dxa"/>
            <w:left w:w="108" w:type="dxa"/>
            <w:bottom w:w="0" w:type="dxa"/>
            <w:right w:w="108" w:type="dxa"/>
          </w:tblCellMar>
        </w:tblPrEx>
        <w:tc>
          <w:tcPr>
            <w:tcW w:w="4536" w:type="dxa"/>
          </w:tcPr>
          <w:p w14:paraId="103E912D">
            <w:pPr>
              <w:widowControl w:val="0"/>
              <w:spacing w:line="720" w:lineRule="auto"/>
              <w:ind w:right="-57" w:rightChars="-27"/>
              <w:jc w:val="right"/>
              <w:rPr>
                <w:rFonts w:ascii="宋体" w:hAnsi="宋体" w:cs="宋体"/>
                <w:bCs/>
                <w:color w:val="auto"/>
                <w:sz w:val="24"/>
                <w:szCs w:val="24"/>
                <w:highlight w:val="none"/>
              </w:rPr>
            </w:pPr>
            <w:r>
              <w:rPr>
                <w:rFonts w:hint="eastAsia" w:ascii="宋体" w:hAnsi="宋体" w:cs="宋体"/>
                <w:bCs/>
                <w:color w:val="auto"/>
                <w:sz w:val="24"/>
                <w:szCs w:val="24"/>
                <w:highlight w:val="none"/>
              </w:rPr>
              <w:t>日期：</w:t>
            </w:r>
          </w:p>
        </w:tc>
        <w:tc>
          <w:tcPr>
            <w:tcW w:w="4111" w:type="dxa"/>
          </w:tcPr>
          <w:p w14:paraId="07ACAD64">
            <w:pPr>
              <w:widowControl w:val="0"/>
              <w:spacing w:line="720" w:lineRule="auto"/>
              <w:ind w:left="-2" w:leftChars="-75" w:hanging="156" w:hangingChars="65"/>
              <w:rPr>
                <w:rFonts w:ascii="宋体" w:hAnsi="宋体" w:cs="宋体"/>
                <w:bCs/>
                <w:color w:val="auto"/>
                <w:sz w:val="24"/>
                <w:szCs w:val="24"/>
                <w:highlight w:val="none"/>
              </w:rPr>
            </w:pP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年</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月</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日</w:t>
            </w:r>
          </w:p>
        </w:tc>
      </w:tr>
    </w:tbl>
    <w:p w14:paraId="08E05102">
      <w:pPr>
        <w:spacing w:line="360" w:lineRule="auto"/>
        <w:rPr>
          <w:rFonts w:ascii="宋体" w:hAnsi="宋体" w:cs="宋体"/>
          <w:color w:val="auto"/>
          <w:sz w:val="24"/>
          <w:szCs w:val="24"/>
          <w:highlight w:val="none"/>
        </w:rPr>
      </w:pPr>
    </w:p>
    <w:p w14:paraId="4C58705A">
      <w:pPr>
        <w:pStyle w:val="2"/>
        <w:spacing w:before="0" w:after="0" w:line="360" w:lineRule="auto"/>
        <w:jc w:val="center"/>
        <w:rPr>
          <w:rFonts w:ascii="宋体" w:hAnsi="宋体" w:cs="宋体"/>
          <w:color w:val="auto"/>
          <w:highlight w:val="none"/>
        </w:rPr>
      </w:pPr>
      <w:bookmarkStart w:id="225" w:name="_Toc21906"/>
      <w:r>
        <w:rPr>
          <w:rStyle w:val="54"/>
          <w:rFonts w:hint="eastAsia" w:ascii="宋体" w:hAnsi="宋体" w:cs="宋体"/>
          <w:b w:val="0"/>
          <w:bCs w:val="0"/>
          <w:color w:val="auto"/>
          <w:highlight w:val="none"/>
        </w:rPr>
        <w:br w:type="page"/>
      </w:r>
      <w:bookmarkEnd w:id="225"/>
      <w:bookmarkStart w:id="226" w:name="_Toc18440"/>
      <w:bookmarkEnd w:id="226"/>
      <w:bookmarkStart w:id="227" w:name="_Toc26828"/>
      <w:bookmarkEnd w:id="227"/>
      <w:bookmarkStart w:id="228" w:name="_Toc20206"/>
      <w:bookmarkStart w:id="229" w:name="_Toc30727"/>
      <w:bookmarkStart w:id="230" w:name="_Toc15431"/>
      <w:r>
        <w:rPr>
          <w:rFonts w:hint="eastAsia" w:ascii="宋体" w:hAnsi="宋体" w:cs="宋体"/>
          <w:color w:val="auto"/>
          <w:highlight w:val="none"/>
        </w:rPr>
        <w:t>第三章 合同条款及格式</w:t>
      </w:r>
      <w:bookmarkEnd w:id="228"/>
      <w:bookmarkEnd w:id="229"/>
    </w:p>
    <w:bookmarkEnd w:id="230"/>
    <w:tbl>
      <w:tblPr>
        <w:tblStyle w:val="32"/>
        <w:tblW w:w="9776" w:type="dxa"/>
        <w:jc w:val="center"/>
        <w:tblLayout w:type="fixed"/>
        <w:tblCellMar>
          <w:top w:w="0" w:type="dxa"/>
          <w:left w:w="0" w:type="dxa"/>
          <w:bottom w:w="0" w:type="dxa"/>
          <w:right w:w="0" w:type="dxa"/>
        </w:tblCellMar>
      </w:tblPr>
      <w:tblGrid>
        <w:gridCol w:w="9776"/>
      </w:tblGrid>
      <w:tr w14:paraId="259E614D">
        <w:tblPrEx>
          <w:tblCellMar>
            <w:top w:w="0" w:type="dxa"/>
            <w:left w:w="0" w:type="dxa"/>
            <w:bottom w:w="0" w:type="dxa"/>
            <w:right w:w="0" w:type="dxa"/>
          </w:tblCellMar>
        </w:tblPrEx>
        <w:trPr>
          <w:jc w:val="center"/>
        </w:trPr>
        <w:tc>
          <w:tcPr>
            <w:tcW w:w="9776" w:type="dxa"/>
            <w:vAlign w:val="center"/>
          </w:tcPr>
          <w:p w14:paraId="568E1EEC">
            <w:pPr>
              <w:tabs>
                <w:tab w:val="left" w:pos="1516"/>
                <w:tab w:val="left" w:pos="3817"/>
                <w:tab w:val="left" w:pos="6420"/>
                <w:tab w:val="left" w:pos="8141"/>
              </w:tabs>
              <w:ind w:firstLine="480" w:firstLineChars="200"/>
              <w:rPr>
                <w:rFonts w:cs="Arial"/>
                <w:color w:val="auto"/>
                <w:sz w:val="24"/>
                <w:highlight w:val="none"/>
              </w:rPr>
            </w:pPr>
            <w:bookmarkStart w:id="231" w:name="_Toc12847"/>
            <w:bookmarkEnd w:id="231"/>
            <w:bookmarkStart w:id="232" w:name="_Toc31034"/>
            <w:bookmarkEnd w:id="232"/>
          </w:p>
          <w:p w14:paraId="4CB0D404">
            <w:pPr>
              <w:tabs>
                <w:tab w:val="left" w:pos="1516"/>
                <w:tab w:val="left" w:pos="3817"/>
                <w:tab w:val="left" w:pos="6420"/>
                <w:tab w:val="left" w:pos="8141"/>
              </w:tabs>
              <w:ind w:firstLine="480" w:firstLineChars="200"/>
              <w:rPr>
                <w:rFonts w:cs="Arial"/>
                <w:color w:val="auto"/>
                <w:sz w:val="18"/>
                <w:szCs w:val="18"/>
                <w:highlight w:val="none"/>
              </w:rPr>
            </w:pPr>
            <w:r>
              <w:rPr>
                <w:rFonts w:hint="eastAsia" w:cs="Arial"/>
                <w:color w:val="auto"/>
                <w:sz w:val="24"/>
                <w:highlight w:val="none"/>
              </w:rPr>
              <w:t>合同编号：             合同自编号：</w:t>
            </w:r>
            <w:r>
              <w:rPr>
                <w:rFonts w:cs="Arial"/>
                <w:color w:val="auto"/>
                <w:sz w:val="18"/>
                <w:szCs w:val="18"/>
                <w:highlight w:val="none"/>
              </w:rPr>
              <w:t xml:space="preserve"> </w:t>
            </w:r>
            <w:r>
              <w:rPr>
                <w:rFonts w:cs="Arial"/>
                <w:color w:val="auto"/>
                <w:sz w:val="18"/>
                <w:szCs w:val="18"/>
                <w:highlight w:val="none"/>
              </w:rPr>
              <w:tab/>
            </w:r>
            <w:r>
              <w:rPr>
                <w:rFonts w:hint="eastAsia" w:cs="Arial"/>
                <w:color w:val="auto"/>
                <w:sz w:val="24"/>
                <w:highlight w:val="none"/>
              </w:rPr>
              <w:t>项目编号：</w:t>
            </w:r>
          </w:p>
        </w:tc>
      </w:tr>
    </w:tbl>
    <w:p w14:paraId="0A902512">
      <w:pPr>
        <w:spacing w:after="240"/>
        <w:rPr>
          <w:rFonts w:cs="Arial"/>
          <w:color w:val="auto"/>
          <w:sz w:val="24"/>
          <w:highlight w:val="none"/>
        </w:rPr>
      </w:pPr>
    </w:p>
    <w:p w14:paraId="3D0408F8">
      <w:pPr>
        <w:spacing w:after="240"/>
        <w:rPr>
          <w:rFonts w:cs="Arial"/>
          <w:color w:val="auto"/>
          <w:sz w:val="24"/>
          <w:highlight w:val="none"/>
        </w:rPr>
      </w:pPr>
      <w:r>
        <w:rPr>
          <w:rFonts w:hint="eastAsia" w:cs="Arial"/>
          <w:color w:val="auto"/>
          <w:sz w:val="24"/>
          <w:highlight w:val="none"/>
        </w:rPr>
        <w:t>本合同须加盖甲乙双方骑缝章有效</w:t>
      </w:r>
    </w:p>
    <w:p w14:paraId="46E6F738">
      <w:pPr>
        <w:pStyle w:val="14"/>
        <w:rPr>
          <w:color w:val="auto"/>
          <w:highlight w:val="none"/>
        </w:rPr>
      </w:pPr>
    </w:p>
    <w:p w14:paraId="67BCABC2">
      <w:pPr>
        <w:pStyle w:val="14"/>
        <w:rPr>
          <w:color w:val="auto"/>
          <w:highlight w:val="none"/>
        </w:rPr>
      </w:pPr>
    </w:p>
    <w:p w14:paraId="7B5D400B">
      <w:pPr>
        <w:spacing w:after="240"/>
        <w:jc w:val="center"/>
        <w:rPr>
          <w:rFonts w:cs="Arial"/>
          <w:color w:val="auto"/>
          <w:sz w:val="39"/>
          <w:szCs w:val="39"/>
          <w:highlight w:val="none"/>
        </w:rPr>
      </w:pPr>
      <w:r>
        <w:rPr>
          <w:rFonts w:hint="eastAsia" w:cs="Arial"/>
          <w:color w:val="auto"/>
          <w:sz w:val="39"/>
          <w:szCs w:val="39"/>
          <w:highlight w:val="none"/>
        </w:rPr>
        <w:t>云南省省级政府采购</w:t>
      </w:r>
    </w:p>
    <w:p w14:paraId="493B3D3D">
      <w:pPr>
        <w:pStyle w:val="14"/>
        <w:rPr>
          <w:color w:val="auto"/>
          <w:highlight w:val="none"/>
        </w:rPr>
      </w:pPr>
    </w:p>
    <w:p w14:paraId="33984136">
      <w:pPr>
        <w:spacing w:after="240"/>
        <w:jc w:val="center"/>
        <w:rPr>
          <w:rFonts w:cs="Arial"/>
          <w:color w:val="auto"/>
          <w:sz w:val="18"/>
          <w:szCs w:val="18"/>
          <w:highlight w:val="none"/>
        </w:rPr>
      </w:pPr>
      <w:r>
        <w:rPr>
          <w:rFonts w:hint="eastAsia" w:cs="Arial"/>
          <w:color w:val="auto"/>
          <w:sz w:val="33"/>
          <w:szCs w:val="33"/>
          <w:highlight w:val="none"/>
        </w:rPr>
        <w:t>（委托采购）</w:t>
      </w:r>
      <w:r>
        <w:rPr>
          <w:rFonts w:cs="Arial"/>
          <w:color w:val="auto"/>
          <w:sz w:val="18"/>
          <w:szCs w:val="18"/>
          <w:highlight w:val="none"/>
        </w:rPr>
        <w:t xml:space="preserve"> </w:t>
      </w:r>
    </w:p>
    <w:p w14:paraId="337AA04E">
      <w:pPr>
        <w:pStyle w:val="14"/>
        <w:rPr>
          <w:color w:val="auto"/>
          <w:highlight w:val="none"/>
        </w:rPr>
      </w:pPr>
    </w:p>
    <w:p w14:paraId="63153160">
      <w:pPr>
        <w:pStyle w:val="14"/>
        <w:rPr>
          <w:color w:val="auto"/>
          <w:highlight w:val="none"/>
        </w:rPr>
      </w:pPr>
    </w:p>
    <w:p w14:paraId="05AD91EA">
      <w:pPr>
        <w:spacing w:after="240"/>
        <w:jc w:val="center"/>
        <w:rPr>
          <w:rFonts w:cs="Arial"/>
          <w:color w:val="auto"/>
          <w:sz w:val="18"/>
          <w:szCs w:val="18"/>
          <w:highlight w:val="none"/>
        </w:rPr>
      </w:pPr>
      <w:r>
        <w:rPr>
          <w:rFonts w:hint="eastAsia" w:cs="Arial"/>
          <w:color w:val="auto"/>
          <w:sz w:val="63"/>
          <w:szCs w:val="63"/>
          <w:highlight w:val="none"/>
        </w:rPr>
        <w:t>合</w:t>
      </w:r>
      <w:r>
        <w:rPr>
          <w:rFonts w:cs="Arial"/>
          <w:color w:val="auto"/>
          <w:sz w:val="18"/>
          <w:szCs w:val="18"/>
          <w:highlight w:val="none"/>
        </w:rPr>
        <w:t xml:space="preserve"> </w:t>
      </w:r>
    </w:p>
    <w:p w14:paraId="52BDB276">
      <w:pPr>
        <w:spacing w:after="240"/>
        <w:jc w:val="center"/>
        <w:rPr>
          <w:rFonts w:cs="Arial"/>
          <w:color w:val="auto"/>
          <w:sz w:val="18"/>
          <w:szCs w:val="18"/>
          <w:highlight w:val="none"/>
        </w:rPr>
      </w:pPr>
      <w:r>
        <w:rPr>
          <w:rFonts w:hint="eastAsia" w:cs="Arial"/>
          <w:color w:val="auto"/>
          <w:sz w:val="63"/>
          <w:szCs w:val="63"/>
          <w:highlight w:val="none"/>
        </w:rPr>
        <w:t>同</w:t>
      </w:r>
    </w:p>
    <w:p w14:paraId="63AB37FD">
      <w:pPr>
        <w:spacing w:after="240"/>
        <w:jc w:val="center"/>
        <w:rPr>
          <w:rFonts w:cs="Arial"/>
          <w:color w:val="auto"/>
          <w:sz w:val="18"/>
          <w:szCs w:val="18"/>
          <w:highlight w:val="none"/>
        </w:rPr>
      </w:pPr>
      <w:r>
        <w:rPr>
          <w:rFonts w:hint="eastAsia" w:cs="Arial"/>
          <w:color w:val="auto"/>
          <w:sz w:val="63"/>
          <w:szCs w:val="63"/>
          <w:highlight w:val="none"/>
        </w:rPr>
        <w:t>书</w:t>
      </w:r>
      <w:r>
        <w:rPr>
          <w:rFonts w:cs="Arial"/>
          <w:color w:val="auto"/>
          <w:sz w:val="18"/>
          <w:szCs w:val="18"/>
          <w:highlight w:val="none"/>
        </w:rPr>
        <w:t xml:space="preserve"> </w:t>
      </w:r>
    </w:p>
    <w:p w14:paraId="68F0AC4C">
      <w:pPr>
        <w:pStyle w:val="14"/>
        <w:rPr>
          <w:color w:val="auto"/>
          <w:highlight w:val="none"/>
        </w:rPr>
      </w:pPr>
    </w:p>
    <w:p w14:paraId="2A08DCCB">
      <w:pPr>
        <w:pStyle w:val="14"/>
        <w:rPr>
          <w:color w:val="auto"/>
          <w:highlight w:val="none"/>
        </w:rPr>
      </w:pPr>
    </w:p>
    <w:p w14:paraId="102B6C87">
      <w:pPr>
        <w:spacing w:after="240"/>
        <w:jc w:val="center"/>
        <w:rPr>
          <w:rFonts w:cs="Arial"/>
          <w:color w:val="auto"/>
          <w:sz w:val="18"/>
          <w:szCs w:val="18"/>
          <w:highlight w:val="none"/>
        </w:rPr>
      </w:pPr>
      <w:r>
        <w:rPr>
          <w:rFonts w:hint="eastAsia" w:cs="Arial"/>
          <w:b/>
          <w:bCs/>
          <w:color w:val="auto"/>
          <w:sz w:val="27"/>
          <w:szCs w:val="27"/>
          <w:highlight w:val="none"/>
        </w:rPr>
        <w:t>签订地点：云南省昆明市</w:t>
      </w:r>
      <w:r>
        <w:rPr>
          <w:rFonts w:cs="Arial"/>
          <w:color w:val="auto"/>
          <w:sz w:val="18"/>
          <w:szCs w:val="18"/>
          <w:highlight w:val="none"/>
        </w:rPr>
        <w:t xml:space="preserve"> </w:t>
      </w:r>
    </w:p>
    <w:p w14:paraId="1A411E90">
      <w:pPr>
        <w:spacing w:after="240"/>
        <w:jc w:val="center"/>
        <w:rPr>
          <w:rFonts w:cs="Arial"/>
          <w:b/>
          <w:bCs/>
          <w:color w:val="auto"/>
          <w:sz w:val="27"/>
          <w:szCs w:val="27"/>
          <w:highlight w:val="none"/>
        </w:rPr>
      </w:pPr>
      <w:r>
        <w:rPr>
          <w:rFonts w:hint="eastAsia" w:cs="Arial"/>
          <w:b/>
          <w:bCs/>
          <w:color w:val="auto"/>
          <w:sz w:val="27"/>
          <w:szCs w:val="27"/>
          <w:highlight w:val="none"/>
        </w:rPr>
        <w:t>签订日期：20</w:t>
      </w:r>
      <w:r>
        <w:rPr>
          <w:rFonts w:cs="Arial"/>
          <w:b/>
          <w:bCs/>
          <w:color w:val="auto"/>
          <w:sz w:val="27"/>
          <w:szCs w:val="27"/>
          <w:highlight w:val="none"/>
        </w:rPr>
        <w:t>2</w:t>
      </w:r>
      <w:r>
        <w:rPr>
          <w:rFonts w:hint="eastAsia" w:cs="Arial"/>
          <w:b/>
          <w:bCs/>
          <w:color w:val="auto"/>
          <w:sz w:val="27"/>
          <w:szCs w:val="27"/>
          <w:highlight w:val="none"/>
          <w:lang w:val="en-US" w:eastAsia="zh-CN"/>
        </w:rPr>
        <w:t>5</w:t>
      </w:r>
      <w:r>
        <w:rPr>
          <w:rFonts w:hint="eastAsia" w:cs="Arial"/>
          <w:b/>
          <w:bCs/>
          <w:color w:val="auto"/>
          <w:sz w:val="27"/>
          <w:szCs w:val="27"/>
          <w:highlight w:val="none"/>
        </w:rPr>
        <w:t xml:space="preserve">年 月  日 </w:t>
      </w:r>
    </w:p>
    <w:p w14:paraId="3A8411B5">
      <w:pPr>
        <w:spacing w:after="240"/>
        <w:jc w:val="center"/>
        <w:rPr>
          <w:rFonts w:ascii="宋体" w:hAnsi="宋体" w:cs="宋体"/>
          <w:b/>
          <w:bCs/>
          <w:color w:val="auto"/>
          <w:sz w:val="24"/>
          <w:szCs w:val="24"/>
          <w:highlight w:val="none"/>
        </w:rPr>
      </w:pPr>
      <w:r>
        <w:rPr>
          <w:rFonts w:hint="eastAsia" w:cs="Arial"/>
          <w:b/>
          <w:bCs/>
          <w:color w:val="auto"/>
          <w:sz w:val="27"/>
          <w:szCs w:val="27"/>
          <w:highlight w:val="none"/>
        </w:rPr>
        <w:t xml:space="preserve">云南省财政厅 制 </w:t>
      </w:r>
    </w:p>
    <w:p w14:paraId="12411908">
      <w:pPr>
        <w:spacing w:line="50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br w:type="page"/>
      </w:r>
    </w:p>
    <w:p w14:paraId="0D5BAA8D">
      <w:pPr>
        <w:spacing w:line="360" w:lineRule="auto"/>
        <w:ind w:firstLine="484" w:firstLineChars="202"/>
        <w:rPr>
          <w:rFonts w:hint="eastAsia" w:eastAsia="宋体" w:cs="Arial"/>
          <w:color w:val="auto"/>
          <w:sz w:val="24"/>
          <w:szCs w:val="24"/>
          <w:highlight w:val="none"/>
          <w:lang w:eastAsia="zh-CN"/>
        </w:rPr>
      </w:pPr>
      <w:r>
        <w:rPr>
          <w:rFonts w:hint="eastAsia" w:cs="Arial"/>
          <w:color w:val="auto"/>
          <w:sz w:val="24"/>
          <w:szCs w:val="24"/>
          <w:highlight w:val="none"/>
        </w:rPr>
        <w:t>甲方（采购人公章）名</w:t>
      </w:r>
      <w:r>
        <w:rPr>
          <w:rFonts w:cs="Arial"/>
          <w:color w:val="auto"/>
          <w:sz w:val="24"/>
          <w:szCs w:val="24"/>
          <w:highlight w:val="none"/>
        </w:rPr>
        <w:t>    </w:t>
      </w:r>
      <w:r>
        <w:rPr>
          <w:rFonts w:hint="eastAsia" w:cs="Arial"/>
          <w:color w:val="auto"/>
          <w:sz w:val="24"/>
          <w:szCs w:val="24"/>
          <w:highlight w:val="none"/>
        </w:rPr>
        <w:t>称：</w:t>
      </w:r>
      <w:r>
        <w:rPr>
          <w:rFonts w:hint="eastAsia" w:cs="Arial"/>
          <w:color w:val="auto"/>
          <w:sz w:val="24"/>
          <w:szCs w:val="24"/>
          <w:highlight w:val="none"/>
          <w:lang w:eastAsia="zh-CN"/>
        </w:rPr>
        <w:t>昆明铁道职业技术学院</w:t>
      </w:r>
    </w:p>
    <w:p w14:paraId="7C933C9A">
      <w:pPr>
        <w:spacing w:line="360" w:lineRule="auto"/>
        <w:ind w:left="2409" w:leftChars="1147" w:firstLine="240" w:firstLineChars="100"/>
        <w:rPr>
          <w:rFonts w:hint="eastAsia" w:eastAsia="宋体" w:cs="Arial"/>
          <w:color w:val="auto"/>
          <w:sz w:val="24"/>
          <w:szCs w:val="24"/>
          <w:highlight w:val="none"/>
          <w:lang w:eastAsia="zh-CN"/>
        </w:rPr>
      </w:pPr>
      <w:r>
        <w:rPr>
          <w:rFonts w:hint="eastAsia" w:cs="Arial"/>
          <w:color w:val="auto"/>
          <w:sz w:val="24"/>
          <w:szCs w:val="24"/>
          <w:highlight w:val="none"/>
        </w:rPr>
        <w:t>地</w:t>
      </w:r>
      <w:r>
        <w:rPr>
          <w:rFonts w:cs="Arial"/>
          <w:color w:val="auto"/>
          <w:sz w:val="24"/>
          <w:szCs w:val="24"/>
          <w:highlight w:val="none"/>
        </w:rPr>
        <w:t>    </w:t>
      </w:r>
      <w:r>
        <w:rPr>
          <w:rFonts w:hint="eastAsia" w:cs="Arial"/>
          <w:color w:val="auto"/>
          <w:sz w:val="24"/>
          <w:szCs w:val="24"/>
          <w:highlight w:val="none"/>
        </w:rPr>
        <w:t>址：</w:t>
      </w:r>
      <w:r>
        <w:rPr>
          <w:rFonts w:hint="eastAsia" w:ascii="宋体" w:hAnsi="宋体" w:cs="宋体"/>
          <w:color w:val="auto"/>
          <w:sz w:val="24"/>
          <w:szCs w:val="24"/>
          <w:highlight w:val="none"/>
          <w:lang w:eastAsia="zh-CN"/>
        </w:rPr>
        <w:t>昆明市经济技术开发区小石坝16号</w:t>
      </w:r>
    </w:p>
    <w:p w14:paraId="17B58E71">
      <w:pPr>
        <w:spacing w:line="360" w:lineRule="auto"/>
        <w:ind w:left="2409" w:leftChars="1147" w:firstLine="240" w:firstLineChars="100"/>
        <w:rPr>
          <w:rFonts w:cs="Arial"/>
          <w:color w:val="auto"/>
          <w:sz w:val="24"/>
          <w:szCs w:val="24"/>
          <w:highlight w:val="none"/>
        </w:rPr>
      </w:pPr>
      <w:r>
        <w:rPr>
          <w:rFonts w:hint="eastAsia" w:cs="Arial"/>
          <w:color w:val="auto"/>
          <w:sz w:val="24"/>
          <w:szCs w:val="24"/>
          <w:highlight w:val="none"/>
        </w:rPr>
        <w:t>邮</w:t>
      </w:r>
      <w:r>
        <w:rPr>
          <w:rFonts w:cs="Arial"/>
          <w:color w:val="auto"/>
          <w:sz w:val="24"/>
          <w:szCs w:val="24"/>
          <w:highlight w:val="none"/>
        </w:rPr>
        <w:t>    </w:t>
      </w:r>
      <w:r>
        <w:rPr>
          <w:rFonts w:hint="eastAsia" w:cs="Arial"/>
          <w:color w:val="auto"/>
          <w:sz w:val="24"/>
          <w:szCs w:val="24"/>
          <w:highlight w:val="none"/>
        </w:rPr>
        <w:t>编：</w:t>
      </w:r>
    </w:p>
    <w:p w14:paraId="58851E31">
      <w:pPr>
        <w:spacing w:line="360" w:lineRule="auto"/>
        <w:ind w:left="2409" w:leftChars="1147" w:firstLine="240" w:firstLineChars="100"/>
        <w:rPr>
          <w:rFonts w:cs="Arial"/>
          <w:color w:val="auto"/>
          <w:sz w:val="24"/>
          <w:szCs w:val="24"/>
          <w:highlight w:val="none"/>
        </w:rPr>
      </w:pPr>
      <w:r>
        <w:rPr>
          <w:rFonts w:hint="eastAsia" w:cs="Arial"/>
          <w:color w:val="auto"/>
          <w:sz w:val="24"/>
          <w:szCs w:val="24"/>
          <w:highlight w:val="none"/>
        </w:rPr>
        <w:t>法定代表人或委托代理人：</w:t>
      </w:r>
    </w:p>
    <w:p w14:paraId="5A53C993">
      <w:pPr>
        <w:spacing w:line="360" w:lineRule="auto"/>
        <w:ind w:left="2409" w:leftChars="1147" w:firstLine="240" w:firstLineChars="100"/>
        <w:rPr>
          <w:rFonts w:cs="Arial"/>
          <w:color w:val="auto"/>
          <w:sz w:val="24"/>
          <w:szCs w:val="24"/>
          <w:highlight w:val="none"/>
        </w:rPr>
      </w:pPr>
      <w:r>
        <w:rPr>
          <w:rFonts w:hint="eastAsia" w:cs="Arial"/>
          <w:color w:val="auto"/>
          <w:sz w:val="24"/>
          <w:szCs w:val="24"/>
          <w:highlight w:val="none"/>
        </w:rPr>
        <w:t>项目（技术）负责人：</w:t>
      </w:r>
    </w:p>
    <w:p w14:paraId="13F9AF0E">
      <w:pPr>
        <w:spacing w:line="360" w:lineRule="auto"/>
        <w:ind w:left="2409" w:leftChars="1147" w:firstLine="240" w:firstLineChars="100"/>
        <w:rPr>
          <w:rFonts w:cs="Arial"/>
          <w:color w:val="auto"/>
          <w:sz w:val="24"/>
          <w:szCs w:val="24"/>
          <w:highlight w:val="none"/>
        </w:rPr>
      </w:pPr>
      <w:r>
        <w:rPr>
          <w:rFonts w:hint="eastAsia" w:cs="Arial"/>
          <w:color w:val="auto"/>
          <w:sz w:val="24"/>
          <w:szCs w:val="24"/>
          <w:highlight w:val="none"/>
        </w:rPr>
        <w:t>电</w:t>
      </w:r>
      <w:r>
        <w:rPr>
          <w:rFonts w:cs="Arial"/>
          <w:color w:val="auto"/>
          <w:sz w:val="24"/>
          <w:szCs w:val="24"/>
          <w:highlight w:val="none"/>
        </w:rPr>
        <w:t>    </w:t>
      </w:r>
      <w:r>
        <w:rPr>
          <w:rFonts w:hint="eastAsia" w:cs="Arial"/>
          <w:color w:val="auto"/>
          <w:sz w:val="24"/>
          <w:szCs w:val="24"/>
          <w:highlight w:val="none"/>
        </w:rPr>
        <w:t xml:space="preserve">话：   </w:t>
      </w:r>
    </w:p>
    <w:p w14:paraId="545B418A">
      <w:pPr>
        <w:spacing w:line="360" w:lineRule="auto"/>
        <w:ind w:left="2409" w:leftChars="1147" w:firstLine="240" w:firstLineChars="100"/>
        <w:rPr>
          <w:rFonts w:cs="Arial"/>
          <w:color w:val="auto"/>
          <w:sz w:val="24"/>
          <w:szCs w:val="24"/>
          <w:highlight w:val="none"/>
        </w:rPr>
      </w:pPr>
      <w:r>
        <w:rPr>
          <w:rFonts w:hint="eastAsia" w:cs="Arial"/>
          <w:color w:val="auto"/>
          <w:sz w:val="24"/>
          <w:szCs w:val="24"/>
          <w:highlight w:val="none"/>
        </w:rPr>
        <w:t>开户银行：</w:t>
      </w:r>
    </w:p>
    <w:p w14:paraId="17A6ADCD">
      <w:pPr>
        <w:spacing w:line="360" w:lineRule="auto"/>
        <w:ind w:left="2409" w:leftChars="1147" w:firstLine="240" w:firstLineChars="100"/>
        <w:rPr>
          <w:rFonts w:cs="Arial"/>
          <w:color w:val="auto"/>
          <w:sz w:val="24"/>
          <w:szCs w:val="24"/>
          <w:highlight w:val="none"/>
        </w:rPr>
      </w:pPr>
      <w:r>
        <w:rPr>
          <w:rFonts w:hint="eastAsia" w:cs="Arial"/>
          <w:color w:val="auto"/>
          <w:sz w:val="24"/>
          <w:szCs w:val="24"/>
          <w:highlight w:val="none"/>
        </w:rPr>
        <w:t>账</w:t>
      </w:r>
      <w:r>
        <w:rPr>
          <w:rFonts w:cs="Arial"/>
          <w:color w:val="auto"/>
          <w:sz w:val="24"/>
          <w:szCs w:val="24"/>
          <w:highlight w:val="none"/>
        </w:rPr>
        <w:t>    </w:t>
      </w:r>
      <w:r>
        <w:rPr>
          <w:rFonts w:hint="eastAsia" w:cs="Arial"/>
          <w:color w:val="auto"/>
          <w:sz w:val="24"/>
          <w:szCs w:val="24"/>
          <w:highlight w:val="none"/>
        </w:rPr>
        <w:t>号：</w:t>
      </w:r>
    </w:p>
    <w:p w14:paraId="6D496C65">
      <w:pPr>
        <w:spacing w:line="360" w:lineRule="auto"/>
        <w:ind w:left="2268" w:leftChars="1080"/>
        <w:rPr>
          <w:rFonts w:cs="Arial"/>
          <w:color w:val="auto"/>
          <w:sz w:val="24"/>
          <w:szCs w:val="24"/>
          <w:highlight w:val="none"/>
        </w:rPr>
      </w:pPr>
    </w:p>
    <w:p w14:paraId="1C5C1E32">
      <w:pPr>
        <w:spacing w:line="360" w:lineRule="auto"/>
        <w:ind w:firstLine="484" w:firstLineChars="202"/>
        <w:rPr>
          <w:rFonts w:cs="Arial"/>
          <w:color w:val="auto"/>
          <w:sz w:val="24"/>
          <w:szCs w:val="24"/>
          <w:highlight w:val="none"/>
        </w:rPr>
      </w:pPr>
      <w:r>
        <w:rPr>
          <w:rFonts w:hint="eastAsia" w:cs="Arial"/>
          <w:color w:val="auto"/>
          <w:sz w:val="24"/>
          <w:szCs w:val="24"/>
          <w:highlight w:val="none"/>
        </w:rPr>
        <w:t>乙方（供应商公章）名</w:t>
      </w:r>
      <w:r>
        <w:rPr>
          <w:rFonts w:cs="Arial"/>
          <w:color w:val="auto"/>
          <w:sz w:val="24"/>
          <w:szCs w:val="24"/>
          <w:highlight w:val="none"/>
        </w:rPr>
        <w:t>    </w:t>
      </w:r>
      <w:r>
        <w:rPr>
          <w:rFonts w:hint="eastAsia" w:cs="Arial"/>
          <w:color w:val="auto"/>
          <w:sz w:val="24"/>
          <w:szCs w:val="24"/>
          <w:highlight w:val="none"/>
        </w:rPr>
        <w:t xml:space="preserve">称： </w:t>
      </w:r>
    </w:p>
    <w:p w14:paraId="0C844142">
      <w:pPr>
        <w:spacing w:line="360" w:lineRule="auto"/>
        <w:ind w:left="2409" w:leftChars="1147" w:firstLine="240" w:firstLineChars="100"/>
        <w:rPr>
          <w:rFonts w:cs="Arial"/>
          <w:color w:val="auto"/>
          <w:sz w:val="24"/>
          <w:szCs w:val="24"/>
          <w:highlight w:val="none"/>
        </w:rPr>
      </w:pPr>
      <w:r>
        <w:rPr>
          <w:rFonts w:hint="eastAsia" w:cs="Arial"/>
          <w:color w:val="auto"/>
          <w:sz w:val="24"/>
          <w:szCs w:val="24"/>
          <w:highlight w:val="none"/>
        </w:rPr>
        <w:t>地</w:t>
      </w:r>
      <w:r>
        <w:rPr>
          <w:rFonts w:cs="Arial"/>
          <w:color w:val="auto"/>
          <w:sz w:val="24"/>
          <w:szCs w:val="24"/>
          <w:highlight w:val="none"/>
        </w:rPr>
        <w:t>    </w:t>
      </w:r>
      <w:r>
        <w:rPr>
          <w:rFonts w:hint="eastAsia" w:cs="Arial"/>
          <w:color w:val="auto"/>
          <w:sz w:val="24"/>
          <w:szCs w:val="24"/>
          <w:highlight w:val="none"/>
        </w:rPr>
        <w:t>址：</w:t>
      </w:r>
    </w:p>
    <w:p w14:paraId="0CA2B261">
      <w:pPr>
        <w:spacing w:line="360" w:lineRule="auto"/>
        <w:ind w:left="2409" w:leftChars="1147" w:firstLine="240" w:firstLineChars="100"/>
        <w:rPr>
          <w:rFonts w:cs="Arial"/>
          <w:color w:val="auto"/>
          <w:sz w:val="24"/>
          <w:szCs w:val="24"/>
          <w:highlight w:val="none"/>
        </w:rPr>
      </w:pPr>
      <w:r>
        <w:rPr>
          <w:rFonts w:hint="eastAsia" w:cs="Arial"/>
          <w:color w:val="auto"/>
          <w:sz w:val="24"/>
          <w:szCs w:val="24"/>
          <w:highlight w:val="none"/>
        </w:rPr>
        <w:t>邮</w:t>
      </w:r>
      <w:r>
        <w:rPr>
          <w:rFonts w:cs="Arial"/>
          <w:color w:val="auto"/>
          <w:sz w:val="24"/>
          <w:szCs w:val="24"/>
          <w:highlight w:val="none"/>
        </w:rPr>
        <w:t>    </w:t>
      </w:r>
      <w:r>
        <w:rPr>
          <w:rFonts w:hint="eastAsia" w:cs="Arial"/>
          <w:color w:val="auto"/>
          <w:sz w:val="24"/>
          <w:szCs w:val="24"/>
          <w:highlight w:val="none"/>
        </w:rPr>
        <w:t>编：</w:t>
      </w:r>
    </w:p>
    <w:p w14:paraId="39F7F061">
      <w:pPr>
        <w:spacing w:line="360" w:lineRule="auto"/>
        <w:ind w:left="2409" w:leftChars="1147" w:firstLine="240" w:firstLineChars="100"/>
        <w:rPr>
          <w:rFonts w:cs="Arial"/>
          <w:color w:val="auto"/>
          <w:sz w:val="24"/>
          <w:szCs w:val="24"/>
          <w:highlight w:val="none"/>
        </w:rPr>
      </w:pPr>
      <w:r>
        <w:rPr>
          <w:rFonts w:hint="eastAsia" w:cs="Arial"/>
          <w:color w:val="auto"/>
          <w:sz w:val="24"/>
          <w:szCs w:val="24"/>
          <w:highlight w:val="none"/>
        </w:rPr>
        <w:t>法定代表人：</w:t>
      </w:r>
    </w:p>
    <w:p w14:paraId="39FEFCF1">
      <w:pPr>
        <w:spacing w:line="360" w:lineRule="auto"/>
        <w:ind w:left="2409" w:leftChars="1147" w:firstLine="240" w:firstLineChars="100"/>
        <w:rPr>
          <w:rFonts w:cs="Arial"/>
          <w:color w:val="auto"/>
          <w:sz w:val="24"/>
          <w:szCs w:val="24"/>
          <w:highlight w:val="none"/>
        </w:rPr>
      </w:pPr>
      <w:r>
        <w:rPr>
          <w:rFonts w:hint="eastAsia" w:cs="Arial"/>
          <w:color w:val="auto"/>
          <w:sz w:val="24"/>
          <w:szCs w:val="24"/>
          <w:highlight w:val="none"/>
        </w:rPr>
        <w:t>委托代理人：</w:t>
      </w:r>
      <w:r>
        <w:rPr>
          <w:rFonts w:cs="Arial"/>
          <w:color w:val="auto"/>
          <w:sz w:val="24"/>
          <w:szCs w:val="24"/>
          <w:highlight w:val="none"/>
        </w:rPr>
        <w:t>                  </w:t>
      </w:r>
    </w:p>
    <w:p w14:paraId="209CF946">
      <w:pPr>
        <w:spacing w:line="360" w:lineRule="auto"/>
        <w:ind w:left="2409" w:leftChars="1147" w:firstLine="240" w:firstLineChars="100"/>
        <w:rPr>
          <w:rFonts w:cs="Arial"/>
          <w:color w:val="auto"/>
          <w:sz w:val="24"/>
          <w:szCs w:val="24"/>
          <w:highlight w:val="none"/>
        </w:rPr>
      </w:pPr>
      <w:r>
        <w:rPr>
          <w:rFonts w:hint="eastAsia" w:cs="Arial"/>
          <w:color w:val="auto"/>
          <w:sz w:val="24"/>
          <w:szCs w:val="24"/>
          <w:highlight w:val="none"/>
        </w:rPr>
        <w:t>电话：</w:t>
      </w:r>
    </w:p>
    <w:p w14:paraId="69C966B4">
      <w:pPr>
        <w:spacing w:line="360" w:lineRule="auto"/>
        <w:ind w:left="2409" w:leftChars="1147" w:firstLine="240" w:firstLineChars="100"/>
        <w:rPr>
          <w:rFonts w:cs="Arial"/>
          <w:color w:val="auto"/>
          <w:sz w:val="24"/>
          <w:szCs w:val="24"/>
          <w:highlight w:val="none"/>
        </w:rPr>
      </w:pPr>
      <w:r>
        <w:rPr>
          <w:rFonts w:hint="eastAsia" w:cs="Arial"/>
          <w:color w:val="auto"/>
          <w:sz w:val="24"/>
          <w:szCs w:val="24"/>
          <w:highlight w:val="none"/>
        </w:rPr>
        <w:t>开户银行：</w:t>
      </w:r>
    </w:p>
    <w:p w14:paraId="77652E1E">
      <w:pPr>
        <w:spacing w:line="360" w:lineRule="auto"/>
        <w:ind w:left="2409" w:leftChars="1147" w:firstLine="240" w:firstLineChars="100"/>
        <w:rPr>
          <w:rFonts w:cs="Arial"/>
          <w:color w:val="auto"/>
          <w:sz w:val="24"/>
          <w:szCs w:val="24"/>
          <w:highlight w:val="none"/>
        </w:rPr>
      </w:pPr>
      <w:r>
        <w:rPr>
          <w:rFonts w:hint="eastAsia" w:cs="Arial"/>
          <w:color w:val="auto"/>
          <w:sz w:val="24"/>
          <w:szCs w:val="24"/>
          <w:highlight w:val="none"/>
        </w:rPr>
        <w:t>账</w:t>
      </w:r>
      <w:r>
        <w:rPr>
          <w:rFonts w:cs="Arial"/>
          <w:color w:val="auto"/>
          <w:sz w:val="24"/>
          <w:szCs w:val="24"/>
          <w:highlight w:val="none"/>
        </w:rPr>
        <w:t>    </w:t>
      </w:r>
      <w:r>
        <w:rPr>
          <w:rFonts w:hint="eastAsia" w:cs="Arial"/>
          <w:color w:val="auto"/>
          <w:sz w:val="24"/>
          <w:szCs w:val="24"/>
          <w:highlight w:val="none"/>
        </w:rPr>
        <w:t>号：</w:t>
      </w:r>
    </w:p>
    <w:p w14:paraId="77E1A2B2">
      <w:pPr>
        <w:spacing w:line="360" w:lineRule="auto"/>
        <w:ind w:left="2268" w:leftChars="1080"/>
        <w:rPr>
          <w:rFonts w:cs="Arial"/>
          <w:vanish/>
          <w:color w:val="auto"/>
          <w:sz w:val="24"/>
          <w:szCs w:val="24"/>
          <w:highlight w:val="none"/>
        </w:rPr>
      </w:pPr>
    </w:p>
    <w:p w14:paraId="0131512F">
      <w:pPr>
        <w:spacing w:line="360" w:lineRule="auto"/>
        <w:ind w:firstLine="484" w:firstLineChars="202"/>
        <w:rPr>
          <w:rFonts w:cs="Arial"/>
          <w:color w:val="auto"/>
          <w:sz w:val="24"/>
          <w:szCs w:val="24"/>
          <w:highlight w:val="none"/>
        </w:rPr>
      </w:pPr>
      <w:r>
        <w:rPr>
          <w:rFonts w:hint="eastAsia" w:cs="Arial"/>
          <w:color w:val="auto"/>
          <w:sz w:val="24"/>
          <w:szCs w:val="24"/>
          <w:highlight w:val="none"/>
        </w:rPr>
        <w:t>丙方（鉴证方公章）名</w:t>
      </w:r>
      <w:r>
        <w:rPr>
          <w:rFonts w:cs="Arial"/>
          <w:color w:val="auto"/>
          <w:sz w:val="24"/>
          <w:szCs w:val="24"/>
          <w:highlight w:val="none"/>
        </w:rPr>
        <w:t>    </w:t>
      </w:r>
      <w:r>
        <w:rPr>
          <w:rFonts w:hint="eastAsia" w:cs="Arial"/>
          <w:color w:val="auto"/>
          <w:sz w:val="24"/>
          <w:szCs w:val="24"/>
          <w:highlight w:val="none"/>
        </w:rPr>
        <w:t xml:space="preserve">称： </w:t>
      </w:r>
    </w:p>
    <w:p w14:paraId="4F07DDCD">
      <w:pPr>
        <w:spacing w:line="360" w:lineRule="auto"/>
        <w:ind w:left="2409" w:leftChars="1147" w:firstLine="240" w:firstLineChars="100"/>
        <w:rPr>
          <w:rFonts w:cs="Arial"/>
          <w:color w:val="auto"/>
          <w:sz w:val="24"/>
          <w:szCs w:val="24"/>
          <w:highlight w:val="none"/>
        </w:rPr>
      </w:pPr>
      <w:r>
        <w:rPr>
          <w:rFonts w:hint="eastAsia" w:cs="Arial"/>
          <w:color w:val="auto"/>
          <w:sz w:val="24"/>
          <w:szCs w:val="24"/>
          <w:highlight w:val="none"/>
        </w:rPr>
        <w:t>地</w:t>
      </w:r>
      <w:r>
        <w:rPr>
          <w:rFonts w:cs="Arial"/>
          <w:color w:val="auto"/>
          <w:sz w:val="24"/>
          <w:szCs w:val="24"/>
          <w:highlight w:val="none"/>
        </w:rPr>
        <w:t>    </w:t>
      </w:r>
      <w:r>
        <w:rPr>
          <w:rFonts w:hint="eastAsia" w:cs="Arial"/>
          <w:color w:val="auto"/>
          <w:sz w:val="24"/>
          <w:szCs w:val="24"/>
          <w:highlight w:val="none"/>
        </w:rPr>
        <w:t xml:space="preserve">址： </w:t>
      </w:r>
    </w:p>
    <w:p w14:paraId="62B80586">
      <w:pPr>
        <w:spacing w:line="360" w:lineRule="auto"/>
        <w:ind w:left="2409" w:leftChars="1147" w:firstLine="240" w:firstLineChars="100"/>
        <w:rPr>
          <w:rFonts w:cs="Arial"/>
          <w:color w:val="auto"/>
          <w:sz w:val="24"/>
          <w:szCs w:val="24"/>
          <w:highlight w:val="none"/>
        </w:rPr>
      </w:pPr>
      <w:r>
        <w:rPr>
          <w:rFonts w:hint="eastAsia" w:cs="Arial"/>
          <w:color w:val="auto"/>
          <w:sz w:val="24"/>
          <w:szCs w:val="24"/>
          <w:highlight w:val="none"/>
        </w:rPr>
        <w:t>邮</w:t>
      </w:r>
      <w:r>
        <w:rPr>
          <w:rFonts w:cs="Arial"/>
          <w:color w:val="auto"/>
          <w:sz w:val="24"/>
          <w:szCs w:val="24"/>
          <w:highlight w:val="none"/>
        </w:rPr>
        <w:t>    </w:t>
      </w:r>
      <w:r>
        <w:rPr>
          <w:rFonts w:hint="eastAsia" w:cs="Arial"/>
          <w:color w:val="auto"/>
          <w:sz w:val="24"/>
          <w:szCs w:val="24"/>
          <w:highlight w:val="none"/>
        </w:rPr>
        <w:t>编：</w:t>
      </w:r>
    </w:p>
    <w:p w14:paraId="01CAFDAF">
      <w:pPr>
        <w:spacing w:line="360" w:lineRule="auto"/>
        <w:ind w:left="2409" w:leftChars="1147" w:firstLine="240" w:firstLineChars="100"/>
        <w:rPr>
          <w:rFonts w:cs="Arial"/>
          <w:color w:val="auto"/>
          <w:sz w:val="24"/>
          <w:szCs w:val="24"/>
          <w:highlight w:val="none"/>
        </w:rPr>
      </w:pPr>
      <w:r>
        <w:rPr>
          <w:rFonts w:hint="eastAsia" w:cs="Arial"/>
          <w:color w:val="auto"/>
          <w:sz w:val="24"/>
          <w:szCs w:val="24"/>
          <w:highlight w:val="none"/>
        </w:rPr>
        <w:t>法定代表人：</w:t>
      </w:r>
    </w:p>
    <w:p w14:paraId="204D2948">
      <w:pPr>
        <w:spacing w:line="360" w:lineRule="auto"/>
        <w:ind w:left="2409" w:leftChars="1147" w:firstLine="240" w:firstLineChars="100"/>
        <w:rPr>
          <w:rFonts w:cs="Arial"/>
          <w:color w:val="auto"/>
          <w:sz w:val="24"/>
          <w:szCs w:val="24"/>
          <w:highlight w:val="none"/>
        </w:rPr>
      </w:pPr>
      <w:r>
        <w:rPr>
          <w:rFonts w:hint="eastAsia" w:cs="Arial"/>
          <w:color w:val="auto"/>
          <w:sz w:val="24"/>
          <w:szCs w:val="24"/>
          <w:highlight w:val="none"/>
        </w:rPr>
        <w:t>或委托代理人：</w:t>
      </w:r>
    </w:p>
    <w:p w14:paraId="0B2A0C18">
      <w:pPr>
        <w:spacing w:line="360" w:lineRule="auto"/>
        <w:ind w:left="2409" w:leftChars="1147" w:firstLine="240" w:firstLineChars="100"/>
        <w:rPr>
          <w:rFonts w:cs="Arial"/>
          <w:color w:val="auto"/>
          <w:sz w:val="24"/>
          <w:szCs w:val="24"/>
          <w:highlight w:val="none"/>
        </w:rPr>
      </w:pPr>
      <w:r>
        <w:rPr>
          <w:rFonts w:hint="eastAsia" w:cs="Arial"/>
          <w:color w:val="auto"/>
          <w:sz w:val="24"/>
          <w:szCs w:val="24"/>
          <w:highlight w:val="none"/>
        </w:rPr>
        <w:t xml:space="preserve">经办人： </w:t>
      </w:r>
    </w:p>
    <w:p w14:paraId="66AD2035">
      <w:pPr>
        <w:spacing w:line="360" w:lineRule="auto"/>
        <w:ind w:left="2409" w:leftChars="1147" w:firstLine="240" w:firstLineChars="100"/>
        <w:rPr>
          <w:rFonts w:cs="Arial"/>
          <w:color w:val="auto"/>
          <w:sz w:val="24"/>
          <w:szCs w:val="24"/>
          <w:highlight w:val="none"/>
        </w:rPr>
      </w:pPr>
      <w:r>
        <w:rPr>
          <w:rFonts w:hint="eastAsia" w:cs="Arial"/>
          <w:color w:val="auto"/>
          <w:sz w:val="24"/>
          <w:szCs w:val="24"/>
          <w:highlight w:val="none"/>
        </w:rPr>
        <w:t>电</w:t>
      </w:r>
      <w:r>
        <w:rPr>
          <w:rFonts w:cs="Arial"/>
          <w:color w:val="auto"/>
          <w:sz w:val="24"/>
          <w:szCs w:val="24"/>
          <w:highlight w:val="none"/>
        </w:rPr>
        <w:t>    </w:t>
      </w:r>
      <w:r>
        <w:rPr>
          <w:rFonts w:hint="eastAsia" w:cs="Arial"/>
          <w:color w:val="auto"/>
          <w:sz w:val="24"/>
          <w:szCs w:val="24"/>
          <w:highlight w:val="none"/>
        </w:rPr>
        <w:t>话：</w:t>
      </w:r>
    </w:p>
    <w:p w14:paraId="7CFC80AD">
      <w:pPr>
        <w:spacing w:line="360" w:lineRule="auto"/>
        <w:ind w:left="2409" w:leftChars="1147" w:firstLine="240" w:firstLineChars="100"/>
        <w:rPr>
          <w:rFonts w:cs="Arial"/>
          <w:color w:val="auto"/>
          <w:sz w:val="24"/>
          <w:szCs w:val="24"/>
          <w:highlight w:val="none"/>
        </w:rPr>
      </w:pPr>
      <w:r>
        <w:rPr>
          <w:rFonts w:hint="eastAsia" w:cs="Arial"/>
          <w:color w:val="auto"/>
          <w:sz w:val="24"/>
          <w:szCs w:val="24"/>
          <w:highlight w:val="none"/>
        </w:rPr>
        <w:t>开户银行：</w:t>
      </w:r>
    </w:p>
    <w:p w14:paraId="2A01BE24">
      <w:pPr>
        <w:spacing w:line="360" w:lineRule="auto"/>
        <w:ind w:left="2409" w:leftChars="1147" w:firstLine="240" w:firstLineChars="100"/>
        <w:rPr>
          <w:rFonts w:cs="Arial"/>
          <w:color w:val="auto"/>
          <w:sz w:val="24"/>
          <w:szCs w:val="24"/>
          <w:highlight w:val="none"/>
        </w:rPr>
      </w:pPr>
      <w:r>
        <w:rPr>
          <w:rFonts w:hint="eastAsia" w:cs="Arial"/>
          <w:color w:val="auto"/>
          <w:sz w:val="24"/>
          <w:szCs w:val="24"/>
          <w:highlight w:val="none"/>
        </w:rPr>
        <w:t>账</w:t>
      </w:r>
      <w:r>
        <w:rPr>
          <w:rFonts w:cs="Arial"/>
          <w:color w:val="auto"/>
          <w:sz w:val="24"/>
          <w:szCs w:val="24"/>
          <w:highlight w:val="none"/>
        </w:rPr>
        <w:t>    </w:t>
      </w:r>
      <w:r>
        <w:rPr>
          <w:rFonts w:hint="eastAsia" w:cs="Arial"/>
          <w:color w:val="auto"/>
          <w:sz w:val="24"/>
          <w:szCs w:val="24"/>
          <w:highlight w:val="none"/>
        </w:rPr>
        <w:t>号：</w:t>
      </w:r>
    </w:p>
    <w:p w14:paraId="553D3C48">
      <w:pPr>
        <w:spacing w:line="360" w:lineRule="auto"/>
        <w:ind w:firstLine="412"/>
        <w:rPr>
          <w:rFonts w:ascii="宋体" w:hAnsi="宋体" w:cs="宋体"/>
          <w:color w:val="auto"/>
          <w:sz w:val="24"/>
          <w:szCs w:val="24"/>
          <w:highlight w:val="none"/>
        </w:rPr>
      </w:pPr>
    </w:p>
    <w:p w14:paraId="0AE2A3BC">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br w:type="page"/>
      </w:r>
      <w:r>
        <w:rPr>
          <w:rFonts w:hint="eastAsia" w:ascii="宋体" w:hAnsi="宋体" w:cs="宋体"/>
          <w:color w:val="auto"/>
          <w:sz w:val="24"/>
          <w:szCs w:val="24"/>
          <w:highlight w:val="none"/>
        </w:rPr>
        <w:t>甲乙双方根据“招标项目名称”项目招标结果（采购代理机构：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，招标编号：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），确定由乙方负责甲方</w:t>
      </w:r>
      <w:r>
        <w:rPr>
          <w:rFonts w:hint="eastAsia" w:ascii="宋体" w:hAnsi="宋体" w:cs="宋体"/>
          <w:color w:val="auto"/>
          <w:sz w:val="24"/>
          <w:szCs w:val="24"/>
          <w:highlight w:val="none"/>
          <w:u w:val="single"/>
        </w:rPr>
        <w:t xml:space="preserve">      （使用部门）</w:t>
      </w:r>
      <w:r>
        <w:rPr>
          <w:rFonts w:hint="eastAsia" w:ascii="宋体" w:hAnsi="宋体" w:cs="宋体"/>
          <w:color w:val="auto"/>
          <w:sz w:val="24"/>
          <w:szCs w:val="24"/>
          <w:highlight w:val="none"/>
        </w:rPr>
        <w:t>设备供应，经过双方充分协商达成一致意见，签订以下内容：</w:t>
      </w:r>
    </w:p>
    <w:p w14:paraId="3FAD0837">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一、主体设备要求和数量、价格：                                   </w:t>
      </w:r>
    </w:p>
    <w:p w14:paraId="59C9B822">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见附件</w:t>
      </w:r>
    </w:p>
    <w:p w14:paraId="29FFD571">
      <w:pPr>
        <w:spacing w:line="360" w:lineRule="auto"/>
        <w:ind w:firstLine="480" w:firstLineChars="200"/>
        <w:rPr>
          <w:rFonts w:ascii="宋体" w:hAnsi="宋体" w:cs="宋体"/>
          <w:color w:val="auto"/>
          <w:sz w:val="24"/>
          <w:szCs w:val="24"/>
          <w:highlight w:val="none"/>
        </w:rPr>
      </w:pPr>
    </w:p>
    <w:p w14:paraId="04237636">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二、随机资料和配套附属设备要求</w:t>
      </w:r>
    </w:p>
    <w:p w14:paraId="45A2657D">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标准配置。</w:t>
      </w:r>
    </w:p>
    <w:p w14:paraId="5273B8B4">
      <w:pPr>
        <w:spacing w:line="360" w:lineRule="auto"/>
        <w:ind w:firstLine="480" w:firstLineChars="200"/>
        <w:rPr>
          <w:rFonts w:ascii="宋体" w:hAnsi="宋体" w:cs="宋体"/>
          <w:color w:val="auto"/>
          <w:sz w:val="24"/>
          <w:szCs w:val="24"/>
          <w:highlight w:val="none"/>
        </w:rPr>
      </w:pPr>
    </w:p>
    <w:p w14:paraId="69891726">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三、安装调试要求</w:t>
      </w:r>
    </w:p>
    <w:p w14:paraId="0BC7FE1E">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设备安装调试符合国家标准或规范，并满足甲方技术要求，乙方负责免费进行设备的安装测试同时完成。</w:t>
      </w:r>
    </w:p>
    <w:p w14:paraId="2F7A7675">
      <w:pPr>
        <w:spacing w:line="360" w:lineRule="auto"/>
        <w:ind w:firstLine="480" w:firstLineChars="200"/>
        <w:rPr>
          <w:rFonts w:ascii="宋体" w:hAnsi="宋体" w:cs="宋体"/>
          <w:color w:val="auto"/>
          <w:sz w:val="24"/>
          <w:szCs w:val="24"/>
          <w:highlight w:val="none"/>
        </w:rPr>
      </w:pPr>
    </w:p>
    <w:p w14:paraId="6C80FAC7">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四、配套设备、备品备件（含易损件或消耗品）要求及长期供应优惠条件</w:t>
      </w:r>
    </w:p>
    <w:p w14:paraId="760D4F34">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长期优惠供应。</w:t>
      </w:r>
    </w:p>
    <w:p w14:paraId="677391C2">
      <w:pPr>
        <w:spacing w:line="360" w:lineRule="auto"/>
        <w:ind w:firstLine="480" w:firstLineChars="200"/>
        <w:rPr>
          <w:rFonts w:ascii="宋体" w:hAnsi="宋体" w:cs="宋体"/>
          <w:color w:val="auto"/>
          <w:sz w:val="24"/>
          <w:szCs w:val="24"/>
          <w:highlight w:val="none"/>
        </w:rPr>
      </w:pPr>
    </w:p>
    <w:p w14:paraId="451D1B1B">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五、合同总价：（人民币  元）</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元整</w:t>
      </w:r>
    </w:p>
    <w:p w14:paraId="1997A17F">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小写：￥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元</w:t>
      </w:r>
    </w:p>
    <w:p w14:paraId="5092C0CC">
      <w:pPr>
        <w:spacing w:line="360" w:lineRule="auto"/>
        <w:ind w:firstLine="480" w:firstLineChars="200"/>
        <w:rPr>
          <w:rFonts w:ascii="宋体" w:hAnsi="宋体" w:cs="宋体"/>
          <w:color w:val="auto"/>
          <w:sz w:val="24"/>
          <w:szCs w:val="24"/>
          <w:highlight w:val="none"/>
        </w:rPr>
      </w:pPr>
      <w:bookmarkStart w:id="233" w:name="_Toc29379756"/>
      <w:r>
        <w:rPr>
          <w:rFonts w:hint="eastAsia" w:ascii="宋体" w:hAnsi="宋体" w:cs="宋体"/>
          <w:color w:val="auto"/>
          <w:sz w:val="24"/>
          <w:szCs w:val="24"/>
          <w:highlight w:val="none"/>
        </w:rPr>
        <w:t>以上价格为甲方指定地点交货价，并包含设备的安装运输调试费用。</w:t>
      </w:r>
      <w:bookmarkEnd w:id="233"/>
    </w:p>
    <w:p w14:paraId="0322F674">
      <w:pPr>
        <w:spacing w:line="360" w:lineRule="auto"/>
        <w:ind w:firstLine="480" w:firstLineChars="200"/>
        <w:rPr>
          <w:rFonts w:ascii="宋体" w:hAnsi="宋体" w:cs="宋体"/>
          <w:color w:val="auto"/>
          <w:sz w:val="24"/>
          <w:szCs w:val="24"/>
          <w:highlight w:val="none"/>
        </w:rPr>
      </w:pPr>
    </w:p>
    <w:p w14:paraId="755F0C2F">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六、甲乙双方的权利和义务</w:t>
      </w:r>
    </w:p>
    <w:p w14:paraId="2F0F15D4">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（一）甲方的权利和义务</w:t>
      </w:r>
    </w:p>
    <w:p w14:paraId="6CF64450">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1、负责合同签订后项目实施的工作（如与乙方的具体联系和衔结，现场安装调试时配备人员进行监管控制）；</w:t>
      </w:r>
    </w:p>
    <w:p w14:paraId="1530A7B0">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2、负责提供设备和项目安装调试所必须的场地和环境；</w:t>
      </w:r>
    </w:p>
    <w:p w14:paraId="66B53FF1">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3、负责组织成立验收小组对设备和项目进行验收并签署验收报告；</w:t>
      </w:r>
    </w:p>
    <w:p w14:paraId="6DB967ED">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4、按合同规定享有乙方提供的设备服务。</w:t>
      </w:r>
    </w:p>
    <w:p w14:paraId="6A7BBE9C">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如非甲方和不可抗力原因乙方未能按照合同约定交货，并严重超期造成采购人损失的，采购人有权根据政府采购政策按“政府采购严重失信行为”向上级财政部门报送相关情况，由此产生的一切后果由乙方自行承担。</w:t>
      </w:r>
    </w:p>
    <w:p w14:paraId="20DDC205">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（二）乙方的权利和义务</w:t>
      </w:r>
    </w:p>
    <w:p w14:paraId="01505EA5">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乙方保证按本合同一、二、三、四、五条款负责完成甲方项目，并保证提供的设备是全新（包括零部件）、符合招标文件规定、具有国家有关部门注册并符合国家质量检测标准（进口产品具有国家有关部门完整手续）和产品出厂标准的设备</w:t>
      </w:r>
      <w:bookmarkStart w:id="234" w:name="_Hlk72835049"/>
      <w:r>
        <w:rPr>
          <w:rFonts w:hint="eastAsia" w:ascii="宋体" w:hAnsi="宋体" w:cs="宋体"/>
          <w:color w:val="auto"/>
          <w:sz w:val="24"/>
          <w:szCs w:val="24"/>
          <w:highlight w:val="none"/>
        </w:rPr>
        <w:t>；设备及主要配件保修期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年（以终验合格之日为起始日期），人工保修服务</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年（以终验合格之日为起始日期），终身负责维修</w:t>
      </w:r>
      <w:bookmarkEnd w:id="234"/>
      <w:r>
        <w:rPr>
          <w:rFonts w:hint="eastAsia" w:ascii="宋体" w:hAnsi="宋体" w:cs="宋体"/>
          <w:color w:val="auto"/>
          <w:sz w:val="24"/>
          <w:szCs w:val="24"/>
          <w:highlight w:val="none"/>
        </w:rPr>
        <w:t>；并保证设备在甲方报废前正常运行。具体服务：保修期内，乙方对设备提供全免费保修，发生两次以上技术问题应免费更换；人工保修服务期内，乙方对设备提供免费人工服务，仅收取备件维修更换成本费。保修期后，收取成本费维修（自然灾害及人为故意损坏除外）；主设备乙方提供现场维修，维修人员在收到故障报告后保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小时内到达现场，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类故障保证由</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人员（或工程师）在</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天内修复，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类故障保证由</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人员（或工程师）在</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天内修复；乙方保证在甲方指定地点供应备品备件（含易损件）和配套消耗品；乙方对所提供的设备实行</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月时间定期进行保养（或维护、巡检）制度；</w:t>
      </w:r>
    </w:p>
    <w:p w14:paraId="52B3D4A6">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2、保证甲方在合同设备（有配套软件的还包括软件产品）使用期间不受第三方提出侵犯其专利权、商标权和工业设计权的起诉。</w:t>
      </w:r>
    </w:p>
    <w:p w14:paraId="1735AB66">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3、严格遵守招标文件、投标文件及中标所承诺的一切规定和条款；</w:t>
      </w:r>
    </w:p>
    <w:p w14:paraId="217418B2">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4、参与甲方共同进行设备和项目的验收。</w:t>
      </w:r>
    </w:p>
    <w:p w14:paraId="10EC56B5">
      <w:pPr>
        <w:spacing w:line="360" w:lineRule="auto"/>
        <w:ind w:firstLine="480" w:firstLineChars="200"/>
        <w:rPr>
          <w:rFonts w:ascii="宋体" w:hAnsi="宋体" w:cs="宋体"/>
          <w:color w:val="auto"/>
          <w:sz w:val="24"/>
          <w:szCs w:val="24"/>
          <w:highlight w:val="none"/>
        </w:rPr>
      </w:pPr>
    </w:p>
    <w:p w14:paraId="4F0543AD">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七、以上内容与甲方采购确认和乙方中标承诺情况一致（或中标产品和设备的技术及服务保证甲方正常使用）。</w:t>
      </w:r>
    </w:p>
    <w:p w14:paraId="62C99946">
      <w:pPr>
        <w:spacing w:line="360" w:lineRule="auto"/>
        <w:ind w:firstLine="480" w:firstLineChars="200"/>
        <w:rPr>
          <w:rFonts w:ascii="宋体" w:hAnsi="宋体" w:cs="宋体"/>
          <w:color w:val="auto"/>
          <w:sz w:val="24"/>
          <w:szCs w:val="24"/>
          <w:highlight w:val="none"/>
        </w:rPr>
      </w:pPr>
    </w:p>
    <w:p w14:paraId="0E197228">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八、技术培训：</w:t>
      </w:r>
    </w:p>
    <w:p w14:paraId="78E63B5A">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乙方向甲方提供</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天的设备使用人员现场例行免费培训，培训内容包括设备的调试、使用、一般的维修、维护及保养等；食宿自理（各自负责）；大型设备（或招标文件有要求、或投标文件有承诺的），乙方还将负责甲方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人专业技术人员（或工程师）国内培训并应获得技术证书，费用由乙方负责，具体时间为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天、地点为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，其他由甲乙双方协定。</w:t>
      </w:r>
    </w:p>
    <w:p w14:paraId="3D9EB304">
      <w:pPr>
        <w:spacing w:line="360" w:lineRule="auto"/>
        <w:ind w:firstLine="480" w:firstLineChars="200"/>
        <w:rPr>
          <w:rFonts w:ascii="宋体" w:hAnsi="宋体" w:cs="宋体"/>
          <w:color w:val="auto"/>
          <w:sz w:val="24"/>
          <w:szCs w:val="24"/>
          <w:highlight w:val="none"/>
        </w:rPr>
      </w:pPr>
    </w:p>
    <w:p w14:paraId="0E25A39C">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九、甲方在设备使用过程中发生技术质量问题，乙方应提供及时有效的技术支持。</w:t>
      </w:r>
    </w:p>
    <w:p w14:paraId="77F59294">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乙方技术支持电话：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，联系人：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08D6E96B">
      <w:pPr>
        <w:spacing w:line="360" w:lineRule="auto"/>
        <w:ind w:firstLine="480" w:firstLineChars="200"/>
        <w:rPr>
          <w:rFonts w:ascii="宋体" w:hAnsi="宋体" w:cs="宋体"/>
          <w:color w:val="auto"/>
          <w:sz w:val="24"/>
          <w:szCs w:val="24"/>
          <w:highlight w:val="none"/>
        </w:rPr>
      </w:pPr>
    </w:p>
    <w:p w14:paraId="41D92E44">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十、整体项目完成时间（即设备送达甲方指定地点并按规范安装调试完毕时间）为合同签订生效后于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日内完成。</w:t>
      </w:r>
    </w:p>
    <w:p w14:paraId="71C8593A">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设备交验地点和方式：合同签订后，乙方负责将完整配套的原封设备（含开机必要消耗品）送到甲方指定的地点（</w:t>
      </w:r>
      <w:r>
        <w:rPr>
          <w:rFonts w:hint="eastAsia" w:ascii="宋体" w:hAnsi="宋体" w:cs="宋体"/>
          <w:color w:val="auto"/>
          <w:sz w:val="24"/>
          <w:szCs w:val="24"/>
          <w:highlight w:val="none"/>
          <w:lang w:eastAsia="zh-CN"/>
        </w:rPr>
        <w:t>昆明铁道职业技术学院</w:t>
      </w:r>
      <w:r>
        <w:rPr>
          <w:rFonts w:hint="eastAsia" w:ascii="宋体" w:hAnsi="宋体" w:cs="宋体"/>
          <w:color w:val="auto"/>
          <w:sz w:val="24"/>
          <w:szCs w:val="24"/>
          <w:highlight w:val="none"/>
        </w:rPr>
        <w:t>），由甲乙双方共同开箱初验，并由乙方按合同规范要求完成安装测试。交货时，乙方随货向甲方交付设备的相关资料及配备的用件、工具等。</w:t>
      </w:r>
    </w:p>
    <w:p w14:paraId="09B7C0B8">
      <w:pPr>
        <w:spacing w:line="360" w:lineRule="auto"/>
        <w:ind w:firstLine="480" w:firstLineChars="200"/>
        <w:rPr>
          <w:rFonts w:ascii="宋体" w:hAnsi="宋体" w:cs="宋体"/>
          <w:color w:val="auto"/>
          <w:sz w:val="24"/>
          <w:szCs w:val="24"/>
          <w:highlight w:val="none"/>
        </w:rPr>
      </w:pPr>
    </w:p>
    <w:p w14:paraId="787011D6">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十一、验收及验收标准</w:t>
      </w:r>
    </w:p>
    <w:p w14:paraId="29A956FF">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1、设备验收：设备到达甲方指定地点后甲方统一初验是否符合合同要求；</w:t>
      </w:r>
    </w:p>
    <w:p w14:paraId="421233B4">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2、项目验收：乙方负责设备安装和调试，完工后，甲方测试是否合格并满足技术要求；</w:t>
      </w:r>
    </w:p>
    <w:p w14:paraId="60809763">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3、实作性操作验收：设备是否正常运作3个月。</w:t>
      </w:r>
    </w:p>
    <w:p w14:paraId="6E55AA4A">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十二、合同价款结算（按招标文件）</w:t>
      </w:r>
    </w:p>
    <w:p w14:paraId="67E36A6D">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1、乙方向甲方财务处缴纳中标金额10%的履约保证金。</w:t>
      </w:r>
    </w:p>
    <w:p w14:paraId="5C536A8D">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设备到货、安装调试完成，且能正常运行，经甲方使用部门初验合格、经国有资产与实验室管理处组织最终验收合格，且完成设备资产建账后交付合同全款发票（进口设备付汇完成并提供银行付汇水单）及相关归档资料后，甲方向乙方支付合同总价的100%货款。付款以转账形式支付。</w:t>
      </w:r>
    </w:p>
    <w:p w14:paraId="505CBC21">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如非甲方和不可抗力原因乙方未能按照合同约定交货（如不按时供货、供货产品与投标（响应）文件中响应产品情况不一致等），或交付设备/服务工作质量未能达到验收标准，使得项目资金被上级财政部门收回，由此产生的一切损失及后果均由乙方承担。</w:t>
      </w:r>
    </w:p>
    <w:p w14:paraId="74307E4A">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4、该履约保证金在项目终验合格后乙方凭“</w:t>
      </w:r>
      <w:r>
        <w:rPr>
          <w:rFonts w:hint="eastAsia" w:ascii="宋体" w:hAnsi="宋体" w:cs="宋体"/>
          <w:color w:val="auto"/>
          <w:sz w:val="24"/>
          <w:szCs w:val="24"/>
          <w:highlight w:val="none"/>
          <w:lang w:eastAsia="zh-CN"/>
        </w:rPr>
        <w:t>昆明铁道职业技术学院</w:t>
      </w:r>
      <w:r>
        <w:rPr>
          <w:rFonts w:hint="eastAsia" w:ascii="宋体" w:hAnsi="宋体" w:cs="宋体"/>
          <w:color w:val="auto"/>
          <w:sz w:val="24"/>
          <w:szCs w:val="24"/>
          <w:highlight w:val="none"/>
        </w:rPr>
        <w:t>履约保证金收据、</w:t>
      </w:r>
      <w:r>
        <w:rPr>
          <w:rFonts w:hint="eastAsia" w:ascii="宋体" w:hAnsi="宋体" w:cs="宋体"/>
          <w:color w:val="auto"/>
          <w:sz w:val="24"/>
          <w:szCs w:val="24"/>
          <w:highlight w:val="none"/>
          <w:lang w:eastAsia="zh-CN"/>
        </w:rPr>
        <w:t>昆明铁道职业技术学院</w:t>
      </w:r>
      <w:r>
        <w:rPr>
          <w:rFonts w:hint="eastAsia" w:ascii="宋体" w:hAnsi="宋体" w:cs="宋体"/>
          <w:color w:val="auto"/>
          <w:sz w:val="24"/>
          <w:szCs w:val="24"/>
          <w:highlight w:val="none"/>
        </w:rPr>
        <w:t>仪器设备验收报告”到甲方财务处办理不计利息全额退还。</w:t>
      </w:r>
    </w:p>
    <w:p w14:paraId="3A584AA3">
      <w:pPr>
        <w:spacing w:line="360" w:lineRule="auto"/>
        <w:ind w:firstLine="480" w:firstLineChars="200"/>
        <w:rPr>
          <w:rFonts w:ascii="宋体" w:hAnsi="宋体" w:cs="宋体"/>
          <w:color w:val="auto"/>
          <w:sz w:val="24"/>
          <w:szCs w:val="24"/>
          <w:highlight w:val="none"/>
        </w:rPr>
      </w:pPr>
    </w:p>
    <w:p w14:paraId="3276D676">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十三、甲乙双方在履行合同过程中发生纠纷，应及时向有关管理部门反映，以便相关部门进行协调或处理；也可以直接向甲方住所地人民法院起诉。</w:t>
      </w:r>
    </w:p>
    <w:p w14:paraId="33018553">
      <w:pPr>
        <w:spacing w:line="360" w:lineRule="auto"/>
        <w:ind w:firstLine="480" w:firstLineChars="200"/>
        <w:rPr>
          <w:rFonts w:ascii="宋体" w:hAnsi="宋体" w:cs="宋体"/>
          <w:color w:val="auto"/>
          <w:sz w:val="24"/>
          <w:szCs w:val="24"/>
          <w:highlight w:val="none"/>
        </w:rPr>
      </w:pPr>
    </w:p>
    <w:p w14:paraId="62DF4229">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十四、本合同其他未尽事宜，按《中华人民共和国民法典》有关规定处理。</w:t>
      </w:r>
    </w:p>
    <w:p w14:paraId="532C9F96">
      <w:pPr>
        <w:spacing w:line="360" w:lineRule="auto"/>
        <w:ind w:firstLine="480" w:firstLineChars="200"/>
        <w:rPr>
          <w:rFonts w:ascii="宋体" w:hAnsi="宋体" w:cs="宋体"/>
          <w:color w:val="auto"/>
          <w:sz w:val="24"/>
          <w:szCs w:val="24"/>
          <w:highlight w:val="none"/>
        </w:rPr>
      </w:pPr>
    </w:p>
    <w:p w14:paraId="7A2292AB">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十五、本合同一式壹拾贰份，甲方执捌份，乙方存叁份，丙方存壹份。</w:t>
      </w:r>
    </w:p>
    <w:p w14:paraId="2FA3B0FF">
      <w:pPr>
        <w:spacing w:line="360" w:lineRule="auto"/>
        <w:ind w:firstLine="480" w:firstLineChars="200"/>
        <w:rPr>
          <w:rFonts w:ascii="宋体" w:hAnsi="宋体" w:cs="宋体"/>
          <w:color w:val="auto"/>
          <w:sz w:val="24"/>
          <w:szCs w:val="24"/>
          <w:highlight w:val="none"/>
        </w:rPr>
      </w:pPr>
    </w:p>
    <w:p w14:paraId="220D6BEA">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十六、本合同自签订之日起生效。</w:t>
      </w:r>
    </w:p>
    <w:p w14:paraId="2A8F6248">
      <w:pPr>
        <w:spacing w:line="360" w:lineRule="auto"/>
        <w:ind w:firstLine="480" w:firstLineChars="200"/>
        <w:rPr>
          <w:rFonts w:ascii="宋体" w:hAnsi="宋体" w:cs="宋体"/>
          <w:color w:val="auto"/>
          <w:sz w:val="24"/>
          <w:szCs w:val="24"/>
          <w:highlight w:val="none"/>
        </w:rPr>
      </w:pPr>
    </w:p>
    <w:p w14:paraId="23CB8585">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十七、本合同不可分割之部分：</w:t>
      </w:r>
    </w:p>
    <w:p w14:paraId="32268944">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1、招标文件；</w:t>
      </w:r>
    </w:p>
    <w:p w14:paraId="61EA6B2A">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2、中标人（乙方）的投标文件及其澄清文件；</w:t>
      </w:r>
    </w:p>
    <w:p w14:paraId="74FFCBED">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3、采购人发出的《中标通知书》；</w:t>
      </w:r>
    </w:p>
    <w:p w14:paraId="0C1C1401">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4、合同书附件。</w:t>
      </w:r>
    </w:p>
    <w:p w14:paraId="26B24397">
      <w:pPr>
        <w:spacing w:line="360" w:lineRule="auto"/>
        <w:ind w:firstLine="480" w:firstLineChars="200"/>
        <w:rPr>
          <w:rFonts w:ascii="宋体" w:hAnsi="宋体" w:cs="宋体"/>
          <w:color w:val="auto"/>
          <w:sz w:val="24"/>
          <w:szCs w:val="24"/>
          <w:highlight w:val="none"/>
        </w:rPr>
      </w:pPr>
    </w:p>
    <w:p w14:paraId="41ADFE3C">
      <w:pPr>
        <w:spacing w:line="324" w:lineRule="auto"/>
        <w:rPr>
          <w:color w:val="auto"/>
          <w:spacing w:val="-21"/>
          <w:highlight w:val="none"/>
        </w:rPr>
        <w:sectPr>
          <w:footerReference r:id="rId5" w:type="default"/>
          <w:pgSz w:w="11906" w:h="16838"/>
          <w:pgMar w:top="1440" w:right="1083" w:bottom="1440" w:left="1083" w:header="720" w:footer="720" w:gutter="0"/>
          <w:pgBorders>
            <w:top w:val="none" w:sz="0" w:space="0"/>
            <w:left w:val="none" w:sz="0" w:space="0"/>
            <w:bottom w:val="none" w:sz="0" w:space="0"/>
            <w:right w:val="none" w:sz="0" w:space="0"/>
          </w:pgBorders>
          <w:pgNumType w:fmt="numberInDash" w:start="1"/>
          <w:cols w:space="708" w:num="1"/>
          <w:docGrid w:type="lines" w:linePitch="317" w:charSpace="0"/>
        </w:sectPr>
      </w:pPr>
    </w:p>
    <w:p w14:paraId="52C86E6A">
      <w:pPr>
        <w:spacing w:line="324" w:lineRule="auto"/>
        <w:rPr>
          <w:color w:val="auto"/>
          <w:highlight w:val="none"/>
        </w:rPr>
      </w:pPr>
      <w:r>
        <w:rPr>
          <w:rFonts w:hint="eastAsia"/>
          <w:b/>
          <w:color w:val="auto"/>
          <w:sz w:val="24"/>
          <w:highlight w:val="none"/>
        </w:rPr>
        <w:t>附件1（签订合同时此附件应横向打印）：</w:t>
      </w:r>
    </w:p>
    <w:tbl>
      <w:tblPr>
        <w:tblStyle w:val="32"/>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5"/>
        <w:gridCol w:w="1374"/>
        <w:gridCol w:w="2640"/>
        <w:gridCol w:w="3586"/>
        <w:gridCol w:w="708"/>
        <w:gridCol w:w="708"/>
        <w:gridCol w:w="1300"/>
        <w:gridCol w:w="1272"/>
        <w:gridCol w:w="1844"/>
      </w:tblGrid>
      <w:tr w14:paraId="5CF67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9" w:hRule="atLeast"/>
        </w:trPr>
        <w:tc>
          <w:tcPr>
            <w:tcW w:w="256"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2C10210">
            <w:pPr>
              <w:spacing w:line="240" w:lineRule="exact"/>
              <w:jc w:val="center"/>
              <w:rPr>
                <w:rFonts w:cs="宋体"/>
                <w:b/>
                <w:bCs/>
                <w:color w:val="auto"/>
                <w:sz w:val="24"/>
                <w:szCs w:val="24"/>
                <w:highlight w:val="none"/>
                <w:shd w:val="clear" w:color="auto" w:fill="auto"/>
              </w:rPr>
            </w:pPr>
            <w:r>
              <w:rPr>
                <w:rFonts w:hint="eastAsia" w:cs="宋体"/>
                <w:b/>
                <w:bCs/>
                <w:color w:val="auto"/>
                <w:sz w:val="24"/>
                <w:szCs w:val="24"/>
                <w:highlight w:val="none"/>
                <w:shd w:val="clear" w:color="auto" w:fill="auto"/>
              </w:rPr>
              <w:t>序号</w:t>
            </w:r>
          </w:p>
        </w:tc>
        <w:tc>
          <w:tcPr>
            <w:tcW w:w="485"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0BF3D76">
            <w:pPr>
              <w:jc w:val="center"/>
              <w:rPr>
                <w:rFonts w:cs="宋体"/>
                <w:b/>
                <w:bCs/>
                <w:color w:val="auto"/>
                <w:sz w:val="24"/>
                <w:szCs w:val="24"/>
                <w:highlight w:val="none"/>
                <w:shd w:val="clear" w:color="auto" w:fill="auto"/>
              </w:rPr>
            </w:pPr>
            <w:r>
              <w:rPr>
                <w:rFonts w:hint="eastAsia" w:cs="宋体"/>
                <w:b/>
                <w:bCs/>
                <w:color w:val="auto"/>
                <w:sz w:val="24"/>
                <w:szCs w:val="24"/>
                <w:highlight w:val="none"/>
                <w:shd w:val="clear" w:color="auto" w:fill="auto"/>
              </w:rPr>
              <w:t>产品名称</w:t>
            </w:r>
          </w:p>
        </w:tc>
        <w:tc>
          <w:tcPr>
            <w:tcW w:w="932"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C20B01E">
            <w:pPr>
              <w:jc w:val="center"/>
              <w:rPr>
                <w:rFonts w:cs="宋体"/>
                <w:b/>
                <w:bCs/>
                <w:color w:val="auto"/>
                <w:sz w:val="24"/>
                <w:szCs w:val="24"/>
                <w:highlight w:val="none"/>
                <w:shd w:val="clear" w:color="auto" w:fill="auto"/>
              </w:rPr>
            </w:pPr>
            <w:r>
              <w:rPr>
                <w:rFonts w:hint="eastAsia" w:cs="宋体"/>
                <w:b/>
                <w:bCs/>
                <w:color w:val="auto"/>
                <w:sz w:val="24"/>
                <w:szCs w:val="24"/>
                <w:highlight w:val="none"/>
                <w:shd w:val="clear" w:color="auto" w:fill="auto"/>
              </w:rPr>
              <w:t>品牌、型号</w:t>
            </w:r>
          </w:p>
          <w:p w14:paraId="1A636217">
            <w:pPr>
              <w:jc w:val="center"/>
              <w:rPr>
                <w:rFonts w:cs="宋体"/>
                <w:b/>
                <w:bCs/>
                <w:color w:val="auto"/>
                <w:sz w:val="24"/>
                <w:szCs w:val="24"/>
                <w:highlight w:val="none"/>
                <w:shd w:val="clear" w:color="auto" w:fill="auto"/>
              </w:rPr>
            </w:pPr>
            <w:r>
              <w:rPr>
                <w:rFonts w:hint="eastAsia" w:cs="宋体"/>
                <w:b/>
                <w:bCs/>
                <w:color w:val="auto"/>
                <w:sz w:val="24"/>
                <w:szCs w:val="24"/>
                <w:highlight w:val="none"/>
                <w:shd w:val="clear" w:color="auto" w:fill="auto"/>
              </w:rPr>
              <w:t>规格</w:t>
            </w:r>
          </w:p>
        </w:tc>
        <w:tc>
          <w:tcPr>
            <w:tcW w:w="1266"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3B3890A">
            <w:pPr>
              <w:jc w:val="center"/>
              <w:rPr>
                <w:rFonts w:cs="宋体"/>
                <w:b/>
                <w:bCs/>
                <w:color w:val="auto"/>
                <w:sz w:val="24"/>
                <w:szCs w:val="24"/>
                <w:highlight w:val="none"/>
                <w:shd w:val="clear" w:color="auto" w:fill="auto"/>
              </w:rPr>
            </w:pPr>
            <w:r>
              <w:rPr>
                <w:rFonts w:hint="eastAsia" w:cs="宋体"/>
                <w:b/>
                <w:bCs/>
                <w:color w:val="auto"/>
                <w:sz w:val="24"/>
                <w:szCs w:val="24"/>
                <w:highlight w:val="none"/>
                <w:shd w:val="clear" w:color="auto" w:fill="auto"/>
              </w:rPr>
              <w:t>技术要求</w:t>
            </w:r>
          </w:p>
        </w:tc>
        <w:tc>
          <w:tcPr>
            <w:tcW w:w="250"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A80DB0A">
            <w:pPr>
              <w:spacing w:line="240" w:lineRule="exact"/>
              <w:jc w:val="center"/>
              <w:rPr>
                <w:rFonts w:cs="宋体"/>
                <w:b/>
                <w:bCs/>
                <w:color w:val="auto"/>
                <w:sz w:val="24"/>
                <w:szCs w:val="24"/>
                <w:highlight w:val="none"/>
                <w:shd w:val="clear" w:color="auto" w:fill="auto"/>
              </w:rPr>
            </w:pPr>
            <w:r>
              <w:rPr>
                <w:rFonts w:hint="eastAsia" w:cs="宋体"/>
                <w:b/>
                <w:bCs/>
                <w:color w:val="auto"/>
                <w:sz w:val="24"/>
                <w:szCs w:val="24"/>
                <w:highlight w:val="none"/>
                <w:shd w:val="clear" w:color="auto" w:fill="auto"/>
              </w:rPr>
              <w:t>数量</w:t>
            </w:r>
          </w:p>
        </w:tc>
        <w:tc>
          <w:tcPr>
            <w:tcW w:w="250"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44EB7E9">
            <w:pPr>
              <w:spacing w:line="240" w:lineRule="exact"/>
              <w:jc w:val="center"/>
              <w:rPr>
                <w:rFonts w:cs="宋体"/>
                <w:b/>
                <w:bCs/>
                <w:color w:val="auto"/>
                <w:sz w:val="24"/>
                <w:szCs w:val="24"/>
                <w:highlight w:val="none"/>
                <w:shd w:val="clear" w:color="auto" w:fill="auto"/>
              </w:rPr>
            </w:pPr>
            <w:r>
              <w:rPr>
                <w:rFonts w:hint="eastAsia" w:cs="宋体"/>
                <w:b/>
                <w:bCs/>
                <w:color w:val="auto"/>
                <w:sz w:val="24"/>
                <w:szCs w:val="24"/>
                <w:highlight w:val="none"/>
                <w:shd w:val="clear" w:color="auto" w:fill="auto"/>
              </w:rPr>
              <w:t>单位</w:t>
            </w:r>
          </w:p>
        </w:tc>
        <w:tc>
          <w:tcPr>
            <w:tcW w:w="459"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B0BF743">
            <w:pPr>
              <w:spacing w:line="240" w:lineRule="exact"/>
              <w:jc w:val="center"/>
              <w:rPr>
                <w:rFonts w:cs="宋体"/>
                <w:b/>
                <w:bCs/>
                <w:color w:val="auto"/>
                <w:sz w:val="24"/>
                <w:szCs w:val="24"/>
                <w:highlight w:val="none"/>
                <w:shd w:val="clear" w:color="auto" w:fill="auto"/>
              </w:rPr>
            </w:pPr>
            <w:r>
              <w:rPr>
                <w:rFonts w:hint="eastAsia" w:cs="宋体"/>
                <w:b/>
                <w:bCs/>
                <w:color w:val="auto"/>
                <w:sz w:val="24"/>
                <w:szCs w:val="24"/>
                <w:highlight w:val="none"/>
                <w:shd w:val="clear" w:color="auto" w:fill="auto"/>
              </w:rPr>
              <w:t>单价（元）</w:t>
            </w:r>
          </w:p>
        </w:tc>
        <w:tc>
          <w:tcPr>
            <w:tcW w:w="449"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C2CD03D">
            <w:pPr>
              <w:jc w:val="center"/>
              <w:rPr>
                <w:rFonts w:cs="宋体"/>
                <w:b/>
                <w:bCs/>
                <w:color w:val="auto"/>
                <w:sz w:val="24"/>
                <w:szCs w:val="24"/>
                <w:highlight w:val="none"/>
                <w:shd w:val="clear" w:color="auto" w:fill="auto"/>
              </w:rPr>
            </w:pPr>
            <w:r>
              <w:rPr>
                <w:rFonts w:hint="eastAsia" w:cs="宋体"/>
                <w:b/>
                <w:bCs/>
                <w:color w:val="auto"/>
                <w:sz w:val="24"/>
                <w:szCs w:val="24"/>
                <w:highlight w:val="none"/>
                <w:shd w:val="clear" w:color="auto" w:fill="auto"/>
              </w:rPr>
              <w:t>总价（元）</w:t>
            </w:r>
          </w:p>
        </w:tc>
        <w:tc>
          <w:tcPr>
            <w:tcW w:w="651"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161A7C2">
            <w:pPr>
              <w:jc w:val="center"/>
              <w:rPr>
                <w:rFonts w:cs="宋体"/>
                <w:b/>
                <w:bCs/>
                <w:color w:val="auto"/>
                <w:sz w:val="24"/>
                <w:szCs w:val="24"/>
                <w:highlight w:val="none"/>
                <w:shd w:val="clear" w:color="auto" w:fill="auto"/>
              </w:rPr>
            </w:pPr>
            <w:r>
              <w:rPr>
                <w:rFonts w:hint="eastAsia" w:cs="宋体"/>
                <w:b/>
                <w:bCs/>
                <w:color w:val="auto"/>
                <w:sz w:val="24"/>
                <w:szCs w:val="24"/>
                <w:highlight w:val="none"/>
                <w:shd w:val="clear" w:color="auto" w:fill="auto"/>
              </w:rPr>
              <w:t>生产厂家及</w:t>
            </w:r>
          </w:p>
          <w:p w14:paraId="40A6AE8C">
            <w:pPr>
              <w:jc w:val="center"/>
              <w:rPr>
                <w:rFonts w:cs="宋体"/>
                <w:b/>
                <w:bCs/>
                <w:color w:val="auto"/>
                <w:sz w:val="24"/>
                <w:szCs w:val="24"/>
                <w:highlight w:val="none"/>
                <w:shd w:val="clear" w:color="auto" w:fill="auto"/>
              </w:rPr>
            </w:pPr>
            <w:r>
              <w:rPr>
                <w:rFonts w:hint="eastAsia" w:cs="宋体"/>
                <w:b/>
                <w:bCs/>
                <w:color w:val="auto"/>
                <w:sz w:val="24"/>
                <w:szCs w:val="24"/>
                <w:highlight w:val="none"/>
                <w:shd w:val="clear" w:color="auto" w:fill="auto"/>
              </w:rPr>
              <w:t>原产地</w:t>
            </w:r>
          </w:p>
        </w:tc>
      </w:tr>
      <w:tr w14:paraId="65FE2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256" w:type="pct"/>
            <w:tcBorders>
              <w:top w:val="single" w:color="auto" w:sz="4" w:space="0"/>
              <w:left w:val="single" w:color="auto" w:sz="4" w:space="0"/>
              <w:bottom w:val="single" w:color="auto" w:sz="4" w:space="0"/>
              <w:right w:val="single" w:color="auto" w:sz="4" w:space="0"/>
            </w:tcBorders>
            <w:vAlign w:val="center"/>
          </w:tcPr>
          <w:p w14:paraId="22E21C26">
            <w:pPr>
              <w:jc w:val="center"/>
              <w:rPr>
                <w:rFonts w:cs="宋体"/>
                <w:color w:val="auto"/>
                <w:sz w:val="24"/>
                <w:szCs w:val="24"/>
                <w:highlight w:val="none"/>
              </w:rPr>
            </w:pPr>
          </w:p>
        </w:tc>
        <w:tc>
          <w:tcPr>
            <w:tcW w:w="485" w:type="pct"/>
            <w:tcBorders>
              <w:top w:val="single" w:color="auto" w:sz="4" w:space="0"/>
              <w:left w:val="single" w:color="auto" w:sz="4" w:space="0"/>
              <w:bottom w:val="single" w:color="auto" w:sz="4" w:space="0"/>
              <w:right w:val="single" w:color="auto" w:sz="4" w:space="0"/>
            </w:tcBorders>
            <w:vAlign w:val="center"/>
          </w:tcPr>
          <w:p w14:paraId="42C69423">
            <w:pPr>
              <w:rPr>
                <w:rFonts w:cs="宋体"/>
                <w:color w:val="auto"/>
                <w:sz w:val="24"/>
                <w:szCs w:val="24"/>
                <w:highlight w:val="none"/>
              </w:rPr>
            </w:pPr>
          </w:p>
        </w:tc>
        <w:tc>
          <w:tcPr>
            <w:tcW w:w="932" w:type="pct"/>
            <w:tcBorders>
              <w:top w:val="single" w:color="auto" w:sz="4" w:space="0"/>
              <w:left w:val="single" w:color="auto" w:sz="4" w:space="0"/>
              <w:bottom w:val="single" w:color="auto" w:sz="4" w:space="0"/>
              <w:right w:val="single" w:color="auto" w:sz="4" w:space="0"/>
            </w:tcBorders>
            <w:vAlign w:val="center"/>
          </w:tcPr>
          <w:p w14:paraId="444876AC">
            <w:pPr>
              <w:rPr>
                <w:rFonts w:cs="宋体"/>
                <w:color w:val="auto"/>
                <w:sz w:val="24"/>
                <w:szCs w:val="24"/>
                <w:highlight w:val="none"/>
              </w:rPr>
            </w:pPr>
          </w:p>
        </w:tc>
        <w:tc>
          <w:tcPr>
            <w:tcW w:w="1266" w:type="pct"/>
            <w:tcBorders>
              <w:top w:val="single" w:color="auto" w:sz="4" w:space="0"/>
              <w:left w:val="single" w:color="auto" w:sz="4" w:space="0"/>
              <w:bottom w:val="single" w:color="auto" w:sz="4" w:space="0"/>
              <w:right w:val="single" w:color="auto" w:sz="4" w:space="0"/>
            </w:tcBorders>
            <w:vAlign w:val="center"/>
          </w:tcPr>
          <w:p w14:paraId="0F49B2FD">
            <w:pPr>
              <w:rPr>
                <w:rFonts w:cs="宋体"/>
                <w:color w:val="auto"/>
                <w:sz w:val="24"/>
                <w:szCs w:val="24"/>
                <w:highlight w:val="none"/>
              </w:rPr>
            </w:pPr>
          </w:p>
        </w:tc>
        <w:tc>
          <w:tcPr>
            <w:tcW w:w="250" w:type="pct"/>
            <w:tcBorders>
              <w:top w:val="single" w:color="auto" w:sz="4" w:space="0"/>
              <w:left w:val="single" w:color="auto" w:sz="4" w:space="0"/>
              <w:bottom w:val="single" w:color="auto" w:sz="4" w:space="0"/>
              <w:right w:val="single" w:color="auto" w:sz="4" w:space="0"/>
            </w:tcBorders>
            <w:vAlign w:val="center"/>
          </w:tcPr>
          <w:p w14:paraId="40942F9D">
            <w:pPr>
              <w:jc w:val="center"/>
              <w:rPr>
                <w:rFonts w:cs="宋体"/>
                <w:color w:val="auto"/>
                <w:sz w:val="24"/>
                <w:szCs w:val="24"/>
                <w:highlight w:val="none"/>
              </w:rPr>
            </w:pPr>
          </w:p>
        </w:tc>
        <w:tc>
          <w:tcPr>
            <w:tcW w:w="250" w:type="pct"/>
            <w:tcBorders>
              <w:top w:val="single" w:color="auto" w:sz="4" w:space="0"/>
              <w:left w:val="single" w:color="auto" w:sz="4" w:space="0"/>
              <w:bottom w:val="single" w:color="auto" w:sz="4" w:space="0"/>
              <w:right w:val="single" w:color="auto" w:sz="4" w:space="0"/>
            </w:tcBorders>
            <w:vAlign w:val="center"/>
          </w:tcPr>
          <w:p w14:paraId="24BB61D9">
            <w:pPr>
              <w:jc w:val="center"/>
              <w:rPr>
                <w:rFonts w:cs="宋体"/>
                <w:color w:val="auto"/>
                <w:sz w:val="24"/>
                <w:szCs w:val="24"/>
                <w:highlight w:val="none"/>
              </w:rPr>
            </w:pPr>
          </w:p>
        </w:tc>
        <w:tc>
          <w:tcPr>
            <w:tcW w:w="459" w:type="pct"/>
            <w:tcBorders>
              <w:top w:val="single" w:color="auto" w:sz="4" w:space="0"/>
              <w:left w:val="single" w:color="auto" w:sz="4" w:space="0"/>
              <w:bottom w:val="single" w:color="auto" w:sz="4" w:space="0"/>
              <w:right w:val="single" w:color="auto" w:sz="4" w:space="0"/>
            </w:tcBorders>
            <w:vAlign w:val="center"/>
          </w:tcPr>
          <w:p w14:paraId="15339FA0">
            <w:pPr>
              <w:jc w:val="right"/>
              <w:rPr>
                <w:rFonts w:cs="宋体"/>
                <w:color w:val="auto"/>
                <w:sz w:val="24"/>
                <w:szCs w:val="24"/>
                <w:highlight w:val="none"/>
              </w:rPr>
            </w:pPr>
          </w:p>
        </w:tc>
        <w:tc>
          <w:tcPr>
            <w:tcW w:w="449" w:type="pct"/>
            <w:tcBorders>
              <w:top w:val="single" w:color="auto" w:sz="4" w:space="0"/>
              <w:left w:val="single" w:color="auto" w:sz="4" w:space="0"/>
              <w:bottom w:val="single" w:color="auto" w:sz="4" w:space="0"/>
              <w:right w:val="single" w:color="auto" w:sz="4" w:space="0"/>
            </w:tcBorders>
            <w:vAlign w:val="center"/>
          </w:tcPr>
          <w:p w14:paraId="6457F1D5">
            <w:pPr>
              <w:jc w:val="right"/>
              <w:rPr>
                <w:rFonts w:cs="宋体"/>
                <w:color w:val="auto"/>
                <w:sz w:val="24"/>
                <w:szCs w:val="24"/>
                <w:highlight w:val="none"/>
              </w:rPr>
            </w:pPr>
          </w:p>
        </w:tc>
        <w:tc>
          <w:tcPr>
            <w:tcW w:w="651" w:type="pct"/>
            <w:tcBorders>
              <w:top w:val="single" w:color="auto" w:sz="4" w:space="0"/>
              <w:left w:val="single" w:color="auto" w:sz="4" w:space="0"/>
              <w:bottom w:val="single" w:color="auto" w:sz="4" w:space="0"/>
              <w:right w:val="single" w:color="auto" w:sz="4" w:space="0"/>
            </w:tcBorders>
            <w:vAlign w:val="center"/>
          </w:tcPr>
          <w:p w14:paraId="4F2B64F9">
            <w:pPr>
              <w:spacing w:line="260" w:lineRule="exact"/>
              <w:rPr>
                <w:color w:val="auto"/>
                <w:sz w:val="24"/>
                <w:szCs w:val="24"/>
                <w:highlight w:val="none"/>
              </w:rPr>
            </w:pPr>
          </w:p>
        </w:tc>
      </w:tr>
      <w:tr w14:paraId="50817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256" w:type="pct"/>
            <w:tcBorders>
              <w:top w:val="single" w:color="auto" w:sz="4" w:space="0"/>
              <w:left w:val="single" w:color="auto" w:sz="4" w:space="0"/>
              <w:bottom w:val="single" w:color="auto" w:sz="4" w:space="0"/>
              <w:right w:val="single" w:color="auto" w:sz="4" w:space="0"/>
            </w:tcBorders>
            <w:vAlign w:val="center"/>
          </w:tcPr>
          <w:p w14:paraId="65BB15C1">
            <w:pPr>
              <w:jc w:val="center"/>
              <w:rPr>
                <w:color w:val="auto"/>
                <w:sz w:val="24"/>
                <w:szCs w:val="24"/>
                <w:highlight w:val="none"/>
              </w:rPr>
            </w:pPr>
          </w:p>
        </w:tc>
        <w:tc>
          <w:tcPr>
            <w:tcW w:w="485" w:type="pct"/>
            <w:tcBorders>
              <w:top w:val="single" w:color="auto" w:sz="4" w:space="0"/>
              <w:left w:val="single" w:color="auto" w:sz="4" w:space="0"/>
              <w:bottom w:val="single" w:color="auto" w:sz="4" w:space="0"/>
              <w:right w:val="single" w:color="auto" w:sz="4" w:space="0"/>
            </w:tcBorders>
            <w:vAlign w:val="center"/>
          </w:tcPr>
          <w:p w14:paraId="12ED93BB">
            <w:pPr>
              <w:rPr>
                <w:color w:val="auto"/>
                <w:sz w:val="24"/>
                <w:szCs w:val="24"/>
                <w:highlight w:val="none"/>
              </w:rPr>
            </w:pPr>
          </w:p>
        </w:tc>
        <w:tc>
          <w:tcPr>
            <w:tcW w:w="932" w:type="pct"/>
            <w:tcBorders>
              <w:top w:val="single" w:color="auto" w:sz="4" w:space="0"/>
              <w:left w:val="single" w:color="auto" w:sz="4" w:space="0"/>
              <w:bottom w:val="single" w:color="auto" w:sz="4" w:space="0"/>
              <w:right w:val="single" w:color="auto" w:sz="4" w:space="0"/>
            </w:tcBorders>
            <w:vAlign w:val="center"/>
          </w:tcPr>
          <w:p w14:paraId="77FFAC53">
            <w:pPr>
              <w:rPr>
                <w:rFonts w:cs="宋体"/>
                <w:color w:val="auto"/>
                <w:sz w:val="24"/>
                <w:szCs w:val="24"/>
                <w:highlight w:val="none"/>
              </w:rPr>
            </w:pPr>
          </w:p>
        </w:tc>
        <w:tc>
          <w:tcPr>
            <w:tcW w:w="1266" w:type="pct"/>
            <w:tcBorders>
              <w:top w:val="single" w:color="auto" w:sz="4" w:space="0"/>
              <w:left w:val="single" w:color="auto" w:sz="4" w:space="0"/>
              <w:bottom w:val="single" w:color="auto" w:sz="4" w:space="0"/>
              <w:right w:val="single" w:color="auto" w:sz="4" w:space="0"/>
            </w:tcBorders>
            <w:vAlign w:val="center"/>
          </w:tcPr>
          <w:p w14:paraId="2414EE0F">
            <w:pPr>
              <w:rPr>
                <w:rFonts w:cs="宋体"/>
                <w:color w:val="auto"/>
                <w:sz w:val="24"/>
                <w:szCs w:val="24"/>
                <w:highlight w:val="none"/>
              </w:rPr>
            </w:pPr>
          </w:p>
        </w:tc>
        <w:tc>
          <w:tcPr>
            <w:tcW w:w="250" w:type="pct"/>
            <w:tcBorders>
              <w:top w:val="single" w:color="auto" w:sz="4" w:space="0"/>
              <w:left w:val="single" w:color="auto" w:sz="4" w:space="0"/>
              <w:bottom w:val="single" w:color="auto" w:sz="4" w:space="0"/>
              <w:right w:val="single" w:color="auto" w:sz="4" w:space="0"/>
            </w:tcBorders>
            <w:vAlign w:val="center"/>
          </w:tcPr>
          <w:p w14:paraId="4DC49B8F">
            <w:pPr>
              <w:jc w:val="center"/>
              <w:rPr>
                <w:rFonts w:cs="宋体"/>
                <w:color w:val="auto"/>
                <w:sz w:val="24"/>
                <w:szCs w:val="24"/>
                <w:highlight w:val="none"/>
              </w:rPr>
            </w:pPr>
          </w:p>
        </w:tc>
        <w:tc>
          <w:tcPr>
            <w:tcW w:w="250" w:type="pct"/>
            <w:tcBorders>
              <w:top w:val="single" w:color="auto" w:sz="4" w:space="0"/>
              <w:left w:val="single" w:color="auto" w:sz="4" w:space="0"/>
              <w:bottom w:val="single" w:color="auto" w:sz="4" w:space="0"/>
              <w:right w:val="single" w:color="auto" w:sz="4" w:space="0"/>
            </w:tcBorders>
            <w:vAlign w:val="center"/>
          </w:tcPr>
          <w:p w14:paraId="1225E76A">
            <w:pPr>
              <w:jc w:val="center"/>
              <w:rPr>
                <w:rFonts w:cs="宋体"/>
                <w:color w:val="auto"/>
                <w:sz w:val="24"/>
                <w:szCs w:val="24"/>
                <w:highlight w:val="none"/>
              </w:rPr>
            </w:pPr>
          </w:p>
        </w:tc>
        <w:tc>
          <w:tcPr>
            <w:tcW w:w="459" w:type="pct"/>
            <w:tcBorders>
              <w:top w:val="single" w:color="auto" w:sz="4" w:space="0"/>
              <w:left w:val="single" w:color="auto" w:sz="4" w:space="0"/>
              <w:bottom w:val="single" w:color="auto" w:sz="4" w:space="0"/>
              <w:right w:val="single" w:color="auto" w:sz="4" w:space="0"/>
            </w:tcBorders>
            <w:vAlign w:val="center"/>
          </w:tcPr>
          <w:p w14:paraId="7B31FF57">
            <w:pPr>
              <w:jc w:val="right"/>
              <w:rPr>
                <w:rFonts w:cs="宋体"/>
                <w:color w:val="auto"/>
                <w:sz w:val="24"/>
                <w:szCs w:val="24"/>
                <w:highlight w:val="none"/>
              </w:rPr>
            </w:pPr>
          </w:p>
        </w:tc>
        <w:tc>
          <w:tcPr>
            <w:tcW w:w="449" w:type="pct"/>
            <w:tcBorders>
              <w:top w:val="single" w:color="auto" w:sz="4" w:space="0"/>
              <w:left w:val="single" w:color="auto" w:sz="4" w:space="0"/>
              <w:bottom w:val="single" w:color="auto" w:sz="4" w:space="0"/>
              <w:right w:val="single" w:color="auto" w:sz="4" w:space="0"/>
            </w:tcBorders>
            <w:vAlign w:val="center"/>
          </w:tcPr>
          <w:p w14:paraId="588D0ED9">
            <w:pPr>
              <w:jc w:val="right"/>
              <w:rPr>
                <w:rFonts w:cs="宋体"/>
                <w:color w:val="auto"/>
                <w:sz w:val="24"/>
                <w:szCs w:val="24"/>
                <w:highlight w:val="none"/>
              </w:rPr>
            </w:pPr>
          </w:p>
        </w:tc>
        <w:tc>
          <w:tcPr>
            <w:tcW w:w="651" w:type="pct"/>
            <w:tcBorders>
              <w:top w:val="single" w:color="auto" w:sz="4" w:space="0"/>
              <w:left w:val="single" w:color="auto" w:sz="4" w:space="0"/>
              <w:bottom w:val="single" w:color="auto" w:sz="4" w:space="0"/>
              <w:right w:val="single" w:color="auto" w:sz="4" w:space="0"/>
            </w:tcBorders>
            <w:vAlign w:val="center"/>
          </w:tcPr>
          <w:p w14:paraId="777F497D">
            <w:pPr>
              <w:spacing w:line="260" w:lineRule="exact"/>
              <w:rPr>
                <w:rFonts w:cs="宋体"/>
                <w:color w:val="auto"/>
                <w:sz w:val="24"/>
                <w:szCs w:val="24"/>
                <w:highlight w:val="none"/>
              </w:rPr>
            </w:pPr>
          </w:p>
        </w:tc>
      </w:tr>
      <w:tr w14:paraId="12D01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256" w:type="pct"/>
            <w:tcBorders>
              <w:top w:val="single" w:color="auto" w:sz="4" w:space="0"/>
              <w:left w:val="single" w:color="auto" w:sz="4" w:space="0"/>
              <w:bottom w:val="single" w:color="auto" w:sz="4" w:space="0"/>
              <w:right w:val="single" w:color="auto" w:sz="4" w:space="0"/>
            </w:tcBorders>
            <w:vAlign w:val="center"/>
          </w:tcPr>
          <w:p w14:paraId="2D70B688">
            <w:pPr>
              <w:jc w:val="center"/>
              <w:rPr>
                <w:color w:val="auto"/>
                <w:sz w:val="24"/>
                <w:szCs w:val="24"/>
                <w:highlight w:val="none"/>
              </w:rPr>
            </w:pPr>
          </w:p>
        </w:tc>
        <w:tc>
          <w:tcPr>
            <w:tcW w:w="485" w:type="pct"/>
            <w:tcBorders>
              <w:top w:val="single" w:color="auto" w:sz="4" w:space="0"/>
              <w:left w:val="single" w:color="auto" w:sz="4" w:space="0"/>
              <w:bottom w:val="single" w:color="auto" w:sz="4" w:space="0"/>
              <w:right w:val="single" w:color="auto" w:sz="4" w:space="0"/>
            </w:tcBorders>
            <w:vAlign w:val="center"/>
          </w:tcPr>
          <w:p w14:paraId="3CFF21EC">
            <w:pPr>
              <w:rPr>
                <w:color w:val="auto"/>
                <w:sz w:val="24"/>
                <w:szCs w:val="24"/>
                <w:highlight w:val="none"/>
              </w:rPr>
            </w:pPr>
          </w:p>
        </w:tc>
        <w:tc>
          <w:tcPr>
            <w:tcW w:w="932" w:type="pct"/>
            <w:tcBorders>
              <w:top w:val="single" w:color="auto" w:sz="4" w:space="0"/>
              <w:left w:val="single" w:color="auto" w:sz="4" w:space="0"/>
              <w:bottom w:val="single" w:color="auto" w:sz="4" w:space="0"/>
              <w:right w:val="single" w:color="auto" w:sz="4" w:space="0"/>
            </w:tcBorders>
            <w:vAlign w:val="center"/>
          </w:tcPr>
          <w:p w14:paraId="2B32D60C">
            <w:pPr>
              <w:rPr>
                <w:rFonts w:cs="宋体"/>
                <w:color w:val="auto"/>
                <w:sz w:val="24"/>
                <w:szCs w:val="24"/>
                <w:highlight w:val="none"/>
              </w:rPr>
            </w:pPr>
          </w:p>
        </w:tc>
        <w:tc>
          <w:tcPr>
            <w:tcW w:w="1266" w:type="pct"/>
            <w:tcBorders>
              <w:top w:val="single" w:color="auto" w:sz="4" w:space="0"/>
              <w:left w:val="single" w:color="auto" w:sz="4" w:space="0"/>
              <w:bottom w:val="single" w:color="auto" w:sz="4" w:space="0"/>
              <w:right w:val="single" w:color="auto" w:sz="4" w:space="0"/>
            </w:tcBorders>
            <w:vAlign w:val="center"/>
          </w:tcPr>
          <w:p w14:paraId="3B30720B">
            <w:pPr>
              <w:rPr>
                <w:rFonts w:cs="宋体"/>
                <w:color w:val="auto"/>
                <w:sz w:val="24"/>
                <w:szCs w:val="24"/>
                <w:highlight w:val="none"/>
              </w:rPr>
            </w:pPr>
          </w:p>
        </w:tc>
        <w:tc>
          <w:tcPr>
            <w:tcW w:w="250" w:type="pct"/>
            <w:tcBorders>
              <w:top w:val="single" w:color="auto" w:sz="4" w:space="0"/>
              <w:left w:val="single" w:color="auto" w:sz="4" w:space="0"/>
              <w:bottom w:val="single" w:color="auto" w:sz="4" w:space="0"/>
              <w:right w:val="single" w:color="auto" w:sz="4" w:space="0"/>
            </w:tcBorders>
            <w:vAlign w:val="center"/>
          </w:tcPr>
          <w:p w14:paraId="14B9381E">
            <w:pPr>
              <w:jc w:val="center"/>
              <w:rPr>
                <w:rFonts w:cs="宋体"/>
                <w:color w:val="auto"/>
                <w:sz w:val="24"/>
                <w:szCs w:val="24"/>
                <w:highlight w:val="none"/>
              </w:rPr>
            </w:pPr>
          </w:p>
        </w:tc>
        <w:tc>
          <w:tcPr>
            <w:tcW w:w="250" w:type="pct"/>
            <w:tcBorders>
              <w:top w:val="single" w:color="auto" w:sz="4" w:space="0"/>
              <w:left w:val="single" w:color="auto" w:sz="4" w:space="0"/>
              <w:bottom w:val="single" w:color="auto" w:sz="4" w:space="0"/>
              <w:right w:val="single" w:color="auto" w:sz="4" w:space="0"/>
            </w:tcBorders>
            <w:vAlign w:val="center"/>
          </w:tcPr>
          <w:p w14:paraId="3866577F">
            <w:pPr>
              <w:jc w:val="center"/>
              <w:rPr>
                <w:rFonts w:cs="宋体"/>
                <w:color w:val="auto"/>
                <w:sz w:val="24"/>
                <w:szCs w:val="24"/>
                <w:highlight w:val="none"/>
              </w:rPr>
            </w:pPr>
          </w:p>
        </w:tc>
        <w:tc>
          <w:tcPr>
            <w:tcW w:w="459" w:type="pct"/>
            <w:tcBorders>
              <w:top w:val="single" w:color="auto" w:sz="4" w:space="0"/>
              <w:left w:val="single" w:color="auto" w:sz="4" w:space="0"/>
              <w:bottom w:val="single" w:color="auto" w:sz="4" w:space="0"/>
              <w:right w:val="single" w:color="auto" w:sz="4" w:space="0"/>
            </w:tcBorders>
            <w:vAlign w:val="center"/>
          </w:tcPr>
          <w:p w14:paraId="54E083A4">
            <w:pPr>
              <w:jc w:val="right"/>
              <w:rPr>
                <w:rFonts w:cs="宋体"/>
                <w:color w:val="auto"/>
                <w:sz w:val="24"/>
                <w:szCs w:val="24"/>
                <w:highlight w:val="none"/>
              </w:rPr>
            </w:pPr>
          </w:p>
        </w:tc>
        <w:tc>
          <w:tcPr>
            <w:tcW w:w="449" w:type="pct"/>
            <w:tcBorders>
              <w:top w:val="single" w:color="auto" w:sz="4" w:space="0"/>
              <w:left w:val="single" w:color="auto" w:sz="4" w:space="0"/>
              <w:bottom w:val="single" w:color="auto" w:sz="4" w:space="0"/>
              <w:right w:val="single" w:color="auto" w:sz="4" w:space="0"/>
            </w:tcBorders>
            <w:vAlign w:val="center"/>
          </w:tcPr>
          <w:p w14:paraId="031687BC">
            <w:pPr>
              <w:jc w:val="right"/>
              <w:rPr>
                <w:rFonts w:cs="宋体"/>
                <w:color w:val="auto"/>
                <w:sz w:val="24"/>
                <w:szCs w:val="24"/>
                <w:highlight w:val="none"/>
              </w:rPr>
            </w:pPr>
          </w:p>
        </w:tc>
        <w:tc>
          <w:tcPr>
            <w:tcW w:w="651" w:type="pct"/>
            <w:tcBorders>
              <w:top w:val="single" w:color="auto" w:sz="4" w:space="0"/>
              <w:left w:val="single" w:color="auto" w:sz="4" w:space="0"/>
              <w:bottom w:val="single" w:color="auto" w:sz="4" w:space="0"/>
              <w:right w:val="single" w:color="auto" w:sz="4" w:space="0"/>
            </w:tcBorders>
            <w:vAlign w:val="center"/>
          </w:tcPr>
          <w:p w14:paraId="15DB7E2C">
            <w:pPr>
              <w:spacing w:line="260" w:lineRule="exact"/>
              <w:rPr>
                <w:rFonts w:cs="宋体"/>
                <w:color w:val="auto"/>
                <w:sz w:val="24"/>
                <w:szCs w:val="24"/>
                <w:highlight w:val="none"/>
              </w:rPr>
            </w:pPr>
          </w:p>
        </w:tc>
      </w:tr>
      <w:tr w14:paraId="50490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7" w:hRule="atLeast"/>
        </w:trPr>
        <w:tc>
          <w:tcPr>
            <w:tcW w:w="3898" w:type="pct"/>
            <w:gridSpan w:val="7"/>
            <w:tcBorders>
              <w:top w:val="single" w:color="auto" w:sz="4" w:space="0"/>
              <w:left w:val="single" w:color="auto" w:sz="4" w:space="0"/>
              <w:bottom w:val="single" w:color="auto" w:sz="4" w:space="0"/>
              <w:right w:val="single" w:color="auto" w:sz="4" w:space="0"/>
            </w:tcBorders>
            <w:vAlign w:val="center"/>
          </w:tcPr>
          <w:p w14:paraId="5FEF8BE3">
            <w:pPr>
              <w:rPr>
                <w:b/>
                <w:color w:val="auto"/>
                <w:sz w:val="24"/>
                <w:szCs w:val="24"/>
                <w:highlight w:val="none"/>
              </w:rPr>
            </w:pPr>
            <w:r>
              <w:rPr>
                <w:rFonts w:hint="eastAsia"/>
                <w:b/>
                <w:color w:val="auto"/>
                <w:sz w:val="24"/>
                <w:szCs w:val="24"/>
                <w:highlight w:val="none"/>
              </w:rPr>
              <w:t>合同总价为：（人民币大写：</w:t>
            </w:r>
            <w:r>
              <w:rPr>
                <w:rFonts w:hint="eastAsia"/>
                <w:b/>
                <w:color w:val="auto"/>
                <w:sz w:val="24"/>
                <w:szCs w:val="24"/>
                <w:highlight w:val="none"/>
                <w:u w:val="single"/>
              </w:rPr>
              <w:t xml:space="preserve">              </w:t>
            </w:r>
            <w:r>
              <w:rPr>
                <w:rFonts w:hint="eastAsia"/>
                <w:b/>
                <w:color w:val="auto"/>
                <w:sz w:val="24"/>
                <w:szCs w:val="24"/>
                <w:highlight w:val="none"/>
              </w:rPr>
              <w:t>元整）</w:t>
            </w:r>
          </w:p>
        </w:tc>
        <w:tc>
          <w:tcPr>
            <w:tcW w:w="449" w:type="pct"/>
            <w:tcBorders>
              <w:top w:val="single" w:color="auto" w:sz="4" w:space="0"/>
              <w:left w:val="single" w:color="auto" w:sz="4" w:space="0"/>
              <w:bottom w:val="single" w:color="auto" w:sz="4" w:space="0"/>
              <w:right w:val="single" w:color="auto" w:sz="4" w:space="0"/>
            </w:tcBorders>
            <w:vAlign w:val="center"/>
          </w:tcPr>
          <w:p w14:paraId="69518123">
            <w:pPr>
              <w:adjustRightInd w:val="0"/>
              <w:snapToGrid w:val="0"/>
              <w:jc w:val="right"/>
              <w:rPr>
                <w:rFonts w:cs="宋体"/>
                <w:bCs/>
                <w:color w:val="auto"/>
                <w:sz w:val="24"/>
                <w:szCs w:val="24"/>
                <w:highlight w:val="none"/>
              </w:rPr>
            </w:pPr>
          </w:p>
        </w:tc>
        <w:tc>
          <w:tcPr>
            <w:tcW w:w="651" w:type="pct"/>
            <w:tcBorders>
              <w:top w:val="single" w:color="auto" w:sz="4" w:space="0"/>
              <w:left w:val="single" w:color="auto" w:sz="4" w:space="0"/>
              <w:bottom w:val="single" w:color="auto" w:sz="4" w:space="0"/>
              <w:right w:val="single" w:color="auto" w:sz="4" w:space="0"/>
            </w:tcBorders>
            <w:vAlign w:val="center"/>
          </w:tcPr>
          <w:p w14:paraId="4BD9B44E">
            <w:pPr>
              <w:adjustRightInd w:val="0"/>
              <w:snapToGrid w:val="0"/>
              <w:rPr>
                <w:rFonts w:cs="宋体"/>
                <w:bCs/>
                <w:color w:val="auto"/>
                <w:sz w:val="24"/>
                <w:szCs w:val="24"/>
                <w:highlight w:val="none"/>
              </w:rPr>
            </w:pPr>
          </w:p>
        </w:tc>
      </w:tr>
    </w:tbl>
    <w:p w14:paraId="784CC02A">
      <w:pPr>
        <w:spacing w:line="324" w:lineRule="auto"/>
        <w:rPr>
          <w:b/>
          <w:color w:val="auto"/>
          <w:sz w:val="24"/>
          <w:highlight w:val="none"/>
        </w:rPr>
      </w:pPr>
      <w:r>
        <w:rPr>
          <w:b/>
          <w:color w:val="auto"/>
          <w:sz w:val="24"/>
          <w:highlight w:val="none"/>
        </w:rPr>
        <w:br w:type="page"/>
      </w:r>
      <w:r>
        <w:rPr>
          <w:rFonts w:hint="eastAsia"/>
          <w:b/>
          <w:color w:val="auto"/>
          <w:sz w:val="24"/>
          <w:highlight w:val="none"/>
        </w:rPr>
        <w:t>附件2（签订合同时此附件应横向打印）：</w:t>
      </w:r>
    </w:p>
    <w:tbl>
      <w:tblPr>
        <w:tblStyle w:val="32"/>
        <w:tblpPr w:leftFromText="180" w:rightFromText="180" w:vertAnchor="text" w:horzAnchor="margin" w:tblpY="101"/>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82"/>
        <w:gridCol w:w="10327"/>
        <w:gridCol w:w="1862"/>
      </w:tblGrid>
      <w:tr w14:paraId="39C67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trPr>
        <w:tc>
          <w:tcPr>
            <w:tcW w:w="4342" w:type="pct"/>
            <w:gridSpan w:val="2"/>
            <w:vAlign w:val="center"/>
          </w:tcPr>
          <w:p w14:paraId="3D6A2229">
            <w:pPr>
              <w:spacing w:before="240" w:after="60" w:line="360" w:lineRule="exact"/>
              <w:jc w:val="center"/>
              <w:rPr>
                <w:b/>
                <w:color w:val="auto"/>
                <w:sz w:val="24"/>
                <w:szCs w:val="24"/>
                <w:highlight w:val="none"/>
              </w:rPr>
            </w:pPr>
            <w:r>
              <w:rPr>
                <w:rFonts w:hint="eastAsia"/>
                <w:b/>
                <w:color w:val="auto"/>
                <w:sz w:val="24"/>
                <w:szCs w:val="24"/>
                <w:highlight w:val="none"/>
              </w:rPr>
              <w:t>（附件1设备或系统由多个项目组成）配置清单</w:t>
            </w:r>
          </w:p>
        </w:tc>
        <w:tc>
          <w:tcPr>
            <w:tcW w:w="657" w:type="pct"/>
          </w:tcPr>
          <w:p w14:paraId="2E012769">
            <w:pPr>
              <w:spacing w:before="240" w:after="60" w:line="360" w:lineRule="exact"/>
              <w:jc w:val="center"/>
              <w:rPr>
                <w:b/>
                <w:color w:val="auto"/>
                <w:sz w:val="24"/>
                <w:szCs w:val="24"/>
                <w:highlight w:val="none"/>
              </w:rPr>
            </w:pPr>
            <w:r>
              <w:rPr>
                <w:rFonts w:hint="eastAsia"/>
                <w:b/>
                <w:color w:val="auto"/>
                <w:sz w:val="24"/>
                <w:szCs w:val="24"/>
                <w:highlight w:val="none"/>
              </w:rPr>
              <w:t>单价（元）</w:t>
            </w:r>
          </w:p>
        </w:tc>
      </w:tr>
      <w:tr w14:paraId="4C15E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699" w:type="pct"/>
            <w:vAlign w:val="center"/>
          </w:tcPr>
          <w:p w14:paraId="34FDA1BF">
            <w:pPr>
              <w:spacing w:before="240" w:after="60" w:line="360" w:lineRule="exact"/>
              <w:jc w:val="center"/>
              <w:rPr>
                <w:b/>
                <w:color w:val="auto"/>
                <w:sz w:val="24"/>
                <w:szCs w:val="24"/>
                <w:highlight w:val="none"/>
              </w:rPr>
            </w:pPr>
            <w:r>
              <w:rPr>
                <w:rFonts w:hint="eastAsia"/>
                <w:b/>
                <w:color w:val="auto"/>
                <w:sz w:val="24"/>
                <w:szCs w:val="24"/>
                <w:highlight w:val="none"/>
              </w:rPr>
              <w:t>序号</w:t>
            </w:r>
          </w:p>
        </w:tc>
        <w:tc>
          <w:tcPr>
            <w:tcW w:w="3642" w:type="pct"/>
            <w:vAlign w:val="center"/>
          </w:tcPr>
          <w:p w14:paraId="6B5C9DF3">
            <w:pPr>
              <w:spacing w:before="240" w:after="60" w:line="360" w:lineRule="exact"/>
              <w:jc w:val="center"/>
              <w:rPr>
                <w:b/>
                <w:color w:val="auto"/>
                <w:sz w:val="24"/>
                <w:szCs w:val="24"/>
                <w:highlight w:val="none"/>
              </w:rPr>
            </w:pPr>
            <w:r>
              <w:rPr>
                <w:rFonts w:hint="eastAsia"/>
                <w:b/>
                <w:color w:val="auto"/>
                <w:sz w:val="24"/>
                <w:szCs w:val="24"/>
                <w:highlight w:val="none"/>
              </w:rPr>
              <w:t>配置</w:t>
            </w:r>
          </w:p>
        </w:tc>
        <w:tc>
          <w:tcPr>
            <w:tcW w:w="657" w:type="pct"/>
          </w:tcPr>
          <w:p w14:paraId="231C2099">
            <w:pPr>
              <w:spacing w:before="240" w:after="60" w:line="360" w:lineRule="exact"/>
              <w:jc w:val="center"/>
              <w:rPr>
                <w:b/>
                <w:color w:val="auto"/>
                <w:sz w:val="24"/>
                <w:szCs w:val="24"/>
                <w:highlight w:val="none"/>
              </w:rPr>
            </w:pPr>
          </w:p>
        </w:tc>
      </w:tr>
      <w:tr w14:paraId="2C168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3" w:hRule="atLeast"/>
        </w:trPr>
        <w:tc>
          <w:tcPr>
            <w:tcW w:w="699" w:type="pct"/>
            <w:vAlign w:val="center"/>
          </w:tcPr>
          <w:p w14:paraId="28ACD833">
            <w:pPr>
              <w:spacing w:before="240" w:after="60" w:line="360" w:lineRule="exact"/>
              <w:rPr>
                <w:color w:val="auto"/>
                <w:sz w:val="24"/>
                <w:szCs w:val="24"/>
                <w:highlight w:val="none"/>
              </w:rPr>
            </w:pPr>
            <w:r>
              <w:rPr>
                <w:color w:val="auto"/>
                <w:sz w:val="24"/>
                <w:szCs w:val="24"/>
                <w:highlight w:val="none"/>
              </w:rPr>
              <w:t xml:space="preserve"> </w:t>
            </w:r>
          </w:p>
        </w:tc>
        <w:tc>
          <w:tcPr>
            <w:tcW w:w="3642" w:type="pct"/>
            <w:vAlign w:val="center"/>
          </w:tcPr>
          <w:p w14:paraId="247C37C2">
            <w:pPr>
              <w:spacing w:before="240" w:after="60" w:line="360" w:lineRule="exact"/>
              <w:rPr>
                <w:color w:val="auto"/>
                <w:sz w:val="24"/>
                <w:szCs w:val="24"/>
                <w:highlight w:val="none"/>
              </w:rPr>
            </w:pPr>
            <w:r>
              <w:rPr>
                <w:rFonts w:hint="eastAsia"/>
                <w:color w:val="auto"/>
                <w:sz w:val="24"/>
                <w:szCs w:val="24"/>
                <w:highlight w:val="none"/>
              </w:rPr>
              <w:t xml:space="preserve">            </w:t>
            </w:r>
          </w:p>
        </w:tc>
        <w:tc>
          <w:tcPr>
            <w:tcW w:w="657" w:type="pct"/>
          </w:tcPr>
          <w:p w14:paraId="17EE94E5">
            <w:pPr>
              <w:spacing w:before="240" w:after="60" w:line="360" w:lineRule="exact"/>
              <w:rPr>
                <w:color w:val="auto"/>
                <w:sz w:val="24"/>
                <w:szCs w:val="24"/>
                <w:highlight w:val="none"/>
              </w:rPr>
            </w:pPr>
          </w:p>
        </w:tc>
      </w:tr>
      <w:tr w14:paraId="5BCCD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trPr>
        <w:tc>
          <w:tcPr>
            <w:tcW w:w="699" w:type="pct"/>
          </w:tcPr>
          <w:p w14:paraId="41FD4165">
            <w:pPr>
              <w:spacing w:before="240" w:after="60" w:line="360" w:lineRule="exact"/>
              <w:rPr>
                <w:color w:val="auto"/>
                <w:sz w:val="24"/>
                <w:szCs w:val="24"/>
                <w:highlight w:val="none"/>
              </w:rPr>
            </w:pPr>
          </w:p>
        </w:tc>
        <w:tc>
          <w:tcPr>
            <w:tcW w:w="3642" w:type="pct"/>
          </w:tcPr>
          <w:p w14:paraId="0EFD540B">
            <w:pPr>
              <w:spacing w:before="32" w:beforeLines="10"/>
              <w:rPr>
                <w:color w:val="auto"/>
                <w:sz w:val="24"/>
                <w:szCs w:val="24"/>
                <w:highlight w:val="none"/>
              </w:rPr>
            </w:pPr>
          </w:p>
        </w:tc>
        <w:tc>
          <w:tcPr>
            <w:tcW w:w="657" w:type="pct"/>
          </w:tcPr>
          <w:p w14:paraId="50115C0C">
            <w:pPr>
              <w:spacing w:before="32" w:beforeLines="10"/>
              <w:rPr>
                <w:color w:val="auto"/>
                <w:sz w:val="24"/>
                <w:szCs w:val="24"/>
                <w:highlight w:val="none"/>
              </w:rPr>
            </w:pPr>
          </w:p>
        </w:tc>
      </w:tr>
      <w:tr w14:paraId="63749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trPr>
        <w:tc>
          <w:tcPr>
            <w:tcW w:w="699" w:type="pct"/>
          </w:tcPr>
          <w:p w14:paraId="5941678F">
            <w:pPr>
              <w:spacing w:before="240" w:after="60" w:line="360" w:lineRule="exact"/>
              <w:rPr>
                <w:color w:val="auto"/>
                <w:sz w:val="24"/>
                <w:szCs w:val="24"/>
                <w:highlight w:val="none"/>
              </w:rPr>
            </w:pPr>
          </w:p>
        </w:tc>
        <w:tc>
          <w:tcPr>
            <w:tcW w:w="3642" w:type="pct"/>
          </w:tcPr>
          <w:p w14:paraId="1C5420BD">
            <w:pPr>
              <w:spacing w:before="32" w:beforeLines="10"/>
              <w:rPr>
                <w:color w:val="auto"/>
                <w:sz w:val="24"/>
                <w:szCs w:val="24"/>
                <w:highlight w:val="none"/>
              </w:rPr>
            </w:pPr>
          </w:p>
        </w:tc>
        <w:tc>
          <w:tcPr>
            <w:tcW w:w="657" w:type="pct"/>
          </w:tcPr>
          <w:p w14:paraId="1B198BE4">
            <w:pPr>
              <w:spacing w:before="32" w:beforeLines="10"/>
              <w:rPr>
                <w:color w:val="auto"/>
                <w:sz w:val="24"/>
                <w:szCs w:val="24"/>
                <w:highlight w:val="none"/>
              </w:rPr>
            </w:pPr>
          </w:p>
        </w:tc>
      </w:tr>
      <w:tr w14:paraId="66C8C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trPr>
        <w:tc>
          <w:tcPr>
            <w:tcW w:w="699" w:type="pct"/>
          </w:tcPr>
          <w:p w14:paraId="1121B028">
            <w:pPr>
              <w:spacing w:before="240" w:after="60" w:line="360" w:lineRule="exact"/>
              <w:rPr>
                <w:color w:val="auto"/>
                <w:sz w:val="24"/>
                <w:szCs w:val="24"/>
                <w:highlight w:val="none"/>
              </w:rPr>
            </w:pPr>
          </w:p>
        </w:tc>
        <w:tc>
          <w:tcPr>
            <w:tcW w:w="3642" w:type="pct"/>
          </w:tcPr>
          <w:p w14:paraId="1B0852A2">
            <w:pPr>
              <w:spacing w:before="32" w:beforeLines="10"/>
              <w:rPr>
                <w:color w:val="auto"/>
                <w:sz w:val="24"/>
                <w:szCs w:val="24"/>
                <w:highlight w:val="none"/>
              </w:rPr>
            </w:pPr>
          </w:p>
        </w:tc>
        <w:tc>
          <w:tcPr>
            <w:tcW w:w="657" w:type="pct"/>
          </w:tcPr>
          <w:p w14:paraId="206126A8">
            <w:pPr>
              <w:spacing w:before="32" w:beforeLines="10"/>
              <w:rPr>
                <w:color w:val="auto"/>
                <w:sz w:val="24"/>
                <w:szCs w:val="24"/>
                <w:highlight w:val="none"/>
              </w:rPr>
            </w:pPr>
          </w:p>
        </w:tc>
      </w:tr>
      <w:tr w14:paraId="032F8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trPr>
        <w:tc>
          <w:tcPr>
            <w:tcW w:w="699" w:type="pct"/>
          </w:tcPr>
          <w:p w14:paraId="6804F13E">
            <w:pPr>
              <w:spacing w:before="240" w:after="60" w:line="360" w:lineRule="exact"/>
              <w:rPr>
                <w:color w:val="auto"/>
                <w:sz w:val="24"/>
                <w:szCs w:val="24"/>
                <w:highlight w:val="none"/>
              </w:rPr>
            </w:pPr>
          </w:p>
        </w:tc>
        <w:tc>
          <w:tcPr>
            <w:tcW w:w="3642" w:type="pct"/>
          </w:tcPr>
          <w:p w14:paraId="561F466A">
            <w:pPr>
              <w:spacing w:before="32" w:beforeLines="10"/>
              <w:rPr>
                <w:color w:val="auto"/>
                <w:sz w:val="24"/>
                <w:szCs w:val="24"/>
                <w:highlight w:val="none"/>
              </w:rPr>
            </w:pPr>
          </w:p>
        </w:tc>
        <w:tc>
          <w:tcPr>
            <w:tcW w:w="657" w:type="pct"/>
          </w:tcPr>
          <w:p w14:paraId="6BEFDBD3">
            <w:pPr>
              <w:spacing w:before="32" w:beforeLines="10"/>
              <w:rPr>
                <w:color w:val="auto"/>
                <w:sz w:val="24"/>
                <w:szCs w:val="24"/>
                <w:highlight w:val="none"/>
              </w:rPr>
            </w:pPr>
          </w:p>
        </w:tc>
      </w:tr>
    </w:tbl>
    <w:p w14:paraId="24A1ABA1">
      <w:pPr>
        <w:pStyle w:val="14"/>
        <w:rPr>
          <w:color w:val="auto"/>
          <w:highlight w:val="none"/>
        </w:rPr>
      </w:pPr>
    </w:p>
    <w:p w14:paraId="5A19F13A">
      <w:pPr>
        <w:pStyle w:val="14"/>
        <w:rPr>
          <w:rFonts w:ascii="宋体" w:hAnsi="宋体" w:cs="宋体"/>
          <w:color w:val="auto"/>
          <w:highlight w:val="none"/>
        </w:rPr>
        <w:sectPr>
          <w:headerReference r:id="rId6" w:type="default"/>
          <w:footerReference r:id="rId7" w:type="default"/>
          <w:pgSz w:w="16838" w:h="11906" w:orient="landscape"/>
          <w:pgMar w:top="1083" w:right="1440" w:bottom="1083" w:left="1440" w:header="720" w:footer="720" w:gutter="0"/>
          <w:pgBorders>
            <w:top w:val="none" w:sz="0" w:space="0"/>
            <w:left w:val="none" w:sz="0" w:space="0"/>
            <w:bottom w:val="none" w:sz="0" w:space="0"/>
            <w:right w:val="none" w:sz="0" w:space="0"/>
          </w:pgBorders>
          <w:pgNumType w:fmt="numberInDash"/>
          <w:cols w:space="708" w:num="1"/>
          <w:docGrid w:type="lines" w:linePitch="324" w:charSpace="0"/>
        </w:sectPr>
      </w:pPr>
    </w:p>
    <w:p w14:paraId="6003C6F3">
      <w:pPr>
        <w:pStyle w:val="2"/>
        <w:spacing w:before="0" w:after="0" w:line="360" w:lineRule="auto"/>
        <w:jc w:val="center"/>
        <w:rPr>
          <w:rFonts w:ascii="宋体" w:hAnsi="宋体" w:cs="宋体"/>
          <w:color w:val="auto"/>
          <w:highlight w:val="none"/>
        </w:rPr>
      </w:pPr>
      <w:bookmarkStart w:id="235" w:name="_Toc24075"/>
      <w:bookmarkStart w:id="236" w:name="_Toc21992"/>
      <w:r>
        <w:rPr>
          <w:rFonts w:hint="eastAsia" w:ascii="宋体" w:hAnsi="宋体" w:cs="宋体"/>
          <w:color w:val="auto"/>
          <w:highlight w:val="none"/>
        </w:rPr>
        <w:t>第四章 投标文件格式</w:t>
      </w:r>
      <w:bookmarkEnd w:id="235"/>
      <w:bookmarkEnd w:id="236"/>
    </w:p>
    <w:p w14:paraId="23A5D8F7">
      <w:pPr>
        <w:rPr>
          <w:rFonts w:ascii="宋体" w:hAnsi="宋体" w:cs="宋体"/>
          <w:color w:val="auto"/>
          <w:highlight w:val="none"/>
        </w:rPr>
      </w:pPr>
      <w:r>
        <w:rPr>
          <w:rFonts w:hint="eastAsia" w:ascii="宋体" w:hAnsi="宋体" w:cs="宋体"/>
          <w:color w:val="auto"/>
          <w:highlight w:val="none"/>
        </w:rPr>
        <w:t xml:space="preserve"> </w:t>
      </w:r>
    </w:p>
    <w:p w14:paraId="2B3B3418">
      <w:pPr>
        <w:rPr>
          <w:rFonts w:ascii="宋体" w:hAnsi="宋体" w:cs="宋体"/>
          <w:color w:val="auto"/>
          <w:highlight w:val="none"/>
        </w:rPr>
      </w:pPr>
      <w:r>
        <w:rPr>
          <w:rFonts w:hint="eastAsia" w:ascii="宋体" w:hAnsi="宋体" w:cs="宋体"/>
          <w:color w:val="auto"/>
          <w:highlight w:val="none"/>
        </w:rPr>
        <w:t xml:space="preserve"> </w:t>
      </w:r>
    </w:p>
    <w:p w14:paraId="403C111C">
      <w:pPr>
        <w:rPr>
          <w:rFonts w:ascii="宋体" w:hAnsi="宋体" w:cs="宋体"/>
          <w:color w:val="auto"/>
          <w:highlight w:val="none"/>
        </w:rPr>
      </w:pPr>
    </w:p>
    <w:p w14:paraId="753BF661">
      <w:pPr>
        <w:rPr>
          <w:rFonts w:ascii="宋体" w:hAnsi="宋体" w:cs="宋体"/>
          <w:color w:val="auto"/>
          <w:highlight w:val="none"/>
        </w:rPr>
      </w:pPr>
      <w:r>
        <w:rPr>
          <w:rFonts w:hint="eastAsia" w:ascii="宋体" w:hAnsi="宋体" w:cs="宋体"/>
          <w:color w:val="auto"/>
          <w:highlight w:val="none"/>
        </w:rPr>
        <w:t xml:space="preserve"> </w:t>
      </w:r>
    </w:p>
    <w:p w14:paraId="75D973F9">
      <w:pPr>
        <w:jc w:val="center"/>
        <w:rPr>
          <w:rFonts w:ascii="宋体" w:hAnsi="宋体" w:cs="宋体"/>
          <w:b/>
          <w:bCs/>
          <w:color w:val="auto"/>
          <w:sz w:val="44"/>
          <w:szCs w:val="44"/>
          <w:highlight w:val="none"/>
        </w:rPr>
      </w:pPr>
      <w:r>
        <w:rPr>
          <w:rFonts w:hint="eastAsia" w:ascii="宋体" w:hAnsi="宋体" w:cs="宋体"/>
          <w:b/>
          <w:bCs/>
          <w:color w:val="auto"/>
          <w:sz w:val="40"/>
          <w:szCs w:val="40"/>
          <w:highlight w:val="none"/>
          <w:lang w:eastAsia="zh-CN"/>
        </w:rPr>
        <w:t>昆明铁道职业技术学院2025年物联网综合实训室建设（1标段 设备采购）</w:t>
      </w:r>
    </w:p>
    <w:p w14:paraId="77297BBE">
      <w:pPr>
        <w:rPr>
          <w:rFonts w:ascii="宋体" w:hAnsi="宋体" w:cs="宋体"/>
          <w:b/>
          <w:bCs/>
          <w:color w:val="auto"/>
          <w:sz w:val="44"/>
          <w:szCs w:val="44"/>
          <w:highlight w:val="none"/>
          <w:u w:val="single"/>
        </w:rPr>
      </w:pPr>
      <w:r>
        <w:rPr>
          <w:rFonts w:hint="eastAsia" w:ascii="宋体" w:hAnsi="宋体" w:cs="宋体"/>
          <w:b/>
          <w:bCs/>
          <w:color w:val="auto"/>
          <w:sz w:val="44"/>
          <w:szCs w:val="44"/>
          <w:highlight w:val="none"/>
        </w:rPr>
        <w:t xml:space="preserve">             </w:t>
      </w:r>
    </w:p>
    <w:p w14:paraId="60CDBADF">
      <w:pPr>
        <w:rPr>
          <w:rFonts w:ascii="宋体" w:hAnsi="宋体" w:cs="宋体"/>
          <w:b/>
          <w:bCs/>
          <w:color w:val="auto"/>
          <w:sz w:val="44"/>
          <w:szCs w:val="44"/>
          <w:highlight w:val="none"/>
        </w:rPr>
      </w:pPr>
      <w:r>
        <w:rPr>
          <w:rFonts w:hint="eastAsia" w:ascii="宋体" w:hAnsi="宋体" w:cs="宋体"/>
          <w:b/>
          <w:bCs/>
          <w:color w:val="auto"/>
          <w:sz w:val="44"/>
          <w:szCs w:val="44"/>
          <w:highlight w:val="none"/>
        </w:rPr>
        <w:t xml:space="preserve"> </w:t>
      </w:r>
    </w:p>
    <w:p w14:paraId="7FCCE101">
      <w:pPr>
        <w:rPr>
          <w:rFonts w:ascii="宋体" w:hAnsi="宋体" w:cs="宋体"/>
          <w:b/>
          <w:bCs/>
          <w:color w:val="auto"/>
          <w:sz w:val="44"/>
          <w:szCs w:val="44"/>
          <w:highlight w:val="none"/>
        </w:rPr>
      </w:pPr>
      <w:r>
        <w:rPr>
          <w:rFonts w:hint="eastAsia" w:ascii="宋体" w:hAnsi="宋体" w:cs="宋体"/>
          <w:b/>
          <w:bCs/>
          <w:color w:val="auto"/>
          <w:sz w:val="44"/>
          <w:szCs w:val="44"/>
          <w:highlight w:val="none"/>
        </w:rPr>
        <w:t xml:space="preserve"> </w:t>
      </w:r>
    </w:p>
    <w:p w14:paraId="61BDF119">
      <w:pPr>
        <w:rPr>
          <w:rFonts w:ascii="宋体" w:hAnsi="宋体" w:cs="宋体"/>
          <w:b/>
          <w:bCs/>
          <w:color w:val="auto"/>
          <w:sz w:val="44"/>
          <w:szCs w:val="44"/>
          <w:highlight w:val="none"/>
        </w:rPr>
      </w:pPr>
      <w:r>
        <w:rPr>
          <w:rFonts w:hint="eastAsia" w:ascii="宋体" w:hAnsi="宋体" w:cs="宋体"/>
          <w:b/>
          <w:bCs/>
          <w:color w:val="auto"/>
          <w:sz w:val="44"/>
          <w:szCs w:val="44"/>
          <w:highlight w:val="none"/>
        </w:rPr>
        <w:t xml:space="preserve"> </w:t>
      </w:r>
    </w:p>
    <w:p w14:paraId="4C1156E6">
      <w:pPr>
        <w:jc w:val="center"/>
        <w:rPr>
          <w:rFonts w:ascii="宋体" w:hAnsi="宋体" w:cs="宋体"/>
          <w:b/>
          <w:bCs/>
          <w:color w:val="auto"/>
          <w:sz w:val="52"/>
          <w:szCs w:val="52"/>
          <w:highlight w:val="none"/>
        </w:rPr>
      </w:pPr>
      <w:r>
        <w:rPr>
          <w:rFonts w:hint="eastAsia" w:ascii="宋体" w:hAnsi="宋体" w:cs="宋体"/>
          <w:b/>
          <w:bCs/>
          <w:color w:val="auto"/>
          <w:sz w:val="52"/>
          <w:szCs w:val="52"/>
          <w:highlight w:val="none"/>
        </w:rPr>
        <w:t>投 标 文 件</w:t>
      </w:r>
    </w:p>
    <w:p w14:paraId="43966E96">
      <w:pPr>
        <w:rPr>
          <w:rFonts w:ascii="宋体" w:hAnsi="宋体" w:cs="宋体"/>
          <w:b/>
          <w:bCs/>
          <w:color w:val="auto"/>
          <w:sz w:val="44"/>
          <w:szCs w:val="44"/>
          <w:highlight w:val="none"/>
        </w:rPr>
      </w:pPr>
      <w:r>
        <w:rPr>
          <w:rFonts w:hint="eastAsia" w:ascii="宋体" w:hAnsi="宋体" w:cs="宋体"/>
          <w:b/>
          <w:bCs/>
          <w:color w:val="auto"/>
          <w:sz w:val="44"/>
          <w:szCs w:val="44"/>
          <w:highlight w:val="none"/>
        </w:rPr>
        <w:t xml:space="preserve"> </w:t>
      </w:r>
    </w:p>
    <w:p w14:paraId="4AF0AAF7">
      <w:pPr>
        <w:rPr>
          <w:rFonts w:ascii="宋体" w:hAnsi="宋体" w:cs="宋体"/>
          <w:b/>
          <w:bCs/>
          <w:color w:val="auto"/>
          <w:sz w:val="44"/>
          <w:szCs w:val="44"/>
          <w:highlight w:val="none"/>
        </w:rPr>
      </w:pPr>
      <w:r>
        <w:rPr>
          <w:rFonts w:hint="eastAsia" w:ascii="宋体" w:hAnsi="宋体" w:cs="宋体"/>
          <w:b/>
          <w:bCs/>
          <w:color w:val="auto"/>
          <w:sz w:val="44"/>
          <w:szCs w:val="44"/>
          <w:highlight w:val="none"/>
        </w:rPr>
        <w:t xml:space="preserve"> </w:t>
      </w:r>
    </w:p>
    <w:p w14:paraId="5DA300E1">
      <w:pPr>
        <w:rPr>
          <w:rFonts w:ascii="宋体" w:hAnsi="宋体" w:cs="宋体"/>
          <w:b/>
          <w:bCs/>
          <w:color w:val="auto"/>
          <w:sz w:val="44"/>
          <w:szCs w:val="44"/>
          <w:highlight w:val="none"/>
        </w:rPr>
      </w:pPr>
      <w:r>
        <w:rPr>
          <w:rFonts w:hint="eastAsia" w:ascii="宋体" w:hAnsi="宋体" w:cs="宋体"/>
          <w:b/>
          <w:bCs/>
          <w:color w:val="auto"/>
          <w:sz w:val="44"/>
          <w:szCs w:val="44"/>
          <w:highlight w:val="none"/>
        </w:rPr>
        <w:t xml:space="preserve"> </w:t>
      </w:r>
    </w:p>
    <w:p w14:paraId="4B392674">
      <w:pPr>
        <w:rPr>
          <w:rFonts w:ascii="宋体" w:hAnsi="宋体" w:cs="宋体"/>
          <w:b/>
          <w:bCs/>
          <w:color w:val="auto"/>
          <w:sz w:val="44"/>
          <w:szCs w:val="44"/>
          <w:highlight w:val="none"/>
        </w:rPr>
      </w:pPr>
      <w:r>
        <w:rPr>
          <w:rFonts w:hint="eastAsia" w:ascii="宋体" w:hAnsi="宋体" w:cs="宋体"/>
          <w:b/>
          <w:bCs/>
          <w:color w:val="auto"/>
          <w:sz w:val="44"/>
          <w:szCs w:val="44"/>
          <w:highlight w:val="none"/>
        </w:rPr>
        <w:t xml:space="preserve"> </w:t>
      </w:r>
    </w:p>
    <w:p w14:paraId="5EC8AF49">
      <w:pPr>
        <w:rPr>
          <w:rFonts w:ascii="宋体" w:hAnsi="宋体" w:cs="宋体"/>
          <w:b/>
          <w:bCs/>
          <w:color w:val="auto"/>
          <w:sz w:val="44"/>
          <w:szCs w:val="44"/>
          <w:highlight w:val="none"/>
        </w:rPr>
      </w:pPr>
      <w:r>
        <w:rPr>
          <w:rFonts w:hint="eastAsia" w:ascii="宋体" w:hAnsi="宋体" w:cs="宋体"/>
          <w:b/>
          <w:bCs/>
          <w:color w:val="auto"/>
          <w:sz w:val="44"/>
          <w:szCs w:val="44"/>
          <w:highlight w:val="none"/>
        </w:rPr>
        <w:t xml:space="preserve"> </w:t>
      </w:r>
    </w:p>
    <w:p w14:paraId="1C84227A">
      <w:pPr>
        <w:ind w:firstLine="1205" w:firstLineChars="500"/>
        <w:rPr>
          <w:rFonts w:ascii="宋体" w:hAnsi="宋体" w:cs="宋体"/>
          <w:b/>
          <w:bCs/>
          <w:color w:val="auto"/>
          <w:sz w:val="24"/>
          <w:szCs w:val="24"/>
          <w:highlight w:val="none"/>
        </w:rPr>
      </w:pPr>
      <w:r>
        <w:rPr>
          <w:rFonts w:hint="eastAsia" w:ascii="宋体" w:hAnsi="宋体" w:cs="宋体"/>
          <w:b/>
          <w:bCs/>
          <w:color w:val="auto"/>
          <w:sz w:val="24"/>
          <w:szCs w:val="24"/>
          <w:highlight w:val="none"/>
        </w:rPr>
        <w:t>投标人：</w:t>
      </w:r>
      <w:r>
        <w:rPr>
          <w:rFonts w:hint="eastAsia" w:ascii="宋体" w:hAnsi="宋体" w:cs="宋体"/>
          <w:b/>
          <w:bCs/>
          <w:color w:val="auto"/>
          <w:sz w:val="24"/>
          <w:szCs w:val="24"/>
          <w:highlight w:val="none"/>
          <w:u w:val="single"/>
        </w:rPr>
        <w:tab/>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（电子签章）</w:t>
      </w:r>
    </w:p>
    <w:p w14:paraId="1E75E036">
      <w:pPr>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 </w:t>
      </w:r>
    </w:p>
    <w:p w14:paraId="3D704D34">
      <w:pPr>
        <w:ind w:firstLine="1205" w:firstLineChars="500"/>
        <w:rPr>
          <w:rFonts w:ascii="宋体" w:hAnsi="宋体" w:cs="宋体"/>
          <w:b/>
          <w:bCs/>
          <w:color w:val="auto"/>
          <w:sz w:val="24"/>
          <w:szCs w:val="24"/>
          <w:highlight w:val="none"/>
        </w:rPr>
      </w:pPr>
      <w:r>
        <w:rPr>
          <w:rFonts w:hint="eastAsia" w:ascii="宋体" w:hAnsi="宋体" w:cs="宋体"/>
          <w:b/>
          <w:bCs/>
          <w:color w:val="auto"/>
          <w:sz w:val="24"/>
          <w:szCs w:val="24"/>
          <w:highlight w:val="none"/>
        </w:rPr>
        <w:t>法定代表人（单位负责人）：</w:t>
      </w:r>
      <w:r>
        <w:rPr>
          <w:rFonts w:hint="eastAsia" w:ascii="宋体" w:hAnsi="宋体" w:cs="宋体"/>
          <w:b/>
          <w:bCs/>
          <w:color w:val="auto"/>
          <w:sz w:val="24"/>
          <w:szCs w:val="24"/>
          <w:highlight w:val="none"/>
        </w:rPr>
        <w:tab/>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（电子签名或电子签章）</w:t>
      </w:r>
    </w:p>
    <w:p w14:paraId="4CEC9A71">
      <w:pPr>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 </w:t>
      </w:r>
    </w:p>
    <w:p w14:paraId="50277F41">
      <w:pPr>
        <w:ind w:firstLine="2891" w:firstLineChars="1200"/>
        <w:rPr>
          <w:rFonts w:ascii="宋体" w:hAnsi="宋体" w:cs="宋体"/>
          <w:color w:val="auto"/>
          <w:sz w:val="44"/>
          <w:szCs w:val="44"/>
          <w:highlight w:val="none"/>
        </w:rPr>
      </w:pPr>
      <w:r>
        <w:rPr>
          <w:rFonts w:hint="eastAsia" w:ascii="宋体" w:hAnsi="宋体" w:cs="宋体"/>
          <w:b/>
          <w:bCs/>
          <w:color w:val="auto"/>
          <w:sz w:val="24"/>
          <w:szCs w:val="24"/>
          <w:highlight w:val="none"/>
        </w:rPr>
        <w:t xml:space="preserve">日期： </w:t>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年</w:t>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月</w:t>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日</w:t>
      </w:r>
      <w:bookmarkStart w:id="237" w:name="_Toc184"/>
      <w:bookmarkEnd w:id="237"/>
      <w:bookmarkStart w:id="238" w:name="_Toc14917"/>
      <w:bookmarkEnd w:id="238"/>
      <w:bookmarkStart w:id="239" w:name="_Toc25438"/>
    </w:p>
    <w:bookmarkEnd w:id="239"/>
    <w:p w14:paraId="69B02BE8">
      <w:pPr>
        <w:pStyle w:val="4"/>
        <w:spacing w:before="0" w:after="0" w:line="360" w:lineRule="auto"/>
        <w:rPr>
          <w:rFonts w:ascii="宋体" w:hAnsi="宋体" w:cs="宋体"/>
          <w:color w:val="auto"/>
          <w:szCs w:val="28"/>
          <w:highlight w:val="none"/>
        </w:rPr>
      </w:pPr>
      <w:bookmarkStart w:id="240" w:name="_Toc24434"/>
      <w:bookmarkEnd w:id="240"/>
      <w:r>
        <w:rPr>
          <w:rFonts w:hint="eastAsia" w:ascii="宋体" w:hAnsi="宋体" w:cs="宋体"/>
          <w:color w:val="auto"/>
          <w:szCs w:val="28"/>
          <w:highlight w:val="none"/>
        </w:rPr>
        <w:br w:type="page"/>
      </w:r>
      <w:bookmarkStart w:id="241" w:name="_Toc30148"/>
      <w:r>
        <w:rPr>
          <w:rFonts w:hint="eastAsia" w:ascii="宋体" w:hAnsi="宋体" w:cs="宋体"/>
          <w:color w:val="auto"/>
          <w:szCs w:val="28"/>
          <w:highlight w:val="none"/>
        </w:rPr>
        <w:t>资格审查部分</w:t>
      </w:r>
      <w:bookmarkEnd w:id="241"/>
    </w:p>
    <w:p w14:paraId="778ABC8D">
      <w:pPr>
        <w:pStyle w:val="4"/>
        <w:spacing w:before="0" w:after="0" w:line="360" w:lineRule="auto"/>
        <w:rPr>
          <w:rFonts w:ascii="宋体" w:hAnsi="宋体" w:cs="宋体"/>
          <w:color w:val="auto"/>
          <w:szCs w:val="28"/>
          <w:highlight w:val="none"/>
        </w:rPr>
      </w:pPr>
      <w:bookmarkStart w:id="242" w:name="_Toc8133"/>
      <w:r>
        <w:rPr>
          <w:rFonts w:hint="eastAsia" w:ascii="宋体" w:hAnsi="宋体" w:cs="宋体"/>
          <w:color w:val="auto"/>
          <w:szCs w:val="28"/>
          <w:highlight w:val="none"/>
        </w:rPr>
        <w:t>一、具有独立承担民事责任的能力</w:t>
      </w:r>
      <w:bookmarkEnd w:id="242"/>
    </w:p>
    <w:p w14:paraId="657A7942">
      <w:pPr>
        <w:spacing w:line="360" w:lineRule="auto"/>
        <w:ind w:firstLine="480" w:firstLineChars="200"/>
        <w:rPr>
          <w:rFonts w:ascii="宋体" w:hAnsi="宋体" w:cs="宋体"/>
          <w:color w:val="auto"/>
          <w:sz w:val="24"/>
          <w:szCs w:val="24"/>
          <w:highlight w:val="none"/>
        </w:rPr>
      </w:pPr>
      <w:bookmarkStart w:id="243" w:name="_Toc24593"/>
      <w:bookmarkEnd w:id="243"/>
      <w:bookmarkStart w:id="244" w:name="_Toc10328"/>
      <w:r>
        <w:rPr>
          <w:rFonts w:hint="eastAsia" w:ascii="宋体" w:hAnsi="宋体" w:cs="宋体"/>
          <w:color w:val="auto"/>
          <w:sz w:val="24"/>
          <w:szCs w:val="24"/>
          <w:highlight w:val="none"/>
        </w:rPr>
        <w:t>投标人具有独立承担民事责任的能力：在中华人民共和国境内登记或注册，提供有效的营业执照或事业单位法人证书或其他法定凭证。</w:t>
      </w:r>
    </w:p>
    <w:p w14:paraId="7B0FD3AA">
      <w:pPr>
        <w:rPr>
          <w:rFonts w:ascii="宋体" w:hAnsi="宋体" w:cs="宋体"/>
          <w:color w:val="auto"/>
          <w:highlight w:val="none"/>
        </w:rPr>
      </w:pPr>
    </w:p>
    <w:p w14:paraId="58CF6CB1">
      <w:pPr>
        <w:rPr>
          <w:rFonts w:ascii="宋体" w:hAnsi="宋体" w:cs="宋体"/>
          <w:color w:val="auto"/>
          <w:highlight w:val="none"/>
        </w:rPr>
      </w:pPr>
    </w:p>
    <w:p w14:paraId="64401831">
      <w:pPr>
        <w:rPr>
          <w:rFonts w:ascii="宋体" w:hAnsi="宋体" w:cs="宋体"/>
          <w:color w:val="auto"/>
          <w:highlight w:val="none"/>
        </w:rPr>
      </w:pPr>
    </w:p>
    <w:p w14:paraId="6A5047BB">
      <w:pPr>
        <w:rPr>
          <w:rFonts w:ascii="宋体" w:hAnsi="宋体" w:cs="宋体"/>
          <w:color w:val="auto"/>
          <w:highlight w:val="none"/>
        </w:rPr>
      </w:pPr>
    </w:p>
    <w:p w14:paraId="6BA9CE41">
      <w:pPr>
        <w:rPr>
          <w:rFonts w:ascii="宋体" w:hAnsi="宋体" w:cs="宋体"/>
          <w:color w:val="auto"/>
          <w:highlight w:val="none"/>
        </w:rPr>
      </w:pPr>
    </w:p>
    <w:p w14:paraId="6CC3F731">
      <w:pPr>
        <w:rPr>
          <w:rFonts w:ascii="宋体" w:hAnsi="宋体" w:cs="宋体"/>
          <w:color w:val="auto"/>
          <w:highlight w:val="none"/>
        </w:rPr>
      </w:pPr>
    </w:p>
    <w:p w14:paraId="06726B72">
      <w:pPr>
        <w:rPr>
          <w:rFonts w:ascii="宋体" w:hAnsi="宋体" w:cs="宋体"/>
          <w:color w:val="auto"/>
          <w:highlight w:val="none"/>
        </w:rPr>
      </w:pPr>
    </w:p>
    <w:p w14:paraId="0A34F2CB">
      <w:pPr>
        <w:rPr>
          <w:rFonts w:ascii="宋体" w:hAnsi="宋体" w:cs="宋体"/>
          <w:color w:val="auto"/>
          <w:highlight w:val="none"/>
        </w:rPr>
      </w:pPr>
    </w:p>
    <w:p w14:paraId="6D9F780C">
      <w:pPr>
        <w:rPr>
          <w:rFonts w:ascii="宋体" w:hAnsi="宋体" w:cs="宋体"/>
          <w:color w:val="auto"/>
          <w:highlight w:val="none"/>
        </w:rPr>
      </w:pPr>
    </w:p>
    <w:p w14:paraId="6B2458B3">
      <w:pPr>
        <w:rPr>
          <w:rFonts w:ascii="宋体" w:hAnsi="宋体" w:cs="宋体"/>
          <w:color w:val="auto"/>
          <w:highlight w:val="none"/>
        </w:rPr>
      </w:pPr>
    </w:p>
    <w:p w14:paraId="07BB503D">
      <w:pPr>
        <w:rPr>
          <w:rFonts w:ascii="宋体" w:hAnsi="宋体" w:cs="宋体"/>
          <w:color w:val="auto"/>
          <w:highlight w:val="none"/>
        </w:rPr>
      </w:pPr>
    </w:p>
    <w:p w14:paraId="418D8F94">
      <w:pPr>
        <w:rPr>
          <w:rFonts w:ascii="宋体" w:hAnsi="宋体" w:cs="宋体"/>
          <w:color w:val="auto"/>
          <w:highlight w:val="none"/>
        </w:rPr>
      </w:pPr>
    </w:p>
    <w:p w14:paraId="05AC1A67">
      <w:pPr>
        <w:rPr>
          <w:rFonts w:ascii="宋体" w:hAnsi="宋体" w:cs="宋体"/>
          <w:color w:val="auto"/>
          <w:highlight w:val="none"/>
        </w:rPr>
      </w:pPr>
    </w:p>
    <w:p w14:paraId="4FA65003">
      <w:pPr>
        <w:rPr>
          <w:rFonts w:ascii="宋体" w:hAnsi="宋体" w:cs="宋体"/>
          <w:color w:val="auto"/>
          <w:highlight w:val="none"/>
        </w:rPr>
      </w:pPr>
    </w:p>
    <w:p w14:paraId="41DC2848">
      <w:pPr>
        <w:rPr>
          <w:rFonts w:ascii="宋体" w:hAnsi="宋体" w:cs="宋体"/>
          <w:color w:val="auto"/>
          <w:highlight w:val="none"/>
        </w:rPr>
      </w:pPr>
    </w:p>
    <w:p w14:paraId="0F825B2F">
      <w:pPr>
        <w:rPr>
          <w:rFonts w:ascii="宋体" w:hAnsi="宋体" w:cs="宋体"/>
          <w:color w:val="auto"/>
          <w:highlight w:val="none"/>
        </w:rPr>
      </w:pPr>
    </w:p>
    <w:p w14:paraId="1A8B093C">
      <w:pPr>
        <w:rPr>
          <w:rFonts w:ascii="宋体" w:hAnsi="宋体" w:cs="宋体"/>
          <w:color w:val="auto"/>
          <w:highlight w:val="none"/>
        </w:rPr>
      </w:pPr>
    </w:p>
    <w:p w14:paraId="7F5B7D08">
      <w:pPr>
        <w:rPr>
          <w:rFonts w:ascii="宋体" w:hAnsi="宋体" w:cs="宋体"/>
          <w:color w:val="auto"/>
          <w:highlight w:val="none"/>
        </w:rPr>
      </w:pPr>
    </w:p>
    <w:p w14:paraId="77D63AA2">
      <w:pPr>
        <w:rPr>
          <w:rFonts w:ascii="宋体" w:hAnsi="宋体" w:cs="宋体"/>
          <w:color w:val="auto"/>
          <w:highlight w:val="none"/>
        </w:rPr>
      </w:pPr>
    </w:p>
    <w:p w14:paraId="187050B7">
      <w:pPr>
        <w:ind w:firstLine="420"/>
        <w:jc w:val="center"/>
        <w:outlineLvl w:val="2"/>
        <w:rPr>
          <w:rFonts w:ascii="宋体" w:hAnsi="宋体" w:cs="宋体"/>
          <w:color w:val="auto"/>
          <w:highlight w:val="none"/>
        </w:rPr>
      </w:pPr>
      <w:r>
        <w:rPr>
          <w:rFonts w:hint="eastAsia" w:ascii="宋体" w:hAnsi="宋体" w:cs="宋体"/>
          <w:color w:val="auto"/>
          <w:highlight w:val="none"/>
        </w:rPr>
        <w:br w:type="page"/>
      </w:r>
      <w:bookmarkEnd w:id="244"/>
      <w:bookmarkStart w:id="245" w:name="_Toc19766"/>
      <w:r>
        <w:rPr>
          <w:rFonts w:hint="eastAsia" w:ascii="宋体" w:hAnsi="宋体" w:cs="宋体"/>
          <w:b/>
          <w:bCs/>
          <w:color w:val="auto"/>
          <w:sz w:val="28"/>
          <w:szCs w:val="28"/>
          <w:highlight w:val="none"/>
        </w:rPr>
        <w:t>二、具有良好的商业信誉和健全的财务会计制度</w:t>
      </w:r>
      <w:bookmarkEnd w:id="245"/>
    </w:p>
    <w:p w14:paraId="630B83E2">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投标人须提供202</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年或202</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年或202</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年经第三方审计的财务报告及报表（包括资产负债表、利润表、现金流量表、所有者权益变动表及其附注），或提供自本项目投标文件提交截止时间前三个月内基本开户银行出具的资信证明。新成立企业，成立时间不足一年的，提供自本项目投标文件提交截止时间前三个月内基本开户银行出具的资信证明或自成立至今经第三方审计的财务报告及报表（包括资产负债表、利润表、现金流量表、所有者权益变动表及其附注）。</w:t>
      </w:r>
    </w:p>
    <w:p w14:paraId="4EB8B082">
      <w:pPr>
        <w:jc w:val="center"/>
        <w:outlineLvl w:val="2"/>
        <w:rPr>
          <w:rFonts w:ascii="宋体" w:hAnsi="宋体" w:cs="宋体"/>
          <w:color w:val="auto"/>
          <w:highlight w:val="none"/>
        </w:rPr>
      </w:pPr>
      <w:r>
        <w:rPr>
          <w:rFonts w:hint="eastAsia" w:ascii="宋体" w:hAnsi="宋体" w:cs="宋体"/>
          <w:color w:val="auto"/>
          <w:highlight w:val="none"/>
        </w:rPr>
        <w:br w:type="page"/>
      </w:r>
      <w:bookmarkStart w:id="246" w:name="_Toc10745"/>
      <w:r>
        <w:rPr>
          <w:rFonts w:hint="eastAsia" w:ascii="宋体" w:hAnsi="宋体" w:cs="宋体"/>
          <w:b/>
          <w:bCs/>
          <w:color w:val="auto"/>
          <w:sz w:val="28"/>
          <w:szCs w:val="28"/>
          <w:highlight w:val="none"/>
        </w:rPr>
        <w:t>三、具有依法缴纳税收和社会保障资金的良好记录</w:t>
      </w:r>
      <w:bookmarkEnd w:id="246"/>
    </w:p>
    <w:p w14:paraId="2F66070C">
      <w:pPr>
        <w:wordWrap w:val="0"/>
        <w:spacing w:line="360" w:lineRule="auto"/>
        <w:ind w:firstLine="480" w:firstLineChars="200"/>
        <w:rPr>
          <w:rFonts w:hint="eastAsia" w:ascii="宋体" w:hAnsi="宋体" w:cs="宋体"/>
          <w:color w:val="auto"/>
          <w:sz w:val="24"/>
          <w:szCs w:val="24"/>
          <w:highlight w:val="none"/>
        </w:rPr>
      </w:pPr>
      <w:bookmarkStart w:id="247" w:name="_Toc14504"/>
      <w:bookmarkEnd w:id="247"/>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投标人须提供缴税所属时间在提交投标文件截止之日前十二个月内任意连续</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个月的税务局税收通用缴款书复印件或银行电子缴税（费）凭证复印件或税务局出具纳税情况的相关证明，新成立企业，成立时间不足</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个月的提供自成立以来的税务局税收通用缴款书复印件或银行电子缴税（费）凭证复印件或税务局出具纳税情况的相关证明。投标人依法免税的，应提供依法免税的相关证明文件；</w:t>
      </w:r>
    </w:p>
    <w:p w14:paraId="35C7ADE4">
      <w:pPr>
        <w:spacing w:line="360" w:lineRule="auto"/>
        <w:ind w:firstLine="480" w:firstLineChars="200"/>
        <w:rPr>
          <w:rFonts w:ascii="宋体" w:hAnsi="宋体" w:cs="宋体"/>
          <w:b/>
          <w:bCs/>
          <w:color w:val="auto"/>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投标人须提供缴费所属时间在提交投标文件截止之日前十二个月内任意连续</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个月的社会保险费缴款书复印件或银行电子缴税（费）凭证复印件或社保管理部门出具的有效的缴款证明，新成立企业，成立时间不足</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个月的提供自成立以来的社会保险费缴款书复印件或银行电子缴税（费）凭证复印件或社保管理部门出具的有效的缴款证明。投标人依法免缴的，应提供依法免缴的相关证明文件。</w:t>
      </w:r>
    </w:p>
    <w:p w14:paraId="038AEAC9">
      <w:pPr>
        <w:pStyle w:val="74"/>
        <w:ind w:firstLine="0" w:firstLineChars="0"/>
        <w:jc w:val="center"/>
        <w:outlineLvl w:val="2"/>
        <w:rPr>
          <w:rFonts w:ascii="宋体" w:hAnsi="宋体" w:eastAsia="宋体"/>
          <w:color w:val="auto"/>
          <w:highlight w:val="none"/>
        </w:rPr>
      </w:pPr>
      <w:r>
        <w:rPr>
          <w:rFonts w:hint="eastAsia" w:ascii="宋体" w:hAnsi="宋体" w:eastAsia="宋体"/>
          <w:b/>
          <w:bCs/>
          <w:color w:val="auto"/>
          <w:highlight w:val="none"/>
        </w:rPr>
        <w:br w:type="page"/>
      </w:r>
      <w:bookmarkStart w:id="248" w:name="_Toc28187"/>
      <w:r>
        <w:rPr>
          <w:rFonts w:hint="eastAsia" w:ascii="宋体" w:hAnsi="宋体" w:eastAsia="宋体"/>
          <w:b/>
          <w:bCs/>
          <w:color w:val="auto"/>
          <w:highlight w:val="none"/>
        </w:rPr>
        <w:t>四</w:t>
      </w:r>
      <w:r>
        <w:rPr>
          <w:rFonts w:hint="eastAsia" w:ascii="宋体" w:hAnsi="宋体" w:eastAsia="宋体"/>
          <w:b/>
          <w:bCs/>
          <w:color w:val="auto"/>
          <w:sz w:val="28"/>
          <w:szCs w:val="28"/>
          <w:highlight w:val="none"/>
        </w:rPr>
        <w:t>、投标人须具有履行合同所必需的设备和专业技术能力证明材料</w:t>
      </w:r>
      <w:bookmarkEnd w:id="248"/>
    </w:p>
    <w:p w14:paraId="34175DF1">
      <w:pPr>
        <w:spacing w:line="360" w:lineRule="auto"/>
        <w:jc w:val="center"/>
        <w:rPr>
          <w:rFonts w:ascii="宋体" w:hAnsi="宋体" w:cs="宋体"/>
          <w:b/>
          <w:bCs/>
          <w:color w:val="auto"/>
          <w:sz w:val="24"/>
          <w:szCs w:val="24"/>
          <w:highlight w:val="none"/>
        </w:rPr>
      </w:pPr>
      <w:r>
        <w:rPr>
          <w:rFonts w:hint="eastAsia" w:ascii="宋体" w:hAnsi="宋体" w:cs="宋体"/>
          <w:color w:val="auto"/>
          <w:sz w:val="24"/>
          <w:szCs w:val="24"/>
          <w:highlight w:val="none"/>
        </w:rPr>
        <w:t>（提供说明承诺或其他证明材料，格式自拟）</w:t>
      </w:r>
    </w:p>
    <w:p w14:paraId="4287FCF9">
      <w:pPr>
        <w:spacing w:line="360" w:lineRule="auto"/>
        <w:jc w:val="center"/>
        <w:outlineLvl w:val="2"/>
        <w:rPr>
          <w:rFonts w:ascii="宋体" w:hAnsi="宋体" w:cs="宋体"/>
          <w:color w:val="auto"/>
          <w:highlight w:val="none"/>
        </w:rPr>
      </w:pPr>
      <w:bookmarkStart w:id="249" w:name="_Toc8069"/>
      <w:bookmarkEnd w:id="249"/>
      <w:r>
        <w:rPr>
          <w:rFonts w:hint="eastAsia" w:ascii="宋体" w:hAnsi="宋体" w:cs="宋体"/>
          <w:b/>
          <w:bCs/>
          <w:color w:val="auto"/>
          <w:sz w:val="28"/>
          <w:szCs w:val="28"/>
          <w:highlight w:val="none"/>
        </w:rPr>
        <w:br w:type="page"/>
      </w:r>
      <w:bookmarkStart w:id="250" w:name="_Toc13665"/>
      <w:r>
        <w:rPr>
          <w:rFonts w:hint="eastAsia" w:ascii="宋体" w:hAnsi="宋体" w:cs="宋体"/>
          <w:b/>
          <w:bCs/>
          <w:color w:val="auto"/>
          <w:sz w:val="28"/>
          <w:szCs w:val="28"/>
          <w:highlight w:val="none"/>
        </w:rPr>
        <w:t>▲五、投标人参加政府采购活动前三年内，在经营活动中没有重大违法记录</w:t>
      </w:r>
      <w:bookmarkEnd w:id="250"/>
    </w:p>
    <w:p w14:paraId="10BBA78A">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提供参加本次采购活动前三年内在经营活动中没有重大违法记录的书面声明。</w:t>
      </w:r>
    </w:p>
    <w:p w14:paraId="17F186D7">
      <w:pPr>
        <w:jc w:val="center"/>
        <w:rPr>
          <w:rFonts w:ascii="宋体" w:hAnsi="宋体" w:cs="宋体"/>
          <w:b/>
          <w:color w:val="auto"/>
          <w:sz w:val="24"/>
          <w:highlight w:val="none"/>
        </w:rPr>
      </w:pPr>
    </w:p>
    <w:p w14:paraId="0B9A5BB4">
      <w:pPr>
        <w:jc w:val="center"/>
        <w:rPr>
          <w:rFonts w:ascii="宋体" w:hAnsi="宋体" w:cs="宋体"/>
          <w:b/>
          <w:color w:val="auto"/>
          <w:sz w:val="24"/>
          <w:highlight w:val="none"/>
        </w:rPr>
      </w:pPr>
    </w:p>
    <w:p w14:paraId="4465E14C">
      <w:pPr>
        <w:jc w:val="center"/>
        <w:rPr>
          <w:rFonts w:ascii="宋体" w:hAnsi="宋体" w:cs="宋体"/>
          <w:b/>
          <w:color w:val="auto"/>
          <w:sz w:val="24"/>
          <w:highlight w:val="none"/>
        </w:rPr>
      </w:pPr>
      <w:r>
        <w:rPr>
          <w:rFonts w:hint="eastAsia" w:ascii="宋体" w:hAnsi="宋体" w:cs="宋体"/>
          <w:b/>
          <w:color w:val="auto"/>
          <w:sz w:val="24"/>
          <w:highlight w:val="none"/>
        </w:rPr>
        <w:t>声明函</w:t>
      </w:r>
    </w:p>
    <w:p w14:paraId="12377D1A">
      <w:pPr>
        <w:jc w:val="center"/>
        <w:rPr>
          <w:rFonts w:ascii="宋体" w:hAnsi="宋体" w:cs="宋体"/>
          <w:color w:val="auto"/>
          <w:sz w:val="24"/>
          <w:highlight w:val="none"/>
        </w:rPr>
      </w:pPr>
    </w:p>
    <w:p w14:paraId="294E486D">
      <w:pPr>
        <w:tabs>
          <w:tab w:val="left" w:pos="5580"/>
        </w:tabs>
        <w:spacing w:before="120" w:line="360" w:lineRule="auto"/>
        <w:rPr>
          <w:rFonts w:ascii="宋体" w:hAnsi="宋体" w:cs="宋体"/>
          <w:color w:val="auto"/>
          <w:sz w:val="24"/>
          <w:highlight w:val="none"/>
        </w:rPr>
      </w:pPr>
      <w:r>
        <w:rPr>
          <w:rFonts w:hint="eastAsia" w:ascii="宋体" w:hAnsi="宋体" w:cs="宋体"/>
          <w:color w:val="auto"/>
          <w:sz w:val="24"/>
          <w:highlight w:val="none"/>
        </w:rPr>
        <w:t>致：</w:t>
      </w:r>
      <w:r>
        <w:rPr>
          <w:rFonts w:hint="eastAsia" w:ascii="宋体" w:hAnsi="宋体" w:cs="宋体"/>
          <w:color w:val="auto"/>
          <w:sz w:val="24"/>
          <w:highlight w:val="none"/>
          <w:u w:val="single"/>
        </w:rPr>
        <w:t xml:space="preserve">   （采购人）  </w:t>
      </w:r>
    </w:p>
    <w:p w14:paraId="4D723DA7">
      <w:pPr>
        <w:tabs>
          <w:tab w:val="left" w:pos="5580"/>
        </w:tabs>
        <w:spacing w:before="120" w:line="360" w:lineRule="auto"/>
        <w:ind w:firstLine="480" w:firstLineChars="200"/>
        <w:rPr>
          <w:rFonts w:ascii="宋体" w:hAnsi="宋体" w:cs="宋体"/>
          <w:color w:val="auto"/>
          <w:sz w:val="24"/>
          <w:highlight w:val="none"/>
        </w:rPr>
      </w:pPr>
    </w:p>
    <w:p w14:paraId="4A838392">
      <w:pPr>
        <w:tabs>
          <w:tab w:val="left" w:pos="5580"/>
        </w:tabs>
        <w:spacing w:before="120"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我公司郑重承诺在参加本项目采购活动前三年内，在经营活动中没有重大违法记录（重大违法记录，是指投标人因违法经营受到刑事处罚或者责令停产停业、吊销许可证或者执照、较大数额罚款等行政处罚）。</w:t>
      </w:r>
    </w:p>
    <w:p w14:paraId="35323D0B">
      <w:pPr>
        <w:tabs>
          <w:tab w:val="left" w:pos="5580"/>
        </w:tabs>
        <w:spacing w:before="120"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特此声明。</w:t>
      </w:r>
    </w:p>
    <w:p w14:paraId="07B25EC1">
      <w:pPr>
        <w:ind w:firstLine="1200" w:firstLineChars="500"/>
        <w:rPr>
          <w:rFonts w:ascii="宋体" w:hAnsi="宋体" w:cs="宋体"/>
          <w:color w:val="auto"/>
          <w:sz w:val="24"/>
          <w:highlight w:val="none"/>
        </w:rPr>
      </w:pPr>
      <w:r>
        <w:rPr>
          <w:rFonts w:hint="eastAsia" w:ascii="宋体" w:hAnsi="宋体" w:cs="宋体"/>
          <w:color w:val="auto"/>
          <w:sz w:val="24"/>
          <w:highlight w:val="none"/>
        </w:rPr>
        <w:t xml:space="preserve"> </w:t>
      </w:r>
    </w:p>
    <w:p w14:paraId="0FCE66D5">
      <w:pPr>
        <w:ind w:firstLine="1205" w:firstLineChars="500"/>
        <w:rPr>
          <w:rFonts w:ascii="宋体" w:hAnsi="宋体" w:cs="宋体"/>
          <w:b/>
          <w:bCs/>
          <w:color w:val="auto"/>
          <w:sz w:val="24"/>
          <w:szCs w:val="24"/>
          <w:highlight w:val="none"/>
        </w:rPr>
      </w:pPr>
    </w:p>
    <w:p w14:paraId="7B07002A">
      <w:pPr>
        <w:ind w:firstLine="1205" w:firstLineChars="500"/>
        <w:rPr>
          <w:rFonts w:ascii="宋体" w:hAnsi="宋体" w:cs="宋体"/>
          <w:b/>
          <w:bCs/>
          <w:color w:val="auto"/>
          <w:sz w:val="24"/>
          <w:szCs w:val="24"/>
          <w:highlight w:val="none"/>
        </w:rPr>
      </w:pPr>
    </w:p>
    <w:p w14:paraId="13A6CFC9">
      <w:pPr>
        <w:ind w:firstLine="1205" w:firstLineChars="500"/>
        <w:rPr>
          <w:rFonts w:ascii="宋体" w:hAnsi="宋体" w:cs="宋体"/>
          <w:b/>
          <w:bCs/>
          <w:color w:val="auto"/>
          <w:sz w:val="24"/>
          <w:szCs w:val="24"/>
          <w:highlight w:val="none"/>
        </w:rPr>
      </w:pPr>
    </w:p>
    <w:p w14:paraId="6D3826FB">
      <w:pPr>
        <w:ind w:firstLine="1205" w:firstLineChars="500"/>
        <w:rPr>
          <w:rFonts w:ascii="宋体" w:hAnsi="宋体" w:cs="宋体"/>
          <w:b/>
          <w:bCs/>
          <w:color w:val="auto"/>
          <w:sz w:val="24"/>
          <w:szCs w:val="24"/>
          <w:highlight w:val="none"/>
        </w:rPr>
      </w:pPr>
    </w:p>
    <w:p w14:paraId="5AEC0E28">
      <w:pPr>
        <w:ind w:firstLine="1205" w:firstLineChars="500"/>
        <w:rPr>
          <w:rFonts w:ascii="宋体" w:hAnsi="宋体" w:cs="宋体"/>
          <w:b/>
          <w:bCs/>
          <w:color w:val="auto"/>
          <w:sz w:val="24"/>
          <w:szCs w:val="24"/>
          <w:highlight w:val="none"/>
        </w:rPr>
      </w:pPr>
    </w:p>
    <w:p w14:paraId="01C747F1">
      <w:pPr>
        <w:ind w:firstLine="1205" w:firstLineChars="500"/>
        <w:rPr>
          <w:rFonts w:ascii="宋体" w:hAnsi="宋体" w:cs="宋体"/>
          <w:b/>
          <w:bCs/>
          <w:color w:val="auto"/>
          <w:sz w:val="24"/>
          <w:szCs w:val="24"/>
          <w:highlight w:val="none"/>
        </w:rPr>
      </w:pPr>
      <w:r>
        <w:rPr>
          <w:rFonts w:hint="eastAsia" w:ascii="宋体" w:hAnsi="宋体" w:cs="宋体"/>
          <w:b/>
          <w:bCs/>
          <w:color w:val="auto"/>
          <w:sz w:val="24"/>
          <w:szCs w:val="24"/>
          <w:highlight w:val="none"/>
        </w:rPr>
        <w:t>投标人：</w:t>
      </w:r>
      <w:r>
        <w:rPr>
          <w:rFonts w:hint="eastAsia" w:ascii="宋体" w:hAnsi="宋体" w:cs="宋体"/>
          <w:b/>
          <w:bCs/>
          <w:color w:val="auto"/>
          <w:sz w:val="24"/>
          <w:szCs w:val="24"/>
          <w:highlight w:val="none"/>
          <w:u w:val="single"/>
        </w:rPr>
        <w:tab/>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（电子签章）</w:t>
      </w:r>
    </w:p>
    <w:p w14:paraId="4A14FE09">
      <w:pPr>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  </w:t>
      </w:r>
    </w:p>
    <w:p w14:paraId="42CC1AB9">
      <w:pPr>
        <w:ind w:firstLine="1205" w:firstLineChars="500"/>
        <w:rPr>
          <w:rFonts w:ascii="宋体" w:hAnsi="宋体" w:cs="宋体"/>
          <w:color w:val="auto"/>
          <w:highlight w:val="none"/>
        </w:rPr>
      </w:pPr>
      <w:r>
        <w:rPr>
          <w:rFonts w:hint="eastAsia" w:ascii="宋体" w:hAnsi="宋体" w:cs="宋体"/>
          <w:b/>
          <w:bCs/>
          <w:color w:val="auto"/>
          <w:sz w:val="24"/>
          <w:szCs w:val="24"/>
          <w:highlight w:val="none"/>
        </w:rPr>
        <w:t>日期：</w:t>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 xml:space="preserve">年 </w:t>
      </w:r>
      <w:r>
        <w:rPr>
          <w:rFonts w:hint="eastAsia" w:ascii="宋体" w:hAnsi="宋体" w:cs="宋体"/>
          <w:b/>
          <w:bCs/>
          <w:color w:val="auto"/>
          <w:sz w:val="24"/>
          <w:szCs w:val="24"/>
          <w:highlight w:val="none"/>
          <w:u w:val="single"/>
        </w:rPr>
        <w:tab/>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 xml:space="preserve">月 </w:t>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日</w:t>
      </w:r>
      <w:bookmarkStart w:id="251" w:name="_Toc4022"/>
      <w:bookmarkEnd w:id="251"/>
      <w:bookmarkStart w:id="252" w:name="_Toc30512"/>
    </w:p>
    <w:bookmarkEnd w:id="252"/>
    <w:p w14:paraId="6D548F7D">
      <w:pPr>
        <w:jc w:val="center"/>
        <w:rPr>
          <w:rFonts w:ascii="宋体" w:hAnsi="宋体" w:cs="宋体"/>
          <w:b/>
          <w:color w:val="auto"/>
          <w:sz w:val="24"/>
          <w:highlight w:val="none"/>
        </w:rPr>
      </w:pPr>
    </w:p>
    <w:p w14:paraId="5F1013A1">
      <w:pPr>
        <w:jc w:val="center"/>
        <w:rPr>
          <w:rFonts w:ascii="宋体" w:hAnsi="宋体" w:cs="宋体"/>
          <w:b/>
          <w:color w:val="auto"/>
          <w:sz w:val="24"/>
          <w:highlight w:val="none"/>
        </w:rPr>
      </w:pPr>
    </w:p>
    <w:p w14:paraId="7E998209">
      <w:pPr>
        <w:widowControl w:val="0"/>
        <w:spacing w:line="360" w:lineRule="auto"/>
        <w:rPr>
          <w:rFonts w:ascii="宋体" w:hAnsi="宋体" w:cs="宋体"/>
          <w:color w:val="auto"/>
          <w:highlight w:val="none"/>
        </w:rPr>
      </w:pPr>
      <w:bookmarkStart w:id="253" w:name="_Toc15638"/>
      <w:bookmarkEnd w:id="253"/>
      <w:bookmarkStart w:id="254" w:name="_Toc16296"/>
      <w:bookmarkEnd w:id="254"/>
      <w:bookmarkStart w:id="255" w:name="_Toc15765"/>
    </w:p>
    <w:p w14:paraId="2BE98BF3">
      <w:pPr>
        <w:spacing w:line="360" w:lineRule="auto"/>
        <w:jc w:val="center"/>
        <w:outlineLvl w:val="2"/>
        <w:rPr>
          <w:rFonts w:ascii="宋体" w:hAnsi="宋体" w:cs="宋体"/>
          <w:color w:val="auto"/>
          <w:highlight w:val="none"/>
        </w:rPr>
      </w:pPr>
      <w:r>
        <w:rPr>
          <w:rFonts w:hint="eastAsia" w:ascii="宋体" w:hAnsi="宋体" w:cs="宋体"/>
          <w:color w:val="auto"/>
          <w:szCs w:val="28"/>
          <w:highlight w:val="none"/>
        </w:rPr>
        <w:br w:type="page"/>
      </w:r>
      <w:bookmarkEnd w:id="255"/>
      <w:bookmarkStart w:id="256" w:name="_Toc29133"/>
      <w:bookmarkEnd w:id="256"/>
      <w:bookmarkStart w:id="257" w:name="_Toc31675"/>
      <w:r>
        <w:rPr>
          <w:rFonts w:hint="eastAsia" w:ascii="宋体" w:hAnsi="宋体" w:cs="宋体"/>
          <w:b/>
          <w:bCs/>
          <w:color w:val="auto"/>
          <w:sz w:val="28"/>
          <w:szCs w:val="28"/>
          <w:highlight w:val="none"/>
        </w:rPr>
        <w:t>六、其他</w:t>
      </w:r>
      <w:bookmarkEnd w:id="257"/>
    </w:p>
    <w:p w14:paraId="366A8088">
      <w:pPr>
        <w:wordWrap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单位负责人为同一人或者存在直接控股、管理关系的不同投标人，不得参加同一合同项下的政府采购活动。（提供声明书）</w:t>
      </w:r>
    </w:p>
    <w:p w14:paraId="6B8093E0">
      <w:pPr>
        <w:wordWrap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为本采购项目提供整体设计、规范编制或者项目管理、监理、检测等服务的投标人，不得再参加本采购项目的其他采购活动。（提供声明书）</w:t>
      </w:r>
    </w:p>
    <w:p w14:paraId="04619191">
      <w:pPr>
        <w:tabs>
          <w:tab w:val="left" w:pos="433"/>
        </w:tabs>
        <w:wordWrap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.投标人认为需要提交的其他资格证明材料。</w:t>
      </w:r>
    </w:p>
    <w:p w14:paraId="0AD12277">
      <w:pPr>
        <w:rPr>
          <w:color w:val="auto"/>
          <w:highlight w:val="none"/>
        </w:rPr>
      </w:pPr>
    </w:p>
    <w:p w14:paraId="3582B04C">
      <w:pPr>
        <w:spacing w:line="360" w:lineRule="auto"/>
        <w:jc w:val="center"/>
        <w:outlineLvl w:val="2"/>
        <w:rPr>
          <w:rFonts w:ascii="宋体" w:hAnsi="宋体" w:cs="宋体"/>
          <w:b/>
          <w:bCs/>
          <w:color w:val="auto"/>
          <w:sz w:val="44"/>
          <w:szCs w:val="44"/>
          <w:highlight w:val="none"/>
        </w:rPr>
      </w:pPr>
      <w:r>
        <w:rPr>
          <w:rFonts w:hint="eastAsia" w:ascii="宋体" w:hAnsi="宋体" w:cs="宋体"/>
          <w:b/>
          <w:bCs/>
          <w:color w:val="auto"/>
          <w:sz w:val="44"/>
          <w:szCs w:val="44"/>
          <w:highlight w:val="none"/>
        </w:rPr>
        <w:br w:type="page"/>
      </w:r>
      <w:bookmarkStart w:id="258" w:name="_Toc3738"/>
      <w:bookmarkStart w:id="259" w:name="_Toc29456"/>
      <w:r>
        <w:rPr>
          <w:rFonts w:hint="eastAsia" w:ascii="宋体" w:hAnsi="宋体" w:cs="宋体"/>
          <w:b/>
          <w:bCs/>
          <w:color w:val="auto"/>
          <w:sz w:val="28"/>
          <w:szCs w:val="28"/>
          <w:highlight w:val="none"/>
        </w:rPr>
        <w:t>商务技术部分</w:t>
      </w:r>
      <w:bookmarkEnd w:id="258"/>
    </w:p>
    <w:p w14:paraId="3C03B960">
      <w:pPr>
        <w:spacing w:line="360" w:lineRule="auto"/>
        <w:jc w:val="center"/>
        <w:outlineLvl w:val="2"/>
        <w:rPr>
          <w:rFonts w:ascii="宋体" w:hAnsi="宋体" w:cs="宋体"/>
          <w:color w:val="auto"/>
          <w:szCs w:val="28"/>
          <w:highlight w:val="none"/>
        </w:rPr>
      </w:pPr>
      <w:bookmarkStart w:id="260" w:name="_Toc13544"/>
      <w:r>
        <w:rPr>
          <w:rFonts w:hint="eastAsia" w:ascii="宋体" w:hAnsi="宋体" w:cs="宋体"/>
          <w:b/>
          <w:bCs/>
          <w:color w:val="auto"/>
          <w:sz w:val="28"/>
          <w:szCs w:val="28"/>
          <w:highlight w:val="none"/>
        </w:rPr>
        <w:t>▲一、开标一览表</w:t>
      </w:r>
      <w:bookmarkEnd w:id="259"/>
      <w:bookmarkEnd w:id="260"/>
    </w:p>
    <w:p w14:paraId="03666625">
      <w:pPr>
        <w:spacing w:line="200" w:lineRule="exact"/>
        <w:rPr>
          <w:rFonts w:ascii="宋体" w:hAnsi="宋体" w:cs="宋体"/>
          <w:color w:val="auto"/>
          <w:highlight w:val="none"/>
        </w:rPr>
      </w:pPr>
      <w:r>
        <w:rPr>
          <w:rFonts w:hint="eastAsia" w:ascii="宋体" w:hAnsi="宋体" w:cs="宋体"/>
          <w:color w:val="auto"/>
          <w:highlight w:val="none"/>
        </w:rPr>
        <w:t xml:space="preserve"> </w:t>
      </w:r>
    </w:p>
    <w:p w14:paraId="33605A60">
      <w:pPr>
        <w:spacing w:line="480" w:lineRule="exact"/>
        <w:ind w:left="1200" w:hanging="1200" w:hangingChars="500"/>
        <w:rPr>
          <w:rFonts w:ascii="宋体" w:hAnsi="宋体" w:cs="宋体"/>
          <w:color w:val="auto"/>
          <w:sz w:val="24"/>
          <w:szCs w:val="24"/>
          <w:highlight w:val="none"/>
          <w:u w:val="single"/>
        </w:rPr>
      </w:pPr>
      <w:r>
        <w:rPr>
          <w:rFonts w:hint="eastAsia" w:ascii="宋体" w:hAnsi="宋体" w:cs="宋体"/>
          <w:color w:val="auto"/>
          <w:sz w:val="24"/>
          <w:szCs w:val="24"/>
          <w:highlight w:val="none"/>
        </w:rPr>
        <w:t>项目名称：</w:t>
      </w:r>
      <w:r>
        <w:rPr>
          <w:rFonts w:hint="eastAsia" w:ascii="宋体" w:hAnsi="宋体" w:cs="宋体"/>
          <w:color w:val="auto"/>
          <w:sz w:val="24"/>
          <w:szCs w:val="24"/>
          <w:highlight w:val="none"/>
          <w:u w:val="single"/>
        </w:rPr>
        <w:t xml:space="preserve">                                                </w:t>
      </w:r>
    </w:p>
    <w:p w14:paraId="5AA1C1D9">
      <w:pPr>
        <w:spacing w:line="48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项目编号：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68"/>
        <w:gridCol w:w="6768"/>
      </w:tblGrid>
      <w:tr w14:paraId="1268D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1" w:hRule="atLeast"/>
          <w:jc w:val="center"/>
        </w:trPr>
        <w:tc>
          <w:tcPr>
            <w:tcW w:w="2468" w:type="dxa"/>
            <w:tcBorders>
              <w:top w:val="single" w:color="auto" w:sz="4" w:space="0"/>
              <w:left w:val="single" w:color="auto" w:sz="4" w:space="0"/>
              <w:bottom w:val="single" w:color="auto" w:sz="4" w:space="0"/>
              <w:right w:val="single" w:color="auto" w:sz="4" w:space="0"/>
            </w:tcBorders>
            <w:vAlign w:val="center"/>
          </w:tcPr>
          <w:p w14:paraId="320FC881">
            <w:pPr>
              <w:pStyle w:val="18"/>
              <w:jc w:val="center"/>
              <w:rPr>
                <w:rFonts w:hAnsi="宋体" w:cs="宋体"/>
                <w:color w:val="auto"/>
                <w:sz w:val="24"/>
                <w:szCs w:val="24"/>
                <w:highlight w:val="none"/>
              </w:rPr>
            </w:pPr>
            <w:r>
              <w:rPr>
                <w:rFonts w:hint="eastAsia" w:hAnsi="宋体" w:cs="宋体"/>
                <w:color w:val="auto"/>
                <w:sz w:val="24"/>
                <w:szCs w:val="24"/>
                <w:highlight w:val="none"/>
              </w:rPr>
              <w:t>投标报价（元）</w:t>
            </w:r>
          </w:p>
        </w:tc>
        <w:tc>
          <w:tcPr>
            <w:tcW w:w="6768" w:type="dxa"/>
            <w:tcBorders>
              <w:top w:val="single" w:color="auto" w:sz="4" w:space="0"/>
              <w:left w:val="single" w:color="auto" w:sz="4" w:space="0"/>
              <w:bottom w:val="single" w:color="auto" w:sz="4" w:space="0"/>
              <w:right w:val="single" w:color="auto" w:sz="4" w:space="0"/>
            </w:tcBorders>
            <w:vAlign w:val="center"/>
          </w:tcPr>
          <w:p w14:paraId="5EE86A61">
            <w:pPr>
              <w:spacing w:line="360" w:lineRule="auto"/>
              <w:rPr>
                <w:rFonts w:ascii="宋体" w:hAnsi="宋体" w:cs="宋体"/>
                <w:color w:val="auto"/>
                <w:sz w:val="24"/>
                <w:szCs w:val="24"/>
                <w:highlight w:val="none"/>
              </w:rPr>
            </w:pPr>
          </w:p>
        </w:tc>
      </w:tr>
      <w:tr w14:paraId="69E14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2468" w:type="dxa"/>
            <w:tcBorders>
              <w:top w:val="single" w:color="auto" w:sz="4" w:space="0"/>
              <w:left w:val="single" w:color="auto" w:sz="4" w:space="0"/>
              <w:bottom w:val="single" w:color="auto" w:sz="4" w:space="0"/>
              <w:right w:val="single" w:color="auto" w:sz="4" w:space="0"/>
            </w:tcBorders>
            <w:vAlign w:val="center"/>
          </w:tcPr>
          <w:p w14:paraId="4628F9EF">
            <w:pPr>
              <w:jc w:val="center"/>
              <w:rPr>
                <w:rFonts w:ascii="宋体" w:hAnsi="宋体" w:cs="宋体"/>
                <w:color w:val="auto"/>
                <w:sz w:val="24"/>
                <w:szCs w:val="24"/>
                <w:highlight w:val="none"/>
              </w:rPr>
            </w:pPr>
            <w:r>
              <w:rPr>
                <w:rFonts w:hint="eastAsia" w:ascii="宋体" w:hAnsi="宋体" w:cs="宋体"/>
                <w:color w:val="auto"/>
                <w:sz w:val="24"/>
                <w:szCs w:val="24"/>
                <w:highlight w:val="none"/>
              </w:rPr>
              <w:t>合同履行期限</w:t>
            </w:r>
          </w:p>
        </w:tc>
        <w:tc>
          <w:tcPr>
            <w:tcW w:w="6768" w:type="dxa"/>
            <w:tcBorders>
              <w:top w:val="single" w:color="auto" w:sz="4" w:space="0"/>
              <w:left w:val="single" w:color="auto" w:sz="4" w:space="0"/>
              <w:bottom w:val="single" w:color="auto" w:sz="4" w:space="0"/>
              <w:right w:val="single" w:color="auto" w:sz="4" w:space="0"/>
            </w:tcBorders>
            <w:vAlign w:val="center"/>
          </w:tcPr>
          <w:p w14:paraId="13A8A911">
            <w:pPr>
              <w:spacing w:line="360" w:lineRule="auto"/>
              <w:rPr>
                <w:rFonts w:ascii="宋体" w:hAnsi="宋体" w:cs="宋体"/>
                <w:color w:val="auto"/>
                <w:sz w:val="24"/>
                <w:szCs w:val="24"/>
                <w:highlight w:val="none"/>
              </w:rPr>
            </w:pPr>
          </w:p>
        </w:tc>
      </w:tr>
      <w:tr w14:paraId="66A6D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2468" w:type="dxa"/>
            <w:tcBorders>
              <w:top w:val="single" w:color="auto" w:sz="4" w:space="0"/>
              <w:left w:val="single" w:color="auto" w:sz="4" w:space="0"/>
              <w:bottom w:val="single" w:color="auto" w:sz="4" w:space="0"/>
              <w:right w:val="single" w:color="auto" w:sz="4" w:space="0"/>
            </w:tcBorders>
            <w:vAlign w:val="center"/>
          </w:tcPr>
          <w:p w14:paraId="12E70AB7">
            <w:pPr>
              <w:jc w:val="center"/>
              <w:rPr>
                <w:rFonts w:ascii="宋体" w:hAnsi="宋体" w:cs="宋体"/>
                <w:color w:val="auto"/>
                <w:sz w:val="24"/>
                <w:szCs w:val="24"/>
                <w:highlight w:val="none"/>
              </w:rPr>
            </w:pPr>
            <w:r>
              <w:rPr>
                <w:rFonts w:hint="eastAsia" w:ascii="宋体" w:hAnsi="宋体" w:cs="宋体"/>
                <w:color w:val="auto"/>
                <w:sz w:val="24"/>
                <w:szCs w:val="24"/>
                <w:highlight w:val="none"/>
              </w:rPr>
              <w:t>质保期</w:t>
            </w:r>
          </w:p>
        </w:tc>
        <w:tc>
          <w:tcPr>
            <w:tcW w:w="6768" w:type="dxa"/>
            <w:tcBorders>
              <w:top w:val="single" w:color="auto" w:sz="4" w:space="0"/>
              <w:left w:val="single" w:color="auto" w:sz="4" w:space="0"/>
              <w:bottom w:val="single" w:color="auto" w:sz="4" w:space="0"/>
              <w:right w:val="single" w:color="auto" w:sz="4" w:space="0"/>
            </w:tcBorders>
            <w:vAlign w:val="center"/>
          </w:tcPr>
          <w:p w14:paraId="34AE4F66">
            <w:pPr>
              <w:spacing w:line="360" w:lineRule="auto"/>
              <w:rPr>
                <w:rFonts w:ascii="宋体" w:hAnsi="宋体" w:cs="宋体"/>
                <w:color w:val="auto"/>
                <w:sz w:val="24"/>
                <w:szCs w:val="24"/>
                <w:highlight w:val="none"/>
              </w:rPr>
            </w:pPr>
          </w:p>
        </w:tc>
      </w:tr>
      <w:tr w14:paraId="32E63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2468" w:type="dxa"/>
            <w:tcBorders>
              <w:top w:val="single" w:color="auto" w:sz="4" w:space="0"/>
              <w:left w:val="single" w:color="auto" w:sz="4" w:space="0"/>
              <w:bottom w:val="single" w:color="auto" w:sz="4" w:space="0"/>
              <w:right w:val="single" w:color="auto" w:sz="4" w:space="0"/>
            </w:tcBorders>
            <w:vAlign w:val="center"/>
          </w:tcPr>
          <w:p w14:paraId="113698D3">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质量</w:t>
            </w:r>
            <w:r>
              <w:rPr>
                <w:rFonts w:hint="eastAsia" w:ascii="宋体" w:hAnsi="宋体" w:cs="宋体"/>
                <w:color w:val="auto"/>
                <w:sz w:val="24"/>
                <w:szCs w:val="24"/>
                <w:highlight w:val="none"/>
                <w:lang w:val="en-US" w:eastAsia="zh-CN"/>
              </w:rPr>
              <w:t>承诺</w:t>
            </w:r>
          </w:p>
        </w:tc>
        <w:tc>
          <w:tcPr>
            <w:tcW w:w="6768" w:type="dxa"/>
            <w:tcBorders>
              <w:top w:val="single" w:color="auto" w:sz="4" w:space="0"/>
              <w:left w:val="single" w:color="auto" w:sz="4" w:space="0"/>
              <w:bottom w:val="single" w:color="auto" w:sz="4" w:space="0"/>
              <w:right w:val="single" w:color="auto" w:sz="4" w:space="0"/>
            </w:tcBorders>
            <w:vAlign w:val="center"/>
          </w:tcPr>
          <w:p w14:paraId="3176DAC2">
            <w:pPr>
              <w:spacing w:line="360" w:lineRule="auto"/>
              <w:rPr>
                <w:rFonts w:ascii="宋体" w:hAnsi="宋体" w:cs="宋体"/>
                <w:color w:val="auto"/>
                <w:sz w:val="24"/>
                <w:szCs w:val="24"/>
                <w:highlight w:val="none"/>
              </w:rPr>
            </w:pPr>
          </w:p>
        </w:tc>
      </w:tr>
      <w:tr w14:paraId="6D703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2468" w:type="dxa"/>
            <w:tcBorders>
              <w:top w:val="single" w:color="auto" w:sz="4" w:space="0"/>
              <w:left w:val="single" w:color="auto" w:sz="4" w:space="0"/>
              <w:bottom w:val="single" w:color="auto" w:sz="4" w:space="0"/>
              <w:right w:val="single" w:color="auto" w:sz="4" w:space="0"/>
            </w:tcBorders>
            <w:vAlign w:val="center"/>
          </w:tcPr>
          <w:p w14:paraId="55ED07FE">
            <w:pPr>
              <w:jc w:val="center"/>
              <w:rPr>
                <w:rFonts w:ascii="宋体" w:hAnsi="宋体" w:cs="宋体"/>
                <w:color w:val="auto"/>
                <w:sz w:val="24"/>
                <w:szCs w:val="24"/>
                <w:highlight w:val="none"/>
              </w:rPr>
            </w:pPr>
            <w:r>
              <w:rPr>
                <w:rFonts w:hint="eastAsia" w:ascii="宋体" w:hAnsi="宋体" w:cs="宋体"/>
                <w:color w:val="auto"/>
                <w:sz w:val="24"/>
                <w:szCs w:val="24"/>
                <w:highlight w:val="none"/>
              </w:rPr>
              <w:t>交货地点</w:t>
            </w:r>
          </w:p>
        </w:tc>
        <w:tc>
          <w:tcPr>
            <w:tcW w:w="6768" w:type="dxa"/>
            <w:tcBorders>
              <w:top w:val="single" w:color="auto" w:sz="4" w:space="0"/>
              <w:left w:val="single" w:color="auto" w:sz="4" w:space="0"/>
              <w:bottom w:val="single" w:color="auto" w:sz="4" w:space="0"/>
              <w:right w:val="single" w:color="auto" w:sz="4" w:space="0"/>
            </w:tcBorders>
            <w:vAlign w:val="center"/>
          </w:tcPr>
          <w:p w14:paraId="7D59EC58">
            <w:pPr>
              <w:spacing w:line="360" w:lineRule="auto"/>
              <w:rPr>
                <w:rFonts w:ascii="宋体" w:hAnsi="宋体" w:cs="宋体"/>
                <w:color w:val="auto"/>
                <w:sz w:val="24"/>
                <w:szCs w:val="24"/>
                <w:highlight w:val="none"/>
              </w:rPr>
            </w:pPr>
          </w:p>
        </w:tc>
      </w:tr>
      <w:tr w14:paraId="6DFB8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2468" w:type="dxa"/>
            <w:tcBorders>
              <w:top w:val="single" w:color="auto" w:sz="4" w:space="0"/>
              <w:left w:val="single" w:color="auto" w:sz="4" w:space="0"/>
              <w:bottom w:val="single" w:color="auto" w:sz="4" w:space="0"/>
              <w:right w:val="single" w:color="auto" w:sz="4" w:space="0"/>
            </w:tcBorders>
            <w:vAlign w:val="center"/>
          </w:tcPr>
          <w:p w14:paraId="65C1308B">
            <w:pPr>
              <w:jc w:val="center"/>
              <w:rPr>
                <w:rFonts w:ascii="宋体" w:hAnsi="宋体" w:cs="宋体"/>
                <w:color w:val="auto"/>
                <w:sz w:val="24"/>
                <w:szCs w:val="24"/>
                <w:highlight w:val="none"/>
              </w:rPr>
            </w:pPr>
            <w:r>
              <w:rPr>
                <w:rFonts w:hint="eastAsia" w:ascii="宋体" w:hAnsi="宋体" w:cs="宋体"/>
                <w:color w:val="auto"/>
                <w:sz w:val="24"/>
                <w:szCs w:val="24"/>
                <w:highlight w:val="none"/>
              </w:rPr>
              <w:t>投标保证金金额（元）</w:t>
            </w:r>
          </w:p>
        </w:tc>
        <w:tc>
          <w:tcPr>
            <w:tcW w:w="6768" w:type="dxa"/>
            <w:tcBorders>
              <w:top w:val="single" w:color="auto" w:sz="4" w:space="0"/>
              <w:left w:val="single" w:color="auto" w:sz="4" w:space="0"/>
              <w:bottom w:val="single" w:color="auto" w:sz="4" w:space="0"/>
              <w:right w:val="single" w:color="auto" w:sz="4" w:space="0"/>
            </w:tcBorders>
            <w:vAlign w:val="center"/>
          </w:tcPr>
          <w:p w14:paraId="258E03EC">
            <w:pPr>
              <w:spacing w:line="360" w:lineRule="auto"/>
              <w:rPr>
                <w:rFonts w:ascii="宋体" w:hAnsi="宋体" w:cs="宋体"/>
                <w:color w:val="auto"/>
                <w:sz w:val="24"/>
                <w:szCs w:val="24"/>
                <w:highlight w:val="none"/>
              </w:rPr>
            </w:pPr>
          </w:p>
        </w:tc>
      </w:tr>
      <w:tr w14:paraId="56E52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2468" w:type="dxa"/>
            <w:tcBorders>
              <w:top w:val="single" w:color="auto" w:sz="4" w:space="0"/>
              <w:left w:val="single" w:color="auto" w:sz="4" w:space="0"/>
              <w:bottom w:val="single" w:color="auto" w:sz="4" w:space="0"/>
              <w:right w:val="single" w:color="auto" w:sz="4" w:space="0"/>
            </w:tcBorders>
            <w:vAlign w:val="center"/>
          </w:tcPr>
          <w:p w14:paraId="4809FFF8">
            <w:pPr>
              <w:jc w:val="center"/>
              <w:rPr>
                <w:rFonts w:ascii="宋体" w:hAnsi="宋体" w:cs="宋体"/>
                <w:color w:val="auto"/>
                <w:sz w:val="24"/>
                <w:szCs w:val="24"/>
                <w:highlight w:val="none"/>
              </w:rPr>
            </w:pPr>
            <w:r>
              <w:rPr>
                <w:rFonts w:hint="eastAsia" w:ascii="宋体" w:hAnsi="宋体" w:cs="宋体"/>
                <w:color w:val="auto"/>
                <w:sz w:val="24"/>
                <w:szCs w:val="24"/>
                <w:highlight w:val="none"/>
              </w:rPr>
              <w:t>投标保证金形式</w:t>
            </w:r>
          </w:p>
        </w:tc>
        <w:tc>
          <w:tcPr>
            <w:tcW w:w="6768" w:type="dxa"/>
            <w:tcBorders>
              <w:top w:val="single" w:color="auto" w:sz="4" w:space="0"/>
              <w:left w:val="single" w:color="auto" w:sz="4" w:space="0"/>
              <w:bottom w:val="single" w:color="auto" w:sz="4" w:space="0"/>
              <w:right w:val="single" w:color="auto" w:sz="4" w:space="0"/>
            </w:tcBorders>
            <w:vAlign w:val="center"/>
          </w:tcPr>
          <w:p w14:paraId="020D451E">
            <w:pPr>
              <w:spacing w:line="360" w:lineRule="auto"/>
              <w:rPr>
                <w:rFonts w:ascii="宋体" w:hAnsi="宋体" w:cs="宋体"/>
                <w:color w:val="auto"/>
                <w:sz w:val="24"/>
                <w:szCs w:val="24"/>
                <w:highlight w:val="none"/>
              </w:rPr>
            </w:pPr>
          </w:p>
        </w:tc>
      </w:tr>
      <w:tr w14:paraId="11313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jc w:val="center"/>
        </w:trPr>
        <w:tc>
          <w:tcPr>
            <w:tcW w:w="9236" w:type="dxa"/>
            <w:gridSpan w:val="2"/>
            <w:tcBorders>
              <w:top w:val="single" w:color="auto" w:sz="4" w:space="0"/>
              <w:left w:val="single" w:color="auto" w:sz="4" w:space="0"/>
              <w:bottom w:val="single" w:color="auto" w:sz="4" w:space="0"/>
              <w:right w:val="single" w:color="auto" w:sz="4" w:space="0"/>
            </w:tcBorders>
            <w:vAlign w:val="center"/>
          </w:tcPr>
          <w:p w14:paraId="75D728A3">
            <w:pPr>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备注</w:t>
            </w:r>
          </w:p>
        </w:tc>
      </w:tr>
    </w:tbl>
    <w:p w14:paraId="4ADBF429">
      <w:pPr>
        <w:spacing w:line="420" w:lineRule="exact"/>
        <w:ind w:right="-309" w:rightChars="-147"/>
        <w:rPr>
          <w:rFonts w:ascii="宋体" w:hAnsi="宋体" w:cs="宋体"/>
          <w:b/>
          <w:color w:val="auto"/>
          <w:highlight w:val="none"/>
        </w:rPr>
      </w:pPr>
      <w:r>
        <w:rPr>
          <w:rFonts w:hint="eastAsia" w:ascii="宋体" w:hAnsi="宋体" w:cs="宋体"/>
          <w:color w:val="auto"/>
          <w:sz w:val="28"/>
          <w:szCs w:val="28"/>
          <w:highlight w:val="none"/>
        </w:rPr>
        <w:t xml:space="preserve"> </w:t>
      </w:r>
      <w:r>
        <w:rPr>
          <w:rFonts w:hint="eastAsia" w:ascii="宋体" w:hAnsi="宋体" w:cs="宋体"/>
          <w:b/>
          <w:color w:val="auto"/>
          <w:highlight w:val="none"/>
        </w:rPr>
        <w:t>注：此表中的投标报价即为最终报价，不允许另有折扣说明。</w:t>
      </w:r>
    </w:p>
    <w:p w14:paraId="179A186A">
      <w:pPr>
        <w:pStyle w:val="14"/>
        <w:rPr>
          <w:rFonts w:ascii="宋体" w:hAnsi="宋体" w:cs="宋体"/>
          <w:color w:val="auto"/>
          <w:highlight w:val="none"/>
        </w:rPr>
      </w:pPr>
    </w:p>
    <w:p w14:paraId="257129CD">
      <w:pPr>
        <w:ind w:firstLine="1687" w:firstLineChars="600"/>
        <w:rPr>
          <w:rFonts w:ascii="宋体" w:hAnsi="宋体" w:cs="宋体"/>
          <w:b/>
          <w:color w:val="auto"/>
          <w:sz w:val="28"/>
          <w:szCs w:val="28"/>
          <w:highlight w:val="none"/>
        </w:rPr>
      </w:pPr>
      <w:bookmarkStart w:id="261" w:name="_Toc2521"/>
      <w:r>
        <w:rPr>
          <w:rFonts w:hint="eastAsia" w:ascii="宋体" w:hAnsi="宋体" w:cs="宋体"/>
          <w:b/>
          <w:color w:val="auto"/>
          <w:sz w:val="28"/>
          <w:szCs w:val="28"/>
          <w:highlight w:val="none"/>
        </w:rPr>
        <w:t>投标人：</w:t>
      </w:r>
      <w:r>
        <w:rPr>
          <w:rFonts w:hint="eastAsia" w:ascii="宋体" w:hAnsi="宋体" w:cs="宋体"/>
          <w:b/>
          <w:color w:val="auto"/>
          <w:sz w:val="28"/>
          <w:szCs w:val="28"/>
          <w:highlight w:val="none"/>
          <w:u w:val="single"/>
        </w:rPr>
        <w:tab/>
      </w:r>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rPr>
        <w:t>（电子签章）</w:t>
      </w:r>
    </w:p>
    <w:p w14:paraId="64EC9226">
      <w:pPr>
        <w:ind w:firstLine="1687" w:firstLineChars="600"/>
        <w:rPr>
          <w:rFonts w:ascii="宋体" w:hAnsi="宋体" w:cs="宋体"/>
          <w:b/>
          <w:color w:val="auto"/>
          <w:sz w:val="28"/>
          <w:szCs w:val="28"/>
          <w:highlight w:val="none"/>
        </w:rPr>
      </w:pPr>
      <w:r>
        <w:rPr>
          <w:rFonts w:hint="eastAsia" w:ascii="宋体" w:hAnsi="宋体" w:cs="宋体"/>
          <w:b/>
          <w:color w:val="auto"/>
          <w:sz w:val="28"/>
          <w:szCs w:val="28"/>
          <w:highlight w:val="none"/>
        </w:rPr>
        <w:t>法定代表人（单位负责人）：</w:t>
      </w:r>
      <w:r>
        <w:rPr>
          <w:rFonts w:hint="eastAsia" w:ascii="宋体" w:hAnsi="宋体" w:cs="宋体"/>
          <w:b/>
          <w:color w:val="auto"/>
          <w:sz w:val="28"/>
          <w:szCs w:val="28"/>
          <w:highlight w:val="none"/>
          <w:u w:val="single"/>
        </w:rPr>
        <w:tab/>
      </w:r>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rPr>
        <w:t>（电子签名或电子签章）</w:t>
      </w:r>
    </w:p>
    <w:p w14:paraId="4611AF8A">
      <w:pPr>
        <w:ind w:firstLine="1687" w:firstLineChars="600"/>
        <w:rPr>
          <w:rFonts w:ascii="宋体" w:hAnsi="宋体" w:cs="宋体"/>
          <w:b/>
          <w:color w:val="auto"/>
          <w:sz w:val="28"/>
          <w:szCs w:val="28"/>
          <w:highlight w:val="none"/>
        </w:rPr>
      </w:pPr>
      <w:r>
        <w:rPr>
          <w:rFonts w:hint="eastAsia" w:ascii="宋体" w:hAnsi="宋体" w:cs="宋体"/>
          <w:b/>
          <w:color w:val="auto"/>
          <w:sz w:val="28"/>
          <w:szCs w:val="28"/>
          <w:highlight w:val="none"/>
        </w:rPr>
        <w:t>日期：</w:t>
      </w:r>
      <w:r>
        <w:rPr>
          <w:rFonts w:hint="eastAsia" w:ascii="宋体" w:hAnsi="宋体" w:cs="宋体"/>
          <w:bCs/>
          <w:color w:val="auto"/>
          <w:sz w:val="28"/>
          <w:szCs w:val="28"/>
          <w:highlight w:val="none"/>
          <w:u w:val="single"/>
        </w:rPr>
        <w:t xml:space="preserve">      </w:t>
      </w:r>
      <w:r>
        <w:rPr>
          <w:rFonts w:hint="eastAsia" w:ascii="宋体" w:hAnsi="宋体" w:cs="宋体"/>
          <w:b/>
          <w:color w:val="auto"/>
          <w:sz w:val="28"/>
          <w:szCs w:val="28"/>
          <w:highlight w:val="none"/>
        </w:rPr>
        <w:t>年</w:t>
      </w:r>
      <w:r>
        <w:rPr>
          <w:rFonts w:hint="eastAsia" w:ascii="宋体" w:hAnsi="宋体" w:cs="宋体"/>
          <w:bCs/>
          <w:color w:val="auto"/>
          <w:sz w:val="28"/>
          <w:szCs w:val="28"/>
          <w:highlight w:val="none"/>
          <w:u w:val="single"/>
        </w:rPr>
        <w:t xml:space="preserve">     </w:t>
      </w:r>
      <w:r>
        <w:rPr>
          <w:rFonts w:hint="eastAsia" w:ascii="宋体" w:hAnsi="宋体" w:cs="宋体"/>
          <w:b/>
          <w:color w:val="auto"/>
          <w:sz w:val="28"/>
          <w:szCs w:val="28"/>
          <w:highlight w:val="none"/>
        </w:rPr>
        <w:t>月</w:t>
      </w:r>
      <w:r>
        <w:rPr>
          <w:rFonts w:hint="eastAsia" w:ascii="宋体" w:hAnsi="宋体" w:cs="宋体"/>
          <w:bCs/>
          <w:color w:val="auto"/>
          <w:sz w:val="28"/>
          <w:szCs w:val="28"/>
          <w:highlight w:val="none"/>
          <w:u w:val="single"/>
        </w:rPr>
        <w:t xml:space="preserve">    </w:t>
      </w:r>
      <w:r>
        <w:rPr>
          <w:rFonts w:hint="eastAsia" w:ascii="宋体" w:hAnsi="宋体" w:cs="宋体"/>
          <w:b/>
          <w:color w:val="auto"/>
          <w:sz w:val="28"/>
          <w:szCs w:val="28"/>
          <w:highlight w:val="none"/>
        </w:rPr>
        <w:t>日</w:t>
      </w:r>
    </w:p>
    <w:p w14:paraId="771FDE19">
      <w:pPr>
        <w:pStyle w:val="4"/>
        <w:widowControl/>
        <w:autoSpaceDE w:val="0"/>
        <w:spacing w:before="0" w:after="0" w:line="240" w:lineRule="auto"/>
        <w:rPr>
          <w:rFonts w:ascii="宋体" w:hAnsi="宋体" w:cs="宋体"/>
          <w:color w:val="auto"/>
          <w:szCs w:val="28"/>
          <w:highlight w:val="none"/>
        </w:rPr>
      </w:pPr>
      <w:r>
        <w:rPr>
          <w:rFonts w:hint="eastAsia" w:ascii="宋体" w:hAnsi="宋体" w:cs="宋体"/>
          <w:color w:val="auto"/>
          <w:szCs w:val="28"/>
          <w:highlight w:val="none"/>
        </w:rPr>
        <w:br w:type="page"/>
      </w:r>
      <w:bookmarkStart w:id="262" w:name="_Toc13102"/>
      <w:r>
        <w:rPr>
          <w:rFonts w:hint="eastAsia" w:ascii="宋体" w:hAnsi="宋体" w:cs="宋体"/>
          <w:color w:val="auto"/>
          <w:szCs w:val="28"/>
          <w:highlight w:val="none"/>
        </w:rPr>
        <w:t>▲二、投标函</w:t>
      </w:r>
      <w:bookmarkEnd w:id="261"/>
      <w:bookmarkEnd w:id="262"/>
    </w:p>
    <w:p w14:paraId="63FB5696">
      <w:pPr>
        <w:spacing w:line="360" w:lineRule="auto"/>
        <w:rPr>
          <w:rFonts w:ascii="宋体" w:hAnsi="宋体" w:cs="宋体"/>
          <w:color w:val="auto"/>
          <w:sz w:val="24"/>
          <w:szCs w:val="24"/>
          <w:highlight w:val="none"/>
          <w:u w:val="single"/>
        </w:rPr>
      </w:pPr>
    </w:p>
    <w:p w14:paraId="11FDB335">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（采购人名称）：</w:t>
      </w:r>
    </w:p>
    <w:p w14:paraId="4B197E8C">
      <w:pPr>
        <w:autoSpaceDE w:val="0"/>
        <w:autoSpaceDN w:val="0"/>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我方已仔细研究了</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（项目名称）招标文件的全部内容，</w:t>
      </w:r>
      <w:r>
        <w:rPr>
          <w:rFonts w:hint="eastAsia" w:ascii="宋体" w:hAnsi="宋体" w:cs="宋体"/>
          <w:color w:val="auto"/>
          <w:sz w:val="24"/>
          <w:highlight w:val="none"/>
        </w:rPr>
        <w:t>且对招标文件无任何异议，并愿意以“开标一览表”所填写的投标报价，向你方提供招标文件要求的货物/服务。</w:t>
      </w:r>
      <w:r>
        <w:rPr>
          <w:rFonts w:hint="eastAsia" w:ascii="宋体" w:hAnsi="宋体" w:cs="宋体"/>
          <w:color w:val="auto"/>
          <w:sz w:val="24"/>
          <w:szCs w:val="24"/>
          <w:highlight w:val="none"/>
        </w:rPr>
        <w:t xml:space="preserve">    </w:t>
      </w:r>
    </w:p>
    <w:p w14:paraId="04C75502">
      <w:pPr>
        <w:numPr>
          <w:ilvl w:val="0"/>
          <w:numId w:val="1"/>
        </w:numPr>
        <w:autoSpaceDE w:val="0"/>
        <w:autoSpaceDN w:val="0"/>
        <w:adjustRightInd w:val="0"/>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我方承诺在投标有效期内不修改或撤销投标文件。否则，你方可不予退还我方的投标保证金。</w:t>
      </w:r>
    </w:p>
    <w:p w14:paraId="1A856DDA">
      <w:pPr>
        <w:autoSpaceDE w:val="0"/>
        <w:autoSpaceDN w:val="0"/>
        <w:adjustRightInd w:val="0"/>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2.本投标的投标有效期为自投标截止之日起90个日历天。</w:t>
      </w:r>
    </w:p>
    <w:p w14:paraId="66F48A4A">
      <w:pPr>
        <w:pStyle w:val="14"/>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3.我方承诺所提交的投标文件及有关资料是完整的、真实的、准确的和有效的，否则，我方承担由此造成的任何损失及引起的任何后果。</w:t>
      </w:r>
    </w:p>
    <w:p w14:paraId="67E7AE8B">
      <w:pPr>
        <w:autoSpaceDE w:val="0"/>
        <w:autoSpaceDN w:val="0"/>
        <w:adjustRightInd w:val="0"/>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4．如我方中标：</w:t>
      </w:r>
    </w:p>
    <w:p w14:paraId="095B297F">
      <w:pPr>
        <w:autoSpaceDE w:val="0"/>
        <w:autoSpaceDN w:val="0"/>
        <w:adjustRightInd w:val="0"/>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（1）我方承诺在收到中标通知书后，在中标通知书规定的期限内与你方签订合同。</w:t>
      </w:r>
    </w:p>
    <w:p w14:paraId="19E0C893">
      <w:pPr>
        <w:autoSpaceDE w:val="0"/>
        <w:autoSpaceDN w:val="0"/>
        <w:adjustRightInd w:val="0"/>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（2）我方承诺按照招标文件规定向你方递交履约保证金。</w:t>
      </w:r>
    </w:p>
    <w:p w14:paraId="7E85DA16">
      <w:pPr>
        <w:autoSpaceDE w:val="0"/>
        <w:autoSpaceDN w:val="0"/>
        <w:adjustRightInd w:val="0"/>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（3）我方承诺按合同约定的期限和地点，提供符合招标文件要求的全部的招标货物/服务。</w:t>
      </w:r>
    </w:p>
    <w:p w14:paraId="79A3F7E9">
      <w:pPr>
        <w:autoSpaceDE w:val="0"/>
        <w:autoSpaceDN w:val="0"/>
        <w:adjustRightInd w:val="0"/>
        <w:snapToGrid w:val="0"/>
        <w:spacing w:line="360" w:lineRule="auto"/>
        <w:ind w:firstLine="480" w:firstLineChars="200"/>
        <w:rPr>
          <w:rFonts w:ascii="宋体" w:hAnsi="宋体" w:cs="宋体"/>
          <w:color w:val="auto"/>
          <w:highlight w:val="none"/>
        </w:rPr>
      </w:pPr>
      <w:r>
        <w:rPr>
          <w:rFonts w:hint="eastAsia" w:ascii="宋体" w:hAnsi="宋体" w:cs="宋体"/>
          <w:color w:val="auto"/>
          <w:sz w:val="24"/>
          <w:highlight w:val="none"/>
        </w:rPr>
        <w:t>（4）除投标文件列出的偏差外，我方满足招标文件的全部要求。</w:t>
      </w:r>
    </w:p>
    <w:p w14:paraId="0DD84116">
      <w:pPr>
        <w:autoSpaceDE w:val="0"/>
        <w:autoSpaceDN w:val="0"/>
        <w:adjustRightInd w:val="0"/>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5．</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（其他补充说明）。</w:t>
      </w:r>
    </w:p>
    <w:p w14:paraId="6D0D2DE4">
      <w:pPr>
        <w:pStyle w:val="14"/>
        <w:ind w:firstLine="480" w:firstLineChars="200"/>
        <w:rPr>
          <w:rFonts w:ascii="宋体" w:hAnsi="宋体" w:cs="宋体"/>
          <w:color w:val="auto"/>
          <w:kern w:val="0"/>
          <w:sz w:val="24"/>
          <w:highlight w:val="none"/>
        </w:rPr>
      </w:pPr>
    </w:p>
    <w:p w14:paraId="22E622EE">
      <w:pPr>
        <w:spacing w:line="360" w:lineRule="auto"/>
        <w:ind w:firstLine="2891" w:firstLineChars="1200"/>
        <w:rPr>
          <w:rFonts w:ascii="宋体" w:hAnsi="宋体" w:cs="宋体"/>
          <w:b/>
          <w:bCs/>
          <w:color w:val="auto"/>
          <w:sz w:val="24"/>
          <w:szCs w:val="24"/>
          <w:highlight w:val="none"/>
        </w:rPr>
      </w:pPr>
      <w:r>
        <w:rPr>
          <w:rFonts w:hint="eastAsia" w:ascii="宋体" w:hAnsi="宋体" w:cs="宋体"/>
          <w:b/>
          <w:bCs/>
          <w:color w:val="auto"/>
          <w:sz w:val="24"/>
          <w:szCs w:val="24"/>
          <w:highlight w:val="none"/>
        </w:rPr>
        <w:t>投 标 人：</w:t>
      </w:r>
      <w:r>
        <w:rPr>
          <w:rFonts w:hint="eastAsia" w:ascii="宋体" w:hAnsi="宋体" w:cs="宋体"/>
          <w:b/>
          <w:bCs/>
          <w:color w:val="auto"/>
          <w:sz w:val="24"/>
          <w:szCs w:val="24"/>
          <w:highlight w:val="none"/>
          <w:u w:val="single"/>
        </w:rPr>
        <w:tab/>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（电子签章）</w:t>
      </w:r>
    </w:p>
    <w:p w14:paraId="34252A44">
      <w:pPr>
        <w:spacing w:line="360" w:lineRule="auto"/>
        <w:ind w:left="2880"/>
        <w:rPr>
          <w:rFonts w:ascii="宋体" w:hAnsi="宋体" w:cs="宋体"/>
          <w:b/>
          <w:bCs/>
          <w:color w:val="auto"/>
          <w:sz w:val="24"/>
          <w:szCs w:val="24"/>
          <w:highlight w:val="none"/>
        </w:rPr>
      </w:pPr>
      <w:r>
        <w:rPr>
          <w:rFonts w:hint="eastAsia" w:ascii="宋体" w:hAnsi="宋体" w:cs="宋体"/>
          <w:b/>
          <w:bCs/>
          <w:color w:val="auto"/>
          <w:sz w:val="24"/>
          <w:szCs w:val="24"/>
          <w:highlight w:val="none"/>
        </w:rPr>
        <w:t>法定代表人（单位负责人）：</w:t>
      </w:r>
      <w:r>
        <w:rPr>
          <w:rFonts w:hint="eastAsia" w:ascii="宋体" w:hAnsi="宋体" w:cs="宋体"/>
          <w:b/>
          <w:bCs/>
          <w:color w:val="auto"/>
          <w:sz w:val="24"/>
          <w:szCs w:val="24"/>
          <w:highlight w:val="none"/>
          <w:u w:val="single"/>
        </w:rPr>
        <w:tab/>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（电子签名或电子签章）</w:t>
      </w:r>
    </w:p>
    <w:p w14:paraId="3F8F8C81">
      <w:pPr>
        <w:spacing w:line="360" w:lineRule="auto"/>
        <w:ind w:left="2880"/>
        <w:rPr>
          <w:rFonts w:ascii="宋体" w:hAnsi="宋体" w:cs="宋体"/>
          <w:b/>
          <w:bCs/>
          <w:color w:val="auto"/>
          <w:sz w:val="24"/>
          <w:szCs w:val="24"/>
          <w:highlight w:val="none"/>
          <w:u w:val="single"/>
        </w:rPr>
      </w:pPr>
      <w:r>
        <w:rPr>
          <w:rFonts w:hint="eastAsia" w:ascii="宋体" w:hAnsi="宋体" w:cs="宋体"/>
          <w:b/>
          <w:bCs/>
          <w:color w:val="auto"/>
          <w:sz w:val="24"/>
          <w:szCs w:val="24"/>
          <w:highlight w:val="none"/>
        </w:rPr>
        <w:t>地</w:t>
      </w:r>
      <w:r>
        <w:rPr>
          <w:rFonts w:hint="eastAsia" w:ascii="宋体" w:hAnsi="宋体" w:cs="宋体"/>
          <w:b/>
          <w:bCs/>
          <w:color w:val="auto"/>
          <w:sz w:val="24"/>
          <w:szCs w:val="24"/>
          <w:highlight w:val="none"/>
        </w:rPr>
        <w:tab/>
      </w:r>
      <w:r>
        <w:rPr>
          <w:rFonts w:hint="eastAsia" w:ascii="宋体" w:hAnsi="宋体" w:cs="宋体"/>
          <w:b/>
          <w:bCs/>
          <w:color w:val="auto"/>
          <w:sz w:val="24"/>
          <w:szCs w:val="24"/>
          <w:highlight w:val="none"/>
        </w:rPr>
        <w:t>址：</w:t>
      </w:r>
      <w:r>
        <w:rPr>
          <w:rFonts w:hint="eastAsia" w:ascii="宋体" w:hAnsi="宋体" w:cs="宋体"/>
          <w:b/>
          <w:bCs/>
          <w:color w:val="auto"/>
          <w:sz w:val="24"/>
          <w:szCs w:val="24"/>
          <w:highlight w:val="none"/>
          <w:u w:val="single"/>
        </w:rPr>
        <w:t xml:space="preserve">                                           </w:t>
      </w:r>
    </w:p>
    <w:p w14:paraId="7D5DFF5C">
      <w:pPr>
        <w:spacing w:line="360" w:lineRule="auto"/>
        <w:ind w:left="2880"/>
        <w:rPr>
          <w:rFonts w:ascii="宋体" w:hAnsi="宋体" w:cs="宋体"/>
          <w:b/>
          <w:bCs/>
          <w:color w:val="auto"/>
          <w:sz w:val="24"/>
          <w:szCs w:val="24"/>
          <w:highlight w:val="none"/>
        </w:rPr>
      </w:pPr>
      <w:r>
        <w:rPr>
          <w:rFonts w:hint="eastAsia" w:ascii="宋体" w:hAnsi="宋体" w:cs="宋体"/>
          <w:b/>
          <w:bCs/>
          <w:color w:val="auto"/>
          <w:sz w:val="24"/>
          <w:szCs w:val="24"/>
          <w:highlight w:val="none"/>
        </w:rPr>
        <w:t>网</w:t>
      </w:r>
      <w:r>
        <w:rPr>
          <w:rFonts w:hint="eastAsia" w:ascii="宋体" w:hAnsi="宋体" w:cs="宋体"/>
          <w:b/>
          <w:bCs/>
          <w:color w:val="auto"/>
          <w:sz w:val="24"/>
          <w:szCs w:val="24"/>
          <w:highlight w:val="none"/>
        </w:rPr>
        <w:tab/>
      </w:r>
      <w:r>
        <w:rPr>
          <w:rFonts w:hint="eastAsia" w:ascii="宋体" w:hAnsi="宋体" w:cs="宋体"/>
          <w:b/>
          <w:bCs/>
          <w:color w:val="auto"/>
          <w:sz w:val="24"/>
          <w:szCs w:val="24"/>
          <w:highlight w:val="none"/>
        </w:rPr>
        <w:t>址：</w:t>
      </w:r>
      <w:r>
        <w:rPr>
          <w:rFonts w:hint="eastAsia" w:ascii="宋体" w:hAnsi="宋体" w:cs="宋体"/>
          <w:b/>
          <w:bCs/>
          <w:color w:val="auto"/>
          <w:sz w:val="24"/>
          <w:szCs w:val="24"/>
          <w:highlight w:val="none"/>
          <w:u w:val="single"/>
        </w:rPr>
        <w:t xml:space="preserve">                                           </w:t>
      </w:r>
    </w:p>
    <w:p w14:paraId="273E8B0E">
      <w:pPr>
        <w:spacing w:line="360" w:lineRule="auto"/>
        <w:ind w:left="2880"/>
        <w:rPr>
          <w:rFonts w:ascii="宋体" w:hAnsi="宋体" w:cs="宋体"/>
          <w:b/>
          <w:bCs/>
          <w:color w:val="auto"/>
          <w:sz w:val="24"/>
          <w:szCs w:val="24"/>
          <w:highlight w:val="none"/>
        </w:rPr>
      </w:pPr>
      <w:r>
        <w:rPr>
          <w:rFonts w:hint="eastAsia" w:ascii="宋体" w:hAnsi="宋体" w:cs="宋体"/>
          <w:b/>
          <w:bCs/>
          <w:color w:val="auto"/>
          <w:sz w:val="24"/>
          <w:szCs w:val="24"/>
          <w:highlight w:val="none"/>
        </w:rPr>
        <w:t>电</w:t>
      </w:r>
      <w:r>
        <w:rPr>
          <w:rFonts w:hint="eastAsia" w:ascii="宋体" w:hAnsi="宋体" w:cs="宋体"/>
          <w:b/>
          <w:bCs/>
          <w:color w:val="auto"/>
          <w:sz w:val="24"/>
          <w:szCs w:val="24"/>
          <w:highlight w:val="none"/>
        </w:rPr>
        <w:tab/>
      </w:r>
      <w:r>
        <w:rPr>
          <w:rFonts w:hint="eastAsia" w:ascii="宋体" w:hAnsi="宋体" w:cs="宋体"/>
          <w:b/>
          <w:bCs/>
          <w:color w:val="auto"/>
          <w:sz w:val="24"/>
          <w:szCs w:val="24"/>
          <w:highlight w:val="none"/>
        </w:rPr>
        <w:t>话：</w:t>
      </w:r>
      <w:r>
        <w:rPr>
          <w:rFonts w:hint="eastAsia" w:ascii="宋体" w:hAnsi="宋体" w:cs="宋体"/>
          <w:b/>
          <w:bCs/>
          <w:color w:val="auto"/>
          <w:sz w:val="24"/>
          <w:szCs w:val="24"/>
          <w:highlight w:val="none"/>
          <w:u w:val="single"/>
        </w:rPr>
        <w:t xml:space="preserve">                                           </w:t>
      </w:r>
    </w:p>
    <w:p w14:paraId="160DE7FD">
      <w:pPr>
        <w:spacing w:line="360" w:lineRule="auto"/>
        <w:ind w:left="2880"/>
        <w:rPr>
          <w:rFonts w:ascii="宋体" w:hAnsi="宋体" w:cs="宋体"/>
          <w:b/>
          <w:bCs/>
          <w:color w:val="auto"/>
          <w:sz w:val="24"/>
          <w:szCs w:val="24"/>
          <w:highlight w:val="none"/>
        </w:rPr>
      </w:pPr>
      <w:r>
        <w:rPr>
          <w:rFonts w:hint="eastAsia" w:ascii="宋体" w:hAnsi="宋体" w:cs="宋体"/>
          <w:b/>
          <w:bCs/>
          <w:color w:val="auto"/>
          <w:sz w:val="24"/>
          <w:szCs w:val="24"/>
          <w:highlight w:val="none"/>
        </w:rPr>
        <w:t>传</w:t>
      </w:r>
      <w:r>
        <w:rPr>
          <w:rFonts w:hint="eastAsia" w:ascii="宋体" w:hAnsi="宋体" w:cs="宋体"/>
          <w:b/>
          <w:bCs/>
          <w:color w:val="auto"/>
          <w:sz w:val="24"/>
          <w:szCs w:val="24"/>
          <w:highlight w:val="none"/>
        </w:rPr>
        <w:tab/>
      </w:r>
      <w:r>
        <w:rPr>
          <w:rFonts w:hint="eastAsia" w:ascii="宋体" w:hAnsi="宋体" w:cs="宋体"/>
          <w:b/>
          <w:bCs/>
          <w:color w:val="auto"/>
          <w:sz w:val="24"/>
          <w:szCs w:val="24"/>
          <w:highlight w:val="none"/>
        </w:rPr>
        <w:t>真：</w:t>
      </w:r>
      <w:r>
        <w:rPr>
          <w:rFonts w:hint="eastAsia" w:ascii="宋体" w:hAnsi="宋体" w:cs="宋体"/>
          <w:b/>
          <w:bCs/>
          <w:color w:val="auto"/>
          <w:sz w:val="24"/>
          <w:szCs w:val="24"/>
          <w:highlight w:val="none"/>
          <w:u w:val="single"/>
        </w:rPr>
        <w:t xml:space="preserve">                                           </w:t>
      </w:r>
    </w:p>
    <w:p w14:paraId="4C46F52D">
      <w:pPr>
        <w:spacing w:line="360" w:lineRule="auto"/>
        <w:ind w:left="2880"/>
        <w:rPr>
          <w:rFonts w:ascii="宋体" w:hAnsi="宋体" w:cs="宋体"/>
          <w:b/>
          <w:bCs/>
          <w:color w:val="auto"/>
          <w:sz w:val="24"/>
          <w:szCs w:val="24"/>
          <w:highlight w:val="none"/>
        </w:rPr>
      </w:pPr>
      <w:r>
        <w:rPr>
          <w:rFonts w:hint="eastAsia" w:ascii="宋体" w:hAnsi="宋体" w:cs="宋体"/>
          <w:b/>
          <w:bCs/>
          <w:color w:val="auto"/>
          <w:sz w:val="24"/>
          <w:szCs w:val="24"/>
          <w:highlight w:val="none"/>
        </w:rPr>
        <w:t>邮政编码：</w:t>
      </w:r>
      <w:r>
        <w:rPr>
          <w:rFonts w:hint="eastAsia" w:ascii="宋体" w:hAnsi="宋体" w:cs="宋体"/>
          <w:b/>
          <w:bCs/>
          <w:color w:val="auto"/>
          <w:sz w:val="24"/>
          <w:szCs w:val="24"/>
          <w:highlight w:val="none"/>
          <w:u w:val="single"/>
        </w:rPr>
        <w:t xml:space="preserve">                                         </w:t>
      </w:r>
    </w:p>
    <w:p w14:paraId="3D201703">
      <w:pPr>
        <w:spacing w:line="360" w:lineRule="auto"/>
        <w:ind w:left="2880"/>
        <w:rPr>
          <w:rFonts w:ascii="宋体" w:hAnsi="宋体" w:cs="宋体"/>
          <w:b/>
          <w:bCs/>
          <w:color w:val="auto"/>
          <w:sz w:val="24"/>
          <w:szCs w:val="24"/>
          <w:highlight w:val="none"/>
        </w:rPr>
      </w:pPr>
      <w:r>
        <w:rPr>
          <w:rFonts w:hint="eastAsia" w:ascii="宋体" w:hAnsi="宋体" w:cs="宋体"/>
          <w:b/>
          <w:bCs/>
          <w:color w:val="auto"/>
          <w:sz w:val="24"/>
          <w:szCs w:val="24"/>
          <w:highlight w:val="none"/>
        </w:rPr>
        <w:t>日  期：</w:t>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年</w:t>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月</w:t>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日</w:t>
      </w:r>
    </w:p>
    <w:p w14:paraId="6DE1E23A">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 </w:t>
      </w:r>
    </w:p>
    <w:p w14:paraId="567AFBFC">
      <w:pPr>
        <w:spacing w:line="240" w:lineRule="exact"/>
        <w:rPr>
          <w:rFonts w:ascii="宋体" w:hAnsi="宋体" w:cs="宋体"/>
          <w:b/>
          <w:bCs/>
          <w:color w:val="auto"/>
          <w:sz w:val="44"/>
          <w:szCs w:val="44"/>
          <w:highlight w:val="none"/>
        </w:rPr>
      </w:pPr>
    </w:p>
    <w:p w14:paraId="6F76DD18">
      <w:pPr>
        <w:pStyle w:val="4"/>
        <w:widowControl/>
        <w:autoSpaceDE w:val="0"/>
        <w:spacing w:before="0" w:after="0" w:line="360" w:lineRule="auto"/>
        <w:ind w:firstLine="420"/>
        <w:rPr>
          <w:rFonts w:ascii="宋体" w:hAnsi="宋体" w:cs="宋体"/>
          <w:color w:val="auto"/>
          <w:highlight w:val="none"/>
        </w:rPr>
      </w:pPr>
      <w:bookmarkStart w:id="263" w:name="_Toc17119"/>
      <w:bookmarkEnd w:id="263"/>
      <w:bookmarkStart w:id="264" w:name="_Toc26294"/>
      <w:bookmarkStart w:id="265" w:name="_Toc83625189"/>
      <w:bookmarkStart w:id="266" w:name="_Toc13197"/>
      <w:r>
        <w:rPr>
          <w:rFonts w:hint="eastAsia" w:ascii="宋体" w:hAnsi="宋体" w:cs="宋体"/>
          <w:color w:val="auto"/>
          <w:szCs w:val="28"/>
          <w:highlight w:val="none"/>
        </w:rPr>
        <w:br w:type="page"/>
      </w:r>
      <w:bookmarkEnd w:id="264"/>
      <w:bookmarkEnd w:id="265"/>
      <w:bookmarkStart w:id="267" w:name="_Toc11945"/>
      <w:bookmarkStart w:id="268" w:name="_Toc31485"/>
      <w:r>
        <w:rPr>
          <w:rFonts w:hint="eastAsia" w:ascii="宋体" w:hAnsi="宋体" w:cs="宋体"/>
          <w:color w:val="auto"/>
          <w:szCs w:val="28"/>
          <w:highlight w:val="none"/>
        </w:rPr>
        <w:t>▲三、投标报价汇总表</w:t>
      </w:r>
      <w:bookmarkEnd w:id="267"/>
      <w:bookmarkEnd w:id="268"/>
    </w:p>
    <w:p w14:paraId="679A3A54">
      <w:pPr>
        <w:spacing w:line="500" w:lineRule="exact"/>
        <w:rPr>
          <w:rFonts w:ascii="宋体" w:hAnsi="宋体"/>
          <w:b/>
          <w:color w:val="auto"/>
          <w:highlight w:val="none"/>
        </w:rPr>
      </w:pPr>
      <w:r>
        <w:rPr>
          <w:rFonts w:hint="eastAsia" w:ascii="宋体" w:hAnsi="宋体"/>
          <w:b/>
          <w:color w:val="auto"/>
          <w:highlight w:val="none"/>
        </w:rPr>
        <w:t xml:space="preserve">项目名称：                                项目编号：                      </w:t>
      </w:r>
    </w:p>
    <w:tbl>
      <w:tblPr>
        <w:tblStyle w:val="32"/>
        <w:tblW w:w="495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561"/>
        <w:gridCol w:w="1998"/>
        <w:gridCol w:w="865"/>
        <w:gridCol w:w="659"/>
        <w:gridCol w:w="886"/>
        <w:gridCol w:w="1016"/>
        <w:gridCol w:w="597"/>
        <w:gridCol w:w="682"/>
        <w:gridCol w:w="703"/>
        <w:gridCol w:w="1069"/>
        <w:gridCol w:w="678"/>
      </w:tblGrid>
      <w:tr w14:paraId="69583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113" w:hRule="atLeast"/>
        </w:trPr>
        <w:tc>
          <w:tcPr>
            <w:tcW w:w="289" w:type="pct"/>
            <w:tcBorders>
              <w:top w:val="single" w:color="auto" w:sz="4" w:space="0"/>
              <w:left w:val="single" w:color="auto" w:sz="4" w:space="0"/>
              <w:bottom w:val="single" w:color="auto" w:sz="4" w:space="0"/>
              <w:right w:val="single" w:color="auto" w:sz="4" w:space="0"/>
            </w:tcBorders>
            <w:vAlign w:val="center"/>
          </w:tcPr>
          <w:p w14:paraId="4D6FB379">
            <w:pPr>
              <w:spacing w:before="240" w:after="240"/>
              <w:jc w:val="center"/>
              <w:rPr>
                <w:rFonts w:ascii="宋体" w:hAnsi="宋体"/>
                <w:b/>
                <w:bCs/>
                <w:color w:val="auto"/>
                <w:highlight w:val="none"/>
              </w:rPr>
            </w:pPr>
            <w:bookmarkStart w:id="269" w:name="_Hlk102986765"/>
            <w:r>
              <w:rPr>
                <w:rFonts w:hint="eastAsia" w:ascii="宋体" w:hAnsi="宋体"/>
                <w:b/>
                <w:bCs/>
                <w:color w:val="auto"/>
                <w:highlight w:val="none"/>
              </w:rPr>
              <w:t>序号</w:t>
            </w:r>
          </w:p>
        </w:tc>
        <w:tc>
          <w:tcPr>
            <w:tcW w:w="1028" w:type="pct"/>
            <w:tcBorders>
              <w:top w:val="single" w:color="auto" w:sz="4" w:space="0"/>
              <w:left w:val="single" w:color="auto" w:sz="4" w:space="0"/>
              <w:bottom w:val="single" w:color="auto" w:sz="4" w:space="0"/>
              <w:right w:val="single" w:color="auto" w:sz="4" w:space="0"/>
            </w:tcBorders>
            <w:vAlign w:val="center"/>
          </w:tcPr>
          <w:p w14:paraId="6DAF3C6E">
            <w:pPr>
              <w:spacing w:before="240" w:after="240"/>
              <w:jc w:val="center"/>
              <w:rPr>
                <w:rFonts w:ascii="宋体" w:hAnsi="宋体"/>
                <w:b/>
                <w:bCs/>
                <w:color w:val="auto"/>
                <w:highlight w:val="none"/>
              </w:rPr>
            </w:pPr>
            <w:r>
              <w:rPr>
                <w:rFonts w:hint="eastAsia" w:ascii="宋体" w:hAnsi="宋体"/>
                <w:b/>
                <w:bCs/>
                <w:color w:val="auto"/>
                <w:highlight w:val="none"/>
              </w:rPr>
              <w:t>货物名称</w:t>
            </w:r>
          </w:p>
        </w:tc>
        <w:tc>
          <w:tcPr>
            <w:tcW w:w="445" w:type="pct"/>
            <w:tcBorders>
              <w:top w:val="single" w:color="auto" w:sz="4" w:space="0"/>
              <w:left w:val="single" w:color="auto" w:sz="4" w:space="0"/>
              <w:bottom w:val="single" w:color="auto" w:sz="4" w:space="0"/>
              <w:right w:val="single" w:color="auto" w:sz="4" w:space="0"/>
            </w:tcBorders>
            <w:vAlign w:val="center"/>
          </w:tcPr>
          <w:p w14:paraId="0177542D">
            <w:pPr>
              <w:spacing w:before="240" w:after="240"/>
              <w:jc w:val="center"/>
              <w:rPr>
                <w:rFonts w:ascii="宋体" w:hAnsi="宋体"/>
                <w:b/>
                <w:bCs/>
                <w:color w:val="auto"/>
                <w:highlight w:val="none"/>
              </w:rPr>
            </w:pPr>
            <w:r>
              <w:rPr>
                <w:rFonts w:hint="eastAsia" w:ascii="宋体" w:hAnsi="宋体"/>
                <w:b/>
                <w:bCs/>
                <w:color w:val="auto"/>
                <w:highlight w:val="none"/>
              </w:rPr>
              <w:t>品牌</w:t>
            </w:r>
          </w:p>
        </w:tc>
        <w:tc>
          <w:tcPr>
            <w:tcW w:w="339" w:type="pct"/>
            <w:tcBorders>
              <w:top w:val="single" w:color="auto" w:sz="4" w:space="0"/>
              <w:left w:val="single" w:color="auto" w:sz="4" w:space="0"/>
              <w:bottom w:val="single" w:color="auto" w:sz="4" w:space="0"/>
              <w:right w:val="single" w:color="auto" w:sz="4" w:space="0"/>
            </w:tcBorders>
            <w:vAlign w:val="center"/>
          </w:tcPr>
          <w:p w14:paraId="4317AAA3">
            <w:pPr>
              <w:spacing w:before="240" w:after="240"/>
              <w:jc w:val="center"/>
              <w:rPr>
                <w:rFonts w:ascii="宋体" w:hAnsi="宋体"/>
                <w:b/>
                <w:bCs/>
                <w:color w:val="auto"/>
                <w:highlight w:val="none"/>
              </w:rPr>
            </w:pPr>
            <w:r>
              <w:rPr>
                <w:rFonts w:hint="eastAsia" w:ascii="宋体" w:hAnsi="宋体"/>
                <w:b/>
                <w:bCs/>
                <w:color w:val="auto"/>
                <w:highlight w:val="none"/>
              </w:rPr>
              <w:t>型号和规格</w:t>
            </w:r>
          </w:p>
        </w:tc>
        <w:tc>
          <w:tcPr>
            <w:tcW w:w="456" w:type="pct"/>
            <w:tcBorders>
              <w:top w:val="single" w:color="auto" w:sz="4" w:space="0"/>
              <w:left w:val="single" w:color="auto" w:sz="4" w:space="0"/>
              <w:bottom w:val="single" w:color="auto" w:sz="4" w:space="0"/>
              <w:right w:val="single" w:color="auto" w:sz="4" w:space="0"/>
            </w:tcBorders>
            <w:vAlign w:val="center"/>
          </w:tcPr>
          <w:p w14:paraId="7DE139B0">
            <w:pPr>
              <w:spacing w:before="240" w:after="240"/>
              <w:jc w:val="center"/>
              <w:rPr>
                <w:rFonts w:ascii="宋体" w:hAnsi="宋体"/>
                <w:b/>
                <w:bCs/>
                <w:color w:val="auto"/>
                <w:highlight w:val="none"/>
              </w:rPr>
            </w:pPr>
            <w:r>
              <w:rPr>
                <w:rFonts w:hint="eastAsia" w:ascii="宋体" w:hAnsi="宋体"/>
                <w:b/>
                <w:bCs/>
                <w:color w:val="auto"/>
                <w:highlight w:val="none"/>
              </w:rPr>
              <w:t>制造商名称、国别</w:t>
            </w:r>
          </w:p>
        </w:tc>
        <w:tc>
          <w:tcPr>
            <w:tcW w:w="523" w:type="pct"/>
            <w:tcBorders>
              <w:top w:val="single" w:color="auto" w:sz="4" w:space="0"/>
              <w:left w:val="single" w:color="auto" w:sz="4" w:space="0"/>
              <w:bottom w:val="single" w:color="auto" w:sz="4" w:space="0"/>
              <w:right w:val="single" w:color="auto" w:sz="4" w:space="0"/>
            </w:tcBorders>
            <w:vAlign w:val="center"/>
          </w:tcPr>
          <w:p w14:paraId="61961473">
            <w:pPr>
              <w:spacing w:before="240" w:after="240"/>
              <w:jc w:val="center"/>
              <w:rPr>
                <w:rFonts w:ascii="宋体" w:hAnsi="宋体"/>
                <w:b/>
                <w:bCs/>
                <w:color w:val="auto"/>
                <w:highlight w:val="none"/>
              </w:rPr>
            </w:pPr>
            <w:r>
              <w:rPr>
                <w:rFonts w:hint="eastAsia" w:ascii="宋体" w:hAnsi="宋体"/>
                <w:b/>
                <w:bCs/>
                <w:color w:val="auto"/>
                <w:highlight w:val="none"/>
              </w:rPr>
              <w:t>产品原产地</w:t>
            </w:r>
          </w:p>
        </w:tc>
        <w:tc>
          <w:tcPr>
            <w:tcW w:w="307" w:type="pct"/>
            <w:tcBorders>
              <w:top w:val="single" w:color="auto" w:sz="4" w:space="0"/>
              <w:left w:val="single" w:color="auto" w:sz="4" w:space="0"/>
              <w:bottom w:val="single" w:color="auto" w:sz="4" w:space="0"/>
              <w:right w:val="single" w:color="auto" w:sz="4" w:space="0"/>
            </w:tcBorders>
            <w:vAlign w:val="center"/>
          </w:tcPr>
          <w:p w14:paraId="20C1D407">
            <w:pPr>
              <w:jc w:val="center"/>
              <w:rPr>
                <w:rFonts w:ascii="宋体" w:hAnsi="宋体"/>
                <w:b/>
                <w:bCs/>
                <w:color w:val="auto"/>
                <w:highlight w:val="none"/>
              </w:rPr>
            </w:pPr>
            <w:r>
              <w:rPr>
                <w:rFonts w:hint="eastAsia" w:ascii="宋体" w:hAnsi="宋体"/>
                <w:b/>
                <w:bCs/>
                <w:color w:val="auto"/>
                <w:highlight w:val="none"/>
              </w:rPr>
              <w:t>数量</w:t>
            </w:r>
          </w:p>
        </w:tc>
        <w:tc>
          <w:tcPr>
            <w:tcW w:w="351" w:type="pct"/>
            <w:tcBorders>
              <w:top w:val="single" w:color="auto" w:sz="4" w:space="0"/>
              <w:left w:val="single" w:color="auto" w:sz="4" w:space="0"/>
              <w:right w:val="single" w:color="auto" w:sz="4" w:space="0"/>
            </w:tcBorders>
          </w:tcPr>
          <w:p w14:paraId="1CAF5314">
            <w:pPr>
              <w:spacing w:before="240" w:after="240"/>
              <w:jc w:val="center"/>
              <w:rPr>
                <w:rFonts w:ascii="宋体" w:hAnsi="宋体"/>
                <w:b/>
                <w:bCs/>
                <w:color w:val="auto"/>
                <w:highlight w:val="none"/>
              </w:rPr>
            </w:pPr>
            <w:r>
              <w:rPr>
                <w:rFonts w:hint="eastAsia" w:ascii="宋体" w:hAnsi="宋体"/>
                <w:b/>
                <w:bCs/>
                <w:color w:val="auto"/>
                <w:highlight w:val="none"/>
              </w:rPr>
              <w:t>计量</w:t>
            </w:r>
          </w:p>
          <w:p w14:paraId="0DC598D8">
            <w:pPr>
              <w:spacing w:before="240" w:after="240"/>
              <w:jc w:val="center"/>
              <w:rPr>
                <w:rFonts w:ascii="宋体" w:hAnsi="宋体"/>
                <w:b/>
                <w:bCs/>
                <w:color w:val="auto"/>
                <w:highlight w:val="none"/>
              </w:rPr>
            </w:pPr>
            <w:r>
              <w:rPr>
                <w:rFonts w:hint="eastAsia" w:ascii="宋体" w:hAnsi="宋体"/>
                <w:b/>
                <w:bCs/>
                <w:color w:val="auto"/>
                <w:highlight w:val="none"/>
              </w:rPr>
              <w:t>单位</w:t>
            </w:r>
          </w:p>
        </w:tc>
        <w:tc>
          <w:tcPr>
            <w:tcW w:w="357" w:type="pct"/>
            <w:tcBorders>
              <w:top w:val="single" w:color="auto" w:sz="4" w:space="0"/>
              <w:left w:val="single" w:color="auto" w:sz="4" w:space="0"/>
              <w:right w:val="single" w:color="auto" w:sz="4" w:space="0"/>
            </w:tcBorders>
            <w:vAlign w:val="center"/>
          </w:tcPr>
          <w:p w14:paraId="3F2F2AEB">
            <w:pPr>
              <w:jc w:val="center"/>
              <w:rPr>
                <w:rFonts w:ascii="宋体" w:hAnsi="宋体"/>
                <w:b/>
                <w:bCs/>
                <w:color w:val="auto"/>
                <w:highlight w:val="none"/>
              </w:rPr>
            </w:pPr>
            <w:r>
              <w:rPr>
                <w:rFonts w:hint="eastAsia" w:ascii="宋体" w:hAnsi="宋体"/>
                <w:b/>
                <w:bCs/>
                <w:color w:val="auto"/>
                <w:highlight w:val="none"/>
              </w:rPr>
              <w:t>单价（元）</w:t>
            </w:r>
          </w:p>
        </w:tc>
        <w:tc>
          <w:tcPr>
            <w:tcW w:w="550" w:type="pct"/>
            <w:tcBorders>
              <w:top w:val="single" w:color="auto" w:sz="4" w:space="0"/>
              <w:left w:val="single" w:color="auto" w:sz="4" w:space="0"/>
              <w:bottom w:val="single" w:color="auto" w:sz="4" w:space="0"/>
              <w:right w:val="single" w:color="auto" w:sz="4" w:space="0"/>
            </w:tcBorders>
            <w:vAlign w:val="center"/>
          </w:tcPr>
          <w:p w14:paraId="6DF74CAD">
            <w:pPr>
              <w:jc w:val="center"/>
              <w:rPr>
                <w:rFonts w:ascii="宋体" w:hAnsi="宋体"/>
                <w:b/>
                <w:bCs/>
                <w:color w:val="auto"/>
                <w:highlight w:val="none"/>
              </w:rPr>
            </w:pPr>
            <w:r>
              <w:rPr>
                <w:rFonts w:hint="eastAsia" w:ascii="宋体" w:hAnsi="宋体"/>
                <w:b/>
                <w:bCs/>
                <w:color w:val="auto"/>
                <w:highlight w:val="none"/>
              </w:rPr>
              <w:t>小计（元）</w:t>
            </w:r>
          </w:p>
        </w:tc>
        <w:tc>
          <w:tcPr>
            <w:tcW w:w="349" w:type="pct"/>
            <w:tcBorders>
              <w:top w:val="single" w:color="auto" w:sz="4" w:space="0"/>
              <w:left w:val="single" w:color="auto" w:sz="4" w:space="0"/>
              <w:bottom w:val="single" w:color="auto" w:sz="4" w:space="0"/>
              <w:right w:val="single" w:color="auto" w:sz="4" w:space="0"/>
            </w:tcBorders>
            <w:vAlign w:val="center"/>
          </w:tcPr>
          <w:p w14:paraId="7E510B90">
            <w:pPr>
              <w:spacing w:before="240" w:after="240"/>
              <w:jc w:val="center"/>
              <w:rPr>
                <w:rFonts w:ascii="宋体" w:hAnsi="宋体"/>
                <w:b/>
                <w:bCs/>
                <w:color w:val="auto"/>
                <w:highlight w:val="none"/>
              </w:rPr>
            </w:pPr>
            <w:r>
              <w:rPr>
                <w:rFonts w:hint="eastAsia" w:ascii="宋体" w:hAnsi="宋体"/>
                <w:b/>
                <w:bCs/>
                <w:color w:val="auto"/>
                <w:highlight w:val="none"/>
              </w:rPr>
              <w:t>备注</w:t>
            </w:r>
          </w:p>
        </w:tc>
      </w:tr>
      <w:tr w14:paraId="607AE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42" w:hRule="atLeast"/>
        </w:trPr>
        <w:tc>
          <w:tcPr>
            <w:tcW w:w="289" w:type="pct"/>
            <w:tcBorders>
              <w:top w:val="single" w:color="auto" w:sz="4" w:space="0"/>
              <w:left w:val="single" w:color="auto" w:sz="4" w:space="0"/>
              <w:bottom w:val="single" w:color="auto" w:sz="4" w:space="0"/>
              <w:right w:val="single" w:color="auto" w:sz="4" w:space="0"/>
            </w:tcBorders>
            <w:vAlign w:val="center"/>
          </w:tcPr>
          <w:p w14:paraId="14B802AD">
            <w:pPr>
              <w:jc w:val="center"/>
              <w:rPr>
                <w:rFonts w:ascii="宋体" w:hAnsi="宋体"/>
                <w:color w:val="auto"/>
                <w:highlight w:val="none"/>
              </w:rPr>
            </w:pPr>
            <w:r>
              <w:rPr>
                <w:rFonts w:hint="eastAsia" w:ascii="宋体" w:hAnsi="宋体"/>
                <w:color w:val="auto"/>
                <w:highlight w:val="none"/>
              </w:rPr>
              <w:t>1</w:t>
            </w:r>
          </w:p>
        </w:tc>
        <w:tc>
          <w:tcPr>
            <w:tcW w:w="1028" w:type="pct"/>
            <w:tcBorders>
              <w:top w:val="single" w:color="auto" w:sz="4" w:space="0"/>
              <w:left w:val="single" w:color="auto" w:sz="4" w:space="0"/>
              <w:bottom w:val="single" w:color="auto" w:sz="4" w:space="0"/>
              <w:right w:val="single" w:color="auto" w:sz="4" w:space="0"/>
            </w:tcBorders>
          </w:tcPr>
          <w:p w14:paraId="4D97288D">
            <w:pPr>
              <w:jc w:val="center"/>
              <w:rPr>
                <w:rFonts w:ascii="宋体" w:hAnsi="宋体" w:cs="宋体"/>
                <w:color w:val="auto"/>
                <w:highlight w:val="none"/>
              </w:rPr>
            </w:pPr>
          </w:p>
        </w:tc>
        <w:tc>
          <w:tcPr>
            <w:tcW w:w="445" w:type="pct"/>
            <w:tcBorders>
              <w:top w:val="single" w:color="auto" w:sz="4" w:space="0"/>
              <w:left w:val="single" w:color="auto" w:sz="4" w:space="0"/>
              <w:bottom w:val="single" w:color="auto" w:sz="4" w:space="0"/>
              <w:right w:val="single" w:color="auto" w:sz="4" w:space="0"/>
            </w:tcBorders>
          </w:tcPr>
          <w:p w14:paraId="2BB704FC">
            <w:pPr>
              <w:rPr>
                <w:rFonts w:ascii="宋体" w:hAnsi="宋体"/>
                <w:color w:val="auto"/>
                <w:highlight w:val="none"/>
              </w:rPr>
            </w:pPr>
          </w:p>
        </w:tc>
        <w:tc>
          <w:tcPr>
            <w:tcW w:w="339" w:type="pct"/>
            <w:tcBorders>
              <w:top w:val="single" w:color="auto" w:sz="4" w:space="0"/>
              <w:left w:val="single" w:color="auto" w:sz="4" w:space="0"/>
              <w:bottom w:val="single" w:color="auto" w:sz="4" w:space="0"/>
              <w:right w:val="single" w:color="auto" w:sz="4" w:space="0"/>
            </w:tcBorders>
          </w:tcPr>
          <w:p w14:paraId="6D780C2A">
            <w:pPr>
              <w:rPr>
                <w:rFonts w:ascii="宋体" w:hAnsi="宋体"/>
                <w:color w:val="auto"/>
                <w:highlight w:val="none"/>
              </w:rPr>
            </w:pPr>
          </w:p>
        </w:tc>
        <w:tc>
          <w:tcPr>
            <w:tcW w:w="456" w:type="pct"/>
            <w:tcBorders>
              <w:top w:val="single" w:color="auto" w:sz="4" w:space="0"/>
              <w:left w:val="single" w:color="auto" w:sz="4" w:space="0"/>
              <w:bottom w:val="single" w:color="auto" w:sz="4" w:space="0"/>
              <w:right w:val="single" w:color="auto" w:sz="4" w:space="0"/>
            </w:tcBorders>
          </w:tcPr>
          <w:p w14:paraId="39B5FACC">
            <w:pPr>
              <w:rPr>
                <w:rFonts w:ascii="宋体" w:hAnsi="宋体"/>
                <w:color w:val="auto"/>
                <w:highlight w:val="none"/>
              </w:rPr>
            </w:pPr>
          </w:p>
        </w:tc>
        <w:tc>
          <w:tcPr>
            <w:tcW w:w="523" w:type="pct"/>
            <w:tcBorders>
              <w:top w:val="single" w:color="auto" w:sz="4" w:space="0"/>
              <w:left w:val="single" w:color="auto" w:sz="4" w:space="0"/>
              <w:bottom w:val="single" w:color="auto" w:sz="4" w:space="0"/>
              <w:right w:val="single" w:color="auto" w:sz="4" w:space="0"/>
            </w:tcBorders>
          </w:tcPr>
          <w:p w14:paraId="77B94FEB">
            <w:pPr>
              <w:rPr>
                <w:rFonts w:ascii="宋体" w:hAnsi="宋体"/>
                <w:color w:val="auto"/>
                <w:highlight w:val="none"/>
              </w:rPr>
            </w:pPr>
          </w:p>
        </w:tc>
        <w:tc>
          <w:tcPr>
            <w:tcW w:w="307" w:type="pct"/>
            <w:tcBorders>
              <w:top w:val="single" w:color="auto" w:sz="4" w:space="0"/>
              <w:left w:val="single" w:color="auto" w:sz="4" w:space="0"/>
              <w:bottom w:val="single" w:color="auto" w:sz="4" w:space="0"/>
              <w:right w:val="single" w:color="auto" w:sz="4" w:space="0"/>
            </w:tcBorders>
            <w:vAlign w:val="center"/>
          </w:tcPr>
          <w:p w14:paraId="5B211BFF">
            <w:pPr>
              <w:jc w:val="center"/>
              <w:rPr>
                <w:rFonts w:ascii="宋体" w:hAnsi="宋体"/>
                <w:color w:val="auto"/>
                <w:highlight w:val="none"/>
              </w:rPr>
            </w:pPr>
          </w:p>
        </w:tc>
        <w:tc>
          <w:tcPr>
            <w:tcW w:w="351" w:type="pct"/>
            <w:tcBorders>
              <w:top w:val="single" w:color="auto" w:sz="4" w:space="0"/>
              <w:left w:val="single" w:color="auto" w:sz="4" w:space="0"/>
              <w:bottom w:val="single" w:color="auto" w:sz="4" w:space="0"/>
              <w:right w:val="single" w:color="auto" w:sz="4" w:space="0"/>
            </w:tcBorders>
          </w:tcPr>
          <w:p w14:paraId="4F2A6F7F">
            <w:pPr>
              <w:rPr>
                <w:rFonts w:ascii="宋体" w:hAnsi="宋体"/>
                <w:color w:val="auto"/>
                <w:highlight w:val="none"/>
              </w:rPr>
            </w:pPr>
          </w:p>
        </w:tc>
        <w:tc>
          <w:tcPr>
            <w:tcW w:w="357" w:type="pct"/>
            <w:tcBorders>
              <w:top w:val="single" w:color="auto" w:sz="4" w:space="0"/>
              <w:left w:val="single" w:color="auto" w:sz="4" w:space="0"/>
              <w:bottom w:val="single" w:color="auto" w:sz="4" w:space="0"/>
              <w:right w:val="single" w:color="auto" w:sz="4" w:space="0"/>
            </w:tcBorders>
          </w:tcPr>
          <w:p w14:paraId="31B4BD18">
            <w:pPr>
              <w:rPr>
                <w:rFonts w:ascii="宋体" w:hAnsi="宋体"/>
                <w:color w:val="auto"/>
                <w:highlight w:val="none"/>
              </w:rPr>
            </w:pPr>
          </w:p>
        </w:tc>
        <w:tc>
          <w:tcPr>
            <w:tcW w:w="550" w:type="pct"/>
            <w:tcBorders>
              <w:top w:val="single" w:color="auto" w:sz="4" w:space="0"/>
              <w:left w:val="single" w:color="auto" w:sz="4" w:space="0"/>
              <w:bottom w:val="single" w:color="auto" w:sz="4" w:space="0"/>
              <w:right w:val="single" w:color="auto" w:sz="4" w:space="0"/>
            </w:tcBorders>
          </w:tcPr>
          <w:p w14:paraId="407CCAD7">
            <w:pPr>
              <w:rPr>
                <w:rFonts w:ascii="宋体" w:hAnsi="宋体"/>
                <w:color w:val="auto"/>
                <w:highlight w:val="none"/>
              </w:rPr>
            </w:pPr>
          </w:p>
        </w:tc>
        <w:tc>
          <w:tcPr>
            <w:tcW w:w="349" w:type="pct"/>
            <w:tcBorders>
              <w:top w:val="single" w:color="auto" w:sz="4" w:space="0"/>
              <w:left w:val="single" w:color="auto" w:sz="4" w:space="0"/>
              <w:bottom w:val="single" w:color="auto" w:sz="4" w:space="0"/>
              <w:right w:val="single" w:color="auto" w:sz="4" w:space="0"/>
            </w:tcBorders>
          </w:tcPr>
          <w:p w14:paraId="356C28CB">
            <w:pPr>
              <w:rPr>
                <w:rFonts w:ascii="宋体" w:hAnsi="宋体"/>
                <w:color w:val="auto"/>
                <w:highlight w:val="none"/>
              </w:rPr>
            </w:pPr>
          </w:p>
        </w:tc>
      </w:tr>
      <w:tr w14:paraId="3A93F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42" w:hRule="atLeast"/>
        </w:trPr>
        <w:tc>
          <w:tcPr>
            <w:tcW w:w="289" w:type="pct"/>
            <w:tcBorders>
              <w:top w:val="single" w:color="auto" w:sz="4" w:space="0"/>
              <w:left w:val="single" w:color="auto" w:sz="4" w:space="0"/>
              <w:bottom w:val="single" w:color="auto" w:sz="4" w:space="0"/>
              <w:right w:val="single" w:color="auto" w:sz="4" w:space="0"/>
            </w:tcBorders>
            <w:vAlign w:val="center"/>
          </w:tcPr>
          <w:p w14:paraId="14E19EC3">
            <w:pPr>
              <w:jc w:val="center"/>
              <w:rPr>
                <w:rFonts w:ascii="宋体" w:hAnsi="宋体"/>
                <w:color w:val="auto"/>
                <w:highlight w:val="none"/>
              </w:rPr>
            </w:pPr>
          </w:p>
        </w:tc>
        <w:tc>
          <w:tcPr>
            <w:tcW w:w="1028" w:type="pct"/>
            <w:tcBorders>
              <w:top w:val="single" w:color="auto" w:sz="4" w:space="0"/>
              <w:left w:val="single" w:color="auto" w:sz="4" w:space="0"/>
              <w:bottom w:val="single" w:color="auto" w:sz="4" w:space="0"/>
              <w:right w:val="single" w:color="auto" w:sz="4" w:space="0"/>
            </w:tcBorders>
          </w:tcPr>
          <w:p w14:paraId="756AC66D">
            <w:pPr>
              <w:jc w:val="center"/>
              <w:rPr>
                <w:rFonts w:ascii="宋体" w:hAnsi="宋体" w:cs="宋体"/>
                <w:color w:val="auto"/>
                <w:highlight w:val="none"/>
              </w:rPr>
            </w:pPr>
          </w:p>
        </w:tc>
        <w:tc>
          <w:tcPr>
            <w:tcW w:w="445" w:type="pct"/>
            <w:tcBorders>
              <w:top w:val="single" w:color="auto" w:sz="4" w:space="0"/>
              <w:left w:val="single" w:color="auto" w:sz="4" w:space="0"/>
              <w:bottom w:val="single" w:color="auto" w:sz="4" w:space="0"/>
              <w:right w:val="single" w:color="auto" w:sz="4" w:space="0"/>
            </w:tcBorders>
          </w:tcPr>
          <w:p w14:paraId="49D82872">
            <w:pPr>
              <w:rPr>
                <w:rFonts w:ascii="宋体" w:hAnsi="宋体"/>
                <w:color w:val="auto"/>
                <w:highlight w:val="none"/>
              </w:rPr>
            </w:pPr>
          </w:p>
        </w:tc>
        <w:tc>
          <w:tcPr>
            <w:tcW w:w="339" w:type="pct"/>
            <w:tcBorders>
              <w:top w:val="single" w:color="auto" w:sz="4" w:space="0"/>
              <w:left w:val="single" w:color="auto" w:sz="4" w:space="0"/>
              <w:bottom w:val="single" w:color="auto" w:sz="4" w:space="0"/>
              <w:right w:val="single" w:color="auto" w:sz="4" w:space="0"/>
            </w:tcBorders>
          </w:tcPr>
          <w:p w14:paraId="203FC4CA">
            <w:pPr>
              <w:rPr>
                <w:rFonts w:ascii="宋体" w:hAnsi="宋体"/>
                <w:color w:val="auto"/>
                <w:highlight w:val="none"/>
              </w:rPr>
            </w:pPr>
          </w:p>
        </w:tc>
        <w:tc>
          <w:tcPr>
            <w:tcW w:w="456" w:type="pct"/>
            <w:tcBorders>
              <w:top w:val="single" w:color="auto" w:sz="4" w:space="0"/>
              <w:left w:val="single" w:color="auto" w:sz="4" w:space="0"/>
              <w:bottom w:val="single" w:color="auto" w:sz="4" w:space="0"/>
              <w:right w:val="single" w:color="auto" w:sz="4" w:space="0"/>
            </w:tcBorders>
          </w:tcPr>
          <w:p w14:paraId="027CD30C">
            <w:pPr>
              <w:rPr>
                <w:rFonts w:ascii="宋体" w:hAnsi="宋体"/>
                <w:color w:val="auto"/>
                <w:highlight w:val="none"/>
              </w:rPr>
            </w:pPr>
          </w:p>
        </w:tc>
        <w:tc>
          <w:tcPr>
            <w:tcW w:w="523" w:type="pct"/>
            <w:tcBorders>
              <w:top w:val="single" w:color="auto" w:sz="4" w:space="0"/>
              <w:left w:val="single" w:color="auto" w:sz="4" w:space="0"/>
              <w:bottom w:val="single" w:color="auto" w:sz="4" w:space="0"/>
              <w:right w:val="single" w:color="auto" w:sz="4" w:space="0"/>
            </w:tcBorders>
          </w:tcPr>
          <w:p w14:paraId="6E4C7D5A">
            <w:pPr>
              <w:rPr>
                <w:rFonts w:ascii="宋体" w:hAnsi="宋体"/>
                <w:color w:val="auto"/>
                <w:highlight w:val="none"/>
              </w:rPr>
            </w:pPr>
          </w:p>
        </w:tc>
        <w:tc>
          <w:tcPr>
            <w:tcW w:w="307" w:type="pct"/>
            <w:tcBorders>
              <w:top w:val="single" w:color="auto" w:sz="4" w:space="0"/>
              <w:left w:val="single" w:color="auto" w:sz="4" w:space="0"/>
              <w:bottom w:val="single" w:color="auto" w:sz="4" w:space="0"/>
              <w:right w:val="single" w:color="auto" w:sz="4" w:space="0"/>
            </w:tcBorders>
            <w:vAlign w:val="center"/>
          </w:tcPr>
          <w:p w14:paraId="636C87F6">
            <w:pPr>
              <w:jc w:val="center"/>
              <w:rPr>
                <w:rFonts w:ascii="宋体" w:hAnsi="宋体"/>
                <w:color w:val="auto"/>
                <w:highlight w:val="none"/>
              </w:rPr>
            </w:pPr>
          </w:p>
        </w:tc>
        <w:tc>
          <w:tcPr>
            <w:tcW w:w="351" w:type="pct"/>
            <w:tcBorders>
              <w:top w:val="single" w:color="auto" w:sz="4" w:space="0"/>
              <w:left w:val="single" w:color="auto" w:sz="4" w:space="0"/>
              <w:bottom w:val="single" w:color="auto" w:sz="4" w:space="0"/>
              <w:right w:val="single" w:color="auto" w:sz="4" w:space="0"/>
            </w:tcBorders>
          </w:tcPr>
          <w:p w14:paraId="43397416">
            <w:pPr>
              <w:rPr>
                <w:rFonts w:ascii="宋体" w:hAnsi="宋体"/>
                <w:color w:val="auto"/>
                <w:highlight w:val="none"/>
              </w:rPr>
            </w:pPr>
          </w:p>
        </w:tc>
        <w:tc>
          <w:tcPr>
            <w:tcW w:w="357" w:type="pct"/>
            <w:tcBorders>
              <w:top w:val="single" w:color="auto" w:sz="4" w:space="0"/>
              <w:left w:val="single" w:color="auto" w:sz="4" w:space="0"/>
              <w:bottom w:val="single" w:color="auto" w:sz="4" w:space="0"/>
              <w:right w:val="single" w:color="auto" w:sz="4" w:space="0"/>
            </w:tcBorders>
          </w:tcPr>
          <w:p w14:paraId="75601352">
            <w:pPr>
              <w:rPr>
                <w:rFonts w:ascii="宋体" w:hAnsi="宋体"/>
                <w:color w:val="auto"/>
                <w:highlight w:val="none"/>
              </w:rPr>
            </w:pPr>
          </w:p>
        </w:tc>
        <w:tc>
          <w:tcPr>
            <w:tcW w:w="550" w:type="pct"/>
            <w:tcBorders>
              <w:top w:val="single" w:color="auto" w:sz="4" w:space="0"/>
              <w:left w:val="single" w:color="auto" w:sz="4" w:space="0"/>
              <w:bottom w:val="single" w:color="auto" w:sz="4" w:space="0"/>
              <w:right w:val="single" w:color="auto" w:sz="4" w:space="0"/>
            </w:tcBorders>
          </w:tcPr>
          <w:p w14:paraId="3847DF82">
            <w:pPr>
              <w:rPr>
                <w:rFonts w:ascii="宋体" w:hAnsi="宋体"/>
                <w:color w:val="auto"/>
                <w:highlight w:val="none"/>
              </w:rPr>
            </w:pPr>
          </w:p>
        </w:tc>
        <w:tc>
          <w:tcPr>
            <w:tcW w:w="349" w:type="pct"/>
            <w:tcBorders>
              <w:top w:val="single" w:color="auto" w:sz="4" w:space="0"/>
              <w:left w:val="single" w:color="auto" w:sz="4" w:space="0"/>
              <w:bottom w:val="single" w:color="auto" w:sz="4" w:space="0"/>
              <w:right w:val="single" w:color="auto" w:sz="4" w:space="0"/>
            </w:tcBorders>
          </w:tcPr>
          <w:p w14:paraId="7F3E7D56">
            <w:pPr>
              <w:rPr>
                <w:rFonts w:ascii="宋体" w:hAnsi="宋体"/>
                <w:color w:val="auto"/>
                <w:highlight w:val="none"/>
              </w:rPr>
            </w:pPr>
          </w:p>
        </w:tc>
      </w:tr>
      <w:tr w14:paraId="1FD10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42" w:hRule="atLeast"/>
        </w:trPr>
        <w:tc>
          <w:tcPr>
            <w:tcW w:w="289" w:type="pct"/>
            <w:tcBorders>
              <w:top w:val="single" w:color="auto" w:sz="4" w:space="0"/>
              <w:left w:val="single" w:color="auto" w:sz="4" w:space="0"/>
              <w:bottom w:val="single" w:color="auto" w:sz="4" w:space="0"/>
              <w:right w:val="single" w:color="auto" w:sz="4" w:space="0"/>
            </w:tcBorders>
            <w:vAlign w:val="center"/>
          </w:tcPr>
          <w:p w14:paraId="2DA2E075">
            <w:pPr>
              <w:jc w:val="center"/>
              <w:rPr>
                <w:rFonts w:ascii="宋体" w:hAnsi="宋体"/>
                <w:color w:val="auto"/>
                <w:highlight w:val="none"/>
              </w:rPr>
            </w:pPr>
          </w:p>
        </w:tc>
        <w:tc>
          <w:tcPr>
            <w:tcW w:w="1028" w:type="pct"/>
            <w:tcBorders>
              <w:top w:val="single" w:color="auto" w:sz="4" w:space="0"/>
              <w:left w:val="single" w:color="auto" w:sz="4" w:space="0"/>
              <w:bottom w:val="single" w:color="auto" w:sz="4" w:space="0"/>
              <w:right w:val="single" w:color="auto" w:sz="4" w:space="0"/>
            </w:tcBorders>
          </w:tcPr>
          <w:p w14:paraId="4B588136">
            <w:pPr>
              <w:jc w:val="center"/>
              <w:rPr>
                <w:rFonts w:ascii="宋体" w:hAnsi="宋体" w:cs="宋体"/>
                <w:color w:val="auto"/>
                <w:highlight w:val="none"/>
              </w:rPr>
            </w:pPr>
          </w:p>
        </w:tc>
        <w:tc>
          <w:tcPr>
            <w:tcW w:w="445" w:type="pct"/>
            <w:tcBorders>
              <w:top w:val="single" w:color="auto" w:sz="4" w:space="0"/>
              <w:left w:val="single" w:color="auto" w:sz="4" w:space="0"/>
              <w:bottom w:val="single" w:color="auto" w:sz="4" w:space="0"/>
              <w:right w:val="single" w:color="auto" w:sz="4" w:space="0"/>
            </w:tcBorders>
          </w:tcPr>
          <w:p w14:paraId="2DBE945D">
            <w:pPr>
              <w:rPr>
                <w:rFonts w:ascii="宋体" w:hAnsi="宋体"/>
                <w:color w:val="auto"/>
                <w:highlight w:val="none"/>
              </w:rPr>
            </w:pPr>
          </w:p>
        </w:tc>
        <w:tc>
          <w:tcPr>
            <w:tcW w:w="339" w:type="pct"/>
            <w:tcBorders>
              <w:top w:val="single" w:color="auto" w:sz="4" w:space="0"/>
              <w:left w:val="single" w:color="auto" w:sz="4" w:space="0"/>
              <w:bottom w:val="single" w:color="auto" w:sz="4" w:space="0"/>
              <w:right w:val="single" w:color="auto" w:sz="4" w:space="0"/>
            </w:tcBorders>
          </w:tcPr>
          <w:p w14:paraId="00BE7370">
            <w:pPr>
              <w:rPr>
                <w:rFonts w:ascii="宋体" w:hAnsi="宋体"/>
                <w:color w:val="auto"/>
                <w:highlight w:val="none"/>
              </w:rPr>
            </w:pPr>
          </w:p>
        </w:tc>
        <w:tc>
          <w:tcPr>
            <w:tcW w:w="456" w:type="pct"/>
            <w:tcBorders>
              <w:top w:val="single" w:color="auto" w:sz="4" w:space="0"/>
              <w:left w:val="single" w:color="auto" w:sz="4" w:space="0"/>
              <w:bottom w:val="single" w:color="auto" w:sz="4" w:space="0"/>
              <w:right w:val="single" w:color="auto" w:sz="4" w:space="0"/>
            </w:tcBorders>
          </w:tcPr>
          <w:p w14:paraId="2EA53ED7">
            <w:pPr>
              <w:rPr>
                <w:rFonts w:ascii="宋体" w:hAnsi="宋体"/>
                <w:color w:val="auto"/>
                <w:highlight w:val="none"/>
              </w:rPr>
            </w:pPr>
          </w:p>
        </w:tc>
        <w:tc>
          <w:tcPr>
            <w:tcW w:w="523" w:type="pct"/>
            <w:tcBorders>
              <w:top w:val="single" w:color="auto" w:sz="4" w:space="0"/>
              <w:left w:val="single" w:color="auto" w:sz="4" w:space="0"/>
              <w:bottom w:val="single" w:color="auto" w:sz="4" w:space="0"/>
              <w:right w:val="single" w:color="auto" w:sz="4" w:space="0"/>
            </w:tcBorders>
          </w:tcPr>
          <w:p w14:paraId="6F91D19B">
            <w:pPr>
              <w:rPr>
                <w:rFonts w:ascii="宋体" w:hAnsi="宋体"/>
                <w:color w:val="auto"/>
                <w:highlight w:val="none"/>
              </w:rPr>
            </w:pPr>
          </w:p>
        </w:tc>
        <w:tc>
          <w:tcPr>
            <w:tcW w:w="307" w:type="pct"/>
            <w:tcBorders>
              <w:top w:val="single" w:color="auto" w:sz="4" w:space="0"/>
              <w:left w:val="single" w:color="auto" w:sz="4" w:space="0"/>
              <w:bottom w:val="single" w:color="auto" w:sz="4" w:space="0"/>
              <w:right w:val="single" w:color="auto" w:sz="4" w:space="0"/>
            </w:tcBorders>
            <w:vAlign w:val="center"/>
          </w:tcPr>
          <w:p w14:paraId="320711BC">
            <w:pPr>
              <w:jc w:val="center"/>
              <w:rPr>
                <w:rFonts w:ascii="宋体" w:hAnsi="宋体"/>
                <w:color w:val="auto"/>
                <w:highlight w:val="none"/>
              </w:rPr>
            </w:pPr>
          </w:p>
        </w:tc>
        <w:tc>
          <w:tcPr>
            <w:tcW w:w="351" w:type="pct"/>
            <w:tcBorders>
              <w:top w:val="single" w:color="auto" w:sz="4" w:space="0"/>
              <w:left w:val="single" w:color="auto" w:sz="4" w:space="0"/>
              <w:bottom w:val="single" w:color="auto" w:sz="4" w:space="0"/>
              <w:right w:val="single" w:color="auto" w:sz="4" w:space="0"/>
            </w:tcBorders>
          </w:tcPr>
          <w:p w14:paraId="6ADD0828">
            <w:pPr>
              <w:rPr>
                <w:rFonts w:ascii="宋体" w:hAnsi="宋体"/>
                <w:color w:val="auto"/>
                <w:highlight w:val="none"/>
              </w:rPr>
            </w:pPr>
          </w:p>
        </w:tc>
        <w:tc>
          <w:tcPr>
            <w:tcW w:w="357" w:type="pct"/>
            <w:tcBorders>
              <w:top w:val="single" w:color="auto" w:sz="4" w:space="0"/>
              <w:left w:val="single" w:color="auto" w:sz="4" w:space="0"/>
              <w:bottom w:val="single" w:color="auto" w:sz="4" w:space="0"/>
              <w:right w:val="single" w:color="auto" w:sz="4" w:space="0"/>
            </w:tcBorders>
          </w:tcPr>
          <w:p w14:paraId="5894C2F2">
            <w:pPr>
              <w:rPr>
                <w:rFonts w:ascii="宋体" w:hAnsi="宋体"/>
                <w:color w:val="auto"/>
                <w:highlight w:val="none"/>
              </w:rPr>
            </w:pPr>
          </w:p>
        </w:tc>
        <w:tc>
          <w:tcPr>
            <w:tcW w:w="550" w:type="pct"/>
            <w:tcBorders>
              <w:top w:val="single" w:color="auto" w:sz="4" w:space="0"/>
              <w:left w:val="single" w:color="auto" w:sz="4" w:space="0"/>
              <w:bottom w:val="single" w:color="auto" w:sz="4" w:space="0"/>
              <w:right w:val="single" w:color="auto" w:sz="4" w:space="0"/>
            </w:tcBorders>
          </w:tcPr>
          <w:p w14:paraId="7ADFF360">
            <w:pPr>
              <w:rPr>
                <w:rFonts w:ascii="宋体" w:hAnsi="宋体"/>
                <w:color w:val="auto"/>
                <w:highlight w:val="none"/>
              </w:rPr>
            </w:pPr>
          </w:p>
        </w:tc>
        <w:tc>
          <w:tcPr>
            <w:tcW w:w="349" w:type="pct"/>
            <w:tcBorders>
              <w:top w:val="single" w:color="auto" w:sz="4" w:space="0"/>
              <w:left w:val="single" w:color="auto" w:sz="4" w:space="0"/>
              <w:bottom w:val="single" w:color="auto" w:sz="4" w:space="0"/>
              <w:right w:val="single" w:color="auto" w:sz="4" w:space="0"/>
            </w:tcBorders>
          </w:tcPr>
          <w:p w14:paraId="2DE26F4D">
            <w:pPr>
              <w:rPr>
                <w:rFonts w:ascii="宋体" w:hAnsi="宋体"/>
                <w:color w:val="auto"/>
                <w:highlight w:val="none"/>
              </w:rPr>
            </w:pPr>
          </w:p>
        </w:tc>
      </w:tr>
      <w:tr w14:paraId="70857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42" w:hRule="atLeast"/>
        </w:trPr>
        <w:tc>
          <w:tcPr>
            <w:tcW w:w="289" w:type="pct"/>
            <w:tcBorders>
              <w:top w:val="single" w:color="auto" w:sz="4" w:space="0"/>
              <w:left w:val="single" w:color="auto" w:sz="4" w:space="0"/>
              <w:bottom w:val="single" w:color="auto" w:sz="4" w:space="0"/>
              <w:right w:val="single" w:color="auto" w:sz="4" w:space="0"/>
            </w:tcBorders>
            <w:vAlign w:val="center"/>
          </w:tcPr>
          <w:p w14:paraId="1E485F18">
            <w:pPr>
              <w:jc w:val="center"/>
              <w:rPr>
                <w:rFonts w:ascii="宋体" w:hAnsi="宋体"/>
                <w:color w:val="auto"/>
                <w:highlight w:val="none"/>
              </w:rPr>
            </w:pPr>
          </w:p>
        </w:tc>
        <w:tc>
          <w:tcPr>
            <w:tcW w:w="1028" w:type="pct"/>
            <w:tcBorders>
              <w:top w:val="single" w:color="auto" w:sz="4" w:space="0"/>
              <w:left w:val="single" w:color="auto" w:sz="4" w:space="0"/>
              <w:bottom w:val="single" w:color="auto" w:sz="4" w:space="0"/>
              <w:right w:val="single" w:color="auto" w:sz="4" w:space="0"/>
            </w:tcBorders>
          </w:tcPr>
          <w:p w14:paraId="3D85CF44">
            <w:pPr>
              <w:jc w:val="center"/>
              <w:rPr>
                <w:rFonts w:ascii="宋体" w:hAnsi="宋体" w:cs="宋体"/>
                <w:color w:val="auto"/>
                <w:highlight w:val="none"/>
              </w:rPr>
            </w:pPr>
          </w:p>
        </w:tc>
        <w:tc>
          <w:tcPr>
            <w:tcW w:w="445" w:type="pct"/>
            <w:tcBorders>
              <w:top w:val="single" w:color="auto" w:sz="4" w:space="0"/>
              <w:left w:val="single" w:color="auto" w:sz="4" w:space="0"/>
              <w:bottom w:val="single" w:color="auto" w:sz="4" w:space="0"/>
              <w:right w:val="single" w:color="auto" w:sz="4" w:space="0"/>
            </w:tcBorders>
          </w:tcPr>
          <w:p w14:paraId="275E28B4">
            <w:pPr>
              <w:rPr>
                <w:rFonts w:ascii="宋体" w:hAnsi="宋体"/>
                <w:color w:val="auto"/>
                <w:highlight w:val="none"/>
              </w:rPr>
            </w:pPr>
          </w:p>
        </w:tc>
        <w:tc>
          <w:tcPr>
            <w:tcW w:w="339" w:type="pct"/>
            <w:tcBorders>
              <w:top w:val="single" w:color="auto" w:sz="4" w:space="0"/>
              <w:left w:val="single" w:color="auto" w:sz="4" w:space="0"/>
              <w:bottom w:val="single" w:color="auto" w:sz="4" w:space="0"/>
              <w:right w:val="single" w:color="auto" w:sz="4" w:space="0"/>
            </w:tcBorders>
          </w:tcPr>
          <w:p w14:paraId="369C2EA3">
            <w:pPr>
              <w:rPr>
                <w:rFonts w:ascii="宋体" w:hAnsi="宋体"/>
                <w:color w:val="auto"/>
                <w:highlight w:val="none"/>
              </w:rPr>
            </w:pPr>
          </w:p>
        </w:tc>
        <w:tc>
          <w:tcPr>
            <w:tcW w:w="456" w:type="pct"/>
            <w:tcBorders>
              <w:top w:val="single" w:color="auto" w:sz="4" w:space="0"/>
              <w:left w:val="single" w:color="auto" w:sz="4" w:space="0"/>
              <w:bottom w:val="single" w:color="auto" w:sz="4" w:space="0"/>
              <w:right w:val="single" w:color="auto" w:sz="4" w:space="0"/>
            </w:tcBorders>
          </w:tcPr>
          <w:p w14:paraId="08425125">
            <w:pPr>
              <w:rPr>
                <w:rFonts w:ascii="宋体" w:hAnsi="宋体"/>
                <w:color w:val="auto"/>
                <w:highlight w:val="none"/>
              </w:rPr>
            </w:pPr>
          </w:p>
        </w:tc>
        <w:tc>
          <w:tcPr>
            <w:tcW w:w="523" w:type="pct"/>
            <w:tcBorders>
              <w:top w:val="single" w:color="auto" w:sz="4" w:space="0"/>
              <w:left w:val="single" w:color="auto" w:sz="4" w:space="0"/>
              <w:bottom w:val="single" w:color="auto" w:sz="4" w:space="0"/>
              <w:right w:val="single" w:color="auto" w:sz="4" w:space="0"/>
            </w:tcBorders>
          </w:tcPr>
          <w:p w14:paraId="67904C5D">
            <w:pPr>
              <w:rPr>
                <w:rFonts w:ascii="宋体" w:hAnsi="宋体"/>
                <w:color w:val="auto"/>
                <w:highlight w:val="none"/>
              </w:rPr>
            </w:pPr>
          </w:p>
        </w:tc>
        <w:tc>
          <w:tcPr>
            <w:tcW w:w="307" w:type="pct"/>
            <w:tcBorders>
              <w:top w:val="single" w:color="auto" w:sz="4" w:space="0"/>
              <w:left w:val="single" w:color="auto" w:sz="4" w:space="0"/>
              <w:bottom w:val="single" w:color="auto" w:sz="4" w:space="0"/>
              <w:right w:val="single" w:color="auto" w:sz="4" w:space="0"/>
            </w:tcBorders>
            <w:vAlign w:val="center"/>
          </w:tcPr>
          <w:p w14:paraId="2D4EBA0A">
            <w:pPr>
              <w:jc w:val="center"/>
              <w:rPr>
                <w:rFonts w:ascii="宋体" w:hAnsi="宋体"/>
                <w:color w:val="auto"/>
                <w:highlight w:val="none"/>
              </w:rPr>
            </w:pPr>
          </w:p>
        </w:tc>
        <w:tc>
          <w:tcPr>
            <w:tcW w:w="351" w:type="pct"/>
            <w:tcBorders>
              <w:top w:val="single" w:color="auto" w:sz="4" w:space="0"/>
              <w:left w:val="single" w:color="auto" w:sz="4" w:space="0"/>
              <w:bottom w:val="single" w:color="auto" w:sz="4" w:space="0"/>
              <w:right w:val="single" w:color="auto" w:sz="4" w:space="0"/>
            </w:tcBorders>
          </w:tcPr>
          <w:p w14:paraId="0548811A">
            <w:pPr>
              <w:rPr>
                <w:rFonts w:ascii="宋体" w:hAnsi="宋体"/>
                <w:color w:val="auto"/>
                <w:highlight w:val="none"/>
              </w:rPr>
            </w:pPr>
          </w:p>
        </w:tc>
        <w:tc>
          <w:tcPr>
            <w:tcW w:w="357" w:type="pct"/>
            <w:tcBorders>
              <w:top w:val="single" w:color="auto" w:sz="4" w:space="0"/>
              <w:left w:val="single" w:color="auto" w:sz="4" w:space="0"/>
              <w:bottom w:val="single" w:color="auto" w:sz="4" w:space="0"/>
              <w:right w:val="single" w:color="auto" w:sz="4" w:space="0"/>
            </w:tcBorders>
          </w:tcPr>
          <w:p w14:paraId="6174CEF3">
            <w:pPr>
              <w:rPr>
                <w:rFonts w:ascii="宋体" w:hAnsi="宋体"/>
                <w:color w:val="auto"/>
                <w:highlight w:val="none"/>
              </w:rPr>
            </w:pPr>
          </w:p>
        </w:tc>
        <w:tc>
          <w:tcPr>
            <w:tcW w:w="550" w:type="pct"/>
            <w:tcBorders>
              <w:top w:val="single" w:color="auto" w:sz="4" w:space="0"/>
              <w:left w:val="single" w:color="auto" w:sz="4" w:space="0"/>
              <w:bottom w:val="single" w:color="auto" w:sz="4" w:space="0"/>
              <w:right w:val="single" w:color="auto" w:sz="4" w:space="0"/>
            </w:tcBorders>
          </w:tcPr>
          <w:p w14:paraId="18E7567B">
            <w:pPr>
              <w:rPr>
                <w:rFonts w:ascii="宋体" w:hAnsi="宋体"/>
                <w:color w:val="auto"/>
                <w:highlight w:val="none"/>
              </w:rPr>
            </w:pPr>
          </w:p>
        </w:tc>
        <w:tc>
          <w:tcPr>
            <w:tcW w:w="349" w:type="pct"/>
            <w:tcBorders>
              <w:top w:val="single" w:color="auto" w:sz="4" w:space="0"/>
              <w:left w:val="single" w:color="auto" w:sz="4" w:space="0"/>
              <w:bottom w:val="single" w:color="auto" w:sz="4" w:space="0"/>
              <w:right w:val="single" w:color="auto" w:sz="4" w:space="0"/>
            </w:tcBorders>
          </w:tcPr>
          <w:p w14:paraId="1ECBA444">
            <w:pPr>
              <w:rPr>
                <w:rFonts w:ascii="宋体" w:hAnsi="宋体"/>
                <w:color w:val="auto"/>
                <w:highlight w:val="none"/>
              </w:rPr>
            </w:pPr>
          </w:p>
        </w:tc>
      </w:tr>
      <w:tr w14:paraId="7D06B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42" w:hRule="atLeast"/>
        </w:trPr>
        <w:tc>
          <w:tcPr>
            <w:tcW w:w="4100" w:type="pct"/>
            <w:gridSpan w:val="9"/>
            <w:tcBorders>
              <w:top w:val="single" w:color="auto" w:sz="4" w:space="0"/>
              <w:left w:val="single" w:color="auto" w:sz="4" w:space="0"/>
              <w:bottom w:val="single" w:color="auto" w:sz="4" w:space="0"/>
              <w:right w:val="single" w:color="auto" w:sz="4" w:space="0"/>
            </w:tcBorders>
            <w:vAlign w:val="center"/>
          </w:tcPr>
          <w:p w14:paraId="73AD63FC">
            <w:pPr>
              <w:jc w:val="center"/>
              <w:rPr>
                <w:rFonts w:ascii="宋体" w:hAnsi="宋体"/>
                <w:b/>
                <w:color w:val="auto"/>
                <w:highlight w:val="none"/>
              </w:rPr>
            </w:pPr>
            <w:bookmarkStart w:id="270" w:name="_Hlk94367256"/>
            <w:r>
              <w:rPr>
                <w:rFonts w:hint="eastAsia" w:ascii="宋体" w:hAnsi="宋体"/>
                <w:b/>
                <w:color w:val="auto"/>
                <w:highlight w:val="none"/>
              </w:rPr>
              <w:t>合计（元）</w:t>
            </w:r>
            <w:bookmarkEnd w:id="270"/>
          </w:p>
        </w:tc>
        <w:tc>
          <w:tcPr>
            <w:tcW w:w="899" w:type="pct"/>
            <w:gridSpan w:val="2"/>
            <w:tcBorders>
              <w:top w:val="single" w:color="auto" w:sz="4" w:space="0"/>
              <w:left w:val="single" w:color="auto" w:sz="4" w:space="0"/>
              <w:bottom w:val="single" w:color="auto" w:sz="4" w:space="0"/>
              <w:right w:val="single" w:color="auto" w:sz="4" w:space="0"/>
            </w:tcBorders>
            <w:vAlign w:val="center"/>
          </w:tcPr>
          <w:p w14:paraId="4BBFB5DB">
            <w:pPr>
              <w:jc w:val="center"/>
              <w:rPr>
                <w:rFonts w:ascii="宋体" w:hAnsi="宋体"/>
                <w:b/>
                <w:color w:val="auto"/>
                <w:highlight w:val="none"/>
              </w:rPr>
            </w:pPr>
          </w:p>
        </w:tc>
      </w:tr>
      <w:bookmarkEnd w:id="269"/>
    </w:tbl>
    <w:p w14:paraId="3847D3EE">
      <w:pPr>
        <w:ind w:firstLine="480" w:firstLineChars="200"/>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注：1.投标人必须按招标文件“第</w:t>
      </w:r>
      <w:r>
        <w:rPr>
          <w:rFonts w:hint="eastAsia" w:ascii="宋体" w:hAnsi="宋体" w:cs="宋体"/>
          <w:color w:val="auto"/>
          <w:sz w:val="24"/>
          <w:szCs w:val="24"/>
          <w:highlight w:val="none"/>
          <w:lang w:val="en-US" w:eastAsia="zh-CN" w:bidi="ar"/>
        </w:rPr>
        <w:t>六</w:t>
      </w:r>
      <w:r>
        <w:rPr>
          <w:rFonts w:hint="eastAsia" w:ascii="宋体" w:hAnsi="宋体" w:cs="宋体"/>
          <w:color w:val="auto"/>
          <w:sz w:val="24"/>
          <w:szCs w:val="24"/>
          <w:highlight w:val="none"/>
          <w:lang w:bidi="ar"/>
        </w:rPr>
        <w:t>章《采购内容及要求》”列出的各项设备进行报价，不允许有缺项、漏项，否则投标文件视为无效。</w:t>
      </w:r>
    </w:p>
    <w:p w14:paraId="2FD872BF">
      <w:pPr>
        <w:ind w:firstLine="480" w:firstLineChars="200"/>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2.分项报价时不得超过采购需求表中的预算单价。</w:t>
      </w:r>
    </w:p>
    <w:p w14:paraId="2D4AB0C9">
      <w:pPr>
        <w:ind w:firstLine="480" w:firstLineChars="200"/>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3.此表可以同样格式扩展。</w:t>
      </w:r>
    </w:p>
    <w:p w14:paraId="65B23925">
      <w:pPr>
        <w:ind w:firstLine="1687" w:firstLineChars="600"/>
        <w:rPr>
          <w:rFonts w:ascii="宋体" w:hAnsi="宋体" w:cs="宋体"/>
          <w:b/>
          <w:color w:val="auto"/>
          <w:sz w:val="28"/>
          <w:szCs w:val="28"/>
          <w:highlight w:val="none"/>
        </w:rPr>
      </w:pPr>
    </w:p>
    <w:p w14:paraId="1F249869">
      <w:pPr>
        <w:ind w:firstLine="1687" w:firstLineChars="600"/>
        <w:rPr>
          <w:rFonts w:ascii="宋体" w:hAnsi="宋体" w:cs="宋体"/>
          <w:b/>
          <w:color w:val="auto"/>
          <w:sz w:val="28"/>
          <w:szCs w:val="28"/>
          <w:highlight w:val="none"/>
        </w:rPr>
      </w:pPr>
      <w:r>
        <w:rPr>
          <w:rFonts w:hint="eastAsia" w:ascii="宋体" w:hAnsi="宋体" w:cs="宋体"/>
          <w:b/>
          <w:color w:val="auto"/>
          <w:sz w:val="28"/>
          <w:szCs w:val="28"/>
          <w:highlight w:val="none"/>
        </w:rPr>
        <w:t>投标人：</w:t>
      </w:r>
      <w:r>
        <w:rPr>
          <w:rFonts w:hint="eastAsia" w:ascii="宋体" w:hAnsi="宋体" w:cs="宋体"/>
          <w:b/>
          <w:color w:val="auto"/>
          <w:sz w:val="28"/>
          <w:szCs w:val="28"/>
          <w:highlight w:val="none"/>
          <w:u w:val="single"/>
        </w:rPr>
        <w:tab/>
      </w:r>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rPr>
        <w:t>（电子签章）</w:t>
      </w:r>
    </w:p>
    <w:p w14:paraId="6BD9956C">
      <w:pPr>
        <w:ind w:firstLine="1687" w:firstLineChars="600"/>
        <w:rPr>
          <w:rFonts w:ascii="宋体" w:hAnsi="宋体" w:cs="宋体"/>
          <w:b/>
          <w:color w:val="auto"/>
          <w:sz w:val="28"/>
          <w:szCs w:val="28"/>
          <w:highlight w:val="none"/>
        </w:rPr>
      </w:pPr>
      <w:r>
        <w:rPr>
          <w:rFonts w:hint="eastAsia" w:ascii="宋体" w:hAnsi="宋体" w:cs="宋体"/>
          <w:b/>
          <w:color w:val="auto"/>
          <w:sz w:val="28"/>
          <w:szCs w:val="28"/>
          <w:highlight w:val="none"/>
        </w:rPr>
        <w:t>法定代表人（单位负责人）：</w:t>
      </w:r>
      <w:r>
        <w:rPr>
          <w:rFonts w:hint="eastAsia" w:ascii="宋体" w:hAnsi="宋体" w:cs="宋体"/>
          <w:b/>
          <w:color w:val="auto"/>
          <w:sz w:val="28"/>
          <w:szCs w:val="28"/>
          <w:highlight w:val="none"/>
          <w:u w:val="single"/>
        </w:rPr>
        <w:tab/>
      </w:r>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rPr>
        <w:t>（电子签名或电子签章）</w:t>
      </w:r>
    </w:p>
    <w:p w14:paraId="58596FE8">
      <w:pPr>
        <w:ind w:firstLine="1687" w:firstLineChars="600"/>
        <w:rPr>
          <w:rFonts w:ascii="宋体" w:hAnsi="宋体" w:cs="宋体"/>
          <w:b/>
          <w:color w:val="auto"/>
          <w:sz w:val="28"/>
          <w:szCs w:val="28"/>
          <w:highlight w:val="none"/>
        </w:rPr>
      </w:pPr>
      <w:r>
        <w:rPr>
          <w:rFonts w:hint="eastAsia" w:ascii="宋体" w:hAnsi="宋体" w:cs="宋体"/>
          <w:b/>
          <w:color w:val="auto"/>
          <w:sz w:val="28"/>
          <w:szCs w:val="28"/>
          <w:highlight w:val="none"/>
        </w:rPr>
        <w:t>日期：</w:t>
      </w:r>
      <w:r>
        <w:rPr>
          <w:rFonts w:hint="eastAsia" w:ascii="宋体" w:hAnsi="宋体" w:cs="宋体"/>
          <w:bCs/>
          <w:color w:val="auto"/>
          <w:sz w:val="28"/>
          <w:szCs w:val="28"/>
          <w:highlight w:val="none"/>
          <w:u w:val="single"/>
        </w:rPr>
        <w:t xml:space="preserve">      </w:t>
      </w:r>
      <w:r>
        <w:rPr>
          <w:rFonts w:hint="eastAsia" w:ascii="宋体" w:hAnsi="宋体" w:cs="宋体"/>
          <w:b/>
          <w:color w:val="auto"/>
          <w:sz w:val="28"/>
          <w:szCs w:val="28"/>
          <w:highlight w:val="none"/>
        </w:rPr>
        <w:t>年</w:t>
      </w:r>
      <w:r>
        <w:rPr>
          <w:rFonts w:hint="eastAsia" w:ascii="宋体" w:hAnsi="宋体" w:cs="宋体"/>
          <w:bCs/>
          <w:color w:val="auto"/>
          <w:sz w:val="28"/>
          <w:szCs w:val="28"/>
          <w:highlight w:val="none"/>
          <w:u w:val="single"/>
        </w:rPr>
        <w:t xml:space="preserve">     </w:t>
      </w:r>
      <w:r>
        <w:rPr>
          <w:rFonts w:hint="eastAsia" w:ascii="宋体" w:hAnsi="宋体" w:cs="宋体"/>
          <w:b/>
          <w:color w:val="auto"/>
          <w:sz w:val="28"/>
          <w:szCs w:val="28"/>
          <w:highlight w:val="none"/>
        </w:rPr>
        <w:t>月</w:t>
      </w:r>
      <w:r>
        <w:rPr>
          <w:rFonts w:hint="eastAsia" w:ascii="宋体" w:hAnsi="宋体" w:cs="宋体"/>
          <w:bCs/>
          <w:color w:val="auto"/>
          <w:sz w:val="28"/>
          <w:szCs w:val="28"/>
          <w:highlight w:val="none"/>
          <w:u w:val="single"/>
        </w:rPr>
        <w:t xml:space="preserve">    </w:t>
      </w:r>
      <w:r>
        <w:rPr>
          <w:rFonts w:hint="eastAsia" w:ascii="宋体" w:hAnsi="宋体" w:cs="宋体"/>
          <w:b/>
          <w:color w:val="auto"/>
          <w:sz w:val="28"/>
          <w:szCs w:val="28"/>
          <w:highlight w:val="none"/>
        </w:rPr>
        <w:t>日</w:t>
      </w:r>
    </w:p>
    <w:p w14:paraId="6C4A4FDD">
      <w:pPr>
        <w:pStyle w:val="14"/>
        <w:rPr>
          <w:color w:val="auto"/>
          <w:highlight w:val="none"/>
        </w:rPr>
      </w:pPr>
    </w:p>
    <w:p w14:paraId="359C2D3C">
      <w:pPr>
        <w:pStyle w:val="15"/>
        <w:rPr>
          <w:color w:val="auto"/>
          <w:highlight w:val="none"/>
        </w:rPr>
        <w:sectPr>
          <w:headerReference r:id="rId8" w:type="default"/>
          <w:footerReference r:id="rId9" w:type="default"/>
          <w:pgSz w:w="11906" w:h="16838"/>
          <w:pgMar w:top="1440" w:right="1083" w:bottom="1440" w:left="1083" w:header="720" w:footer="720" w:gutter="0"/>
          <w:pgBorders>
            <w:top w:val="none" w:sz="0" w:space="0"/>
            <w:left w:val="none" w:sz="0" w:space="0"/>
            <w:bottom w:val="none" w:sz="0" w:space="0"/>
            <w:right w:val="none" w:sz="0" w:space="0"/>
          </w:pgBorders>
          <w:pgNumType w:fmt="numberInDash"/>
          <w:cols w:space="708" w:num="1"/>
          <w:docGrid w:type="lines" w:linePitch="324" w:charSpace="0"/>
        </w:sectPr>
      </w:pPr>
    </w:p>
    <w:p w14:paraId="26DEB3C2">
      <w:pPr>
        <w:spacing w:line="360" w:lineRule="auto"/>
        <w:jc w:val="center"/>
        <w:outlineLvl w:val="2"/>
        <w:rPr>
          <w:rFonts w:ascii="宋体" w:hAnsi="宋体" w:cs="宋体"/>
          <w:b/>
          <w:bCs/>
          <w:color w:val="auto"/>
          <w:sz w:val="28"/>
          <w:szCs w:val="28"/>
          <w:highlight w:val="none"/>
        </w:rPr>
      </w:pPr>
      <w:bookmarkStart w:id="271" w:name="_Toc22812"/>
      <w:bookmarkStart w:id="272" w:name="_Toc20890"/>
      <w:r>
        <w:rPr>
          <w:rFonts w:hint="eastAsia" w:ascii="宋体" w:hAnsi="宋体" w:cs="宋体"/>
          <w:b/>
          <w:bCs/>
          <w:color w:val="auto"/>
          <w:sz w:val="28"/>
          <w:szCs w:val="28"/>
          <w:highlight w:val="none"/>
        </w:rPr>
        <w:t>▲四、承诺书</w:t>
      </w:r>
      <w:bookmarkEnd w:id="271"/>
      <w:bookmarkEnd w:id="272"/>
    </w:p>
    <w:p w14:paraId="12D0AABA">
      <w:pPr>
        <w:spacing w:before="162" w:beforeLines="50" w:line="440" w:lineRule="exact"/>
        <w:rPr>
          <w:color w:val="auto"/>
          <w:sz w:val="24"/>
          <w:szCs w:val="32"/>
          <w:highlight w:val="none"/>
        </w:rPr>
      </w:pPr>
      <w:r>
        <w:rPr>
          <w:rFonts w:hint="eastAsia"/>
          <w:color w:val="auto"/>
          <w:sz w:val="24"/>
          <w:szCs w:val="32"/>
          <w:highlight w:val="none"/>
        </w:rPr>
        <w:t>致：</w:t>
      </w:r>
      <w:r>
        <w:rPr>
          <w:rFonts w:hint="eastAsia"/>
          <w:color w:val="auto"/>
          <w:sz w:val="24"/>
          <w:szCs w:val="32"/>
          <w:highlight w:val="none"/>
          <w:u w:val="single"/>
        </w:rPr>
        <w:t>（采购人）</w:t>
      </w:r>
    </w:p>
    <w:p w14:paraId="5FDAE617">
      <w:pPr>
        <w:spacing w:before="162" w:beforeLines="50" w:line="440" w:lineRule="exact"/>
        <w:ind w:firstLine="482" w:firstLineChars="200"/>
        <w:rPr>
          <w:b/>
          <w:bCs/>
          <w:color w:val="auto"/>
          <w:sz w:val="24"/>
          <w:szCs w:val="24"/>
          <w:highlight w:val="none"/>
        </w:rPr>
      </w:pPr>
      <w:r>
        <w:rPr>
          <w:rFonts w:hint="eastAsia"/>
          <w:b/>
          <w:bCs/>
          <w:color w:val="auto"/>
          <w:sz w:val="24"/>
          <w:szCs w:val="24"/>
          <w:highlight w:val="none"/>
        </w:rPr>
        <w:t>若我公司有幸中标，我公司承诺以下事宜：</w:t>
      </w:r>
    </w:p>
    <w:p w14:paraId="0E7B7F63">
      <w:pPr>
        <w:spacing w:line="44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1、我公司在接到领取中标/成交通知书的通知后，在</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个工作日内到采购代理机构领取中标/成交通知书。领取中标/成交通知书后在</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个工作日内按照</w:t>
      </w:r>
      <w:r>
        <w:rPr>
          <w:rFonts w:hint="eastAsia" w:ascii="宋体" w:hAnsi="宋体"/>
          <w:color w:val="auto"/>
          <w:sz w:val="24"/>
          <w:szCs w:val="24"/>
          <w:highlight w:val="none"/>
          <w:lang w:eastAsia="zh-CN"/>
        </w:rPr>
        <w:t>昆明铁道职业技术学院</w:t>
      </w:r>
      <w:r>
        <w:rPr>
          <w:rFonts w:hint="eastAsia" w:ascii="宋体" w:hAnsi="宋体"/>
          <w:color w:val="auto"/>
          <w:sz w:val="24"/>
          <w:szCs w:val="24"/>
          <w:highlight w:val="none"/>
        </w:rPr>
        <w:t>要求缴纳履约保证金。在</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个工作日内洽谈合同签订事宜。</w:t>
      </w:r>
    </w:p>
    <w:p w14:paraId="352053C7">
      <w:pPr>
        <w:spacing w:line="44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（1）如因我公司无正当理由放弃中标（成交）或因我公司自身原因导致项目未能在法定期限内完成合同签订或拒不签订项目合同的，采购人</w:t>
      </w:r>
      <w:r>
        <w:rPr>
          <w:rFonts w:ascii="宋体" w:hAnsi="宋体"/>
          <w:color w:val="auto"/>
          <w:sz w:val="24"/>
          <w:szCs w:val="24"/>
          <w:highlight w:val="none"/>
        </w:rPr>
        <w:t>或采购代理机构</w:t>
      </w:r>
      <w:r>
        <w:rPr>
          <w:rFonts w:hint="eastAsia" w:ascii="宋体" w:hAnsi="宋体"/>
          <w:color w:val="auto"/>
          <w:sz w:val="24"/>
          <w:szCs w:val="24"/>
          <w:highlight w:val="none"/>
        </w:rPr>
        <w:t>有权取消中标</w:t>
      </w:r>
      <w:r>
        <w:rPr>
          <w:rFonts w:ascii="宋体" w:hAnsi="宋体"/>
          <w:color w:val="auto"/>
          <w:sz w:val="24"/>
          <w:szCs w:val="24"/>
          <w:highlight w:val="none"/>
        </w:rPr>
        <w:t>（</w:t>
      </w:r>
      <w:r>
        <w:rPr>
          <w:rFonts w:hint="eastAsia" w:ascii="宋体" w:hAnsi="宋体"/>
          <w:color w:val="auto"/>
          <w:sz w:val="24"/>
          <w:szCs w:val="24"/>
          <w:highlight w:val="none"/>
        </w:rPr>
        <w:t>成交</w:t>
      </w:r>
      <w:r>
        <w:rPr>
          <w:rFonts w:ascii="宋体" w:hAnsi="宋体"/>
          <w:color w:val="auto"/>
          <w:sz w:val="24"/>
          <w:szCs w:val="24"/>
          <w:highlight w:val="none"/>
        </w:rPr>
        <w:t>）</w:t>
      </w:r>
      <w:r>
        <w:rPr>
          <w:rFonts w:hint="eastAsia" w:ascii="宋体" w:hAnsi="宋体"/>
          <w:color w:val="auto"/>
          <w:sz w:val="24"/>
          <w:szCs w:val="24"/>
          <w:highlight w:val="none"/>
        </w:rPr>
        <w:t>资格。投标保证金不予退还。</w:t>
      </w:r>
    </w:p>
    <w:p w14:paraId="20A3E317">
      <w:pPr>
        <w:spacing w:line="44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2</w:t>
      </w:r>
      <w:r>
        <w:rPr>
          <w:rFonts w:hint="eastAsia" w:ascii="宋体" w:hAnsi="宋体"/>
          <w:color w:val="auto"/>
          <w:sz w:val="24"/>
          <w:szCs w:val="24"/>
          <w:highlight w:val="none"/>
        </w:rPr>
        <w:t>）如因我公司无正当理由放弃中标（成交）或因我公司自身原因导致项目未能在法定期限内完成合同签订或拒不签订项目合同的，采购人可根据政府采购政策按“政府采购严重失信行为”向上级财政部门报送相关情况，由此产生的一切后果由我公司自行承担。</w:t>
      </w:r>
    </w:p>
    <w:p w14:paraId="5FC3EA65">
      <w:pPr>
        <w:spacing w:line="44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2、在合同履行过程中，我公司严格按照合同约定进行交货/完成相关服务工作并达到项目验收标准。</w:t>
      </w:r>
    </w:p>
    <w:p w14:paraId="0B88BB5D">
      <w:pPr>
        <w:spacing w:line="44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1）如非采购人和不可抗力原因我公司未能按照合同约定交货（如不按时供货、供货产品与投标（响应）文件中响应产品情况不一致等）/完成相关服务工作，或交付设备/服务工作质量未能达到验收标准则没收我公司全部履约保证金，给采购人造成的损失超过履约保证金数额的，我公司对超过部分予以赔偿。</w:t>
      </w:r>
    </w:p>
    <w:p w14:paraId="10629945">
      <w:pPr>
        <w:spacing w:line="44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2）如非采购人和不可抗力原因我公司未能按照合同约定交货（如不按时供货、供货产品与投标（响应）文件中响应产品情况不一致等）/完成相关服务工作，或交付设备/服务工作质量未能达到验收标准，使得项目资金被上级财政部门收回，由此产生的一切损失及后果均由我公司承担。</w:t>
      </w:r>
    </w:p>
    <w:p w14:paraId="1046A597">
      <w:pPr>
        <w:spacing w:line="44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3）如非采购人和不可抗力原因我公司未能按照合同约定交货/完成相关服务工作，并严重超期造成采购人损失的，采购人可根据政府采购政策按“政府采购严重失信行为”向上级财政部门报送相关情况，由此产生的一切后果由我公司自行承担。</w:t>
      </w:r>
    </w:p>
    <w:p w14:paraId="656B812B">
      <w:pPr>
        <w:spacing w:line="440" w:lineRule="exact"/>
        <w:ind w:firstLine="420" w:firstLineChars="200"/>
        <w:rPr>
          <w:color w:val="auto"/>
          <w:highlight w:val="none"/>
        </w:rPr>
      </w:pPr>
      <w:r>
        <w:rPr>
          <w:rFonts w:hint="eastAsia"/>
          <w:color w:val="auto"/>
          <w:highlight w:val="none"/>
        </w:rPr>
        <w:t>特此承诺！</w:t>
      </w:r>
    </w:p>
    <w:p w14:paraId="5529BFE3">
      <w:pPr>
        <w:ind w:firstLine="1687" w:firstLineChars="600"/>
        <w:rPr>
          <w:rFonts w:ascii="宋体" w:hAnsi="宋体" w:cs="宋体"/>
          <w:b/>
          <w:color w:val="auto"/>
          <w:sz w:val="28"/>
          <w:szCs w:val="28"/>
          <w:highlight w:val="none"/>
        </w:rPr>
      </w:pPr>
      <w:r>
        <w:rPr>
          <w:rFonts w:hint="eastAsia" w:ascii="宋体" w:hAnsi="宋体" w:cs="宋体"/>
          <w:b/>
          <w:color w:val="auto"/>
          <w:sz w:val="28"/>
          <w:szCs w:val="28"/>
          <w:highlight w:val="none"/>
        </w:rPr>
        <w:t>投标人：</w:t>
      </w:r>
      <w:r>
        <w:rPr>
          <w:rFonts w:hint="eastAsia" w:ascii="宋体" w:hAnsi="宋体" w:cs="宋体"/>
          <w:b/>
          <w:color w:val="auto"/>
          <w:sz w:val="28"/>
          <w:szCs w:val="28"/>
          <w:highlight w:val="none"/>
          <w:u w:val="single"/>
        </w:rPr>
        <w:tab/>
      </w:r>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rPr>
        <w:t>（电子签章）</w:t>
      </w:r>
    </w:p>
    <w:p w14:paraId="1B04A765">
      <w:pPr>
        <w:ind w:firstLine="1687" w:firstLineChars="600"/>
        <w:rPr>
          <w:rFonts w:ascii="宋体" w:hAnsi="宋体" w:cs="宋体"/>
          <w:b/>
          <w:color w:val="auto"/>
          <w:sz w:val="28"/>
          <w:szCs w:val="28"/>
          <w:highlight w:val="none"/>
        </w:rPr>
      </w:pPr>
      <w:r>
        <w:rPr>
          <w:rFonts w:hint="eastAsia" w:ascii="宋体" w:hAnsi="宋体" w:cs="宋体"/>
          <w:b/>
          <w:color w:val="auto"/>
          <w:sz w:val="28"/>
          <w:szCs w:val="28"/>
          <w:highlight w:val="none"/>
        </w:rPr>
        <w:t>法定代表人（单位负责人）：</w:t>
      </w:r>
      <w:r>
        <w:rPr>
          <w:rFonts w:hint="eastAsia" w:ascii="宋体" w:hAnsi="宋体" w:cs="宋体"/>
          <w:b/>
          <w:color w:val="auto"/>
          <w:sz w:val="28"/>
          <w:szCs w:val="28"/>
          <w:highlight w:val="none"/>
          <w:u w:val="single"/>
        </w:rPr>
        <w:tab/>
      </w:r>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rPr>
        <w:t>（电子签名或电子签章）</w:t>
      </w:r>
    </w:p>
    <w:p w14:paraId="5DF90C8C">
      <w:pPr>
        <w:ind w:firstLine="1687" w:firstLineChars="600"/>
        <w:rPr>
          <w:rFonts w:ascii="宋体" w:hAnsi="宋体" w:cs="宋体"/>
          <w:b/>
          <w:bCs/>
          <w:color w:val="auto"/>
          <w:sz w:val="28"/>
          <w:szCs w:val="28"/>
          <w:highlight w:val="none"/>
        </w:rPr>
      </w:pPr>
      <w:r>
        <w:rPr>
          <w:rFonts w:hint="eastAsia" w:ascii="宋体" w:hAnsi="宋体" w:cs="宋体"/>
          <w:b/>
          <w:color w:val="auto"/>
          <w:sz w:val="28"/>
          <w:szCs w:val="28"/>
          <w:highlight w:val="none"/>
        </w:rPr>
        <w:t>日期：      年     月    日</w:t>
      </w:r>
    </w:p>
    <w:p w14:paraId="19F5A2C5">
      <w:pPr>
        <w:spacing w:line="360" w:lineRule="auto"/>
        <w:jc w:val="center"/>
        <w:outlineLvl w:val="2"/>
        <w:rPr>
          <w:rFonts w:ascii="宋体" w:hAnsi="宋体" w:cs="宋体"/>
          <w:b/>
          <w:bCs/>
          <w:color w:val="auto"/>
          <w:sz w:val="28"/>
          <w:szCs w:val="28"/>
          <w:highlight w:val="none"/>
        </w:rPr>
      </w:pPr>
      <w:r>
        <w:rPr>
          <w:rFonts w:hint="eastAsia" w:ascii="宋体" w:hAnsi="宋体" w:cs="宋体"/>
          <w:b/>
          <w:bCs/>
          <w:color w:val="auto"/>
          <w:sz w:val="28"/>
          <w:szCs w:val="28"/>
          <w:highlight w:val="none"/>
        </w:rPr>
        <w:br w:type="page"/>
      </w:r>
      <w:bookmarkStart w:id="273" w:name="_Toc2824"/>
      <w:bookmarkStart w:id="274" w:name="_Toc26054"/>
      <w:r>
        <w:rPr>
          <w:rFonts w:hint="eastAsia" w:ascii="宋体" w:hAnsi="宋体" w:cs="宋体"/>
          <w:b/>
          <w:bCs/>
          <w:color w:val="auto"/>
          <w:sz w:val="28"/>
          <w:szCs w:val="28"/>
          <w:highlight w:val="none"/>
        </w:rPr>
        <w:t>五、随机专用工具明细表</w:t>
      </w:r>
      <w:bookmarkEnd w:id="273"/>
      <w:bookmarkEnd w:id="274"/>
    </w:p>
    <w:p w14:paraId="10B364B7">
      <w:pPr>
        <w:pStyle w:val="18"/>
        <w:rPr>
          <w:rFonts w:hAnsi="宋体" w:cs="宋体"/>
          <w:b/>
          <w:color w:val="auto"/>
          <w:sz w:val="24"/>
          <w:szCs w:val="24"/>
          <w:highlight w:val="none"/>
        </w:rPr>
      </w:pPr>
      <w:r>
        <w:rPr>
          <w:rFonts w:hint="eastAsia" w:hAnsi="宋体" w:cs="宋体"/>
          <w:b/>
          <w:color w:val="auto"/>
          <w:sz w:val="24"/>
          <w:szCs w:val="24"/>
          <w:highlight w:val="none"/>
        </w:rPr>
        <w:t>项目名称：</w:t>
      </w:r>
      <w:r>
        <w:rPr>
          <w:rFonts w:hint="eastAsia" w:hAnsi="宋体" w:cs="宋体"/>
          <w:b/>
          <w:color w:val="auto"/>
          <w:sz w:val="24"/>
          <w:szCs w:val="24"/>
          <w:highlight w:val="none"/>
          <w:u w:val="single"/>
        </w:rPr>
        <w:t xml:space="preserve">                 </w:t>
      </w:r>
    </w:p>
    <w:p w14:paraId="1B6A838B">
      <w:pPr>
        <w:pStyle w:val="18"/>
        <w:rPr>
          <w:rFonts w:hAnsi="宋体" w:cs="宋体"/>
          <w:b/>
          <w:color w:val="auto"/>
          <w:sz w:val="24"/>
          <w:szCs w:val="24"/>
          <w:highlight w:val="none"/>
          <w:u w:val="single"/>
        </w:rPr>
      </w:pPr>
      <w:r>
        <w:rPr>
          <w:rFonts w:hint="eastAsia" w:hAnsi="宋体" w:cs="宋体"/>
          <w:b/>
          <w:color w:val="auto"/>
          <w:sz w:val="24"/>
          <w:szCs w:val="24"/>
          <w:highlight w:val="none"/>
        </w:rPr>
        <w:t>项目编号：</w:t>
      </w:r>
      <w:r>
        <w:rPr>
          <w:rFonts w:hint="eastAsia" w:hAnsi="宋体" w:cs="宋体"/>
          <w:b/>
          <w:color w:val="auto"/>
          <w:sz w:val="24"/>
          <w:szCs w:val="24"/>
          <w:highlight w:val="none"/>
          <w:u w:val="single"/>
        </w:rPr>
        <w:t xml:space="preserve"> </w:t>
      </w:r>
      <w:r>
        <w:rPr>
          <w:rFonts w:hAnsi="宋体" w:cs="宋体"/>
          <w:b/>
          <w:color w:val="auto"/>
          <w:sz w:val="24"/>
          <w:szCs w:val="24"/>
          <w:highlight w:val="none"/>
          <w:u w:val="single"/>
        </w:rPr>
        <w:t xml:space="preserve">                </w:t>
      </w:r>
    </w:p>
    <w:p w14:paraId="772C8862">
      <w:pPr>
        <w:pStyle w:val="18"/>
        <w:rPr>
          <w:rFonts w:hAnsi="宋体" w:cs="宋体"/>
          <w:b/>
          <w:bCs/>
          <w:color w:val="auto"/>
          <w:sz w:val="24"/>
          <w:szCs w:val="24"/>
          <w:highlight w:val="none"/>
        </w:rPr>
      </w:pPr>
    </w:p>
    <w:tbl>
      <w:tblPr>
        <w:tblStyle w:val="32"/>
        <w:tblW w:w="500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798"/>
        <w:gridCol w:w="3570"/>
        <w:gridCol w:w="1328"/>
        <w:gridCol w:w="1435"/>
        <w:gridCol w:w="760"/>
        <w:gridCol w:w="1129"/>
        <w:gridCol w:w="734"/>
      </w:tblGrid>
      <w:tr w14:paraId="2580C3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7" w:hRule="atLeast"/>
        </w:trPr>
        <w:tc>
          <w:tcPr>
            <w:tcW w:w="409" w:type="pct"/>
          </w:tcPr>
          <w:p w14:paraId="4C8EF8CC">
            <w:pPr>
              <w:pStyle w:val="78"/>
              <w:spacing w:before="12"/>
              <w:rPr>
                <w:b/>
                <w:color w:val="auto"/>
                <w:sz w:val="15"/>
                <w:highlight w:val="none"/>
              </w:rPr>
            </w:pPr>
          </w:p>
          <w:p w14:paraId="4BCBE7A9">
            <w:pPr>
              <w:pStyle w:val="78"/>
              <w:spacing w:before="1"/>
              <w:ind w:left="174"/>
              <w:rPr>
                <w:color w:val="auto"/>
                <w:highlight w:val="none"/>
              </w:rPr>
            </w:pPr>
            <w:r>
              <w:rPr>
                <w:color w:val="auto"/>
                <w:highlight w:val="none"/>
              </w:rPr>
              <w:t>序号</w:t>
            </w:r>
          </w:p>
        </w:tc>
        <w:tc>
          <w:tcPr>
            <w:tcW w:w="1828" w:type="pct"/>
          </w:tcPr>
          <w:p w14:paraId="2CEAFBF6">
            <w:pPr>
              <w:pStyle w:val="78"/>
              <w:spacing w:before="12"/>
              <w:rPr>
                <w:b/>
                <w:color w:val="auto"/>
                <w:sz w:val="15"/>
                <w:highlight w:val="none"/>
              </w:rPr>
            </w:pPr>
          </w:p>
          <w:p w14:paraId="3A5EE9B9">
            <w:pPr>
              <w:pStyle w:val="78"/>
              <w:spacing w:before="1"/>
              <w:ind w:left="1486" w:right="1478"/>
              <w:jc w:val="center"/>
              <w:rPr>
                <w:color w:val="auto"/>
                <w:highlight w:val="none"/>
              </w:rPr>
            </w:pPr>
            <w:r>
              <w:rPr>
                <w:color w:val="auto"/>
                <w:highlight w:val="none"/>
              </w:rPr>
              <w:t>名称</w:t>
            </w:r>
          </w:p>
        </w:tc>
        <w:tc>
          <w:tcPr>
            <w:tcW w:w="680" w:type="pct"/>
          </w:tcPr>
          <w:p w14:paraId="2F5066EB">
            <w:pPr>
              <w:pStyle w:val="78"/>
              <w:spacing w:before="12"/>
              <w:rPr>
                <w:b/>
                <w:color w:val="auto"/>
                <w:sz w:val="15"/>
                <w:highlight w:val="none"/>
              </w:rPr>
            </w:pPr>
          </w:p>
          <w:p w14:paraId="05FBAAD9">
            <w:pPr>
              <w:pStyle w:val="78"/>
              <w:spacing w:before="1"/>
              <w:ind w:left="113"/>
              <w:rPr>
                <w:color w:val="auto"/>
                <w:highlight w:val="none"/>
              </w:rPr>
            </w:pPr>
            <w:r>
              <w:rPr>
                <w:color w:val="auto"/>
                <w:highlight w:val="none"/>
              </w:rPr>
              <w:t>型号和规格</w:t>
            </w:r>
          </w:p>
        </w:tc>
        <w:tc>
          <w:tcPr>
            <w:tcW w:w="735" w:type="pct"/>
          </w:tcPr>
          <w:p w14:paraId="506FAB66">
            <w:pPr>
              <w:pStyle w:val="78"/>
              <w:spacing w:before="1"/>
              <w:ind w:left="166"/>
              <w:rPr>
                <w:color w:val="auto"/>
                <w:highlight w:val="none"/>
              </w:rPr>
            </w:pPr>
            <w:r>
              <w:rPr>
                <w:color w:val="auto"/>
                <w:w w:val="95"/>
                <w:highlight w:val="none"/>
              </w:rPr>
              <w:t>生产制造商</w:t>
            </w:r>
          </w:p>
          <w:p w14:paraId="4BE47BD3">
            <w:pPr>
              <w:pStyle w:val="78"/>
              <w:spacing w:before="139"/>
              <w:ind w:left="166"/>
              <w:rPr>
                <w:color w:val="auto"/>
                <w:highlight w:val="none"/>
              </w:rPr>
            </w:pPr>
            <w:r>
              <w:rPr>
                <w:color w:val="auto"/>
                <w:w w:val="95"/>
                <w:highlight w:val="none"/>
              </w:rPr>
              <w:t>名称、国别</w:t>
            </w:r>
          </w:p>
        </w:tc>
        <w:tc>
          <w:tcPr>
            <w:tcW w:w="389" w:type="pct"/>
          </w:tcPr>
          <w:p w14:paraId="7A4EE687">
            <w:pPr>
              <w:pStyle w:val="78"/>
              <w:spacing w:before="12"/>
              <w:rPr>
                <w:b/>
                <w:color w:val="auto"/>
                <w:sz w:val="15"/>
                <w:highlight w:val="none"/>
              </w:rPr>
            </w:pPr>
          </w:p>
          <w:p w14:paraId="2033F397">
            <w:pPr>
              <w:pStyle w:val="78"/>
              <w:spacing w:before="1"/>
              <w:ind w:left="156"/>
              <w:rPr>
                <w:color w:val="auto"/>
                <w:highlight w:val="none"/>
              </w:rPr>
            </w:pPr>
            <w:r>
              <w:rPr>
                <w:color w:val="auto"/>
                <w:highlight w:val="none"/>
              </w:rPr>
              <w:t>数量</w:t>
            </w:r>
          </w:p>
        </w:tc>
        <w:tc>
          <w:tcPr>
            <w:tcW w:w="578" w:type="pct"/>
          </w:tcPr>
          <w:p w14:paraId="3B3B67DB">
            <w:pPr>
              <w:pStyle w:val="78"/>
              <w:spacing w:before="12"/>
              <w:rPr>
                <w:b/>
                <w:color w:val="auto"/>
                <w:sz w:val="15"/>
                <w:highlight w:val="none"/>
              </w:rPr>
            </w:pPr>
          </w:p>
          <w:p w14:paraId="28C56E72">
            <w:pPr>
              <w:pStyle w:val="78"/>
              <w:spacing w:before="1"/>
              <w:ind w:left="124"/>
              <w:rPr>
                <w:color w:val="auto"/>
                <w:highlight w:val="none"/>
              </w:rPr>
            </w:pPr>
            <w:r>
              <w:rPr>
                <w:color w:val="auto"/>
                <w:highlight w:val="none"/>
              </w:rPr>
              <w:t>计量单位</w:t>
            </w:r>
          </w:p>
        </w:tc>
        <w:tc>
          <w:tcPr>
            <w:tcW w:w="376" w:type="pct"/>
          </w:tcPr>
          <w:p w14:paraId="06C3717C">
            <w:pPr>
              <w:pStyle w:val="78"/>
              <w:spacing w:before="12"/>
              <w:rPr>
                <w:b/>
                <w:color w:val="auto"/>
                <w:sz w:val="15"/>
                <w:highlight w:val="none"/>
              </w:rPr>
            </w:pPr>
          </w:p>
          <w:p w14:paraId="41A29387">
            <w:pPr>
              <w:pStyle w:val="78"/>
              <w:spacing w:before="1"/>
              <w:ind w:left="142"/>
              <w:rPr>
                <w:color w:val="auto"/>
                <w:highlight w:val="none"/>
              </w:rPr>
            </w:pPr>
            <w:r>
              <w:rPr>
                <w:color w:val="auto"/>
                <w:highlight w:val="none"/>
              </w:rPr>
              <w:t>备注</w:t>
            </w:r>
          </w:p>
        </w:tc>
      </w:tr>
      <w:tr w14:paraId="5319E0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atLeast"/>
        </w:trPr>
        <w:tc>
          <w:tcPr>
            <w:tcW w:w="409" w:type="pct"/>
          </w:tcPr>
          <w:p w14:paraId="02F256CA">
            <w:pPr>
              <w:pStyle w:val="78"/>
              <w:rPr>
                <w:rFonts w:ascii="Times New Roman"/>
                <w:color w:val="auto"/>
                <w:sz w:val="20"/>
                <w:highlight w:val="none"/>
              </w:rPr>
            </w:pPr>
          </w:p>
        </w:tc>
        <w:tc>
          <w:tcPr>
            <w:tcW w:w="1828" w:type="pct"/>
          </w:tcPr>
          <w:p w14:paraId="5D253EC2">
            <w:pPr>
              <w:pStyle w:val="78"/>
              <w:rPr>
                <w:rFonts w:ascii="Times New Roman"/>
                <w:color w:val="auto"/>
                <w:sz w:val="20"/>
                <w:highlight w:val="none"/>
              </w:rPr>
            </w:pPr>
          </w:p>
        </w:tc>
        <w:tc>
          <w:tcPr>
            <w:tcW w:w="680" w:type="pct"/>
          </w:tcPr>
          <w:p w14:paraId="110454D0">
            <w:pPr>
              <w:pStyle w:val="78"/>
              <w:rPr>
                <w:rFonts w:ascii="Times New Roman"/>
                <w:color w:val="auto"/>
                <w:sz w:val="20"/>
                <w:highlight w:val="none"/>
              </w:rPr>
            </w:pPr>
          </w:p>
        </w:tc>
        <w:tc>
          <w:tcPr>
            <w:tcW w:w="735" w:type="pct"/>
          </w:tcPr>
          <w:p w14:paraId="368268DE">
            <w:pPr>
              <w:pStyle w:val="78"/>
              <w:rPr>
                <w:rFonts w:ascii="Times New Roman"/>
                <w:color w:val="auto"/>
                <w:sz w:val="20"/>
                <w:highlight w:val="none"/>
              </w:rPr>
            </w:pPr>
          </w:p>
        </w:tc>
        <w:tc>
          <w:tcPr>
            <w:tcW w:w="389" w:type="pct"/>
          </w:tcPr>
          <w:p w14:paraId="5C84F577">
            <w:pPr>
              <w:pStyle w:val="78"/>
              <w:rPr>
                <w:rFonts w:ascii="Times New Roman"/>
                <w:color w:val="auto"/>
                <w:sz w:val="20"/>
                <w:highlight w:val="none"/>
              </w:rPr>
            </w:pPr>
          </w:p>
        </w:tc>
        <w:tc>
          <w:tcPr>
            <w:tcW w:w="578" w:type="pct"/>
          </w:tcPr>
          <w:p w14:paraId="071E654D">
            <w:pPr>
              <w:pStyle w:val="78"/>
              <w:rPr>
                <w:rFonts w:ascii="Times New Roman"/>
                <w:color w:val="auto"/>
                <w:sz w:val="20"/>
                <w:highlight w:val="none"/>
              </w:rPr>
            </w:pPr>
          </w:p>
        </w:tc>
        <w:tc>
          <w:tcPr>
            <w:tcW w:w="376" w:type="pct"/>
          </w:tcPr>
          <w:p w14:paraId="1CF3D5FC">
            <w:pPr>
              <w:pStyle w:val="78"/>
              <w:rPr>
                <w:rFonts w:ascii="Times New Roman"/>
                <w:color w:val="auto"/>
                <w:sz w:val="20"/>
                <w:highlight w:val="none"/>
              </w:rPr>
            </w:pPr>
          </w:p>
        </w:tc>
      </w:tr>
      <w:tr w14:paraId="74D30A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6" w:hRule="atLeast"/>
        </w:trPr>
        <w:tc>
          <w:tcPr>
            <w:tcW w:w="409" w:type="pct"/>
          </w:tcPr>
          <w:p w14:paraId="643F13AF">
            <w:pPr>
              <w:pStyle w:val="78"/>
              <w:rPr>
                <w:rFonts w:ascii="Times New Roman"/>
                <w:color w:val="auto"/>
                <w:sz w:val="20"/>
                <w:highlight w:val="none"/>
              </w:rPr>
            </w:pPr>
          </w:p>
        </w:tc>
        <w:tc>
          <w:tcPr>
            <w:tcW w:w="1828" w:type="pct"/>
          </w:tcPr>
          <w:p w14:paraId="2C384FD3">
            <w:pPr>
              <w:pStyle w:val="78"/>
              <w:rPr>
                <w:rFonts w:ascii="Times New Roman"/>
                <w:color w:val="auto"/>
                <w:sz w:val="20"/>
                <w:highlight w:val="none"/>
              </w:rPr>
            </w:pPr>
          </w:p>
        </w:tc>
        <w:tc>
          <w:tcPr>
            <w:tcW w:w="680" w:type="pct"/>
          </w:tcPr>
          <w:p w14:paraId="08743F9D">
            <w:pPr>
              <w:pStyle w:val="78"/>
              <w:rPr>
                <w:rFonts w:ascii="Times New Roman"/>
                <w:color w:val="auto"/>
                <w:sz w:val="20"/>
                <w:highlight w:val="none"/>
              </w:rPr>
            </w:pPr>
          </w:p>
        </w:tc>
        <w:tc>
          <w:tcPr>
            <w:tcW w:w="735" w:type="pct"/>
          </w:tcPr>
          <w:p w14:paraId="11B7D77E">
            <w:pPr>
              <w:pStyle w:val="78"/>
              <w:rPr>
                <w:rFonts w:ascii="Times New Roman"/>
                <w:color w:val="auto"/>
                <w:sz w:val="20"/>
                <w:highlight w:val="none"/>
              </w:rPr>
            </w:pPr>
          </w:p>
        </w:tc>
        <w:tc>
          <w:tcPr>
            <w:tcW w:w="389" w:type="pct"/>
          </w:tcPr>
          <w:p w14:paraId="2E08942D">
            <w:pPr>
              <w:pStyle w:val="78"/>
              <w:rPr>
                <w:rFonts w:ascii="Times New Roman"/>
                <w:color w:val="auto"/>
                <w:sz w:val="20"/>
                <w:highlight w:val="none"/>
              </w:rPr>
            </w:pPr>
          </w:p>
        </w:tc>
        <w:tc>
          <w:tcPr>
            <w:tcW w:w="578" w:type="pct"/>
          </w:tcPr>
          <w:p w14:paraId="03D0D805">
            <w:pPr>
              <w:pStyle w:val="78"/>
              <w:rPr>
                <w:rFonts w:ascii="Times New Roman"/>
                <w:color w:val="auto"/>
                <w:sz w:val="20"/>
                <w:highlight w:val="none"/>
              </w:rPr>
            </w:pPr>
          </w:p>
        </w:tc>
        <w:tc>
          <w:tcPr>
            <w:tcW w:w="376" w:type="pct"/>
          </w:tcPr>
          <w:p w14:paraId="3D39B4FB">
            <w:pPr>
              <w:pStyle w:val="78"/>
              <w:rPr>
                <w:rFonts w:ascii="Times New Roman"/>
                <w:color w:val="auto"/>
                <w:sz w:val="20"/>
                <w:highlight w:val="none"/>
              </w:rPr>
            </w:pPr>
          </w:p>
        </w:tc>
      </w:tr>
      <w:tr w14:paraId="7F1494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atLeast"/>
        </w:trPr>
        <w:tc>
          <w:tcPr>
            <w:tcW w:w="409" w:type="pct"/>
          </w:tcPr>
          <w:p w14:paraId="75181378">
            <w:pPr>
              <w:pStyle w:val="78"/>
              <w:rPr>
                <w:rFonts w:ascii="Times New Roman"/>
                <w:color w:val="auto"/>
                <w:sz w:val="20"/>
                <w:highlight w:val="none"/>
              </w:rPr>
            </w:pPr>
          </w:p>
        </w:tc>
        <w:tc>
          <w:tcPr>
            <w:tcW w:w="1828" w:type="pct"/>
          </w:tcPr>
          <w:p w14:paraId="2DC71701">
            <w:pPr>
              <w:pStyle w:val="78"/>
              <w:rPr>
                <w:rFonts w:ascii="Times New Roman"/>
                <w:color w:val="auto"/>
                <w:sz w:val="20"/>
                <w:highlight w:val="none"/>
              </w:rPr>
            </w:pPr>
          </w:p>
        </w:tc>
        <w:tc>
          <w:tcPr>
            <w:tcW w:w="680" w:type="pct"/>
          </w:tcPr>
          <w:p w14:paraId="6E284D64">
            <w:pPr>
              <w:pStyle w:val="78"/>
              <w:rPr>
                <w:rFonts w:ascii="Times New Roman"/>
                <w:color w:val="auto"/>
                <w:sz w:val="20"/>
                <w:highlight w:val="none"/>
              </w:rPr>
            </w:pPr>
          </w:p>
        </w:tc>
        <w:tc>
          <w:tcPr>
            <w:tcW w:w="735" w:type="pct"/>
          </w:tcPr>
          <w:p w14:paraId="11586730">
            <w:pPr>
              <w:pStyle w:val="78"/>
              <w:rPr>
                <w:rFonts w:ascii="Times New Roman"/>
                <w:color w:val="auto"/>
                <w:sz w:val="20"/>
                <w:highlight w:val="none"/>
              </w:rPr>
            </w:pPr>
          </w:p>
        </w:tc>
        <w:tc>
          <w:tcPr>
            <w:tcW w:w="389" w:type="pct"/>
          </w:tcPr>
          <w:p w14:paraId="085F2507">
            <w:pPr>
              <w:pStyle w:val="78"/>
              <w:rPr>
                <w:rFonts w:ascii="Times New Roman"/>
                <w:color w:val="auto"/>
                <w:sz w:val="20"/>
                <w:highlight w:val="none"/>
              </w:rPr>
            </w:pPr>
          </w:p>
        </w:tc>
        <w:tc>
          <w:tcPr>
            <w:tcW w:w="578" w:type="pct"/>
          </w:tcPr>
          <w:p w14:paraId="45C4FE7F">
            <w:pPr>
              <w:pStyle w:val="78"/>
              <w:rPr>
                <w:rFonts w:ascii="Times New Roman"/>
                <w:color w:val="auto"/>
                <w:sz w:val="20"/>
                <w:highlight w:val="none"/>
              </w:rPr>
            </w:pPr>
          </w:p>
        </w:tc>
        <w:tc>
          <w:tcPr>
            <w:tcW w:w="376" w:type="pct"/>
          </w:tcPr>
          <w:p w14:paraId="1460AFA2">
            <w:pPr>
              <w:pStyle w:val="78"/>
              <w:rPr>
                <w:rFonts w:ascii="Times New Roman"/>
                <w:color w:val="auto"/>
                <w:sz w:val="20"/>
                <w:highlight w:val="none"/>
              </w:rPr>
            </w:pPr>
          </w:p>
        </w:tc>
      </w:tr>
    </w:tbl>
    <w:p w14:paraId="1CC609CF">
      <w:pPr>
        <w:pStyle w:val="14"/>
        <w:rPr>
          <w:rFonts w:ascii="宋体" w:hAnsi="宋体" w:cs="宋体"/>
          <w:color w:val="auto"/>
          <w:sz w:val="24"/>
          <w:highlight w:val="none"/>
        </w:rPr>
      </w:pPr>
      <w:r>
        <w:rPr>
          <w:rFonts w:hint="eastAsia" w:ascii="宋体" w:hAnsi="宋体" w:cs="宋体"/>
          <w:color w:val="auto"/>
          <w:sz w:val="24"/>
          <w:highlight w:val="none"/>
        </w:rPr>
        <w:t>注：1.投标人若提供随机专用工具，此费用须包含在投标报价中，不单独列报。</w:t>
      </w:r>
    </w:p>
    <w:p w14:paraId="6E0C2ECD">
      <w:pPr>
        <w:keepNext/>
        <w:keepLines/>
        <w:autoSpaceDE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2.投标人可根据实际情况拓展本表。</w:t>
      </w:r>
    </w:p>
    <w:p w14:paraId="23703125">
      <w:pPr>
        <w:ind w:firstLine="1687" w:firstLineChars="600"/>
        <w:rPr>
          <w:rFonts w:ascii="宋体" w:hAnsi="宋体" w:cs="宋体"/>
          <w:b/>
          <w:color w:val="auto"/>
          <w:sz w:val="28"/>
          <w:szCs w:val="28"/>
          <w:highlight w:val="none"/>
        </w:rPr>
      </w:pPr>
    </w:p>
    <w:p w14:paraId="75A73109">
      <w:pPr>
        <w:ind w:firstLine="1687" w:firstLineChars="600"/>
        <w:rPr>
          <w:rFonts w:ascii="宋体" w:hAnsi="宋体" w:cs="宋体"/>
          <w:b/>
          <w:color w:val="auto"/>
          <w:sz w:val="28"/>
          <w:szCs w:val="28"/>
          <w:highlight w:val="none"/>
        </w:rPr>
      </w:pPr>
      <w:r>
        <w:rPr>
          <w:rFonts w:hint="eastAsia" w:ascii="宋体" w:hAnsi="宋体" w:cs="宋体"/>
          <w:b/>
          <w:color w:val="auto"/>
          <w:sz w:val="28"/>
          <w:szCs w:val="28"/>
          <w:highlight w:val="none"/>
        </w:rPr>
        <w:t>投标人：</w:t>
      </w:r>
      <w:r>
        <w:rPr>
          <w:rFonts w:hint="eastAsia" w:ascii="宋体" w:hAnsi="宋体" w:cs="宋体"/>
          <w:b/>
          <w:color w:val="auto"/>
          <w:sz w:val="28"/>
          <w:szCs w:val="28"/>
          <w:highlight w:val="none"/>
          <w:u w:val="single"/>
        </w:rPr>
        <w:tab/>
      </w:r>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rPr>
        <w:t>（电子签章）</w:t>
      </w:r>
    </w:p>
    <w:p w14:paraId="561910C5">
      <w:pPr>
        <w:ind w:firstLine="1687" w:firstLineChars="600"/>
        <w:rPr>
          <w:rFonts w:ascii="宋体" w:hAnsi="宋体" w:cs="宋体"/>
          <w:b/>
          <w:color w:val="auto"/>
          <w:sz w:val="28"/>
          <w:szCs w:val="28"/>
          <w:highlight w:val="none"/>
        </w:rPr>
      </w:pPr>
      <w:r>
        <w:rPr>
          <w:rFonts w:hint="eastAsia" w:ascii="宋体" w:hAnsi="宋体" w:cs="宋体"/>
          <w:b/>
          <w:color w:val="auto"/>
          <w:sz w:val="28"/>
          <w:szCs w:val="28"/>
          <w:highlight w:val="none"/>
        </w:rPr>
        <w:t>法定代表人（单位负责人）：</w:t>
      </w:r>
      <w:r>
        <w:rPr>
          <w:rFonts w:hint="eastAsia" w:ascii="宋体" w:hAnsi="宋体" w:cs="宋体"/>
          <w:b/>
          <w:color w:val="auto"/>
          <w:sz w:val="28"/>
          <w:szCs w:val="28"/>
          <w:highlight w:val="none"/>
          <w:u w:val="single"/>
        </w:rPr>
        <w:tab/>
      </w:r>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rPr>
        <w:t>（电子签名或电子签章）</w:t>
      </w:r>
    </w:p>
    <w:p w14:paraId="1890B0D7">
      <w:pPr>
        <w:ind w:firstLine="1687" w:firstLineChars="600"/>
        <w:rPr>
          <w:rFonts w:ascii="宋体" w:hAnsi="宋体" w:cs="宋体"/>
          <w:b/>
          <w:color w:val="auto"/>
          <w:sz w:val="28"/>
          <w:szCs w:val="28"/>
          <w:highlight w:val="none"/>
        </w:rPr>
      </w:pPr>
      <w:r>
        <w:rPr>
          <w:rFonts w:hint="eastAsia" w:ascii="宋体" w:hAnsi="宋体" w:cs="宋体"/>
          <w:b/>
          <w:color w:val="auto"/>
          <w:sz w:val="28"/>
          <w:szCs w:val="28"/>
          <w:highlight w:val="none"/>
        </w:rPr>
        <w:t>日期：      年     月    日</w:t>
      </w:r>
    </w:p>
    <w:p w14:paraId="3B629558">
      <w:pPr>
        <w:pStyle w:val="4"/>
        <w:widowControl/>
        <w:autoSpaceDE w:val="0"/>
        <w:spacing w:before="0" w:after="0" w:line="360" w:lineRule="auto"/>
        <w:rPr>
          <w:rFonts w:ascii="宋体" w:hAnsi="宋体" w:cs="宋体"/>
          <w:color w:val="auto"/>
          <w:szCs w:val="28"/>
          <w:highlight w:val="none"/>
        </w:rPr>
      </w:pPr>
      <w:r>
        <w:rPr>
          <w:rFonts w:hint="eastAsia" w:ascii="宋体" w:hAnsi="宋体" w:cs="宋体"/>
          <w:color w:val="auto"/>
          <w:szCs w:val="28"/>
          <w:highlight w:val="none"/>
        </w:rPr>
        <w:br w:type="page"/>
      </w:r>
      <w:bookmarkStart w:id="275" w:name="_Toc15341"/>
      <w:bookmarkStart w:id="276" w:name="_Toc13225"/>
      <w:r>
        <w:rPr>
          <w:rFonts w:hint="eastAsia" w:ascii="宋体" w:hAnsi="宋体" w:cs="宋体"/>
          <w:color w:val="auto"/>
          <w:szCs w:val="28"/>
          <w:highlight w:val="none"/>
        </w:rPr>
        <w:t>六、主要备品备件报价承诺</w:t>
      </w:r>
      <w:bookmarkEnd w:id="275"/>
      <w:bookmarkEnd w:id="276"/>
    </w:p>
    <w:p w14:paraId="01AF4539">
      <w:pPr>
        <w:spacing w:after="162" w:afterLines="50" w:line="360" w:lineRule="auto"/>
        <w:jc w:val="center"/>
        <w:rPr>
          <w:rFonts w:ascii="宋体" w:hAnsi="宋体"/>
          <w:b/>
          <w:color w:val="auto"/>
          <w:highlight w:val="none"/>
        </w:rPr>
      </w:pPr>
      <w:r>
        <w:rPr>
          <w:rFonts w:hint="eastAsia" w:ascii="宋体" w:hAnsi="宋体"/>
          <w:color w:val="auto"/>
          <w:szCs w:val="24"/>
          <w:highlight w:val="none"/>
        </w:rPr>
        <w:t>投标人应提供确保货物质保期满后所需的备品备件清单（如有）。</w:t>
      </w:r>
    </w:p>
    <w:p w14:paraId="74292705">
      <w:pPr>
        <w:spacing w:line="500" w:lineRule="exact"/>
        <w:rPr>
          <w:rFonts w:ascii="宋体" w:hAnsi="宋体"/>
          <w:color w:val="auto"/>
          <w:highlight w:val="none"/>
        </w:rPr>
      </w:pPr>
      <w:r>
        <w:rPr>
          <w:rFonts w:hint="eastAsia" w:ascii="宋体" w:hAnsi="宋体"/>
          <w:b/>
          <w:color w:val="auto"/>
          <w:highlight w:val="none"/>
        </w:rPr>
        <w:t xml:space="preserve">项目名称：            </w:t>
      </w:r>
      <w:r>
        <w:rPr>
          <w:rFonts w:ascii="宋体" w:hAnsi="宋体"/>
          <w:b/>
          <w:color w:val="auto"/>
          <w:highlight w:val="none"/>
        </w:rPr>
        <w:t xml:space="preserve">               </w:t>
      </w:r>
      <w:r>
        <w:rPr>
          <w:rFonts w:hint="eastAsia" w:ascii="宋体" w:hAnsi="宋体"/>
          <w:b/>
          <w:color w:val="auto"/>
          <w:highlight w:val="none"/>
        </w:rPr>
        <w:t xml:space="preserve">项目编号：                      </w:t>
      </w:r>
    </w:p>
    <w:p w14:paraId="3A569569">
      <w:pPr>
        <w:spacing w:line="420" w:lineRule="exact"/>
        <w:ind w:firstLine="420" w:firstLineChars="200"/>
        <w:rPr>
          <w:rFonts w:ascii="宋体" w:hAnsi="宋体"/>
          <w:color w:val="auto"/>
          <w:highlight w:val="none"/>
        </w:rPr>
      </w:pPr>
      <w:r>
        <w:rPr>
          <w:rFonts w:hint="eastAsia" w:ascii="宋体" w:hAnsi="宋体"/>
          <w:color w:val="auto"/>
          <w:highlight w:val="none"/>
        </w:rPr>
        <w:t>我公司在此郑重承诺：若我公司有幸中标，在今后的售后服务中，我公司将严格按照下表中所列的优惠条件提供中标设备的备品备件。</w:t>
      </w:r>
    </w:p>
    <w:tbl>
      <w:tblPr>
        <w:tblStyle w:val="32"/>
        <w:tblW w:w="104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2"/>
        <w:gridCol w:w="1890"/>
        <w:gridCol w:w="1155"/>
        <w:gridCol w:w="945"/>
        <w:gridCol w:w="735"/>
        <w:gridCol w:w="735"/>
        <w:gridCol w:w="735"/>
        <w:gridCol w:w="2748"/>
      </w:tblGrid>
      <w:tr w14:paraId="28847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1542" w:type="dxa"/>
            <w:tcBorders>
              <w:top w:val="single" w:color="auto" w:sz="4" w:space="0"/>
              <w:left w:val="single" w:color="auto" w:sz="4" w:space="0"/>
              <w:bottom w:val="single" w:color="auto" w:sz="4" w:space="0"/>
              <w:right w:val="single" w:color="auto" w:sz="4" w:space="0"/>
            </w:tcBorders>
            <w:vAlign w:val="center"/>
          </w:tcPr>
          <w:p w14:paraId="024B8816">
            <w:pPr>
              <w:spacing w:line="300" w:lineRule="exact"/>
              <w:jc w:val="center"/>
              <w:rPr>
                <w:rFonts w:ascii="宋体" w:hAnsi="宋体"/>
                <w:b/>
                <w:bCs/>
                <w:color w:val="auto"/>
                <w:highlight w:val="none"/>
              </w:rPr>
            </w:pPr>
            <w:r>
              <w:rPr>
                <w:rFonts w:hint="eastAsia" w:ascii="宋体" w:hAnsi="宋体"/>
                <w:b/>
                <w:bCs/>
                <w:color w:val="auto"/>
                <w:highlight w:val="none"/>
              </w:rPr>
              <w:t>备品备件</w:t>
            </w:r>
          </w:p>
          <w:p w14:paraId="120D0AB3">
            <w:pPr>
              <w:spacing w:line="300" w:lineRule="exact"/>
              <w:jc w:val="center"/>
              <w:rPr>
                <w:rFonts w:ascii="宋体" w:hAnsi="宋体"/>
                <w:b/>
                <w:bCs/>
                <w:color w:val="auto"/>
                <w:highlight w:val="none"/>
              </w:rPr>
            </w:pPr>
            <w:r>
              <w:rPr>
                <w:rFonts w:hint="eastAsia" w:ascii="宋体" w:hAnsi="宋体"/>
                <w:b/>
                <w:bCs/>
                <w:color w:val="auto"/>
                <w:highlight w:val="none"/>
              </w:rPr>
              <w:t>名称</w:t>
            </w:r>
          </w:p>
        </w:tc>
        <w:tc>
          <w:tcPr>
            <w:tcW w:w="1890" w:type="dxa"/>
            <w:tcBorders>
              <w:top w:val="single" w:color="auto" w:sz="4" w:space="0"/>
              <w:left w:val="single" w:color="auto" w:sz="4" w:space="0"/>
              <w:bottom w:val="single" w:color="auto" w:sz="4" w:space="0"/>
              <w:right w:val="single" w:color="auto" w:sz="4" w:space="0"/>
            </w:tcBorders>
            <w:vAlign w:val="center"/>
          </w:tcPr>
          <w:p w14:paraId="0FEAF9F4">
            <w:pPr>
              <w:spacing w:line="300" w:lineRule="exact"/>
              <w:jc w:val="center"/>
              <w:rPr>
                <w:rFonts w:ascii="宋体" w:hAnsi="宋体"/>
                <w:b/>
                <w:bCs/>
                <w:color w:val="auto"/>
                <w:spacing w:val="-10"/>
                <w:highlight w:val="none"/>
              </w:rPr>
            </w:pPr>
            <w:r>
              <w:rPr>
                <w:rFonts w:hint="eastAsia" w:ascii="宋体" w:hAnsi="宋体"/>
                <w:b/>
                <w:bCs/>
                <w:color w:val="auto"/>
                <w:spacing w:val="-10"/>
                <w:highlight w:val="none"/>
              </w:rPr>
              <w:t>品牌、型号、规格</w:t>
            </w:r>
          </w:p>
        </w:tc>
        <w:tc>
          <w:tcPr>
            <w:tcW w:w="1155" w:type="dxa"/>
            <w:tcBorders>
              <w:top w:val="single" w:color="auto" w:sz="4" w:space="0"/>
              <w:left w:val="single" w:color="auto" w:sz="4" w:space="0"/>
              <w:bottom w:val="single" w:color="auto" w:sz="4" w:space="0"/>
              <w:right w:val="single" w:color="auto" w:sz="4" w:space="0"/>
            </w:tcBorders>
            <w:vAlign w:val="center"/>
          </w:tcPr>
          <w:p w14:paraId="45201B4C">
            <w:pPr>
              <w:spacing w:line="300" w:lineRule="exact"/>
              <w:jc w:val="center"/>
              <w:rPr>
                <w:rFonts w:ascii="宋体" w:hAnsi="宋体"/>
                <w:b/>
                <w:bCs/>
                <w:color w:val="auto"/>
                <w:highlight w:val="none"/>
              </w:rPr>
            </w:pPr>
            <w:r>
              <w:rPr>
                <w:rFonts w:hint="eastAsia" w:ascii="宋体" w:hAnsi="宋体"/>
                <w:b/>
                <w:bCs/>
                <w:color w:val="auto"/>
                <w:highlight w:val="none"/>
              </w:rPr>
              <w:t>技术</w:t>
            </w:r>
          </w:p>
          <w:p w14:paraId="29A0C94A">
            <w:pPr>
              <w:spacing w:line="300" w:lineRule="exact"/>
              <w:jc w:val="center"/>
              <w:rPr>
                <w:rFonts w:ascii="宋体" w:hAnsi="宋体"/>
                <w:b/>
                <w:bCs/>
                <w:color w:val="auto"/>
                <w:highlight w:val="none"/>
              </w:rPr>
            </w:pPr>
            <w:r>
              <w:rPr>
                <w:rFonts w:hint="eastAsia" w:ascii="宋体" w:hAnsi="宋体"/>
                <w:b/>
                <w:bCs/>
                <w:color w:val="auto"/>
                <w:highlight w:val="none"/>
              </w:rPr>
              <w:t>性能</w:t>
            </w:r>
          </w:p>
        </w:tc>
        <w:tc>
          <w:tcPr>
            <w:tcW w:w="945" w:type="dxa"/>
            <w:tcBorders>
              <w:top w:val="single" w:color="auto" w:sz="4" w:space="0"/>
              <w:left w:val="single" w:color="auto" w:sz="4" w:space="0"/>
              <w:bottom w:val="single" w:color="auto" w:sz="4" w:space="0"/>
              <w:right w:val="single" w:color="auto" w:sz="4" w:space="0"/>
            </w:tcBorders>
            <w:vAlign w:val="center"/>
          </w:tcPr>
          <w:p w14:paraId="5948B6D9">
            <w:pPr>
              <w:spacing w:line="300" w:lineRule="exact"/>
              <w:jc w:val="center"/>
              <w:rPr>
                <w:rFonts w:ascii="宋体" w:hAnsi="宋体"/>
                <w:b/>
                <w:bCs/>
                <w:color w:val="auto"/>
                <w:highlight w:val="none"/>
              </w:rPr>
            </w:pPr>
            <w:r>
              <w:rPr>
                <w:rFonts w:hint="eastAsia" w:ascii="宋体" w:hAnsi="宋体"/>
                <w:b/>
                <w:bCs/>
                <w:color w:val="auto"/>
                <w:highlight w:val="none"/>
              </w:rPr>
              <w:t>本次厂家报价</w:t>
            </w:r>
          </w:p>
        </w:tc>
        <w:tc>
          <w:tcPr>
            <w:tcW w:w="735" w:type="dxa"/>
            <w:tcBorders>
              <w:top w:val="single" w:color="auto" w:sz="4" w:space="0"/>
              <w:left w:val="single" w:color="auto" w:sz="4" w:space="0"/>
              <w:bottom w:val="single" w:color="auto" w:sz="4" w:space="0"/>
              <w:right w:val="single" w:color="auto" w:sz="4" w:space="0"/>
            </w:tcBorders>
            <w:vAlign w:val="center"/>
          </w:tcPr>
          <w:p w14:paraId="16CCBDF4">
            <w:pPr>
              <w:spacing w:line="300" w:lineRule="exact"/>
              <w:jc w:val="center"/>
              <w:rPr>
                <w:rFonts w:ascii="宋体" w:hAnsi="宋体"/>
                <w:b/>
                <w:bCs/>
                <w:color w:val="auto"/>
                <w:highlight w:val="none"/>
              </w:rPr>
            </w:pPr>
            <w:r>
              <w:rPr>
                <w:rFonts w:hint="eastAsia" w:ascii="宋体" w:hAnsi="宋体"/>
                <w:b/>
                <w:bCs/>
                <w:color w:val="auto"/>
                <w:highlight w:val="none"/>
              </w:rPr>
              <w:t>数量</w:t>
            </w:r>
          </w:p>
          <w:p w14:paraId="3BFD8A48">
            <w:pPr>
              <w:spacing w:line="300" w:lineRule="exact"/>
              <w:jc w:val="center"/>
              <w:rPr>
                <w:rFonts w:ascii="宋体" w:hAnsi="宋体"/>
                <w:b/>
                <w:bCs/>
                <w:color w:val="auto"/>
                <w:highlight w:val="none"/>
              </w:rPr>
            </w:pPr>
            <w:r>
              <w:rPr>
                <w:rFonts w:hint="eastAsia" w:ascii="宋体" w:hAnsi="宋体"/>
                <w:b/>
                <w:bCs/>
                <w:color w:val="auto"/>
                <w:highlight w:val="none"/>
              </w:rPr>
              <w:t>单位</w:t>
            </w:r>
          </w:p>
        </w:tc>
        <w:tc>
          <w:tcPr>
            <w:tcW w:w="735" w:type="dxa"/>
            <w:tcBorders>
              <w:top w:val="single" w:color="auto" w:sz="4" w:space="0"/>
              <w:left w:val="single" w:color="auto" w:sz="4" w:space="0"/>
              <w:bottom w:val="single" w:color="auto" w:sz="4" w:space="0"/>
              <w:right w:val="single" w:color="auto" w:sz="4" w:space="0"/>
            </w:tcBorders>
            <w:vAlign w:val="center"/>
          </w:tcPr>
          <w:p w14:paraId="3C7B1982">
            <w:pPr>
              <w:spacing w:line="300" w:lineRule="exact"/>
              <w:jc w:val="center"/>
              <w:rPr>
                <w:rFonts w:ascii="宋体" w:hAnsi="宋体"/>
                <w:b/>
                <w:bCs/>
                <w:color w:val="auto"/>
                <w:highlight w:val="none"/>
              </w:rPr>
            </w:pPr>
            <w:r>
              <w:rPr>
                <w:rFonts w:hint="eastAsia" w:ascii="宋体" w:hAnsi="宋体"/>
                <w:b/>
                <w:bCs/>
                <w:color w:val="auto"/>
                <w:highlight w:val="none"/>
              </w:rPr>
              <w:t>优惠</w:t>
            </w:r>
          </w:p>
          <w:p w14:paraId="6D6F5C19">
            <w:pPr>
              <w:spacing w:line="300" w:lineRule="exact"/>
              <w:jc w:val="center"/>
              <w:rPr>
                <w:rFonts w:ascii="宋体" w:hAnsi="宋体"/>
                <w:b/>
                <w:bCs/>
                <w:color w:val="auto"/>
                <w:highlight w:val="none"/>
              </w:rPr>
            </w:pPr>
            <w:r>
              <w:rPr>
                <w:rFonts w:hint="eastAsia" w:ascii="宋体" w:hAnsi="宋体"/>
                <w:b/>
                <w:bCs/>
                <w:color w:val="auto"/>
                <w:highlight w:val="none"/>
              </w:rPr>
              <w:t>比例</w:t>
            </w:r>
          </w:p>
        </w:tc>
        <w:tc>
          <w:tcPr>
            <w:tcW w:w="735" w:type="dxa"/>
            <w:tcBorders>
              <w:top w:val="single" w:color="auto" w:sz="4" w:space="0"/>
              <w:left w:val="single" w:color="auto" w:sz="4" w:space="0"/>
              <w:bottom w:val="single" w:color="auto" w:sz="4" w:space="0"/>
              <w:right w:val="single" w:color="auto" w:sz="4" w:space="0"/>
            </w:tcBorders>
            <w:vAlign w:val="center"/>
          </w:tcPr>
          <w:p w14:paraId="38658FA2">
            <w:pPr>
              <w:spacing w:line="300" w:lineRule="exact"/>
              <w:jc w:val="center"/>
              <w:rPr>
                <w:rFonts w:ascii="宋体" w:hAnsi="宋体"/>
                <w:b/>
                <w:bCs/>
                <w:color w:val="auto"/>
                <w:highlight w:val="none"/>
              </w:rPr>
            </w:pPr>
            <w:r>
              <w:rPr>
                <w:rFonts w:hint="eastAsia" w:ascii="宋体" w:hAnsi="宋体"/>
                <w:b/>
                <w:bCs/>
                <w:color w:val="auto"/>
                <w:highlight w:val="none"/>
              </w:rPr>
              <w:t>实际单价</w:t>
            </w:r>
          </w:p>
        </w:tc>
        <w:tc>
          <w:tcPr>
            <w:tcW w:w="2748" w:type="dxa"/>
            <w:tcBorders>
              <w:top w:val="single" w:color="auto" w:sz="4" w:space="0"/>
              <w:left w:val="single" w:color="auto" w:sz="4" w:space="0"/>
              <w:bottom w:val="single" w:color="auto" w:sz="4" w:space="0"/>
              <w:right w:val="single" w:color="auto" w:sz="4" w:space="0"/>
            </w:tcBorders>
            <w:vAlign w:val="center"/>
          </w:tcPr>
          <w:p w14:paraId="7F84AC60">
            <w:pPr>
              <w:spacing w:line="300" w:lineRule="exact"/>
              <w:jc w:val="center"/>
              <w:rPr>
                <w:rFonts w:ascii="宋体" w:hAnsi="宋体"/>
                <w:b/>
                <w:bCs/>
                <w:color w:val="auto"/>
                <w:highlight w:val="none"/>
              </w:rPr>
            </w:pPr>
            <w:r>
              <w:rPr>
                <w:rFonts w:hint="eastAsia" w:ascii="宋体" w:hAnsi="宋体"/>
                <w:b/>
                <w:bCs/>
                <w:color w:val="auto"/>
                <w:highlight w:val="none"/>
              </w:rPr>
              <w:t>备注</w:t>
            </w:r>
          </w:p>
          <w:p w14:paraId="65763F63">
            <w:pPr>
              <w:spacing w:line="300" w:lineRule="exact"/>
              <w:jc w:val="center"/>
              <w:rPr>
                <w:rFonts w:ascii="宋体" w:hAnsi="宋体"/>
                <w:b/>
                <w:bCs/>
                <w:color w:val="auto"/>
                <w:highlight w:val="none"/>
              </w:rPr>
            </w:pPr>
            <w:r>
              <w:rPr>
                <w:rFonts w:hint="eastAsia" w:ascii="宋体" w:hAnsi="宋体"/>
                <w:b/>
                <w:bCs/>
                <w:color w:val="auto"/>
                <w:highlight w:val="none"/>
              </w:rPr>
              <w:t>（是否已含在总报价中）</w:t>
            </w:r>
          </w:p>
        </w:tc>
      </w:tr>
      <w:tr w14:paraId="301B8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42" w:type="dxa"/>
            <w:tcBorders>
              <w:top w:val="single" w:color="auto" w:sz="4" w:space="0"/>
              <w:left w:val="single" w:color="auto" w:sz="4" w:space="0"/>
              <w:bottom w:val="single" w:color="auto" w:sz="4" w:space="0"/>
              <w:right w:val="single" w:color="auto" w:sz="4" w:space="0"/>
            </w:tcBorders>
            <w:vAlign w:val="center"/>
          </w:tcPr>
          <w:p w14:paraId="074F9139">
            <w:pPr>
              <w:spacing w:line="420" w:lineRule="exact"/>
              <w:ind w:firstLine="200"/>
              <w:rPr>
                <w:rFonts w:ascii="宋体" w:hAnsi="宋体"/>
                <w:color w:val="auto"/>
                <w:highlight w:val="none"/>
              </w:rPr>
            </w:pPr>
          </w:p>
        </w:tc>
        <w:tc>
          <w:tcPr>
            <w:tcW w:w="1890" w:type="dxa"/>
            <w:tcBorders>
              <w:top w:val="single" w:color="auto" w:sz="4" w:space="0"/>
              <w:left w:val="single" w:color="auto" w:sz="4" w:space="0"/>
              <w:bottom w:val="single" w:color="auto" w:sz="4" w:space="0"/>
              <w:right w:val="single" w:color="auto" w:sz="4" w:space="0"/>
            </w:tcBorders>
            <w:vAlign w:val="center"/>
          </w:tcPr>
          <w:p w14:paraId="239D2DE0">
            <w:pPr>
              <w:spacing w:line="420" w:lineRule="exact"/>
              <w:ind w:firstLine="200"/>
              <w:rPr>
                <w:rFonts w:ascii="宋体" w:hAnsi="宋体"/>
                <w:color w:val="auto"/>
                <w:highlight w:val="none"/>
              </w:rPr>
            </w:pPr>
          </w:p>
        </w:tc>
        <w:tc>
          <w:tcPr>
            <w:tcW w:w="1155" w:type="dxa"/>
            <w:tcBorders>
              <w:top w:val="single" w:color="auto" w:sz="4" w:space="0"/>
              <w:left w:val="single" w:color="auto" w:sz="4" w:space="0"/>
              <w:bottom w:val="single" w:color="auto" w:sz="4" w:space="0"/>
              <w:right w:val="single" w:color="auto" w:sz="4" w:space="0"/>
            </w:tcBorders>
            <w:vAlign w:val="center"/>
          </w:tcPr>
          <w:p w14:paraId="05ACD404">
            <w:pPr>
              <w:spacing w:line="420" w:lineRule="exact"/>
              <w:ind w:firstLine="200"/>
              <w:rPr>
                <w:rFonts w:ascii="宋体" w:hAnsi="宋体"/>
                <w:color w:val="auto"/>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285FD598">
            <w:pPr>
              <w:spacing w:line="420" w:lineRule="exact"/>
              <w:ind w:firstLine="200"/>
              <w:rPr>
                <w:rFonts w:ascii="宋体" w:hAnsi="宋体"/>
                <w:color w:val="auto"/>
                <w:highlight w:val="none"/>
              </w:rPr>
            </w:pPr>
          </w:p>
        </w:tc>
        <w:tc>
          <w:tcPr>
            <w:tcW w:w="735" w:type="dxa"/>
            <w:tcBorders>
              <w:top w:val="single" w:color="auto" w:sz="4" w:space="0"/>
              <w:left w:val="single" w:color="auto" w:sz="4" w:space="0"/>
              <w:bottom w:val="single" w:color="auto" w:sz="4" w:space="0"/>
              <w:right w:val="single" w:color="auto" w:sz="4" w:space="0"/>
            </w:tcBorders>
            <w:vAlign w:val="center"/>
          </w:tcPr>
          <w:p w14:paraId="71AAA4C6">
            <w:pPr>
              <w:spacing w:line="420" w:lineRule="exact"/>
              <w:ind w:firstLine="200"/>
              <w:rPr>
                <w:rFonts w:ascii="宋体" w:hAnsi="宋体"/>
                <w:color w:val="auto"/>
                <w:highlight w:val="none"/>
              </w:rPr>
            </w:pPr>
          </w:p>
        </w:tc>
        <w:tc>
          <w:tcPr>
            <w:tcW w:w="735" w:type="dxa"/>
            <w:tcBorders>
              <w:top w:val="single" w:color="auto" w:sz="4" w:space="0"/>
              <w:left w:val="single" w:color="auto" w:sz="4" w:space="0"/>
              <w:bottom w:val="single" w:color="auto" w:sz="4" w:space="0"/>
              <w:right w:val="single" w:color="auto" w:sz="4" w:space="0"/>
            </w:tcBorders>
            <w:vAlign w:val="center"/>
          </w:tcPr>
          <w:p w14:paraId="7D5D4E38">
            <w:pPr>
              <w:spacing w:line="420" w:lineRule="exact"/>
              <w:ind w:firstLine="200"/>
              <w:rPr>
                <w:rFonts w:ascii="宋体" w:hAnsi="宋体"/>
                <w:color w:val="auto"/>
                <w:highlight w:val="none"/>
              </w:rPr>
            </w:pPr>
            <w:r>
              <w:rPr>
                <w:rFonts w:ascii="宋体" w:hAnsi="宋体"/>
                <w:color w:val="auto"/>
                <w:highlight w:val="none"/>
              </w:rPr>
              <w:t>%</w:t>
            </w:r>
          </w:p>
        </w:tc>
        <w:tc>
          <w:tcPr>
            <w:tcW w:w="735" w:type="dxa"/>
            <w:tcBorders>
              <w:top w:val="single" w:color="auto" w:sz="4" w:space="0"/>
              <w:left w:val="single" w:color="auto" w:sz="4" w:space="0"/>
              <w:bottom w:val="single" w:color="auto" w:sz="4" w:space="0"/>
              <w:right w:val="single" w:color="auto" w:sz="4" w:space="0"/>
            </w:tcBorders>
            <w:vAlign w:val="center"/>
          </w:tcPr>
          <w:p w14:paraId="6CB50E3C">
            <w:pPr>
              <w:spacing w:line="420" w:lineRule="exact"/>
              <w:ind w:firstLine="200"/>
              <w:rPr>
                <w:rFonts w:ascii="宋体" w:hAnsi="宋体"/>
                <w:color w:val="auto"/>
                <w:highlight w:val="none"/>
              </w:rPr>
            </w:pPr>
          </w:p>
        </w:tc>
        <w:tc>
          <w:tcPr>
            <w:tcW w:w="2748" w:type="dxa"/>
            <w:tcBorders>
              <w:top w:val="single" w:color="auto" w:sz="4" w:space="0"/>
              <w:left w:val="single" w:color="auto" w:sz="4" w:space="0"/>
              <w:bottom w:val="single" w:color="auto" w:sz="4" w:space="0"/>
              <w:right w:val="single" w:color="auto" w:sz="4" w:space="0"/>
            </w:tcBorders>
            <w:vAlign w:val="center"/>
          </w:tcPr>
          <w:p w14:paraId="6579317B">
            <w:pPr>
              <w:spacing w:line="420" w:lineRule="exact"/>
              <w:ind w:firstLine="200"/>
              <w:rPr>
                <w:rFonts w:ascii="宋体" w:hAnsi="宋体"/>
                <w:color w:val="auto"/>
                <w:highlight w:val="none"/>
              </w:rPr>
            </w:pPr>
          </w:p>
        </w:tc>
      </w:tr>
      <w:tr w14:paraId="12AB6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42" w:type="dxa"/>
            <w:tcBorders>
              <w:top w:val="single" w:color="auto" w:sz="4" w:space="0"/>
              <w:left w:val="single" w:color="auto" w:sz="4" w:space="0"/>
              <w:bottom w:val="single" w:color="auto" w:sz="4" w:space="0"/>
              <w:right w:val="single" w:color="auto" w:sz="4" w:space="0"/>
            </w:tcBorders>
            <w:vAlign w:val="center"/>
          </w:tcPr>
          <w:p w14:paraId="390C7003">
            <w:pPr>
              <w:spacing w:line="420" w:lineRule="exact"/>
              <w:ind w:firstLine="200"/>
              <w:rPr>
                <w:rFonts w:ascii="宋体" w:hAnsi="宋体"/>
                <w:color w:val="auto"/>
                <w:highlight w:val="none"/>
              </w:rPr>
            </w:pPr>
          </w:p>
        </w:tc>
        <w:tc>
          <w:tcPr>
            <w:tcW w:w="1890" w:type="dxa"/>
            <w:tcBorders>
              <w:top w:val="single" w:color="auto" w:sz="4" w:space="0"/>
              <w:left w:val="single" w:color="auto" w:sz="4" w:space="0"/>
              <w:bottom w:val="single" w:color="auto" w:sz="4" w:space="0"/>
              <w:right w:val="single" w:color="auto" w:sz="4" w:space="0"/>
            </w:tcBorders>
            <w:vAlign w:val="center"/>
          </w:tcPr>
          <w:p w14:paraId="5C1FCDAA">
            <w:pPr>
              <w:spacing w:line="420" w:lineRule="exact"/>
              <w:ind w:firstLine="200"/>
              <w:rPr>
                <w:rFonts w:ascii="宋体" w:hAnsi="宋体"/>
                <w:color w:val="auto"/>
                <w:highlight w:val="none"/>
              </w:rPr>
            </w:pPr>
          </w:p>
        </w:tc>
        <w:tc>
          <w:tcPr>
            <w:tcW w:w="1155" w:type="dxa"/>
            <w:tcBorders>
              <w:top w:val="single" w:color="auto" w:sz="4" w:space="0"/>
              <w:left w:val="single" w:color="auto" w:sz="4" w:space="0"/>
              <w:bottom w:val="single" w:color="auto" w:sz="4" w:space="0"/>
              <w:right w:val="single" w:color="auto" w:sz="4" w:space="0"/>
            </w:tcBorders>
            <w:vAlign w:val="center"/>
          </w:tcPr>
          <w:p w14:paraId="775D504F">
            <w:pPr>
              <w:spacing w:line="420" w:lineRule="exact"/>
              <w:ind w:firstLine="200"/>
              <w:rPr>
                <w:rFonts w:ascii="宋体" w:hAnsi="宋体"/>
                <w:color w:val="auto"/>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4B6F5106">
            <w:pPr>
              <w:spacing w:line="420" w:lineRule="exact"/>
              <w:ind w:firstLine="200"/>
              <w:rPr>
                <w:rFonts w:ascii="宋体" w:hAnsi="宋体"/>
                <w:color w:val="auto"/>
                <w:highlight w:val="none"/>
              </w:rPr>
            </w:pPr>
          </w:p>
        </w:tc>
        <w:tc>
          <w:tcPr>
            <w:tcW w:w="735" w:type="dxa"/>
            <w:tcBorders>
              <w:top w:val="single" w:color="auto" w:sz="4" w:space="0"/>
              <w:left w:val="single" w:color="auto" w:sz="4" w:space="0"/>
              <w:bottom w:val="single" w:color="auto" w:sz="4" w:space="0"/>
              <w:right w:val="single" w:color="auto" w:sz="4" w:space="0"/>
            </w:tcBorders>
            <w:vAlign w:val="center"/>
          </w:tcPr>
          <w:p w14:paraId="05D2A0F4">
            <w:pPr>
              <w:spacing w:line="420" w:lineRule="exact"/>
              <w:ind w:firstLine="200"/>
              <w:rPr>
                <w:rFonts w:ascii="宋体" w:hAnsi="宋体"/>
                <w:color w:val="auto"/>
                <w:highlight w:val="none"/>
              </w:rPr>
            </w:pPr>
          </w:p>
        </w:tc>
        <w:tc>
          <w:tcPr>
            <w:tcW w:w="735" w:type="dxa"/>
            <w:tcBorders>
              <w:top w:val="single" w:color="auto" w:sz="4" w:space="0"/>
              <w:left w:val="single" w:color="auto" w:sz="4" w:space="0"/>
              <w:bottom w:val="single" w:color="auto" w:sz="4" w:space="0"/>
              <w:right w:val="single" w:color="auto" w:sz="4" w:space="0"/>
            </w:tcBorders>
            <w:vAlign w:val="center"/>
          </w:tcPr>
          <w:p w14:paraId="250D9F1A">
            <w:pPr>
              <w:spacing w:line="420" w:lineRule="exact"/>
              <w:ind w:firstLine="200"/>
              <w:rPr>
                <w:rFonts w:ascii="宋体" w:hAnsi="宋体"/>
                <w:color w:val="auto"/>
                <w:highlight w:val="none"/>
              </w:rPr>
            </w:pPr>
            <w:r>
              <w:rPr>
                <w:rFonts w:ascii="宋体" w:hAnsi="宋体"/>
                <w:color w:val="auto"/>
                <w:highlight w:val="none"/>
              </w:rPr>
              <w:t>%</w:t>
            </w:r>
          </w:p>
        </w:tc>
        <w:tc>
          <w:tcPr>
            <w:tcW w:w="735" w:type="dxa"/>
            <w:tcBorders>
              <w:top w:val="single" w:color="auto" w:sz="4" w:space="0"/>
              <w:left w:val="single" w:color="auto" w:sz="4" w:space="0"/>
              <w:bottom w:val="single" w:color="auto" w:sz="4" w:space="0"/>
              <w:right w:val="single" w:color="auto" w:sz="4" w:space="0"/>
            </w:tcBorders>
            <w:vAlign w:val="center"/>
          </w:tcPr>
          <w:p w14:paraId="111E0B6A">
            <w:pPr>
              <w:spacing w:line="420" w:lineRule="exact"/>
              <w:ind w:firstLine="200"/>
              <w:rPr>
                <w:rFonts w:ascii="宋体" w:hAnsi="宋体"/>
                <w:color w:val="auto"/>
                <w:highlight w:val="none"/>
              </w:rPr>
            </w:pPr>
          </w:p>
        </w:tc>
        <w:tc>
          <w:tcPr>
            <w:tcW w:w="2748" w:type="dxa"/>
            <w:tcBorders>
              <w:top w:val="single" w:color="auto" w:sz="4" w:space="0"/>
              <w:left w:val="single" w:color="auto" w:sz="4" w:space="0"/>
              <w:bottom w:val="single" w:color="auto" w:sz="4" w:space="0"/>
              <w:right w:val="single" w:color="auto" w:sz="4" w:space="0"/>
            </w:tcBorders>
            <w:vAlign w:val="center"/>
          </w:tcPr>
          <w:p w14:paraId="1BAADFD7">
            <w:pPr>
              <w:spacing w:line="420" w:lineRule="exact"/>
              <w:ind w:firstLine="200"/>
              <w:rPr>
                <w:rFonts w:ascii="宋体" w:hAnsi="宋体"/>
                <w:color w:val="auto"/>
                <w:highlight w:val="none"/>
              </w:rPr>
            </w:pPr>
          </w:p>
        </w:tc>
      </w:tr>
      <w:tr w14:paraId="623A9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42" w:type="dxa"/>
            <w:tcBorders>
              <w:top w:val="single" w:color="auto" w:sz="4" w:space="0"/>
              <w:left w:val="single" w:color="auto" w:sz="4" w:space="0"/>
              <w:bottom w:val="single" w:color="auto" w:sz="4" w:space="0"/>
              <w:right w:val="single" w:color="auto" w:sz="4" w:space="0"/>
            </w:tcBorders>
            <w:vAlign w:val="center"/>
          </w:tcPr>
          <w:p w14:paraId="0ACBD5EA">
            <w:pPr>
              <w:spacing w:line="420" w:lineRule="exact"/>
              <w:ind w:firstLine="200"/>
              <w:rPr>
                <w:rFonts w:ascii="宋体" w:hAnsi="宋体"/>
                <w:color w:val="auto"/>
                <w:highlight w:val="none"/>
              </w:rPr>
            </w:pPr>
          </w:p>
        </w:tc>
        <w:tc>
          <w:tcPr>
            <w:tcW w:w="1890" w:type="dxa"/>
            <w:tcBorders>
              <w:top w:val="single" w:color="auto" w:sz="4" w:space="0"/>
              <w:left w:val="single" w:color="auto" w:sz="4" w:space="0"/>
              <w:bottom w:val="single" w:color="auto" w:sz="4" w:space="0"/>
              <w:right w:val="single" w:color="auto" w:sz="4" w:space="0"/>
            </w:tcBorders>
            <w:vAlign w:val="center"/>
          </w:tcPr>
          <w:p w14:paraId="6EDB8AD0">
            <w:pPr>
              <w:spacing w:line="420" w:lineRule="exact"/>
              <w:ind w:firstLine="200"/>
              <w:rPr>
                <w:rFonts w:ascii="宋体" w:hAnsi="宋体"/>
                <w:color w:val="auto"/>
                <w:highlight w:val="none"/>
              </w:rPr>
            </w:pPr>
          </w:p>
        </w:tc>
        <w:tc>
          <w:tcPr>
            <w:tcW w:w="1155" w:type="dxa"/>
            <w:tcBorders>
              <w:top w:val="single" w:color="auto" w:sz="4" w:space="0"/>
              <w:left w:val="single" w:color="auto" w:sz="4" w:space="0"/>
              <w:bottom w:val="single" w:color="auto" w:sz="4" w:space="0"/>
              <w:right w:val="single" w:color="auto" w:sz="4" w:space="0"/>
            </w:tcBorders>
            <w:vAlign w:val="center"/>
          </w:tcPr>
          <w:p w14:paraId="6BAF6174">
            <w:pPr>
              <w:spacing w:line="420" w:lineRule="exact"/>
              <w:ind w:firstLine="200"/>
              <w:rPr>
                <w:rFonts w:ascii="宋体" w:hAnsi="宋体"/>
                <w:color w:val="auto"/>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19902294">
            <w:pPr>
              <w:spacing w:line="420" w:lineRule="exact"/>
              <w:ind w:firstLine="200"/>
              <w:rPr>
                <w:rFonts w:ascii="宋体" w:hAnsi="宋体"/>
                <w:color w:val="auto"/>
                <w:highlight w:val="none"/>
              </w:rPr>
            </w:pPr>
          </w:p>
        </w:tc>
        <w:tc>
          <w:tcPr>
            <w:tcW w:w="735" w:type="dxa"/>
            <w:tcBorders>
              <w:top w:val="single" w:color="auto" w:sz="4" w:space="0"/>
              <w:left w:val="single" w:color="auto" w:sz="4" w:space="0"/>
              <w:bottom w:val="single" w:color="auto" w:sz="4" w:space="0"/>
              <w:right w:val="single" w:color="auto" w:sz="4" w:space="0"/>
            </w:tcBorders>
            <w:vAlign w:val="center"/>
          </w:tcPr>
          <w:p w14:paraId="0C2C8B18">
            <w:pPr>
              <w:spacing w:line="420" w:lineRule="exact"/>
              <w:ind w:firstLine="200"/>
              <w:rPr>
                <w:rFonts w:ascii="宋体" w:hAnsi="宋体"/>
                <w:color w:val="auto"/>
                <w:highlight w:val="none"/>
              </w:rPr>
            </w:pPr>
          </w:p>
        </w:tc>
        <w:tc>
          <w:tcPr>
            <w:tcW w:w="735" w:type="dxa"/>
            <w:tcBorders>
              <w:top w:val="single" w:color="auto" w:sz="4" w:space="0"/>
              <w:left w:val="single" w:color="auto" w:sz="4" w:space="0"/>
              <w:bottom w:val="single" w:color="auto" w:sz="4" w:space="0"/>
              <w:right w:val="single" w:color="auto" w:sz="4" w:space="0"/>
            </w:tcBorders>
            <w:vAlign w:val="center"/>
          </w:tcPr>
          <w:p w14:paraId="679D417C">
            <w:pPr>
              <w:spacing w:line="420" w:lineRule="exact"/>
              <w:ind w:firstLine="200"/>
              <w:rPr>
                <w:rFonts w:ascii="宋体" w:hAnsi="宋体"/>
                <w:color w:val="auto"/>
                <w:highlight w:val="none"/>
              </w:rPr>
            </w:pPr>
            <w:r>
              <w:rPr>
                <w:rFonts w:ascii="宋体" w:hAnsi="宋体"/>
                <w:color w:val="auto"/>
                <w:highlight w:val="none"/>
              </w:rPr>
              <w:t>%</w:t>
            </w:r>
          </w:p>
        </w:tc>
        <w:tc>
          <w:tcPr>
            <w:tcW w:w="735" w:type="dxa"/>
            <w:tcBorders>
              <w:top w:val="single" w:color="auto" w:sz="4" w:space="0"/>
              <w:left w:val="single" w:color="auto" w:sz="4" w:space="0"/>
              <w:bottom w:val="single" w:color="auto" w:sz="4" w:space="0"/>
              <w:right w:val="single" w:color="auto" w:sz="4" w:space="0"/>
            </w:tcBorders>
            <w:vAlign w:val="center"/>
          </w:tcPr>
          <w:p w14:paraId="361450A3">
            <w:pPr>
              <w:spacing w:line="420" w:lineRule="exact"/>
              <w:ind w:firstLine="200"/>
              <w:rPr>
                <w:rFonts w:ascii="宋体" w:hAnsi="宋体"/>
                <w:color w:val="auto"/>
                <w:highlight w:val="none"/>
              </w:rPr>
            </w:pPr>
          </w:p>
        </w:tc>
        <w:tc>
          <w:tcPr>
            <w:tcW w:w="2748" w:type="dxa"/>
            <w:tcBorders>
              <w:top w:val="single" w:color="auto" w:sz="4" w:space="0"/>
              <w:left w:val="single" w:color="auto" w:sz="4" w:space="0"/>
              <w:bottom w:val="single" w:color="auto" w:sz="4" w:space="0"/>
              <w:right w:val="single" w:color="auto" w:sz="4" w:space="0"/>
            </w:tcBorders>
            <w:vAlign w:val="center"/>
          </w:tcPr>
          <w:p w14:paraId="4EE28009">
            <w:pPr>
              <w:spacing w:line="420" w:lineRule="exact"/>
              <w:ind w:firstLine="200"/>
              <w:rPr>
                <w:rFonts w:ascii="宋体" w:hAnsi="宋体"/>
                <w:color w:val="auto"/>
                <w:highlight w:val="none"/>
              </w:rPr>
            </w:pPr>
          </w:p>
        </w:tc>
      </w:tr>
      <w:tr w14:paraId="21AAD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42" w:type="dxa"/>
            <w:tcBorders>
              <w:top w:val="single" w:color="auto" w:sz="4" w:space="0"/>
              <w:left w:val="single" w:color="auto" w:sz="4" w:space="0"/>
              <w:bottom w:val="single" w:color="auto" w:sz="4" w:space="0"/>
              <w:right w:val="single" w:color="auto" w:sz="4" w:space="0"/>
            </w:tcBorders>
            <w:vAlign w:val="center"/>
          </w:tcPr>
          <w:p w14:paraId="0E2A1B72">
            <w:pPr>
              <w:spacing w:line="420" w:lineRule="exact"/>
              <w:ind w:firstLine="200"/>
              <w:rPr>
                <w:rFonts w:ascii="宋体" w:hAnsi="宋体"/>
                <w:color w:val="auto"/>
                <w:highlight w:val="none"/>
              </w:rPr>
            </w:pPr>
          </w:p>
        </w:tc>
        <w:tc>
          <w:tcPr>
            <w:tcW w:w="1890" w:type="dxa"/>
            <w:tcBorders>
              <w:top w:val="single" w:color="auto" w:sz="4" w:space="0"/>
              <w:left w:val="single" w:color="auto" w:sz="4" w:space="0"/>
              <w:bottom w:val="single" w:color="auto" w:sz="4" w:space="0"/>
              <w:right w:val="single" w:color="auto" w:sz="4" w:space="0"/>
            </w:tcBorders>
            <w:vAlign w:val="center"/>
          </w:tcPr>
          <w:p w14:paraId="0BC3755B">
            <w:pPr>
              <w:spacing w:line="420" w:lineRule="exact"/>
              <w:ind w:firstLine="200"/>
              <w:rPr>
                <w:rFonts w:ascii="宋体" w:hAnsi="宋体"/>
                <w:color w:val="auto"/>
                <w:highlight w:val="none"/>
              </w:rPr>
            </w:pPr>
          </w:p>
        </w:tc>
        <w:tc>
          <w:tcPr>
            <w:tcW w:w="1155" w:type="dxa"/>
            <w:tcBorders>
              <w:top w:val="single" w:color="auto" w:sz="4" w:space="0"/>
              <w:left w:val="single" w:color="auto" w:sz="4" w:space="0"/>
              <w:bottom w:val="single" w:color="auto" w:sz="4" w:space="0"/>
              <w:right w:val="single" w:color="auto" w:sz="4" w:space="0"/>
            </w:tcBorders>
            <w:vAlign w:val="center"/>
          </w:tcPr>
          <w:p w14:paraId="0DAAE49D">
            <w:pPr>
              <w:spacing w:line="420" w:lineRule="exact"/>
              <w:ind w:firstLine="200"/>
              <w:rPr>
                <w:rFonts w:ascii="宋体" w:hAnsi="宋体"/>
                <w:color w:val="auto"/>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27985DAF">
            <w:pPr>
              <w:spacing w:line="420" w:lineRule="exact"/>
              <w:ind w:firstLine="200"/>
              <w:rPr>
                <w:rFonts w:ascii="宋体" w:hAnsi="宋体"/>
                <w:color w:val="auto"/>
                <w:highlight w:val="none"/>
              </w:rPr>
            </w:pPr>
          </w:p>
        </w:tc>
        <w:tc>
          <w:tcPr>
            <w:tcW w:w="735" w:type="dxa"/>
            <w:tcBorders>
              <w:top w:val="single" w:color="auto" w:sz="4" w:space="0"/>
              <w:left w:val="single" w:color="auto" w:sz="4" w:space="0"/>
              <w:bottom w:val="single" w:color="auto" w:sz="4" w:space="0"/>
              <w:right w:val="single" w:color="auto" w:sz="4" w:space="0"/>
            </w:tcBorders>
            <w:vAlign w:val="center"/>
          </w:tcPr>
          <w:p w14:paraId="5B39C09D">
            <w:pPr>
              <w:spacing w:line="420" w:lineRule="exact"/>
              <w:ind w:firstLine="200"/>
              <w:rPr>
                <w:rFonts w:ascii="宋体" w:hAnsi="宋体"/>
                <w:color w:val="auto"/>
                <w:highlight w:val="none"/>
              </w:rPr>
            </w:pPr>
          </w:p>
        </w:tc>
        <w:tc>
          <w:tcPr>
            <w:tcW w:w="735" w:type="dxa"/>
            <w:tcBorders>
              <w:top w:val="single" w:color="auto" w:sz="4" w:space="0"/>
              <w:left w:val="single" w:color="auto" w:sz="4" w:space="0"/>
              <w:bottom w:val="single" w:color="auto" w:sz="4" w:space="0"/>
              <w:right w:val="single" w:color="auto" w:sz="4" w:space="0"/>
            </w:tcBorders>
            <w:vAlign w:val="center"/>
          </w:tcPr>
          <w:p w14:paraId="644A2BAE">
            <w:pPr>
              <w:spacing w:line="420" w:lineRule="exact"/>
              <w:ind w:firstLine="200"/>
              <w:rPr>
                <w:rFonts w:ascii="宋体" w:hAnsi="宋体"/>
                <w:color w:val="auto"/>
                <w:highlight w:val="none"/>
              </w:rPr>
            </w:pPr>
            <w:r>
              <w:rPr>
                <w:rFonts w:ascii="宋体" w:hAnsi="宋体"/>
                <w:color w:val="auto"/>
                <w:highlight w:val="none"/>
              </w:rPr>
              <w:t>%</w:t>
            </w:r>
          </w:p>
        </w:tc>
        <w:tc>
          <w:tcPr>
            <w:tcW w:w="735" w:type="dxa"/>
            <w:tcBorders>
              <w:top w:val="single" w:color="auto" w:sz="4" w:space="0"/>
              <w:left w:val="single" w:color="auto" w:sz="4" w:space="0"/>
              <w:bottom w:val="single" w:color="auto" w:sz="4" w:space="0"/>
              <w:right w:val="single" w:color="auto" w:sz="4" w:space="0"/>
            </w:tcBorders>
            <w:vAlign w:val="center"/>
          </w:tcPr>
          <w:p w14:paraId="4CF074A7">
            <w:pPr>
              <w:spacing w:line="420" w:lineRule="exact"/>
              <w:ind w:firstLine="200"/>
              <w:rPr>
                <w:rFonts w:ascii="宋体" w:hAnsi="宋体"/>
                <w:color w:val="auto"/>
                <w:highlight w:val="none"/>
              </w:rPr>
            </w:pPr>
          </w:p>
        </w:tc>
        <w:tc>
          <w:tcPr>
            <w:tcW w:w="2748" w:type="dxa"/>
            <w:tcBorders>
              <w:top w:val="single" w:color="auto" w:sz="4" w:space="0"/>
              <w:left w:val="single" w:color="auto" w:sz="4" w:space="0"/>
              <w:bottom w:val="single" w:color="auto" w:sz="4" w:space="0"/>
              <w:right w:val="single" w:color="auto" w:sz="4" w:space="0"/>
            </w:tcBorders>
            <w:vAlign w:val="center"/>
          </w:tcPr>
          <w:p w14:paraId="1642DEF9">
            <w:pPr>
              <w:spacing w:line="420" w:lineRule="exact"/>
              <w:ind w:firstLine="200"/>
              <w:rPr>
                <w:rFonts w:ascii="宋体" w:hAnsi="宋体"/>
                <w:color w:val="auto"/>
                <w:highlight w:val="none"/>
              </w:rPr>
            </w:pPr>
          </w:p>
        </w:tc>
      </w:tr>
      <w:tr w14:paraId="46ACC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42" w:type="dxa"/>
            <w:tcBorders>
              <w:top w:val="single" w:color="auto" w:sz="4" w:space="0"/>
              <w:left w:val="single" w:color="auto" w:sz="4" w:space="0"/>
              <w:bottom w:val="single" w:color="auto" w:sz="4" w:space="0"/>
              <w:right w:val="single" w:color="auto" w:sz="4" w:space="0"/>
            </w:tcBorders>
            <w:vAlign w:val="center"/>
          </w:tcPr>
          <w:p w14:paraId="2CE26BF7">
            <w:pPr>
              <w:spacing w:line="420" w:lineRule="exact"/>
              <w:ind w:firstLine="200"/>
              <w:rPr>
                <w:rFonts w:ascii="宋体" w:hAnsi="宋体"/>
                <w:color w:val="auto"/>
                <w:highlight w:val="none"/>
              </w:rPr>
            </w:pPr>
          </w:p>
        </w:tc>
        <w:tc>
          <w:tcPr>
            <w:tcW w:w="1890" w:type="dxa"/>
            <w:tcBorders>
              <w:top w:val="single" w:color="auto" w:sz="4" w:space="0"/>
              <w:left w:val="single" w:color="auto" w:sz="4" w:space="0"/>
              <w:bottom w:val="single" w:color="auto" w:sz="4" w:space="0"/>
              <w:right w:val="single" w:color="auto" w:sz="4" w:space="0"/>
            </w:tcBorders>
            <w:vAlign w:val="center"/>
          </w:tcPr>
          <w:p w14:paraId="25A0137A">
            <w:pPr>
              <w:spacing w:line="420" w:lineRule="exact"/>
              <w:ind w:firstLine="200"/>
              <w:rPr>
                <w:rFonts w:ascii="宋体" w:hAnsi="宋体"/>
                <w:color w:val="auto"/>
                <w:highlight w:val="none"/>
              </w:rPr>
            </w:pPr>
          </w:p>
        </w:tc>
        <w:tc>
          <w:tcPr>
            <w:tcW w:w="1155" w:type="dxa"/>
            <w:tcBorders>
              <w:top w:val="single" w:color="auto" w:sz="4" w:space="0"/>
              <w:left w:val="single" w:color="auto" w:sz="4" w:space="0"/>
              <w:bottom w:val="single" w:color="auto" w:sz="4" w:space="0"/>
              <w:right w:val="single" w:color="auto" w:sz="4" w:space="0"/>
            </w:tcBorders>
            <w:vAlign w:val="center"/>
          </w:tcPr>
          <w:p w14:paraId="318ABEE5">
            <w:pPr>
              <w:spacing w:line="420" w:lineRule="exact"/>
              <w:ind w:firstLine="200"/>
              <w:rPr>
                <w:rFonts w:ascii="宋体" w:hAnsi="宋体"/>
                <w:color w:val="auto"/>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0658E39A">
            <w:pPr>
              <w:spacing w:line="420" w:lineRule="exact"/>
              <w:ind w:firstLine="200"/>
              <w:rPr>
                <w:rFonts w:ascii="宋体" w:hAnsi="宋体"/>
                <w:color w:val="auto"/>
                <w:highlight w:val="none"/>
              </w:rPr>
            </w:pPr>
          </w:p>
        </w:tc>
        <w:tc>
          <w:tcPr>
            <w:tcW w:w="735" w:type="dxa"/>
            <w:tcBorders>
              <w:top w:val="single" w:color="auto" w:sz="4" w:space="0"/>
              <w:left w:val="single" w:color="auto" w:sz="4" w:space="0"/>
              <w:bottom w:val="single" w:color="auto" w:sz="4" w:space="0"/>
              <w:right w:val="single" w:color="auto" w:sz="4" w:space="0"/>
            </w:tcBorders>
            <w:vAlign w:val="center"/>
          </w:tcPr>
          <w:p w14:paraId="73D9370B">
            <w:pPr>
              <w:spacing w:line="420" w:lineRule="exact"/>
              <w:ind w:firstLine="200"/>
              <w:rPr>
                <w:rFonts w:ascii="宋体" w:hAnsi="宋体"/>
                <w:color w:val="auto"/>
                <w:highlight w:val="none"/>
              </w:rPr>
            </w:pPr>
          </w:p>
        </w:tc>
        <w:tc>
          <w:tcPr>
            <w:tcW w:w="735" w:type="dxa"/>
            <w:tcBorders>
              <w:top w:val="single" w:color="auto" w:sz="4" w:space="0"/>
              <w:left w:val="single" w:color="auto" w:sz="4" w:space="0"/>
              <w:bottom w:val="single" w:color="auto" w:sz="4" w:space="0"/>
              <w:right w:val="single" w:color="auto" w:sz="4" w:space="0"/>
            </w:tcBorders>
            <w:vAlign w:val="center"/>
          </w:tcPr>
          <w:p w14:paraId="16CCDB69">
            <w:pPr>
              <w:spacing w:line="420" w:lineRule="exact"/>
              <w:ind w:firstLine="200"/>
              <w:rPr>
                <w:rFonts w:ascii="宋体" w:hAnsi="宋体"/>
                <w:color w:val="auto"/>
                <w:highlight w:val="none"/>
              </w:rPr>
            </w:pPr>
            <w:r>
              <w:rPr>
                <w:rFonts w:ascii="宋体" w:hAnsi="宋体"/>
                <w:color w:val="auto"/>
                <w:highlight w:val="none"/>
              </w:rPr>
              <w:t>%</w:t>
            </w:r>
          </w:p>
        </w:tc>
        <w:tc>
          <w:tcPr>
            <w:tcW w:w="735" w:type="dxa"/>
            <w:tcBorders>
              <w:top w:val="single" w:color="auto" w:sz="4" w:space="0"/>
              <w:left w:val="single" w:color="auto" w:sz="4" w:space="0"/>
              <w:bottom w:val="single" w:color="auto" w:sz="4" w:space="0"/>
              <w:right w:val="single" w:color="auto" w:sz="4" w:space="0"/>
            </w:tcBorders>
            <w:vAlign w:val="center"/>
          </w:tcPr>
          <w:p w14:paraId="6D969864">
            <w:pPr>
              <w:spacing w:line="420" w:lineRule="exact"/>
              <w:ind w:firstLine="200"/>
              <w:rPr>
                <w:rFonts w:ascii="宋体" w:hAnsi="宋体"/>
                <w:color w:val="auto"/>
                <w:highlight w:val="none"/>
              </w:rPr>
            </w:pPr>
          </w:p>
        </w:tc>
        <w:tc>
          <w:tcPr>
            <w:tcW w:w="2748" w:type="dxa"/>
            <w:tcBorders>
              <w:top w:val="single" w:color="auto" w:sz="4" w:space="0"/>
              <w:left w:val="single" w:color="auto" w:sz="4" w:space="0"/>
              <w:bottom w:val="single" w:color="auto" w:sz="4" w:space="0"/>
              <w:right w:val="single" w:color="auto" w:sz="4" w:space="0"/>
            </w:tcBorders>
            <w:vAlign w:val="center"/>
          </w:tcPr>
          <w:p w14:paraId="1E40F2B1">
            <w:pPr>
              <w:spacing w:line="420" w:lineRule="exact"/>
              <w:ind w:firstLine="200"/>
              <w:rPr>
                <w:rFonts w:ascii="宋体" w:hAnsi="宋体"/>
                <w:color w:val="auto"/>
                <w:highlight w:val="none"/>
              </w:rPr>
            </w:pPr>
          </w:p>
        </w:tc>
      </w:tr>
      <w:tr w14:paraId="60D07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42" w:type="dxa"/>
            <w:tcBorders>
              <w:top w:val="single" w:color="auto" w:sz="4" w:space="0"/>
              <w:left w:val="single" w:color="auto" w:sz="4" w:space="0"/>
              <w:bottom w:val="single" w:color="auto" w:sz="4" w:space="0"/>
              <w:right w:val="single" w:color="auto" w:sz="4" w:space="0"/>
            </w:tcBorders>
            <w:vAlign w:val="center"/>
          </w:tcPr>
          <w:p w14:paraId="2A54D69B">
            <w:pPr>
              <w:spacing w:line="420" w:lineRule="exact"/>
              <w:ind w:firstLine="200"/>
              <w:rPr>
                <w:rFonts w:ascii="宋体" w:hAnsi="宋体"/>
                <w:color w:val="auto"/>
                <w:highlight w:val="none"/>
              </w:rPr>
            </w:pPr>
            <w:r>
              <w:rPr>
                <w:rFonts w:hint="eastAsia" w:ascii="宋体" w:hAnsi="宋体"/>
                <w:color w:val="auto"/>
                <w:highlight w:val="none"/>
              </w:rPr>
              <w:t>……</w:t>
            </w:r>
          </w:p>
        </w:tc>
        <w:tc>
          <w:tcPr>
            <w:tcW w:w="1890" w:type="dxa"/>
            <w:tcBorders>
              <w:top w:val="single" w:color="auto" w:sz="4" w:space="0"/>
              <w:left w:val="single" w:color="auto" w:sz="4" w:space="0"/>
              <w:bottom w:val="single" w:color="auto" w:sz="4" w:space="0"/>
              <w:right w:val="single" w:color="auto" w:sz="4" w:space="0"/>
            </w:tcBorders>
            <w:vAlign w:val="center"/>
          </w:tcPr>
          <w:p w14:paraId="6464C440">
            <w:pPr>
              <w:spacing w:line="420" w:lineRule="exact"/>
              <w:ind w:firstLine="200"/>
              <w:rPr>
                <w:rFonts w:ascii="宋体" w:hAnsi="宋体"/>
                <w:color w:val="auto"/>
                <w:highlight w:val="none"/>
              </w:rPr>
            </w:pPr>
          </w:p>
        </w:tc>
        <w:tc>
          <w:tcPr>
            <w:tcW w:w="1155" w:type="dxa"/>
            <w:tcBorders>
              <w:top w:val="single" w:color="auto" w:sz="4" w:space="0"/>
              <w:left w:val="single" w:color="auto" w:sz="4" w:space="0"/>
              <w:bottom w:val="single" w:color="auto" w:sz="4" w:space="0"/>
              <w:right w:val="single" w:color="auto" w:sz="4" w:space="0"/>
            </w:tcBorders>
            <w:vAlign w:val="center"/>
          </w:tcPr>
          <w:p w14:paraId="190EFD89">
            <w:pPr>
              <w:spacing w:line="420" w:lineRule="exact"/>
              <w:ind w:firstLine="200"/>
              <w:rPr>
                <w:rFonts w:ascii="宋体" w:hAnsi="宋体"/>
                <w:color w:val="auto"/>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230F2105">
            <w:pPr>
              <w:spacing w:line="420" w:lineRule="exact"/>
              <w:ind w:firstLine="200"/>
              <w:rPr>
                <w:rFonts w:ascii="宋体" w:hAnsi="宋体"/>
                <w:color w:val="auto"/>
                <w:highlight w:val="none"/>
              </w:rPr>
            </w:pPr>
          </w:p>
        </w:tc>
        <w:tc>
          <w:tcPr>
            <w:tcW w:w="735" w:type="dxa"/>
            <w:tcBorders>
              <w:top w:val="single" w:color="auto" w:sz="4" w:space="0"/>
              <w:left w:val="single" w:color="auto" w:sz="4" w:space="0"/>
              <w:bottom w:val="single" w:color="auto" w:sz="4" w:space="0"/>
              <w:right w:val="single" w:color="auto" w:sz="4" w:space="0"/>
            </w:tcBorders>
            <w:vAlign w:val="center"/>
          </w:tcPr>
          <w:p w14:paraId="5B670E0B">
            <w:pPr>
              <w:spacing w:line="420" w:lineRule="exact"/>
              <w:ind w:firstLine="200"/>
              <w:rPr>
                <w:rFonts w:ascii="宋体" w:hAnsi="宋体"/>
                <w:color w:val="auto"/>
                <w:highlight w:val="none"/>
              </w:rPr>
            </w:pPr>
          </w:p>
        </w:tc>
        <w:tc>
          <w:tcPr>
            <w:tcW w:w="735" w:type="dxa"/>
            <w:tcBorders>
              <w:top w:val="single" w:color="auto" w:sz="4" w:space="0"/>
              <w:left w:val="single" w:color="auto" w:sz="4" w:space="0"/>
              <w:bottom w:val="single" w:color="auto" w:sz="4" w:space="0"/>
              <w:right w:val="single" w:color="auto" w:sz="4" w:space="0"/>
            </w:tcBorders>
            <w:vAlign w:val="center"/>
          </w:tcPr>
          <w:p w14:paraId="6FE90EB7">
            <w:pPr>
              <w:spacing w:line="420" w:lineRule="exact"/>
              <w:ind w:firstLine="200"/>
              <w:rPr>
                <w:rFonts w:ascii="宋体" w:hAnsi="宋体"/>
                <w:color w:val="auto"/>
                <w:highlight w:val="none"/>
              </w:rPr>
            </w:pPr>
          </w:p>
        </w:tc>
        <w:tc>
          <w:tcPr>
            <w:tcW w:w="735" w:type="dxa"/>
            <w:tcBorders>
              <w:top w:val="single" w:color="auto" w:sz="4" w:space="0"/>
              <w:left w:val="single" w:color="auto" w:sz="4" w:space="0"/>
              <w:bottom w:val="single" w:color="auto" w:sz="4" w:space="0"/>
              <w:right w:val="single" w:color="auto" w:sz="4" w:space="0"/>
            </w:tcBorders>
            <w:vAlign w:val="center"/>
          </w:tcPr>
          <w:p w14:paraId="65BB2A8D">
            <w:pPr>
              <w:spacing w:line="420" w:lineRule="exact"/>
              <w:ind w:firstLine="200"/>
              <w:rPr>
                <w:rFonts w:ascii="宋体" w:hAnsi="宋体"/>
                <w:color w:val="auto"/>
                <w:highlight w:val="none"/>
              </w:rPr>
            </w:pPr>
          </w:p>
        </w:tc>
        <w:tc>
          <w:tcPr>
            <w:tcW w:w="2748" w:type="dxa"/>
            <w:tcBorders>
              <w:top w:val="single" w:color="auto" w:sz="4" w:space="0"/>
              <w:left w:val="single" w:color="auto" w:sz="4" w:space="0"/>
              <w:bottom w:val="single" w:color="auto" w:sz="4" w:space="0"/>
              <w:right w:val="single" w:color="auto" w:sz="4" w:space="0"/>
            </w:tcBorders>
            <w:vAlign w:val="center"/>
          </w:tcPr>
          <w:p w14:paraId="7DB768E3">
            <w:pPr>
              <w:spacing w:line="420" w:lineRule="exact"/>
              <w:ind w:firstLine="200"/>
              <w:rPr>
                <w:rFonts w:ascii="宋体" w:hAnsi="宋体"/>
                <w:color w:val="auto"/>
                <w:highlight w:val="none"/>
              </w:rPr>
            </w:pPr>
          </w:p>
        </w:tc>
      </w:tr>
    </w:tbl>
    <w:p w14:paraId="79C86B53">
      <w:pPr>
        <w:spacing w:line="420" w:lineRule="exact"/>
        <w:ind w:firstLine="198"/>
        <w:rPr>
          <w:rFonts w:ascii="宋体" w:hAnsi="宋体"/>
          <w:color w:val="auto"/>
          <w:highlight w:val="none"/>
        </w:rPr>
      </w:pPr>
      <w:r>
        <w:rPr>
          <w:rFonts w:hint="eastAsia" w:ascii="宋体" w:hAnsi="宋体"/>
          <w:color w:val="auto"/>
          <w:highlight w:val="none"/>
        </w:rPr>
        <w:t>上述优惠比例及实际单价可以延用到以后的备品备件更换中，也可以根据以后的市场价按上述优惠比例进行下调；本报价的币种为人民币（元）。</w:t>
      </w:r>
    </w:p>
    <w:p w14:paraId="71A6F705">
      <w:pPr>
        <w:spacing w:line="420" w:lineRule="exact"/>
        <w:ind w:firstLine="200"/>
        <w:rPr>
          <w:rFonts w:ascii="宋体" w:hAnsi="宋体"/>
          <w:color w:val="auto"/>
          <w:highlight w:val="none"/>
        </w:rPr>
      </w:pPr>
      <w:r>
        <w:rPr>
          <w:rFonts w:hint="eastAsia" w:ascii="宋体" w:hAnsi="宋体"/>
          <w:color w:val="auto"/>
          <w:highlight w:val="none"/>
        </w:rPr>
        <w:t>特此承诺！</w:t>
      </w:r>
    </w:p>
    <w:p w14:paraId="4E6A369E">
      <w:pPr>
        <w:spacing w:line="500" w:lineRule="exact"/>
        <w:rPr>
          <w:rFonts w:ascii="宋体" w:hAnsi="宋体"/>
          <w:color w:val="auto"/>
          <w:highlight w:val="none"/>
        </w:rPr>
      </w:pPr>
    </w:p>
    <w:p w14:paraId="48A4F864">
      <w:pPr>
        <w:rPr>
          <w:rFonts w:ascii="宋体" w:hAnsi="宋体"/>
          <w:b/>
          <w:color w:val="auto"/>
          <w:spacing w:val="6"/>
          <w:highlight w:val="none"/>
        </w:rPr>
      </w:pPr>
    </w:p>
    <w:p w14:paraId="4C86DFF3">
      <w:pPr>
        <w:rPr>
          <w:rFonts w:ascii="宋体" w:hAnsi="宋体"/>
          <w:b/>
          <w:color w:val="auto"/>
          <w:highlight w:val="none"/>
        </w:rPr>
      </w:pPr>
      <w:r>
        <w:rPr>
          <w:rFonts w:hint="eastAsia" w:ascii="宋体" w:hAnsi="宋体"/>
          <w:b/>
          <w:color w:val="auto"/>
          <w:spacing w:val="6"/>
          <w:highlight w:val="none"/>
        </w:rPr>
        <w:t>注：投标人在编制此“备品备件报价承诺”时，除表格的格式及内容不得修改外，其余部分可视投标人的自身情况进行修改并承诺。若无备品配件的可不填此表。</w:t>
      </w:r>
    </w:p>
    <w:p w14:paraId="19855FAF">
      <w:pPr>
        <w:rPr>
          <w:color w:val="auto"/>
          <w:highlight w:val="none"/>
        </w:rPr>
      </w:pPr>
    </w:p>
    <w:p w14:paraId="4499A700">
      <w:pPr>
        <w:spacing w:line="360" w:lineRule="auto"/>
        <w:ind w:firstLine="506" w:firstLineChars="200"/>
        <w:rPr>
          <w:rFonts w:ascii="宋体" w:hAnsi="宋体"/>
          <w:b/>
          <w:color w:val="auto"/>
          <w:spacing w:val="6"/>
          <w:sz w:val="24"/>
          <w:highlight w:val="none"/>
        </w:rPr>
      </w:pPr>
    </w:p>
    <w:p w14:paraId="31807759">
      <w:pPr>
        <w:rPr>
          <w:color w:val="auto"/>
          <w:highlight w:val="none"/>
        </w:rPr>
      </w:pPr>
    </w:p>
    <w:p w14:paraId="4849B65C">
      <w:pPr>
        <w:ind w:firstLine="1687" w:firstLineChars="600"/>
        <w:rPr>
          <w:rFonts w:ascii="宋体" w:hAnsi="宋体" w:cs="宋体"/>
          <w:b/>
          <w:color w:val="auto"/>
          <w:sz w:val="28"/>
          <w:szCs w:val="28"/>
          <w:highlight w:val="none"/>
        </w:rPr>
      </w:pPr>
    </w:p>
    <w:p w14:paraId="19982EFF">
      <w:pPr>
        <w:ind w:firstLine="1687" w:firstLineChars="600"/>
        <w:rPr>
          <w:rFonts w:ascii="宋体" w:hAnsi="宋体" w:cs="宋体"/>
          <w:b/>
          <w:color w:val="auto"/>
          <w:sz w:val="28"/>
          <w:szCs w:val="28"/>
          <w:highlight w:val="none"/>
        </w:rPr>
      </w:pPr>
      <w:r>
        <w:rPr>
          <w:rFonts w:hint="eastAsia" w:ascii="宋体" w:hAnsi="宋体" w:cs="宋体"/>
          <w:b/>
          <w:color w:val="auto"/>
          <w:sz w:val="28"/>
          <w:szCs w:val="28"/>
          <w:highlight w:val="none"/>
        </w:rPr>
        <w:t>投标人：</w:t>
      </w:r>
      <w:r>
        <w:rPr>
          <w:rFonts w:hint="eastAsia" w:ascii="宋体" w:hAnsi="宋体" w:cs="宋体"/>
          <w:b/>
          <w:color w:val="auto"/>
          <w:sz w:val="28"/>
          <w:szCs w:val="28"/>
          <w:highlight w:val="none"/>
          <w:u w:val="single"/>
        </w:rPr>
        <w:tab/>
      </w:r>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rPr>
        <w:t>（电子签章）</w:t>
      </w:r>
    </w:p>
    <w:p w14:paraId="30D08DB6">
      <w:pPr>
        <w:ind w:firstLine="1687" w:firstLineChars="600"/>
        <w:rPr>
          <w:rFonts w:ascii="宋体" w:hAnsi="宋体" w:cs="宋体"/>
          <w:b/>
          <w:color w:val="auto"/>
          <w:sz w:val="28"/>
          <w:szCs w:val="28"/>
          <w:highlight w:val="none"/>
        </w:rPr>
      </w:pPr>
      <w:r>
        <w:rPr>
          <w:rFonts w:hint="eastAsia" w:ascii="宋体" w:hAnsi="宋体" w:cs="宋体"/>
          <w:b/>
          <w:color w:val="auto"/>
          <w:sz w:val="28"/>
          <w:szCs w:val="28"/>
          <w:highlight w:val="none"/>
        </w:rPr>
        <w:t>法定代表人（单位负责人）：</w:t>
      </w:r>
      <w:r>
        <w:rPr>
          <w:rFonts w:hint="eastAsia" w:ascii="宋体" w:hAnsi="宋体" w:cs="宋体"/>
          <w:b/>
          <w:color w:val="auto"/>
          <w:sz w:val="28"/>
          <w:szCs w:val="28"/>
          <w:highlight w:val="none"/>
          <w:u w:val="single"/>
        </w:rPr>
        <w:tab/>
      </w:r>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rPr>
        <w:t>（电子签名或电子签章）</w:t>
      </w:r>
    </w:p>
    <w:p w14:paraId="2858B4B4">
      <w:pPr>
        <w:ind w:firstLine="1687" w:firstLineChars="600"/>
        <w:rPr>
          <w:rFonts w:ascii="宋体" w:hAnsi="宋体" w:cs="宋体"/>
          <w:color w:val="auto"/>
          <w:szCs w:val="28"/>
          <w:highlight w:val="none"/>
        </w:rPr>
        <w:sectPr>
          <w:footerReference r:id="rId10" w:type="default"/>
          <w:pgSz w:w="11906" w:h="16838"/>
          <w:pgMar w:top="1440" w:right="1083" w:bottom="1440" w:left="1083" w:header="720" w:footer="720" w:gutter="0"/>
          <w:pgBorders>
            <w:top w:val="none" w:sz="0" w:space="0"/>
            <w:left w:val="none" w:sz="0" w:space="0"/>
            <w:bottom w:val="none" w:sz="0" w:space="0"/>
            <w:right w:val="none" w:sz="0" w:space="0"/>
          </w:pgBorders>
          <w:pgNumType w:fmt="numberInDash"/>
          <w:cols w:space="708" w:num="1"/>
          <w:docGrid w:type="lines" w:linePitch="324" w:charSpace="0"/>
        </w:sectPr>
      </w:pPr>
      <w:r>
        <w:rPr>
          <w:rFonts w:hint="eastAsia" w:ascii="宋体" w:hAnsi="宋体" w:cs="宋体"/>
          <w:b/>
          <w:color w:val="auto"/>
          <w:sz w:val="28"/>
          <w:szCs w:val="28"/>
          <w:highlight w:val="none"/>
        </w:rPr>
        <w:t>日期：      年     月     日</w:t>
      </w:r>
    </w:p>
    <w:p w14:paraId="32A23844">
      <w:pPr>
        <w:jc w:val="center"/>
        <w:outlineLvl w:val="2"/>
        <w:rPr>
          <w:rFonts w:ascii="宋体" w:hAnsi="宋体" w:cs="宋体"/>
          <w:color w:val="auto"/>
          <w:szCs w:val="28"/>
          <w:highlight w:val="none"/>
        </w:rPr>
      </w:pPr>
      <w:bookmarkStart w:id="277" w:name="_Toc29585"/>
      <w:r>
        <w:rPr>
          <w:rFonts w:hint="eastAsia" w:ascii="宋体" w:hAnsi="宋体" w:cs="宋体"/>
          <w:b/>
          <w:bCs/>
          <w:color w:val="auto"/>
          <w:sz w:val="28"/>
          <w:szCs w:val="28"/>
          <w:highlight w:val="none"/>
        </w:rPr>
        <w:t>▲</w:t>
      </w:r>
      <w:r>
        <w:rPr>
          <w:rFonts w:hint="eastAsia" w:ascii="宋体" w:hAnsi="宋体" w:cs="宋体"/>
          <w:b/>
          <w:bCs/>
          <w:color w:val="auto"/>
          <w:sz w:val="28"/>
          <w:szCs w:val="28"/>
          <w:highlight w:val="none"/>
          <w:lang w:val="en-US" w:eastAsia="zh-CN"/>
        </w:rPr>
        <w:t>七</w:t>
      </w:r>
      <w:r>
        <w:rPr>
          <w:rFonts w:hint="eastAsia" w:ascii="宋体" w:hAnsi="宋体" w:cs="宋体"/>
          <w:b/>
          <w:bCs/>
          <w:color w:val="auto"/>
          <w:sz w:val="28"/>
          <w:szCs w:val="28"/>
          <w:highlight w:val="none"/>
        </w:rPr>
        <w:t>、法定代表人（单位负责人）身份证明</w:t>
      </w:r>
      <w:bookmarkEnd w:id="266"/>
      <w:r>
        <w:rPr>
          <w:rFonts w:hint="eastAsia" w:ascii="宋体" w:hAnsi="宋体" w:cs="宋体"/>
          <w:b/>
          <w:bCs/>
          <w:color w:val="auto"/>
          <w:sz w:val="28"/>
          <w:szCs w:val="28"/>
          <w:highlight w:val="none"/>
        </w:rPr>
        <w:t>书</w:t>
      </w:r>
      <w:bookmarkEnd w:id="277"/>
    </w:p>
    <w:p w14:paraId="030FB2C9">
      <w:pPr>
        <w:spacing w:line="200" w:lineRule="exact"/>
        <w:rPr>
          <w:rFonts w:ascii="宋体" w:hAnsi="宋体" w:cs="宋体"/>
          <w:color w:val="auto"/>
          <w:highlight w:val="none"/>
        </w:rPr>
      </w:pPr>
      <w:r>
        <w:rPr>
          <w:rFonts w:hint="eastAsia" w:ascii="宋体" w:hAnsi="宋体" w:cs="宋体"/>
          <w:color w:val="auto"/>
          <w:highlight w:val="none"/>
        </w:rPr>
        <w:t xml:space="preserve"> </w:t>
      </w:r>
    </w:p>
    <w:p w14:paraId="5ED7A41F">
      <w:pPr>
        <w:spacing w:line="200" w:lineRule="exact"/>
        <w:rPr>
          <w:rFonts w:ascii="宋体" w:hAnsi="宋体" w:cs="宋体"/>
          <w:color w:val="auto"/>
          <w:highlight w:val="none"/>
        </w:rPr>
      </w:pPr>
      <w:r>
        <w:rPr>
          <w:rFonts w:hint="eastAsia" w:ascii="宋体" w:hAnsi="宋体" w:cs="宋体"/>
          <w:color w:val="auto"/>
          <w:highlight w:val="none"/>
        </w:rPr>
        <w:t xml:space="preserve"> </w:t>
      </w:r>
    </w:p>
    <w:p w14:paraId="6461C707">
      <w:pPr>
        <w:spacing w:line="200" w:lineRule="exact"/>
        <w:rPr>
          <w:rFonts w:ascii="宋体" w:hAnsi="宋体" w:cs="宋体"/>
          <w:color w:val="auto"/>
          <w:highlight w:val="none"/>
        </w:rPr>
      </w:pPr>
      <w:r>
        <w:rPr>
          <w:rFonts w:hint="eastAsia" w:ascii="宋体" w:hAnsi="宋体" w:cs="宋体"/>
          <w:color w:val="auto"/>
          <w:highlight w:val="none"/>
        </w:rPr>
        <w:t xml:space="preserve"> </w:t>
      </w:r>
    </w:p>
    <w:p w14:paraId="51C2B3AC">
      <w:pPr>
        <w:autoSpaceDE w:val="0"/>
        <w:autoSpaceDN w:val="0"/>
        <w:adjustRightIn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投标人名称：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p>
    <w:p w14:paraId="6C561724">
      <w:pPr>
        <w:autoSpaceDE w:val="0"/>
        <w:autoSpaceDN w:val="0"/>
        <w:adjustRightIn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单位性质：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p>
    <w:p w14:paraId="72548BC6">
      <w:pPr>
        <w:autoSpaceDE w:val="0"/>
        <w:autoSpaceDN w:val="0"/>
        <w:adjustRightIn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地    址：</w:t>
      </w:r>
      <w:r>
        <w:rPr>
          <w:rFonts w:hint="eastAsia" w:ascii="宋体" w:hAnsi="宋体" w:cs="宋体"/>
          <w:color w:val="auto"/>
          <w:sz w:val="24"/>
          <w:highlight w:val="none"/>
          <w:u w:val="single"/>
        </w:rPr>
        <w:t xml:space="preserve">                        </w:t>
      </w:r>
    </w:p>
    <w:p w14:paraId="17DC6021">
      <w:pPr>
        <w:autoSpaceDE w:val="0"/>
        <w:autoSpaceDN w:val="0"/>
        <w:adjustRightIn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成立时间：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14:paraId="14FFF6A4">
      <w:pPr>
        <w:autoSpaceDE w:val="0"/>
        <w:autoSpaceDN w:val="0"/>
        <w:adjustRightIn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经营期限：</w:t>
      </w:r>
      <w:r>
        <w:rPr>
          <w:rFonts w:hint="eastAsia" w:ascii="宋体" w:hAnsi="宋体" w:cs="宋体"/>
          <w:color w:val="auto"/>
          <w:sz w:val="24"/>
          <w:highlight w:val="none"/>
          <w:u w:val="single"/>
        </w:rPr>
        <w:t xml:space="preserve">                         </w:t>
      </w:r>
    </w:p>
    <w:p w14:paraId="7CEDC22C">
      <w:pPr>
        <w:spacing w:line="360" w:lineRule="auto"/>
        <w:ind w:firstLine="480" w:firstLineChars="200"/>
        <w:rPr>
          <w:rFonts w:ascii="宋体" w:hAnsi="宋体" w:cs="宋体"/>
          <w:color w:val="auto"/>
          <w:sz w:val="24"/>
          <w:szCs w:val="24"/>
          <w:highlight w:val="none"/>
        </w:rPr>
      </w:pPr>
    </w:p>
    <w:p w14:paraId="0E5ADEA6">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姓名：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性别：</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职务：</w:t>
      </w:r>
      <w:r>
        <w:rPr>
          <w:rFonts w:hint="eastAsia" w:ascii="宋体" w:hAnsi="宋体" w:cs="宋体"/>
          <w:color w:val="auto"/>
          <w:sz w:val="24"/>
          <w:szCs w:val="24"/>
          <w:highlight w:val="none"/>
          <w:u w:val="single"/>
        </w:rPr>
        <w:t xml:space="preserve">          </w:t>
      </w:r>
    </w:p>
    <w:p w14:paraId="3A4FA8BB">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系</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（投标人名称）的法定代表人（单位负责人）。</w:t>
      </w:r>
    </w:p>
    <w:p w14:paraId="362F5E0C">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特此证明。</w:t>
      </w:r>
    </w:p>
    <w:p w14:paraId="2E30E505">
      <w:pPr>
        <w:spacing w:line="48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w:t>
      </w:r>
    </w:p>
    <w:p w14:paraId="0BCBB6FE">
      <w:pPr>
        <w:spacing w:line="48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附：法定代表人（单位负责人）身份证扫描件。</w:t>
      </w:r>
    </w:p>
    <w:p w14:paraId="7AAE485D">
      <w:pPr>
        <w:spacing w:line="360" w:lineRule="auto"/>
        <w:ind w:left="4480"/>
        <w:jc w:val="both"/>
        <w:rPr>
          <w:rFonts w:ascii="宋体" w:hAnsi="宋体" w:cs="宋体"/>
          <w:b/>
          <w:color w:val="auto"/>
          <w:sz w:val="24"/>
          <w:szCs w:val="24"/>
          <w:highlight w:val="none"/>
        </w:rPr>
      </w:pPr>
      <w:r>
        <w:rPr>
          <w:rFonts w:hint="eastAsia" w:ascii="宋体" w:hAnsi="宋体" w:cs="宋体"/>
          <w:b/>
          <w:color w:val="auto"/>
          <w:sz w:val="24"/>
          <w:szCs w:val="24"/>
          <w:highlight w:val="none"/>
        </w:rPr>
        <w:t xml:space="preserve">  </w:t>
      </w:r>
    </w:p>
    <w:p w14:paraId="6706D35C">
      <w:pPr>
        <w:spacing w:line="360" w:lineRule="auto"/>
        <w:ind w:left="4480"/>
        <w:jc w:val="both"/>
        <w:rPr>
          <w:rFonts w:ascii="宋体" w:hAnsi="宋体" w:cs="宋体"/>
          <w:b/>
          <w:color w:val="auto"/>
          <w:sz w:val="24"/>
          <w:szCs w:val="24"/>
          <w:highlight w:val="none"/>
        </w:rPr>
      </w:pPr>
      <w:r>
        <w:rPr>
          <w:rFonts w:hint="eastAsia" w:ascii="宋体" w:hAnsi="宋体" w:cs="宋体"/>
          <w:b/>
          <w:color w:val="auto"/>
          <w:sz w:val="24"/>
          <w:szCs w:val="24"/>
          <w:highlight w:val="none"/>
        </w:rPr>
        <w:t>投标人：</w:t>
      </w:r>
      <w:r>
        <w:rPr>
          <w:rFonts w:hint="eastAsia" w:ascii="宋体" w:hAnsi="宋体" w:cs="宋体"/>
          <w:b/>
          <w:color w:val="auto"/>
          <w:sz w:val="24"/>
          <w:szCs w:val="24"/>
          <w:highlight w:val="none"/>
          <w:u w:val="single"/>
        </w:rPr>
        <w:tab/>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（电子签章）</w:t>
      </w:r>
    </w:p>
    <w:p w14:paraId="301E3863">
      <w:pPr>
        <w:spacing w:line="2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 </w:t>
      </w:r>
    </w:p>
    <w:p w14:paraId="33B0B210">
      <w:pPr>
        <w:spacing w:line="20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 </w:t>
      </w:r>
    </w:p>
    <w:p w14:paraId="35B46D7B">
      <w:pPr>
        <w:spacing w:line="20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 </w:t>
      </w:r>
    </w:p>
    <w:p w14:paraId="14ED173F">
      <w:pPr>
        <w:wordWrap w:val="0"/>
        <w:ind w:right="480"/>
        <w:jc w:val="center"/>
        <w:rPr>
          <w:rFonts w:ascii="宋体" w:hAnsi="宋体" w:cs="宋体"/>
          <w:b/>
          <w:color w:val="auto"/>
          <w:sz w:val="24"/>
          <w:szCs w:val="24"/>
          <w:highlight w:val="none"/>
        </w:rPr>
      </w:pPr>
      <w:r>
        <w:rPr>
          <w:rFonts w:hint="eastAsia" w:ascii="宋体" w:hAnsi="宋体" w:cs="宋体"/>
          <w:b/>
          <w:color w:val="auto"/>
          <w:sz w:val="24"/>
          <w:szCs w:val="24"/>
          <w:highlight w:val="none"/>
        </w:rPr>
        <w:t xml:space="preserve">                         </w:t>
      </w:r>
    </w:p>
    <w:p w14:paraId="0EDB8AA7">
      <w:pPr>
        <w:wordWrap w:val="0"/>
        <w:ind w:right="480"/>
        <w:jc w:val="center"/>
        <w:rPr>
          <w:rFonts w:ascii="宋体" w:hAnsi="宋体" w:cs="宋体"/>
          <w:b/>
          <w:color w:val="auto"/>
          <w:sz w:val="24"/>
          <w:szCs w:val="24"/>
          <w:highlight w:val="none"/>
        </w:rPr>
      </w:pPr>
      <w:r>
        <w:rPr>
          <w:rFonts w:hint="eastAsia" w:ascii="宋体" w:hAnsi="宋体" w:cs="宋体"/>
          <w:b/>
          <w:color w:val="auto"/>
          <w:sz w:val="24"/>
          <w:szCs w:val="24"/>
          <w:highlight w:val="none"/>
        </w:rPr>
        <w:t xml:space="preserve">                       日  期：</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年</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月</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日</w:t>
      </w:r>
    </w:p>
    <w:p w14:paraId="6AAE5A06">
      <w:pPr>
        <w:spacing w:line="360" w:lineRule="auto"/>
        <w:ind w:firstLine="5760" w:firstLineChars="2400"/>
        <w:jc w:val="both"/>
        <w:rPr>
          <w:rFonts w:ascii="宋体" w:hAnsi="宋体" w:cs="宋体"/>
          <w:color w:val="auto"/>
          <w:sz w:val="24"/>
          <w:szCs w:val="24"/>
          <w:highlight w:val="none"/>
        </w:rPr>
      </w:pPr>
      <w:r>
        <w:rPr>
          <w:rFonts w:hint="eastAsia" w:ascii="宋体" w:hAnsi="宋体" w:cs="宋体"/>
          <w:color w:val="auto"/>
          <w:sz w:val="24"/>
          <w:szCs w:val="24"/>
          <w:highlight w:val="none"/>
        </w:rPr>
        <w:t xml:space="preserve"> </w:t>
      </w:r>
    </w:p>
    <w:p w14:paraId="6806C917">
      <w:pPr>
        <w:spacing w:line="20" w:lineRule="exact"/>
        <w:rPr>
          <w:rFonts w:ascii="宋体" w:hAnsi="宋体" w:cs="宋体"/>
          <w:b/>
          <w:bCs/>
          <w:color w:val="auto"/>
          <w:sz w:val="44"/>
          <w:szCs w:val="44"/>
          <w:highlight w:val="none"/>
        </w:rPr>
      </w:pPr>
      <w:r>
        <w:rPr>
          <w:rFonts w:hint="eastAsia" w:ascii="宋体" w:hAnsi="宋体" w:cs="宋体"/>
          <w:color w:val="auto"/>
          <w:highlight w:val="none"/>
        </w:rPr>
        <w:t xml:space="preserve"> </w:t>
      </w:r>
    </w:p>
    <w:tbl>
      <w:tblPr>
        <w:tblStyle w:val="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13"/>
        <w:gridCol w:w="4814"/>
      </w:tblGrid>
      <w:tr w14:paraId="478D1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6" w:hRule="atLeast"/>
        </w:trPr>
        <w:tc>
          <w:tcPr>
            <w:tcW w:w="4813" w:type="dxa"/>
            <w:vAlign w:val="center"/>
          </w:tcPr>
          <w:p w14:paraId="6376C77B">
            <w:pPr>
              <w:widowControl w:val="0"/>
              <w:spacing w:before="324" w:beforeLines="100" w:after="324" w:afterLines="100" w:line="600" w:lineRule="exact"/>
              <w:jc w:val="center"/>
              <w:rPr>
                <w:rFonts w:ascii="宋体" w:hAnsi="宋体" w:cs="宋体"/>
                <w:color w:val="auto"/>
                <w:highlight w:val="none"/>
              </w:rPr>
            </w:pPr>
            <w:bookmarkStart w:id="278" w:name="_Toc15398"/>
            <w:bookmarkEnd w:id="278"/>
            <w:bookmarkStart w:id="279" w:name="_Toc31847"/>
            <w:bookmarkEnd w:id="279"/>
            <w:bookmarkStart w:id="280" w:name="_Toc23744"/>
            <w:r>
              <w:rPr>
                <w:rFonts w:hint="eastAsia" w:ascii="宋体" w:hAnsi="宋体" w:cs="宋体"/>
                <w:color w:val="auto"/>
                <w:sz w:val="24"/>
                <w:szCs w:val="24"/>
                <w:highlight w:val="none"/>
              </w:rPr>
              <w:t>法定代表人（单位负责人）身份证正面</w:t>
            </w:r>
          </w:p>
        </w:tc>
        <w:tc>
          <w:tcPr>
            <w:tcW w:w="4814" w:type="dxa"/>
            <w:vAlign w:val="center"/>
          </w:tcPr>
          <w:p w14:paraId="3B1C0FFE">
            <w:pPr>
              <w:widowControl w:val="0"/>
              <w:spacing w:before="324" w:beforeLines="100" w:after="324" w:afterLines="100" w:line="600" w:lineRule="exact"/>
              <w:jc w:val="center"/>
              <w:rPr>
                <w:rFonts w:ascii="宋体" w:hAnsi="宋体" w:cs="宋体"/>
                <w:color w:val="auto"/>
                <w:highlight w:val="none"/>
              </w:rPr>
            </w:pPr>
            <w:r>
              <w:rPr>
                <w:rFonts w:hint="eastAsia" w:ascii="宋体" w:hAnsi="宋体" w:cs="宋体"/>
                <w:color w:val="auto"/>
                <w:sz w:val="24"/>
                <w:szCs w:val="24"/>
                <w:highlight w:val="none"/>
              </w:rPr>
              <w:t>法定代表人（单位负责人）身份证反面</w:t>
            </w:r>
          </w:p>
        </w:tc>
      </w:tr>
    </w:tbl>
    <w:p w14:paraId="58DB8668">
      <w:pPr>
        <w:pStyle w:val="4"/>
        <w:widowControl/>
        <w:autoSpaceDE w:val="0"/>
        <w:spacing w:before="0" w:after="0" w:line="360" w:lineRule="auto"/>
        <w:ind w:firstLine="562" w:firstLineChars="200"/>
        <w:rPr>
          <w:rFonts w:ascii="宋体" w:hAnsi="宋体" w:cs="宋体"/>
          <w:color w:val="auto"/>
          <w:szCs w:val="28"/>
          <w:highlight w:val="none"/>
        </w:rPr>
      </w:pPr>
      <w:r>
        <w:rPr>
          <w:rFonts w:hint="eastAsia" w:ascii="宋体" w:hAnsi="宋体" w:cs="宋体"/>
          <w:color w:val="auto"/>
          <w:szCs w:val="28"/>
          <w:highlight w:val="none"/>
        </w:rPr>
        <w:br w:type="page"/>
      </w:r>
      <w:bookmarkStart w:id="281" w:name="_Toc26517"/>
      <w:r>
        <w:rPr>
          <w:rFonts w:hint="eastAsia" w:ascii="宋体" w:hAnsi="宋体" w:cs="宋体"/>
          <w:color w:val="auto"/>
          <w:szCs w:val="28"/>
          <w:highlight w:val="none"/>
        </w:rPr>
        <w:t>▲</w:t>
      </w:r>
      <w:r>
        <w:rPr>
          <w:rFonts w:hint="eastAsia" w:ascii="宋体" w:hAnsi="宋体" w:cs="宋体"/>
          <w:color w:val="auto"/>
          <w:szCs w:val="28"/>
          <w:highlight w:val="none"/>
          <w:lang w:val="en-US" w:eastAsia="zh-CN"/>
        </w:rPr>
        <w:t>八</w:t>
      </w:r>
      <w:r>
        <w:rPr>
          <w:rFonts w:hint="eastAsia" w:ascii="宋体" w:hAnsi="宋体" w:cs="宋体"/>
          <w:color w:val="auto"/>
          <w:szCs w:val="28"/>
          <w:highlight w:val="none"/>
        </w:rPr>
        <w:t>、授权委托书</w:t>
      </w:r>
      <w:bookmarkEnd w:id="280"/>
      <w:bookmarkEnd w:id="281"/>
    </w:p>
    <w:p w14:paraId="212E064F">
      <w:pPr>
        <w:spacing w:line="200" w:lineRule="exact"/>
        <w:rPr>
          <w:rFonts w:ascii="宋体" w:hAnsi="宋体" w:cs="宋体"/>
          <w:color w:val="auto"/>
          <w:highlight w:val="none"/>
        </w:rPr>
      </w:pPr>
      <w:r>
        <w:rPr>
          <w:rFonts w:hint="eastAsia" w:ascii="宋体" w:hAnsi="宋体" w:cs="宋体"/>
          <w:color w:val="auto"/>
          <w:highlight w:val="none"/>
        </w:rPr>
        <w:t xml:space="preserve"> </w:t>
      </w:r>
    </w:p>
    <w:p w14:paraId="31933EC5">
      <w:pPr>
        <w:spacing w:line="200" w:lineRule="exact"/>
        <w:rPr>
          <w:rFonts w:ascii="宋体" w:hAnsi="宋体" w:cs="宋体"/>
          <w:color w:val="auto"/>
          <w:highlight w:val="none"/>
        </w:rPr>
      </w:pPr>
      <w:r>
        <w:rPr>
          <w:rFonts w:hint="eastAsia" w:ascii="宋体" w:hAnsi="宋体" w:cs="宋体"/>
          <w:color w:val="auto"/>
          <w:highlight w:val="none"/>
        </w:rPr>
        <w:t xml:space="preserve"> </w:t>
      </w:r>
    </w:p>
    <w:p w14:paraId="3947CAFC">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本人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（姓名）系</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（投标人名称）的法定代表人（单位负责人），现委托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（姓名）为我方代理人。代理人根据授权，以我方名义签署、澄清、说明、补正、递交、撤回、修改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（项目名称）投标文件、签订合同和处理有关事宜，其法律后果由我方承担。</w:t>
      </w:r>
    </w:p>
    <w:p w14:paraId="7A7448CA">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代理人无转委托权。</w:t>
      </w:r>
    </w:p>
    <w:p w14:paraId="74E4B5BC">
      <w:pPr>
        <w:spacing w:line="360" w:lineRule="auto"/>
        <w:ind w:firstLine="480" w:firstLineChars="200"/>
        <w:rPr>
          <w:rFonts w:ascii="宋体" w:hAnsi="宋体" w:cs="宋体"/>
          <w:color w:val="auto"/>
          <w:sz w:val="24"/>
          <w:szCs w:val="24"/>
          <w:highlight w:val="none"/>
        </w:rPr>
      </w:pPr>
    </w:p>
    <w:p w14:paraId="30ECBF4A">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附：委托代理人身份证扫描件</w:t>
      </w:r>
    </w:p>
    <w:p w14:paraId="78EEAC28">
      <w:pPr>
        <w:spacing w:before="468" w:line="360" w:lineRule="auto"/>
        <w:ind w:firstLine="3373" w:firstLineChars="1400"/>
        <w:rPr>
          <w:rFonts w:ascii="宋体" w:hAnsi="宋体" w:cs="宋体"/>
          <w:b/>
          <w:color w:val="auto"/>
          <w:sz w:val="24"/>
          <w:szCs w:val="24"/>
          <w:highlight w:val="none"/>
        </w:rPr>
      </w:pPr>
      <w:r>
        <w:rPr>
          <w:rFonts w:hint="eastAsia" w:ascii="宋体" w:hAnsi="宋体" w:cs="宋体"/>
          <w:b/>
          <w:color w:val="auto"/>
          <w:sz w:val="24"/>
          <w:szCs w:val="24"/>
          <w:highlight w:val="none"/>
        </w:rPr>
        <w:t>投 标 人：</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（电子签章）</w:t>
      </w:r>
    </w:p>
    <w:p w14:paraId="1F9100AB">
      <w:pPr>
        <w:spacing w:before="468" w:line="360" w:lineRule="auto"/>
        <w:ind w:firstLine="3373" w:firstLineChars="1400"/>
        <w:rPr>
          <w:rFonts w:ascii="宋体" w:hAnsi="宋体" w:cs="宋体"/>
          <w:b/>
          <w:color w:val="auto"/>
          <w:sz w:val="24"/>
          <w:szCs w:val="24"/>
          <w:highlight w:val="none"/>
        </w:rPr>
      </w:pPr>
      <w:r>
        <w:rPr>
          <w:rFonts w:hint="eastAsia" w:ascii="宋体" w:hAnsi="宋体" w:cs="宋体"/>
          <w:b/>
          <w:color w:val="auto"/>
          <w:sz w:val="24"/>
          <w:szCs w:val="24"/>
          <w:highlight w:val="none"/>
        </w:rPr>
        <w:t>法定代表人（单位负责人）：</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（电子签名或电子签章）</w:t>
      </w:r>
    </w:p>
    <w:p w14:paraId="2D023F28">
      <w:pPr>
        <w:autoSpaceDE w:val="0"/>
        <w:autoSpaceDN w:val="0"/>
        <w:adjustRightInd w:val="0"/>
        <w:spacing w:line="360" w:lineRule="auto"/>
        <w:ind w:firstLine="3373" w:firstLineChars="1400"/>
        <w:rPr>
          <w:rFonts w:ascii="宋体" w:hAnsi="宋体" w:cs="宋体"/>
          <w:b/>
          <w:bCs/>
          <w:color w:val="auto"/>
          <w:sz w:val="24"/>
          <w:szCs w:val="24"/>
          <w:highlight w:val="none"/>
          <w:u w:val="single"/>
        </w:rPr>
      </w:pPr>
      <w:r>
        <w:rPr>
          <w:rFonts w:hint="eastAsia" w:ascii="宋体" w:hAnsi="宋体" w:cs="宋体"/>
          <w:b/>
          <w:bCs/>
          <w:color w:val="auto"/>
          <w:sz w:val="24"/>
          <w:szCs w:val="24"/>
          <w:highlight w:val="none"/>
        </w:rPr>
        <w:t>身份证号码：</w:t>
      </w:r>
      <w:r>
        <w:rPr>
          <w:rFonts w:hint="eastAsia" w:ascii="宋体" w:hAnsi="宋体" w:cs="宋体"/>
          <w:b/>
          <w:bCs/>
          <w:color w:val="auto"/>
          <w:sz w:val="24"/>
          <w:szCs w:val="24"/>
          <w:highlight w:val="none"/>
          <w:u w:val="single"/>
        </w:rPr>
        <w:t xml:space="preserve">                            </w:t>
      </w:r>
    </w:p>
    <w:p w14:paraId="6CC57517">
      <w:pPr>
        <w:spacing w:before="468" w:line="360" w:lineRule="auto"/>
        <w:ind w:firstLine="3373" w:firstLineChars="1400"/>
        <w:rPr>
          <w:rFonts w:ascii="宋体" w:hAnsi="宋体" w:cs="宋体"/>
          <w:b/>
          <w:color w:val="auto"/>
          <w:sz w:val="24"/>
          <w:szCs w:val="24"/>
          <w:highlight w:val="none"/>
        </w:rPr>
      </w:pPr>
      <w:r>
        <w:rPr>
          <w:rFonts w:hint="eastAsia" w:ascii="宋体" w:hAnsi="宋体" w:cs="宋体"/>
          <w:b/>
          <w:color w:val="auto"/>
          <w:sz w:val="24"/>
          <w:szCs w:val="24"/>
          <w:highlight w:val="none"/>
        </w:rPr>
        <w:t>委托代理人（姓名）：</w:t>
      </w:r>
      <w:r>
        <w:rPr>
          <w:rFonts w:hint="eastAsia" w:ascii="宋体" w:hAnsi="宋体" w:cs="宋体"/>
          <w:b/>
          <w:color w:val="auto"/>
          <w:sz w:val="24"/>
          <w:szCs w:val="24"/>
          <w:highlight w:val="none"/>
          <w:u w:val="single"/>
        </w:rPr>
        <w:t xml:space="preserve">                       </w:t>
      </w:r>
    </w:p>
    <w:p w14:paraId="6C8BE9C6">
      <w:pPr>
        <w:autoSpaceDE w:val="0"/>
        <w:autoSpaceDN w:val="0"/>
        <w:adjustRightInd w:val="0"/>
        <w:spacing w:line="360" w:lineRule="auto"/>
        <w:ind w:firstLine="3373" w:firstLineChars="1400"/>
        <w:rPr>
          <w:rFonts w:ascii="宋体" w:hAnsi="宋体" w:cs="宋体"/>
          <w:color w:val="auto"/>
          <w:highlight w:val="none"/>
        </w:rPr>
      </w:pPr>
      <w:r>
        <w:rPr>
          <w:rFonts w:hint="eastAsia" w:ascii="宋体" w:hAnsi="宋体" w:cs="宋体"/>
          <w:b/>
          <w:bCs/>
          <w:color w:val="auto"/>
          <w:sz w:val="24"/>
          <w:highlight w:val="none"/>
        </w:rPr>
        <w:t>身份证号码：</w:t>
      </w:r>
      <w:r>
        <w:rPr>
          <w:rFonts w:hint="eastAsia" w:ascii="宋体" w:hAnsi="宋体" w:cs="宋体"/>
          <w:b/>
          <w:bCs/>
          <w:color w:val="auto"/>
          <w:sz w:val="24"/>
          <w:highlight w:val="none"/>
          <w:u w:val="single"/>
        </w:rPr>
        <w:t xml:space="preserve">                            </w:t>
      </w:r>
    </w:p>
    <w:p w14:paraId="00BC70BA">
      <w:pPr>
        <w:spacing w:before="468" w:line="360" w:lineRule="auto"/>
        <w:ind w:firstLine="3373" w:firstLineChars="1400"/>
        <w:rPr>
          <w:rFonts w:ascii="宋体" w:hAnsi="宋体" w:cs="宋体"/>
          <w:b/>
          <w:color w:val="auto"/>
          <w:sz w:val="24"/>
          <w:szCs w:val="24"/>
          <w:highlight w:val="none"/>
        </w:rPr>
      </w:pPr>
      <w:r>
        <w:rPr>
          <w:rFonts w:hint="eastAsia" w:ascii="宋体" w:hAnsi="宋体" w:cs="宋体"/>
          <w:b/>
          <w:color w:val="auto"/>
          <w:sz w:val="24"/>
          <w:szCs w:val="24"/>
          <w:highlight w:val="none"/>
        </w:rPr>
        <w:t>日期：</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年</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月</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日</w:t>
      </w:r>
    </w:p>
    <w:p w14:paraId="00A273EF">
      <w:pPr>
        <w:ind w:right="480"/>
        <w:rPr>
          <w:rFonts w:ascii="宋体" w:hAnsi="宋体" w:cs="宋体"/>
          <w:color w:val="auto"/>
          <w:sz w:val="24"/>
          <w:szCs w:val="24"/>
          <w:highlight w:val="none"/>
        </w:rPr>
      </w:pPr>
    </w:p>
    <w:tbl>
      <w:tblPr>
        <w:tblStyle w:val="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13"/>
        <w:gridCol w:w="4814"/>
      </w:tblGrid>
      <w:tr w14:paraId="3E77A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6" w:hRule="atLeast"/>
        </w:trPr>
        <w:tc>
          <w:tcPr>
            <w:tcW w:w="4813" w:type="dxa"/>
            <w:vAlign w:val="center"/>
          </w:tcPr>
          <w:p w14:paraId="46BD1859">
            <w:pPr>
              <w:widowControl w:val="0"/>
              <w:spacing w:before="324" w:beforeLines="100" w:after="324" w:afterLines="100" w:line="600" w:lineRule="exact"/>
              <w:jc w:val="center"/>
              <w:rPr>
                <w:rFonts w:ascii="宋体" w:hAnsi="宋体" w:cs="宋体"/>
                <w:color w:val="auto"/>
                <w:highlight w:val="none"/>
              </w:rPr>
            </w:pPr>
            <w:r>
              <w:rPr>
                <w:rFonts w:hint="eastAsia" w:ascii="宋体" w:hAnsi="宋体" w:cs="宋体"/>
                <w:color w:val="auto"/>
                <w:sz w:val="24"/>
                <w:szCs w:val="24"/>
                <w:highlight w:val="none"/>
              </w:rPr>
              <w:t>代理人身份证正面</w:t>
            </w:r>
          </w:p>
        </w:tc>
        <w:tc>
          <w:tcPr>
            <w:tcW w:w="4814" w:type="dxa"/>
            <w:vAlign w:val="center"/>
          </w:tcPr>
          <w:p w14:paraId="1CD6FBA6">
            <w:pPr>
              <w:widowControl w:val="0"/>
              <w:spacing w:before="324" w:beforeLines="100" w:after="324" w:afterLines="100" w:line="600" w:lineRule="exact"/>
              <w:jc w:val="center"/>
              <w:rPr>
                <w:rFonts w:ascii="宋体" w:hAnsi="宋体" w:cs="宋体"/>
                <w:color w:val="auto"/>
                <w:highlight w:val="none"/>
              </w:rPr>
            </w:pPr>
            <w:r>
              <w:rPr>
                <w:rFonts w:hint="eastAsia" w:ascii="宋体" w:hAnsi="宋体" w:cs="宋体"/>
                <w:color w:val="auto"/>
                <w:sz w:val="24"/>
                <w:szCs w:val="24"/>
                <w:highlight w:val="none"/>
              </w:rPr>
              <w:t>代理人身份证反面</w:t>
            </w:r>
          </w:p>
        </w:tc>
      </w:tr>
    </w:tbl>
    <w:p w14:paraId="2B1A520B">
      <w:pPr>
        <w:spacing w:line="240" w:lineRule="exact"/>
        <w:rPr>
          <w:rFonts w:ascii="宋体" w:hAnsi="宋体" w:cs="宋体"/>
          <w:b/>
          <w:bCs/>
          <w:color w:val="auto"/>
          <w:sz w:val="44"/>
          <w:szCs w:val="44"/>
          <w:highlight w:val="none"/>
        </w:rPr>
      </w:pPr>
    </w:p>
    <w:p w14:paraId="6E03A5FC">
      <w:pPr>
        <w:pStyle w:val="4"/>
        <w:widowControl/>
        <w:autoSpaceDE w:val="0"/>
        <w:spacing w:before="0" w:after="0" w:line="360" w:lineRule="auto"/>
        <w:ind w:firstLine="562" w:firstLineChars="200"/>
        <w:rPr>
          <w:rFonts w:ascii="宋体" w:hAnsi="宋体" w:cs="宋体"/>
          <w:color w:val="auto"/>
          <w:szCs w:val="28"/>
          <w:highlight w:val="none"/>
        </w:rPr>
      </w:pPr>
      <w:bookmarkStart w:id="282" w:name="_Toc26620"/>
      <w:bookmarkEnd w:id="282"/>
      <w:bookmarkStart w:id="283" w:name="_Toc19510"/>
      <w:bookmarkStart w:id="284" w:name="_Toc7941"/>
      <w:r>
        <w:rPr>
          <w:rFonts w:hint="eastAsia" w:ascii="宋体" w:hAnsi="宋体" w:cs="宋体"/>
          <w:color w:val="auto"/>
          <w:szCs w:val="28"/>
          <w:highlight w:val="none"/>
          <w:lang w:val="en-US" w:eastAsia="zh-CN"/>
        </w:rPr>
        <w:t>九</w:t>
      </w:r>
      <w:r>
        <w:rPr>
          <w:rFonts w:hint="eastAsia" w:ascii="宋体" w:hAnsi="宋体" w:cs="宋体"/>
          <w:color w:val="auto"/>
          <w:szCs w:val="28"/>
          <w:highlight w:val="none"/>
        </w:rPr>
        <w:t>、投标人基本情况表</w:t>
      </w:r>
      <w:bookmarkEnd w:id="283"/>
      <w:bookmarkEnd w:id="284"/>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49"/>
        <w:gridCol w:w="1350"/>
        <w:gridCol w:w="2721"/>
        <w:gridCol w:w="1404"/>
        <w:gridCol w:w="1982"/>
      </w:tblGrid>
      <w:tr w14:paraId="5353B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vAlign w:val="center"/>
          </w:tcPr>
          <w:p w14:paraId="23F966E5">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投标人名称</w:t>
            </w:r>
          </w:p>
        </w:tc>
        <w:tc>
          <w:tcPr>
            <w:tcW w:w="7457" w:type="dxa"/>
            <w:gridSpan w:val="4"/>
            <w:tcBorders>
              <w:top w:val="single" w:color="auto" w:sz="4" w:space="0"/>
              <w:left w:val="nil"/>
              <w:bottom w:val="single" w:color="auto" w:sz="4" w:space="0"/>
              <w:right w:val="single" w:color="auto" w:sz="4" w:space="0"/>
            </w:tcBorders>
            <w:vAlign w:val="center"/>
          </w:tcPr>
          <w:p w14:paraId="1185350F">
            <w:pPr>
              <w:spacing w:line="440" w:lineRule="exact"/>
              <w:jc w:val="center"/>
              <w:rPr>
                <w:rFonts w:ascii="宋体" w:hAnsi="宋体" w:cs="宋体"/>
                <w:color w:val="auto"/>
                <w:sz w:val="24"/>
                <w:szCs w:val="24"/>
                <w:highlight w:val="none"/>
              </w:rPr>
            </w:pPr>
          </w:p>
        </w:tc>
      </w:tr>
      <w:tr w14:paraId="4FE9A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vAlign w:val="center"/>
          </w:tcPr>
          <w:p w14:paraId="453FB637">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注册资金</w:t>
            </w:r>
          </w:p>
        </w:tc>
        <w:tc>
          <w:tcPr>
            <w:tcW w:w="4071" w:type="dxa"/>
            <w:gridSpan w:val="2"/>
            <w:tcBorders>
              <w:top w:val="single" w:color="auto" w:sz="4" w:space="0"/>
              <w:left w:val="nil"/>
              <w:bottom w:val="single" w:color="auto" w:sz="4" w:space="0"/>
              <w:right w:val="single" w:color="auto" w:sz="4" w:space="0"/>
            </w:tcBorders>
            <w:vAlign w:val="center"/>
          </w:tcPr>
          <w:p w14:paraId="399BDDBB">
            <w:pPr>
              <w:spacing w:line="440" w:lineRule="exact"/>
              <w:jc w:val="center"/>
              <w:rPr>
                <w:rFonts w:ascii="宋体" w:hAnsi="宋体" w:cs="宋体"/>
                <w:color w:val="auto"/>
                <w:sz w:val="24"/>
                <w:szCs w:val="24"/>
                <w:highlight w:val="none"/>
              </w:rPr>
            </w:pPr>
          </w:p>
        </w:tc>
        <w:tc>
          <w:tcPr>
            <w:tcW w:w="1404" w:type="dxa"/>
            <w:tcBorders>
              <w:top w:val="single" w:color="auto" w:sz="4" w:space="0"/>
              <w:left w:val="nil"/>
              <w:bottom w:val="single" w:color="auto" w:sz="4" w:space="0"/>
              <w:right w:val="single" w:color="auto" w:sz="4" w:space="0"/>
            </w:tcBorders>
            <w:vAlign w:val="center"/>
          </w:tcPr>
          <w:p w14:paraId="67AD3411">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成立时间</w:t>
            </w:r>
          </w:p>
        </w:tc>
        <w:tc>
          <w:tcPr>
            <w:tcW w:w="1982" w:type="dxa"/>
            <w:tcBorders>
              <w:top w:val="single" w:color="auto" w:sz="4" w:space="0"/>
              <w:left w:val="nil"/>
              <w:bottom w:val="single" w:color="auto" w:sz="4" w:space="0"/>
              <w:right w:val="single" w:color="auto" w:sz="4" w:space="0"/>
            </w:tcBorders>
            <w:vAlign w:val="center"/>
          </w:tcPr>
          <w:p w14:paraId="72AB75C6">
            <w:pPr>
              <w:spacing w:line="440" w:lineRule="exact"/>
              <w:jc w:val="center"/>
              <w:rPr>
                <w:rFonts w:ascii="宋体" w:hAnsi="宋体" w:cs="宋体"/>
                <w:color w:val="auto"/>
                <w:sz w:val="24"/>
                <w:szCs w:val="24"/>
                <w:highlight w:val="none"/>
              </w:rPr>
            </w:pPr>
          </w:p>
        </w:tc>
      </w:tr>
      <w:tr w14:paraId="7AA5C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vAlign w:val="center"/>
          </w:tcPr>
          <w:p w14:paraId="528F09C7">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注册地址</w:t>
            </w:r>
          </w:p>
        </w:tc>
        <w:tc>
          <w:tcPr>
            <w:tcW w:w="7457" w:type="dxa"/>
            <w:gridSpan w:val="4"/>
            <w:tcBorders>
              <w:top w:val="single" w:color="auto" w:sz="4" w:space="0"/>
              <w:left w:val="nil"/>
              <w:bottom w:val="single" w:color="auto" w:sz="4" w:space="0"/>
              <w:right w:val="single" w:color="auto" w:sz="4" w:space="0"/>
            </w:tcBorders>
            <w:vAlign w:val="center"/>
          </w:tcPr>
          <w:p w14:paraId="5FE2A318">
            <w:pPr>
              <w:spacing w:line="440" w:lineRule="exact"/>
              <w:jc w:val="center"/>
              <w:rPr>
                <w:rFonts w:ascii="宋体" w:hAnsi="宋体" w:cs="宋体"/>
                <w:color w:val="auto"/>
                <w:sz w:val="24"/>
                <w:szCs w:val="24"/>
                <w:highlight w:val="none"/>
              </w:rPr>
            </w:pPr>
          </w:p>
        </w:tc>
      </w:tr>
      <w:tr w14:paraId="707E1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vAlign w:val="center"/>
          </w:tcPr>
          <w:p w14:paraId="0AD7F5CA">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邮政编码</w:t>
            </w:r>
          </w:p>
        </w:tc>
        <w:tc>
          <w:tcPr>
            <w:tcW w:w="4071" w:type="dxa"/>
            <w:gridSpan w:val="2"/>
            <w:tcBorders>
              <w:top w:val="single" w:color="auto" w:sz="4" w:space="0"/>
              <w:left w:val="nil"/>
              <w:bottom w:val="single" w:color="auto" w:sz="4" w:space="0"/>
              <w:right w:val="single" w:color="auto" w:sz="4" w:space="0"/>
            </w:tcBorders>
            <w:vAlign w:val="center"/>
          </w:tcPr>
          <w:p w14:paraId="53E68934">
            <w:pPr>
              <w:spacing w:line="440" w:lineRule="exact"/>
              <w:jc w:val="center"/>
              <w:rPr>
                <w:rFonts w:ascii="宋体" w:hAnsi="宋体" w:cs="宋体"/>
                <w:color w:val="auto"/>
                <w:sz w:val="24"/>
                <w:szCs w:val="24"/>
                <w:highlight w:val="none"/>
              </w:rPr>
            </w:pPr>
          </w:p>
        </w:tc>
        <w:tc>
          <w:tcPr>
            <w:tcW w:w="1404" w:type="dxa"/>
            <w:tcBorders>
              <w:top w:val="single" w:color="auto" w:sz="4" w:space="0"/>
              <w:left w:val="nil"/>
              <w:bottom w:val="single" w:color="auto" w:sz="4" w:space="0"/>
              <w:right w:val="single" w:color="auto" w:sz="4" w:space="0"/>
            </w:tcBorders>
            <w:vAlign w:val="center"/>
          </w:tcPr>
          <w:p w14:paraId="0B899A6B">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员工总数</w:t>
            </w:r>
          </w:p>
        </w:tc>
        <w:tc>
          <w:tcPr>
            <w:tcW w:w="1982" w:type="dxa"/>
            <w:tcBorders>
              <w:top w:val="single" w:color="auto" w:sz="4" w:space="0"/>
              <w:left w:val="nil"/>
              <w:bottom w:val="single" w:color="auto" w:sz="4" w:space="0"/>
              <w:right w:val="single" w:color="auto" w:sz="4" w:space="0"/>
            </w:tcBorders>
            <w:vAlign w:val="center"/>
          </w:tcPr>
          <w:p w14:paraId="5CF8A8C9">
            <w:pPr>
              <w:spacing w:line="440" w:lineRule="exact"/>
              <w:jc w:val="center"/>
              <w:rPr>
                <w:rFonts w:ascii="宋体" w:hAnsi="宋体" w:cs="宋体"/>
                <w:color w:val="auto"/>
                <w:sz w:val="24"/>
                <w:szCs w:val="24"/>
                <w:highlight w:val="none"/>
              </w:rPr>
            </w:pPr>
          </w:p>
        </w:tc>
      </w:tr>
      <w:tr w14:paraId="0E3C3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vMerge w:val="restart"/>
            <w:tcBorders>
              <w:top w:val="nil"/>
              <w:left w:val="single" w:color="auto" w:sz="4" w:space="0"/>
              <w:bottom w:val="single" w:color="auto" w:sz="4" w:space="0"/>
              <w:right w:val="single" w:color="auto" w:sz="4" w:space="0"/>
            </w:tcBorders>
            <w:vAlign w:val="center"/>
          </w:tcPr>
          <w:p w14:paraId="111BEB62">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联系方式</w:t>
            </w:r>
          </w:p>
        </w:tc>
        <w:tc>
          <w:tcPr>
            <w:tcW w:w="1350" w:type="dxa"/>
            <w:tcBorders>
              <w:top w:val="single" w:color="auto" w:sz="4" w:space="0"/>
              <w:left w:val="nil"/>
              <w:bottom w:val="single" w:color="auto" w:sz="4" w:space="0"/>
              <w:right w:val="single" w:color="auto" w:sz="4" w:space="0"/>
            </w:tcBorders>
            <w:vAlign w:val="center"/>
          </w:tcPr>
          <w:p w14:paraId="5DA09DA8">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联系人</w:t>
            </w:r>
          </w:p>
        </w:tc>
        <w:tc>
          <w:tcPr>
            <w:tcW w:w="2721" w:type="dxa"/>
            <w:tcBorders>
              <w:top w:val="single" w:color="auto" w:sz="4" w:space="0"/>
              <w:left w:val="nil"/>
              <w:bottom w:val="single" w:color="auto" w:sz="4" w:space="0"/>
              <w:right w:val="single" w:color="auto" w:sz="4" w:space="0"/>
            </w:tcBorders>
            <w:vAlign w:val="center"/>
          </w:tcPr>
          <w:p w14:paraId="63451CA7">
            <w:pPr>
              <w:spacing w:line="440" w:lineRule="exact"/>
              <w:jc w:val="center"/>
              <w:rPr>
                <w:rFonts w:ascii="宋体" w:hAnsi="宋体" w:cs="宋体"/>
                <w:color w:val="auto"/>
                <w:sz w:val="24"/>
                <w:szCs w:val="24"/>
                <w:highlight w:val="none"/>
              </w:rPr>
            </w:pPr>
          </w:p>
        </w:tc>
        <w:tc>
          <w:tcPr>
            <w:tcW w:w="1404" w:type="dxa"/>
            <w:tcBorders>
              <w:top w:val="single" w:color="auto" w:sz="4" w:space="0"/>
              <w:left w:val="nil"/>
              <w:bottom w:val="single" w:color="auto" w:sz="4" w:space="0"/>
              <w:right w:val="single" w:color="auto" w:sz="4" w:space="0"/>
            </w:tcBorders>
            <w:vAlign w:val="center"/>
          </w:tcPr>
          <w:p w14:paraId="00323F42">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电话</w:t>
            </w:r>
          </w:p>
        </w:tc>
        <w:tc>
          <w:tcPr>
            <w:tcW w:w="1982" w:type="dxa"/>
            <w:tcBorders>
              <w:top w:val="single" w:color="auto" w:sz="4" w:space="0"/>
              <w:left w:val="nil"/>
              <w:bottom w:val="single" w:color="auto" w:sz="4" w:space="0"/>
              <w:right w:val="single" w:color="auto" w:sz="4" w:space="0"/>
            </w:tcBorders>
            <w:vAlign w:val="center"/>
          </w:tcPr>
          <w:p w14:paraId="4B9F2EEB">
            <w:pPr>
              <w:spacing w:line="440" w:lineRule="exact"/>
              <w:jc w:val="center"/>
              <w:rPr>
                <w:rFonts w:ascii="宋体" w:hAnsi="宋体" w:cs="宋体"/>
                <w:color w:val="auto"/>
                <w:sz w:val="24"/>
                <w:szCs w:val="24"/>
                <w:highlight w:val="none"/>
              </w:rPr>
            </w:pPr>
          </w:p>
        </w:tc>
      </w:tr>
      <w:tr w14:paraId="2B7B4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vMerge w:val="continue"/>
            <w:tcBorders>
              <w:top w:val="nil"/>
              <w:left w:val="single" w:color="auto" w:sz="4" w:space="0"/>
              <w:bottom w:val="single" w:color="auto" w:sz="4" w:space="0"/>
              <w:right w:val="single" w:color="auto" w:sz="4" w:space="0"/>
            </w:tcBorders>
            <w:vAlign w:val="center"/>
          </w:tcPr>
          <w:p w14:paraId="26C637C6">
            <w:pPr>
              <w:widowControl w:val="0"/>
              <w:jc w:val="both"/>
              <w:rPr>
                <w:rFonts w:ascii="宋体" w:hAnsi="宋体" w:cs="宋体"/>
                <w:color w:val="auto"/>
                <w:kern w:val="2"/>
                <w:sz w:val="24"/>
                <w:szCs w:val="24"/>
                <w:highlight w:val="none"/>
              </w:rPr>
            </w:pPr>
          </w:p>
        </w:tc>
        <w:tc>
          <w:tcPr>
            <w:tcW w:w="1350" w:type="dxa"/>
            <w:tcBorders>
              <w:top w:val="single" w:color="auto" w:sz="4" w:space="0"/>
              <w:left w:val="nil"/>
              <w:bottom w:val="single" w:color="auto" w:sz="4" w:space="0"/>
              <w:right w:val="single" w:color="auto" w:sz="4" w:space="0"/>
            </w:tcBorders>
            <w:vAlign w:val="center"/>
          </w:tcPr>
          <w:p w14:paraId="32487508">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网址</w:t>
            </w:r>
          </w:p>
        </w:tc>
        <w:tc>
          <w:tcPr>
            <w:tcW w:w="2721" w:type="dxa"/>
            <w:tcBorders>
              <w:top w:val="single" w:color="auto" w:sz="4" w:space="0"/>
              <w:left w:val="nil"/>
              <w:bottom w:val="single" w:color="auto" w:sz="4" w:space="0"/>
              <w:right w:val="single" w:color="auto" w:sz="4" w:space="0"/>
            </w:tcBorders>
            <w:vAlign w:val="center"/>
          </w:tcPr>
          <w:p w14:paraId="468197FD">
            <w:pPr>
              <w:spacing w:line="440" w:lineRule="exact"/>
              <w:jc w:val="center"/>
              <w:rPr>
                <w:rFonts w:ascii="宋体" w:hAnsi="宋体" w:cs="宋体"/>
                <w:color w:val="auto"/>
                <w:sz w:val="24"/>
                <w:szCs w:val="24"/>
                <w:highlight w:val="none"/>
              </w:rPr>
            </w:pPr>
          </w:p>
        </w:tc>
        <w:tc>
          <w:tcPr>
            <w:tcW w:w="1404" w:type="dxa"/>
            <w:tcBorders>
              <w:top w:val="single" w:color="auto" w:sz="4" w:space="0"/>
              <w:left w:val="nil"/>
              <w:bottom w:val="single" w:color="auto" w:sz="4" w:space="0"/>
              <w:right w:val="single" w:color="auto" w:sz="4" w:space="0"/>
            </w:tcBorders>
            <w:vAlign w:val="center"/>
          </w:tcPr>
          <w:p w14:paraId="13C4D731">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传真</w:t>
            </w:r>
          </w:p>
        </w:tc>
        <w:tc>
          <w:tcPr>
            <w:tcW w:w="1982" w:type="dxa"/>
            <w:tcBorders>
              <w:top w:val="single" w:color="auto" w:sz="4" w:space="0"/>
              <w:left w:val="nil"/>
              <w:bottom w:val="single" w:color="auto" w:sz="4" w:space="0"/>
              <w:right w:val="single" w:color="auto" w:sz="4" w:space="0"/>
            </w:tcBorders>
            <w:vAlign w:val="center"/>
          </w:tcPr>
          <w:p w14:paraId="78F3E160">
            <w:pPr>
              <w:spacing w:line="440" w:lineRule="exact"/>
              <w:jc w:val="center"/>
              <w:rPr>
                <w:rFonts w:ascii="宋体" w:hAnsi="宋体" w:cs="宋体"/>
                <w:color w:val="auto"/>
                <w:sz w:val="24"/>
                <w:szCs w:val="24"/>
                <w:highlight w:val="none"/>
              </w:rPr>
            </w:pPr>
          </w:p>
        </w:tc>
      </w:tr>
      <w:tr w14:paraId="551FF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vAlign w:val="center"/>
          </w:tcPr>
          <w:p w14:paraId="52310A85">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法定代表人</w:t>
            </w:r>
          </w:p>
          <w:p w14:paraId="011E7D27">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（单位负责人）</w:t>
            </w:r>
          </w:p>
        </w:tc>
        <w:tc>
          <w:tcPr>
            <w:tcW w:w="1350" w:type="dxa"/>
            <w:tcBorders>
              <w:top w:val="single" w:color="auto" w:sz="4" w:space="0"/>
              <w:left w:val="nil"/>
              <w:bottom w:val="single" w:color="auto" w:sz="4" w:space="0"/>
              <w:right w:val="single" w:color="auto" w:sz="4" w:space="0"/>
            </w:tcBorders>
            <w:vAlign w:val="center"/>
          </w:tcPr>
          <w:p w14:paraId="6A39FE8C">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姓名</w:t>
            </w:r>
          </w:p>
        </w:tc>
        <w:tc>
          <w:tcPr>
            <w:tcW w:w="2721" w:type="dxa"/>
            <w:tcBorders>
              <w:top w:val="single" w:color="auto" w:sz="4" w:space="0"/>
              <w:left w:val="nil"/>
              <w:bottom w:val="single" w:color="auto" w:sz="4" w:space="0"/>
              <w:right w:val="single" w:color="auto" w:sz="4" w:space="0"/>
            </w:tcBorders>
            <w:vAlign w:val="center"/>
          </w:tcPr>
          <w:p w14:paraId="7FABE4C1">
            <w:pPr>
              <w:spacing w:line="440" w:lineRule="exact"/>
              <w:jc w:val="center"/>
              <w:rPr>
                <w:rFonts w:ascii="宋体" w:hAnsi="宋体" w:cs="宋体"/>
                <w:color w:val="auto"/>
                <w:sz w:val="24"/>
                <w:szCs w:val="24"/>
                <w:highlight w:val="none"/>
              </w:rPr>
            </w:pPr>
          </w:p>
        </w:tc>
        <w:tc>
          <w:tcPr>
            <w:tcW w:w="1404" w:type="dxa"/>
            <w:tcBorders>
              <w:top w:val="single" w:color="auto" w:sz="4" w:space="0"/>
              <w:left w:val="nil"/>
              <w:bottom w:val="single" w:color="auto" w:sz="4" w:space="0"/>
              <w:right w:val="single" w:color="auto" w:sz="4" w:space="0"/>
            </w:tcBorders>
            <w:vAlign w:val="center"/>
          </w:tcPr>
          <w:p w14:paraId="7B4E054E">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电话</w:t>
            </w:r>
          </w:p>
        </w:tc>
        <w:tc>
          <w:tcPr>
            <w:tcW w:w="1982" w:type="dxa"/>
            <w:tcBorders>
              <w:top w:val="single" w:color="auto" w:sz="4" w:space="0"/>
              <w:left w:val="nil"/>
              <w:bottom w:val="single" w:color="auto" w:sz="4" w:space="0"/>
              <w:right w:val="single" w:color="auto" w:sz="4" w:space="0"/>
            </w:tcBorders>
            <w:vAlign w:val="center"/>
          </w:tcPr>
          <w:p w14:paraId="7960B954">
            <w:pPr>
              <w:spacing w:line="440" w:lineRule="exact"/>
              <w:jc w:val="center"/>
              <w:rPr>
                <w:rFonts w:ascii="宋体" w:hAnsi="宋体" w:cs="宋体"/>
                <w:color w:val="auto"/>
                <w:sz w:val="24"/>
                <w:szCs w:val="24"/>
                <w:highlight w:val="none"/>
              </w:rPr>
            </w:pPr>
          </w:p>
        </w:tc>
      </w:tr>
      <w:tr w14:paraId="4E27F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vAlign w:val="center"/>
          </w:tcPr>
          <w:p w14:paraId="61D98385">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投标人须知要求投标人需具有的各类资质证书（若有）</w:t>
            </w:r>
          </w:p>
        </w:tc>
        <w:tc>
          <w:tcPr>
            <w:tcW w:w="7457" w:type="dxa"/>
            <w:gridSpan w:val="4"/>
            <w:tcBorders>
              <w:top w:val="single" w:color="auto" w:sz="4" w:space="0"/>
              <w:left w:val="nil"/>
              <w:bottom w:val="single" w:color="auto" w:sz="4" w:space="0"/>
              <w:right w:val="single" w:color="auto" w:sz="4" w:space="0"/>
            </w:tcBorders>
            <w:vAlign w:val="center"/>
          </w:tcPr>
          <w:p w14:paraId="0B770C78">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类型：                等级：                 证书号：</w:t>
            </w:r>
          </w:p>
        </w:tc>
      </w:tr>
      <w:tr w14:paraId="2B93F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vAlign w:val="center"/>
          </w:tcPr>
          <w:p w14:paraId="52639C09">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基本账户开户银行</w:t>
            </w:r>
          </w:p>
        </w:tc>
        <w:tc>
          <w:tcPr>
            <w:tcW w:w="7457" w:type="dxa"/>
            <w:gridSpan w:val="4"/>
            <w:tcBorders>
              <w:top w:val="single" w:color="auto" w:sz="4" w:space="0"/>
              <w:left w:val="nil"/>
              <w:bottom w:val="single" w:color="auto" w:sz="4" w:space="0"/>
              <w:right w:val="single" w:color="auto" w:sz="4" w:space="0"/>
            </w:tcBorders>
            <w:vAlign w:val="center"/>
          </w:tcPr>
          <w:p w14:paraId="3E3D1A7C">
            <w:pPr>
              <w:spacing w:line="440" w:lineRule="exact"/>
              <w:jc w:val="center"/>
              <w:rPr>
                <w:rFonts w:ascii="宋体" w:hAnsi="宋体" w:cs="宋体"/>
                <w:color w:val="auto"/>
                <w:sz w:val="24"/>
                <w:szCs w:val="24"/>
                <w:highlight w:val="none"/>
              </w:rPr>
            </w:pPr>
          </w:p>
        </w:tc>
      </w:tr>
      <w:tr w14:paraId="24B6F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vAlign w:val="center"/>
          </w:tcPr>
          <w:p w14:paraId="49DD15C7">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基本账户银行账号</w:t>
            </w:r>
          </w:p>
        </w:tc>
        <w:tc>
          <w:tcPr>
            <w:tcW w:w="7457" w:type="dxa"/>
            <w:gridSpan w:val="4"/>
            <w:tcBorders>
              <w:top w:val="single" w:color="auto" w:sz="4" w:space="0"/>
              <w:left w:val="nil"/>
              <w:bottom w:val="single" w:color="auto" w:sz="4" w:space="0"/>
              <w:right w:val="single" w:color="auto" w:sz="4" w:space="0"/>
            </w:tcBorders>
            <w:vAlign w:val="center"/>
          </w:tcPr>
          <w:p w14:paraId="74C0D58D">
            <w:pPr>
              <w:spacing w:line="440" w:lineRule="exact"/>
              <w:jc w:val="center"/>
              <w:rPr>
                <w:rFonts w:ascii="宋体" w:hAnsi="宋体" w:cs="宋体"/>
                <w:color w:val="auto"/>
                <w:sz w:val="24"/>
                <w:szCs w:val="24"/>
                <w:highlight w:val="none"/>
              </w:rPr>
            </w:pPr>
          </w:p>
        </w:tc>
      </w:tr>
      <w:tr w14:paraId="03378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vAlign w:val="center"/>
          </w:tcPr>
          <w:p w14:paraId="21607482">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投标人关联企业情况（包括但不限于与投标人法定代表人（单位负责人）为同一人或者存在控股、管理关系的不同单位）</w:t>
            </w:r>
          </w:p>
        </w:tc>
        <w:tc>
          <w:tcPr>
            <w:tcW w:w="7457" w:type="dxa"/>
            <w:gridSpan w:val="4"/>
            <w:tcBorders>
              <w:top w:val="single" w:color="auto" w:sz="4" w:space="0"/>
              <w:left w:val="nil"/>
              <w:bottom w:val="single" w:color="auto" w:sz="4" w:space="0"/>
              <w:right w:val="single" w:color="auto" w:sz="4" w:space="0"/>
            </w:tcBorders>
            <w:vAlign w:val="center"/>
          </w:tcPr>
          <w:p w14:paraId="3620FA59">
            <w:pPr>
              <w:spacing w:line="440" w:lineRule="exact"/>
              <w:jc w:val="center"/>
              <w:rPr>
                <w:rFonts w:ascii="宋体" w:hAnsi="宋体" w:cs="宋体"/>
                <w:color w:val="auto"/>
                <w:sz w:val="24"/>
                <w:szCs w:val="24"/>
                <w:highlight w:val="none"/>
              </w:rPr>
            </w:pPr>
          </w:p>
        </w:tc>
      </w:tr>
      <w:tr w14:paraId="73171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vAlign w:val="center"/>
          </w:tcPr>
          <w:p w14:paraId="4F3BD927">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备注</w:t>
            </w:r>
          </w:p>
        </w:tc>
        <w:tc>
          <w:tcPr>
            <w:tcW w:w="7457" w:type="dxa"/>
            <w:gridSpan w:val="4"/>
            <w:tcBorders>
              <w:top w:val="single" w:color="auto" w:sz="4" w:space="0"/>
              <w:left w:val="nil"/>
              <w:bottom w:val="single" w:color="auto" w:sz="4" w:space="0"/>
              <w:right w:val="single" w:color="auto" w:sz="4" w:space="0"/>
            </w:tcBorders>
            <w:vAlign w:val="center"/>
          </w:tcPr>
          <w:p w14:paraId="3A345F33">
            <w:pPr>
              <w:spacing w:line="440" w:lineRule="exact"/>
              <w:jc w:val="center"/>
              <w:rPr>
                <w:rFonts w:ascii="宋体" w:hAnsi="宋体" w:cs="宋体"/>
                <w:color w:val="auto"/>
                <w:sz w:val="24"/>
                <w:szCs w:val="24"/>
                <w:highlight w:val="none"/>
              </w:rPr>
            </w:pPr>
          </w:p>
        </w:tc>
      </w:tr>
    </w:tbl>
    <w:p w14:paraId="6FC95280">
      <w:pPr>
        <w:spacing w:line="240" w:lineRule="exact"/>
        <w:rPr>
          <w:rFonts w:ascii="宋体" w:hAnsi="宋体" w:cs="宋体"/>
          <w:color w:val="auto"/>
          <w:sz w:val="24"/>
          <w:szCs w:val="24"/>
          <w:highlight w:val="none"/>
        </w:rPr>
      </w:pPr>
    </w:p>
    <w:p w14:paraId="034E01F3">
      <w:pPr>
        <w:pStyle w:val="4"/>
        <w:widowControl/>
        <w:autoSpaceDE w:val="0"/>
        <w:spacing w:before="0" w:after="0" w:line="360" w:lineRule="auto"/>
        <w:rPr>
          <w:rFonts w:ascii="宋体" w:hAnsi="宋体" w:cs="宋体"/>
          <w:color w:val="auto"/>
          <w:szCs w:val="28"/>
          <w:highlight w:val="none"/>
        </w:rPr>
      </w:pPr>
      <w:bookmarkStart w:id="285" w:name="_Toc25271"/>
      <w:bookmarkEnd w:id="285"/>
      <w:bookmarkStart w:id="286" w:name="_Toc28613"/>
      <w:r>
        <w:rPr>
          <w:rFonts w:hint="eastAsia" w:ascii="宋体" w:hAnsi="宋体" w:cs="宋体"/>
          <w:color w:val="auto"/>
          <w:szCs w:val="28"/>
          <w:highlight w:val="none"/>
        </w:rPr>
        <w:br w:type="page"/>
      </w:r>
      <w:bookmarkStart w:id="287" w:name="_Toc29231"/>
      <w:r>
        <w:rPr>
          <w:rFonts w:hint="eastAsia" w:ascii="宋体" w:hAnsi="宋体" w:cs="宋体"/>
          <w:color w:val="auto"/>
          <w:szCs w:val="28"/>
          <w:highlight w:val="none"/>
        </w:rPr>
        <w:t>十、投标保证金</w:t>
      </w:r>
      <w:bookmarkEnd w:id="286"/>
      <w:bookmarkEnd w:id="287"/>
    </w:p>
    <w:p w14:paraId="1627F1D9">
      <w:pPr>
        <w:spacing w:before="120" w:after="12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投标人提交的投标保证金应采用招标文件中规定的形式，并在此提供相应凭证的扫描件。</w:t>
      </w:r>
    </w:p>
    <w:p w14:paraId="79E863AA">
      <w:pPr>
        <w:autoSpaceDE w:val="0"/>
        <w:spacing w:line="360" w:lineRule="auto"/>
        <w:ind w:firstLine="960" w:firstLineChars="400"/>
        <w:rPr>
          <w:rFonts w:ascii="宋体" w:hAnsi="宋体" w:cs="宋体"/>
          <w:color w:val="auto"/>
          <w:sz w:val="24"/>
          <w:szCs w:val="24"/>
          <w:highlight w:val="none"/>
        </w:rPr>
      </w:pPr>
      <w:r>
        <w:rPr>
          <w:rFonts w:hint="eastAsia" w:ascii="宋体" w:hAnsi="宋体" w:cs="宋体"/>
          <w:color w:val="auto"/>
          <w:sz w:val="24"/>
          <w:szCs w:val="24"/>
          <w:highlight w:val="none"/>
        </w:rPr>
        <w:t xml:space="preserve"> </w:t>
      </w:r>
    </w:p>
    <w:p w14:paraId="78C2BA3E">
      <w:pPr>
        <w:autoSpaceDE w:val="0"/>
        <w:spacing w:line="360" w:lineRule="auto"/>
        <w:ind w:firstLine="960" w:firstLineChars="400"/>
        <w:rPr>
          <w:rFonts w:ascii="宋体" w:hAnsi="宋体" w:cs="宋体"/>
          <w:color w:val="auto"/>
          <w:sz w:val="24"/>
          <w:szCs w:val="24"/>
          <w:highlight w:val="none"/>
        </w:rPr>
      </w:pPr>
      <w:r>
        <w:rPr>
          <w:rFonts w:hint="eastAsia" w:ascii="宋体" w:hAnsi="宋体" w:cs="宋体"/>
          <w:color w:val="auto"/>
          <w:sz w:val="24"/>
          <w:szCs w:val="24"/>
          <w:highlight w:val="none"/>
        </w:rPr>
        <w:t xml:space="preserve"> </w:t>
      </w:r>
    </w:p>
    <w:p w14:paraId="12FE890F">
      <w:pPr>
        <w:rPr>
          <w:rFonts w:hint="eastAsia" w:ascii="宋体" w:hAnsi="宋体" w:cs="宋体"/>
          <w:color w:val="auto"/>
          <w:szCs w:val="28"/>
          <w:highlight w:val="none"/>
        </w:rPr>
      </w:pPr>
      <w:bookmarkStart w:id="288" w:name="_Toc23543"/>
      <w:bookmarkEnd w:id="288"/>
      <w:bookmarkStart w:id="289" w:name="_Toc25087"/>
      <w:r>
        <w:rPr>
          <w:rFonts w:hint="eastAsia" w:ascii="宋体" w:hAnsi="宋体" w:cs="宋体"/>
          <w:color w:val="auto"/>
          <w:szCs w:val="28"/>
          <w:highlight w:val="none"/>
        </w:rPr>
        <w:br w:type="page"/>
      </w:r>
    </w:p>
    <w:p w14:paraId="44B81A51">
      <w:pPr>
        <w:pStyle w:val="4"/>
        <w:widowControl/>
        <w:autoSpaceDE w:val="0"/>
        <w:spacing w:before="0" w:after="0" w:line="240" w:lineRule="auto"/>
        <w:rPr>
          <w:rFonts w:ascii="宋体" w:hAnsi="宋体" w:cs="宋体"/>
          <w:color w:val="auto"/>
          <w:szCs w:val="28"/>
          <w:highlight w:val="none"/>
        </w:rPr>
      </w:pPr>
      <w:bookmarkStart w:id="290" w:name="_Toc12401"/>
      <w:r>
        <w:rPr>
          <w:rFonts w:hint="eastAsia" w:ascii="宋体" w:hAnsi="宋体" w:cs="宋体"/>
          <w:color w:val="auto"/>
          <w:szCs w:val="28"/>
          <w:highlight w:val="none"/>
        </w:rPr>
        <w:t>▲十</w:t>
      </w:r>
      <w:r>
        <w:rPr>
          <w:rFonts w:hint="eastAsia" w:ascii="宋体" w:hAnsi="宋体" w:cs="宋体"/>
          <w:color w:val="auto"/>
          <w:szCs w:val="28"/>
          <w:highlight w:val="none"/>
          <w:lang w:val="en-US" w:eastAsia="zh-CN"/>
        </w:rPr>
        <w:t>一</w:t>
      </w:r>
      <w:r>
        <w:rPr>
          <w:rFonts w:hint="eastAsia" w:ascii="宋体" w:hAnsi="宋体" w:cs="宋体"/>
          <w:color w:val="auto"/>
          <w:szCs w:val="28"/>
          <w:highlight w:val="none"/>
        </w:rPr>
        <w:t>、</w:t>
      </w:r>
      <w:bookmarkEnd w:id="289"/>
      <w:r>
        <w:rPr>
          <w:rFonts w:hint="eastAsia" w:ascii="宋体" w:hAnsi="宋体" w:cs="宋体"/>
          <w:color w:val="auto"/>
          <w:szCs w:val="28"/>
          <w:highlight w:val="none"/>
        </w:rPr>
        <w:t>技术规格偏离表</w:t>
      </w:r>
      <w:bookmarkEnd w:id="290"/>
    </w:p>
    <w:tbl>
      <w:tblPr>
        <w:tblStyle w:val="32"/>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9"/>
        <w:gridCol w:w="1302"/>
        <w:gridCol w:w="1399"/>
        <w:gridCol w:w="1676"/>
        <w:gridCol w:w="1405"/>
        <w:gridCol w:w="1310"/>
        <w:gridCol w:w="902"/>
        <w:gridCol w:w="1349"/>
      </w:tblGrid>
      <w:tr w14:paraId="1EBA6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01" w:type="pct"/>
            <w:vAlign w:val="center"/>
          </w:tcPr>
          <w:p w14:paraId="23DCFB96">
            <w:pPr>
              <w:spacing w:line="4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序号</w:t>
            </w:r>
          </w:p>
        </w:tc>
        <w:tc>
          <w:tcPr>
            <w:tcW w:w="654" w:type="pct"/>
            <w:vAlign w:val="center"/>
          </w:tcPr>
          <w:p w14:paraId="633A427D">
            <w:pPr>
              <w:spacing w:line="4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货物名称</w:t>
            </w:r>
          </w:p>
        </w:tc>
        <w:tc>
          <w:tcPr>
            <w:tcW w:w="703" w:type="pct"/>
            <w:vAlign w:val="center"/>
          </w:tcPr>
          <w:p w14:paraId="5CBAFFA9">
            <w:pPr>
              <w:spacing w:line="4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招标文件</w:t>
            </w:r>
          </w:p>
          <w:p w14:paraId="78CCBD42">
            <w:pPr>
              <w:spacing w:line="4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条款号</w:t>
            </w:r>
          </w:p>
        </w:tc>
        <w:tc>
          <w:tcPr>
            <w:tcW w:w="842" w:type="pct"/>
            <w:vAlign w:val="center"/>
          </w:tcPr>
          <w:p w14:paraId="636711AB">
            <w:pPr>
              <w:spacing w:line="4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招标文件技术规格及要求</w:t>
            </w:r>
          </w:p>
        </w:tc>
        <w:tc>
          <w:tcPr>
            <w:tcW w:w="706" w:type="pct"/>
            <w:vAlign w:val="center"/>
          </w:tcPr>
          <w:p w14:paraId="37C5E2B1">
            <w:pPr>
              <w:spacing w:line="4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投标品牌及型号</w:t>
            </w:r>
          </w:p>
        </w:tc>
        <w:tc>
          <w:tcPr>
            <w:tcW w:w="658" w:type="pct"/>
            <w:vAlign w:val="center"/>
          </w:tcPr>
          <w:p w14:paraId="2FD41811">
            <w:pPr>
              <w:spacing w:line="4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投标技术</w:t>
            </w:r>
          </w:p>
          <w:p w14:paraId="2A6E32D8">
            <w:pPr>
              <w:spacing w:line="4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规格及要求</w:t>
            </w:r>
          </w:p>
        </w:tc>
        <w:tc>
          <w:tcPr>
            <w:tcW w:w="453" w:type="pct"/>
            <w:vAlign w:val="center"/>
          </w:tcPr>
          <w:p w14:paraId="6B127D13">
            <w:pPr>
              <w:spacing w:line="4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偏离情况</w:t>
            </w:r>
          </w:p>
        </w:tc>
        <w:tc>
          <w:tcPr>
            <w:tcW w:w="678" w:type="pct"/>
            <w:vAlign w:val="center"/>
          </w:tcPr>
          <w:p w14:paraId="69136C06">
            <w:pPr>
              <w:spacing w:line="4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投标产品技术支持资料</w:t>
            </w:r>
          </w:p>
          <w:p w14:paraId="2B28FF25">
            <w:pPr>
              <w:spacing w:line="4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（页码及条目号等）</w:t>
            </w:r>
          </w:p>
        </w:tc>
      </w:tr>
      <w:tr w14:paraId="61D15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301" w:type="pct"/>
            <w:vAlign w:val="center"/>
          </w:tcPr>
          <w:p w14:paraId="7A1E8BE7">
            <w:pPr>
              <w:spacing w:line="480" w:lineRule="exact"/>
              <w:jc w:val="center"/>
              <w:rPr>
                <w:rFonts w:ascii="宋体" w:hAnsi="宋体" w:cs="宋体"/>
                <w:color w:val="auto"/>
                <w:sz w:val="24"/>
                <w:szCs w:val="24"/>
                <w:highlight w:val="none"/>
              </w:rPr>
            </w:pPr>
          </w:p>
        </w:tc>
        <w:tc>
          <w:tcPr>
            <w:tcW w:w="654" w:type="pct"/>
          </w:tcPr>
          <w:p w14:paraId="7B643193">
            <w:pPr>
              <w:spacing w:line="480" w:lineRule="exact"/>
              <w:rPr>
                <w:rFonts w:ascii="宋体" w:hAnsi="宋体" w:cs="宋体"/>
                <w:color w:val="auto"/>
                <w:sz w:val="24"/>
                <w:szCs w:val="24"/>
                <w:highlight w:val="none"/>
              </w:rPr>
            </w:pPr>
          </w:p>
        </w:tc>
        <w:tc>
          <w:tcPr>
            <w:tcW w:w="703" w:type="pct"/>
          </w:tcPr>
          <w:p w14:paraId="3B1BAE95">
            <w:pPr>
              <w:spacing w:line="480" w:lineRule="exact"/>
              <w:rPr>
                <w:rFonts w:ascii="宋体" w:hAnsi="宋体" w:cs="宋体"/>
                <w:color w:val="auto"/>
                <w:sz w:val="24"/>
                <w:szCs w:val="24"/>
                <w:highlight w:val="none"/>
              </w:rPr>
            </w:pPr>
          </w:p>
        </w:tc>
        <w:tc>
          <w:tcPr>
            <w:tcW w:w="842" w:type="pct"/>
          </w:tcPr>
          <w:p w14:paraId="0C16EB1C">
            <w:pPr>
              <w:spacing w:line="480" w:lineRule="exact"/>
              <w:rPr>
                <w:rFonts w:ascii="宋体" w:hAnsi="宋体" w:cs="宋体"/>
                <w:color w:val="auto"/>
                <w:sz w:val="24"/>
                <w:szCs w:val="24"/>
                <w:highlight w:val="none"/>
              </w:rPr>
            </w:pPr>
          </w:p>
        </w:tc>
        <w:tc>
          <w:tcPr>
            <w:tcW w:w="706" w:type="pct"/>
          </w:tcPr>
          <w:p w14:paraId="6D2992BB">
            <w:pPr>
              <w:spacing w:line="480" w:lineRule="exact"/>
              <w:rPr>
                <w:rFonts w:ascii="宋体" w:hAnsi="宋体" w:cs="宋体"/>
                <w:color w:val="auto"/>
                <w:sz w:val="24"/>
                <w:szCs w:val="24"/>
                <w:highlight w:val="none"/>
              </w:rPr>
            </w:pPr>
          </w:p>
        </w:tc>
        <w:tc>
          <w:tcPr>
            <w:tcW w:w="658" w:type="pct"/>
          </w:tcPr>
          <w:p w14:paraId="3415FD0E">
            <w:pPr>
              <w:spacing w:line="480" w:lineRule="exact"/>
              <w:rPr>
                <w:rFonts w:ascii="宋体" w:hAnsi="宋体" w:cs="宋体"/>
                <w:color w:val="auto"/>
                <w:sz w:val="24"/>
                <w:szCs w:val="24"/>
                <w:highlight w:val="none"/>
              </w:rPr>
            </w:pPr>
          </w:p>
        </w:tc>
        <w:tc>
          <w:tcPr>
            <w:tcW w:w="453" w:type="pct"/>
          </w:tcPr>
          <w:p w14:paraId="4CDA0823">
            <w:pPr>
              <w:spacing w:line="480" w:lineRule="exact"/>
              <w:rPr>
                <w:rFonts w:ascii="宋体" w:hAnsi="宋体" w:cs="宋体"/>
                <w:color w:val="auto"/>
                <w:sz w:val="24"/>
                <w:szCs w:val="24"/>
                <w:highlight w:val="none"/>
              </w:rPr>
            </w:pPr>
          </w:p>
        </w:tc>
        <w:tc>
          <w:tcPr>
            <w:tcW w:w="678" w:type="pct"/>
          </w:tcPr>
          <w:p w14:paraId="188A413B">
            <w:pPr>
              <w:spacing w:line="480" w:lineRule="exact"/>
              <w:rPr>
                <w:rFonts w:ascii="宋体" w:hAnsi="宋体" w:cs="宋体"/>
                <w:color w:val="auto"/>
                <w:sz w:val="24"/>
                <w:szCs w:val="24"/>
                <w:highlight w:val="none"/>
              </w:rPr>
            </w:pPr>
          </w:p>
        </w:tc>
      </w:tr>
      <w:tr w14:paraId="0B491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01" w:type="pct"/>
            <w:vAlign w:val="center"/>
          </w:tcPr>
          <w:p w14:paraId="57EDB118">
            <w:pPr>
              <w:spacing w:line="480" w:lineRule="exact"/>
              <w:jc w:val="center"/>
              <w:rPr>
                <w:rFonts w:ascii="宋体" w:hAnsi="宋体" w:cs="宋体"/>
                <w:color w:val="auto"/>
                <w:sz w:val="24"/>
                <w:szCs w:val="24"/>
                <w:highlight w:val="none"/>
              </w:rPr>
            </w:pPr>
          </w:p>
        </w:tc>
        <w:tc>
          <w:tcPr>
            <w:tcW w:w="654" w:type="pct"/>
          </w:tcPr>
          <w:p w14:paraId="7A4959A1">
            <w:pPr>
              <w:spacing w:line="480" w:lineRule="exact"/>
              <w:rPr>
                <w:rFonts w:ascii="宋体" w:hAnsi="宋体" w:cs="宋体"/>
                <w:color w:val="auto"/>
                <w:sz w:val="24"/>
                <w:szCs w:val="24"/>
                <w:highlight w:val="none"/>
              </w:rPr>
            </w:pPr>
          </w:p>
        </w:tc>
        <w:tc>
          <w:tcPr>
            <w:tcW w:w="703" w:type="pct"/>
          </w:tcPr>
          <w:p w14:paraId="21054A42">
            <w:pPr>
              <w:spacing w:line="480" w:lineRule="exact"/>
              <w:rPr>
                <w:rFonts w:ascii="宋体" w:hAnsi="宋体" w:cs="宋体"/>
                <w:color w:val="auto"/>
                <w:sz w:val="24"/>
                <w:szCs w:val="24"/>
                <w:highlight w:val="none"/>
              </w:rPr>
            </w:pPr>
          </w:p>
        </w:tc>
        <w:tc>
          <w:tcPr>
            <w:tcW w:w="842" w:type="pct"/>
          </w:tcPr>
          <w:p w14:paraId="23CDCC53">
            <w:pPr>
              <w:spacing w:line="480" w:lineRule="exact"/>
              <w:rPr>
                <w:rFonts w:ascii="宋体" w:hAnsi="宋体" w:cs="宋体"/>
                <w:color w:val="auto"/>
                <w:sz w:val="24"/>
                <w:szCs w:val="24"/>
                <w:highlight w:val="none"/>
              </w:rPr>
            </w:pPr>
          </w:p>
        </w:tc>
        <w:tc>
          <w:tcPr>
            <w:tcW w:w="706" w:type="pct"/>
          </w:tcPr>
          <w:p w14:paraId="796F5BBF">
            <w:pPr>
              <w:spacing w:line="480" w:lineRule="exact"/>
              <w:rPr>
                <w:rFonts w:ascii="宋体" w:hAnsi="宋体" w:cs="宋体"/>
                <w:color w:val="auto"/>
                <w:sz w:val="24"/>
                <w:szCs w:val="24"/>
                <w:highlight w:val="none"/>
              </w:rPr>
            </w:pPr>
          </w:p>
        </w:tc>
        <w:tc>
          <w:tcPr>
            <w:tcW w:w="658" w:type="pct"/>
          </w:tcPr>
          <w:p w14:paraId="33429DC0">
            <w:pPr>
              <w:spacing w:line="480" w:lineRule="exact"/>
              <w:rPr>
                <w:rFonts w:ascii="宋体" w:hAnsi="宋体" w:cs="宋体"/>
                <w:color w:val="auto"/>
                <w:sz w:val="24"/>
                <w:szCs w:val="24"/>
                <w:highlight w:val="none"/>
              </w:rPr>
            </w:pPr>
          </w:p>
        </w:tc>
        <w:tc>
          <w:tcPr>
            <w:tcW w:w="453" w:type="pct"/>
          </w:tcPr>
          <w:p w14:paraId="2941D0B4">
            <w:pPr>
              <w:spacing w:line="480" w:lineRule="exact"/>
              <w:rPr>
                <w:rFonts w:ascii="宋体" w:hAnsi="宋体" w:cs="宋体"/>
                <w:color w:val="auto"/>
                <w:sz w:val="24"/>
                <w:szCs w:val="24"/>
                <w:highlight w:val="none"/>
              </w:rPr>
            </w:pPr>
          </w:p>
        </w:tc>
        <w:tc>
          <w:tcPr>
            <w:tcW w:w="678" w:type="pct"/>
          </w:tcPr>
          <w:p w14:paraId="442EF489">
            <w:pPr>
              <w:spacing w:line="480" w:lineRule="exact"/>
              <w:rPr>
                <w:rFonts w:ascii="宋体" w:hAnsi="宋体" w:cs="宋体"/>
                <w:color w:val="auto"/>
                <w:sz w:val="24"/>
                <w:szCs w:val="24"/>
                <w:highlight w:val="none"/>
              </w:rPr>
            </w:pPr>
          </w:p>
        </w:tc>
      </w:tr>
      <w:tr w14:paraId="44B01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301" w:type="pct"/>
            <w:vAlign w:val="center"/>
          </w:tcPr>
          <w:p w14:paraId="22E6175F">
            <w:pPr>
              <w:spacing w:line="480" w:lineRule="exact"/>
              <w:jc w:val="center"/>
              <w:rPr>
                <w:rFonts w:ascii="宋体" w:hAnsi="宋体" w:cs="宋体"/>
                <w:color w:val="auto"/>
                <w:sz w:val="24"/>
                <w:szCs w:val="24"/>
                <w:highlight w:val="none"/>
              </w:rPr>
            </w:pPr>
          </w:p>
        </w:tc>
        <w:tc>
          <w:tcPr>
            <w:tcW w:w="654" w:type="pct"/>
          </w:tcPr>
          <w:p w14:paraId="03AC880B">
            <w:pPr>
              <w:spacing w:line="480" w:lineRule="exact"/>
              <w:rPr>
                <w:rFonts w:ascii="宋体" w:hAnsi="宋体" w:cs="宋体"/>
                <w:color w:val="auto"/>
                <w:sz w:val="24"/>
                <w:szCs w:val="24"/>
                <w:highlight w:val="none"/>
              </w:rPr>
            </w:pPr>
          </w:p>
        </w:tc>
        <w:tc>
          <w:tcPr>
            <w:tcW w:w="703" w:type="pct"/>
          </w:tcPr>
          <w:p w14:paraId="13E82176">
            <w:pPr>
              <w:spacing w:line="480" w:lineRule="exact"/>
              <w:rPr>
                <w:rFonts w:ascii="宋体" w:hAnsi="宋体" w:cs="宋体"/>
                <w:color w:val="auto"/>
                <w:sz w:val="24"/>
                <w:szCs w:val="24"/>
                <w:highlight w:val="none"/>
              </w:rPr>
            </w:pPr>
          </w:p>
        </w:tc>
        <w:tc>
          <w:tcPr>
            <w:tcW w:w="842" w:type="pct"/>
          </w:tcPr>
          <w:p w14:paraId="55773835">
            <w:pPr>
              <w:spacing w:line="480" w:lineRule="exact"/>
              <w:rPr>
                <w:rFonts w:ascii="宋体" w:hAnsi="宋体" w:cs="宋体"/>
                <w:color w:val="auto"/>
                <w:sz w:val="24"/>
                <w:szCs w:val="24"/>
                <w:highlight w:val="none"/>
              </w:rPr>
            </w:pPr>
          </w:p>
        </w:tc>
        <w:tc>
          <w:tcPr>
            <w:tcW w:w="706" w:type="pct"/>
          </w:tcPr>
          <w:p w14:paraId="48247831">
            <w:pPr>
              <w:spacing w:line="480" w:lineRule="exact"/>
              <w:rPr>
                <w:rFonts w:ascii="宋体" w:hAnsi="宋体" w:cs="宋体"/>
                <w:color w:val="auto"/>
                <w:sz w:val="24"/>
                <w:szCs w:val="24"/>
                <w:highlight w:val="none"/>
              </w:rPr>
            </w:pPr>
          </w:p>
        </w:tc>
        <w:tc>
          <w:tcPr>
            <w:tcW w:w="658" w:type="pct"/>
          </w:tcPr>
          <w:p w14:paraId="4DC86B97">
            <w:pPr>
              <w:spacing w:line="480" w:lineRule="exact"/>
              <w:rPr>
                <w:rFonts w:ascii="宋体" w:hAnsi="宋体" w:cs="宋体"/>
                <w:color w:val="auto"/>
                <w:sz w:val="24"/>
                <w:szCs w:val="24"/>
                <w:highlight w:val="none"/>
              </w:rPr>
            </w:pPr>
          </w:p>
        </w:tc>
        <w:tc>
          <w:tcPr>
            <w:tcW w:w="453" w:type="pct"/>
          </w:tcPr>
          <w:p w14:paraId="42601E04">
            <w:pPr>
              <w:spacing w:line="480" w:lineRule="exact"/>
              <w:rPr>
                <w:rFonts w:ascii="宋体" w:hAnsi="宋体" w:cs="宋体"/>
                <w:color w:val="auto"/>
                <w:sz w:val="24"/>
                <w:szCs w:val="24"/>
                <w:highlight w:val="none"/>
              </w:rPr>
            </w:pPr>
          </w:p>
        </w:tc>
        <w:tc>
          <w:tcPr>
            <w:tcW w:w="678" w:type="pct"/>
          </w:tcPr>
          <w:p w14:paraId="4B1991AF">
            <w:pPr>
              <w:spacing w:line="480" w:lineRule="exact"/>
              <w:rPr>
                <w:rFonts w:ascii="宋体" w:hAnsi="宋体" w:cs="宋体"/>
                <w:color w:val="auto"/>
                <w:sz w:val="24"/>
                <w:szCs w:val="24"/>
                <w:highlight w:val="none"/>
              </w:rPr>
            </w:pPr>
          </w:p>
        </w:tc>
      </w:tr>
      <w:tr w14:paraId="0C2E9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301" w:type="pct"/>
            <w:vAlign w:val="center"/>
          </w:tcPr>
          <w:p w14:paraId="18B37795">
            <w:pPr>
              <w:spacing w:line="480" w:lineRule="exact"/>
              <w:jc w:val="center"/>
              <w:rPr>
                <w:rFonts w:ascii="宋体" w:hAnsi="宋体" w:cs="宋体"/>
                <w:color w:val="auto"/>
                <w:sz w:val="24"/>
                <w:szCs w:val="24"/>
                <w:highlight w:val="none"/>
              </w:rPr>
            </w:pPr>
          </w:p>
        </w:tc>
        <w:tc>
          <w:tcPr>
            <w:tcW w:w="654" w:type="pct"/>
          </w:tcPr>
          <w:p w14:paraId="23AACC98">
            <w:pPr>
              <w:spacing w:line="480" w:lineRule="exact"/>
              <w:rPr>
                <w:rFonts w:ascii="宋体" w:hAnsi="宋体" w:cs="宋体"/>
                <w:color w:val="auto"/>
                <w:sz w:val="24"/>
                <w:szCs w:val="24"/>
                <w:highlight w:val="none"/>
              </w:rPr>
            </w:pPr>
          </w:p>
        </w:tc>
        <w:tc>
          <w:tcPr>
            <w:tcW w:w="703" w:type="pct"/>
          </w:tcPr>
          <w:p w14:paraId="698495B3">
            <w:pPr>
              <w:spacing w:line="480" w:lineRule="exact"/>
              <w:rPr>
                <w:rFonts w:ascii="宋体" w:hAnsi="宋体" w:cs="宋体"/>
                <w:color w:val="auto"/>
                <w:sz w:val="24"/>
                <w:szCs w:val="24"/>
                <w:highlight w:val="none"/>
              </w:rPr>
            </w:pPr>
          </w:p>
        </w:tc>
        <w:tc>
          <w:tcPr>
            <w:tcW w:w="842" w:type="pct"/>
          </w:tcPr>
          <w:p w14:paraId="6FB1DDFE">
            <w:pPr>
              <w:spacing w:line="480" w:lineRule="exact"/>
              <w:rPr>
                <w:rFonts w:ascii="宋体" w:hAnsi="宋体" w:cs="宋体"/>
                <w:color w:val="auto"/>
                <w:sz w:val="24"/>
                <w:szCs w:val="24"/>
                <w:highlight w:val="none"/>
              </w:rPr>
            </w:pPr>
          </w:p>
        </w:tc>
        <w:tc>
          <w:tcPr>
            <w:tcW w:w="706" w:type="pct"/>
          </w:tcPr>
          <w:p w14:paraId="5162D85F">
            <w:pPr>
              <w:spacing w:line="480" w:lineRule="exact"/>
              <w:rPr>
                <w:rFonts w:ascii="宋体" w:hAnsi="宋体" w:cs="宋体"/>
                <w:color w:val="auto"/>
                <w:sz w:val="24"/>
                <w:szCs w:val="24"/>
                <w:highlight w:val="none"/>
              </w:rPr>
            </w:pPr>
          </w:p>
        </w:tc>
        <w:tc>
          <w:tcPr>
            <w:tcW w:w="658" w:type="pct"/>
          </w:tcPr>
          <w:p w14:paraId="3B00BA7B">
            <w:pPr>
              <w:spacing w:line="480" w:lineRule="exact"/>
              <w:rPr>
                <w:rFonts w:ascii="宋体" w:hAnsi="宋体" w:cs="宋体"/>
                <w:color w:val="auto"/>
                <w:sz w:val="24"/>
                <w:szCs w:val="24"/>
                <w:highlight w:val="none"/>
              </w:rPr>
            </w:pPr>
          </w:p>
        </w:tc>
        <w:tc>
          <w:tcPr>
            <w:tcW w:w="453" w:type="pct"/>
          </w:tcPr>
          <w:p w14:paraId="53767C0B">
            <w:pPr>
              <w:spacing w:line="480" w:lineRule="exact"/>
              <w:rPr>
                <w:rFonts w:ascii="宋体" w:hAnsi="宋体" w:cs="宋体"/>
                <w:color w:val="auto"/>
                <w:sz w:val="24"/>
                <w:szCs w:val="24"/>
                <w:highlight w:val="none"/>
              </w:rPr>
            </w:pPr>
          </w:p>
        </w:tc>
        <w:tc>
          <w:tcPr>
            <w:tcW w:w="678" w:type="pct"/>
          </w:tcPr>
          <w:p w14:paraId="4463541E">
            <w:pPr>
              <w:spacing w:line="480" w:lineRule="exact"/>
              <w:rPr>
                <w:rFonts w:ascii="宋体" w:hAnsi="宋体" w:cs="宋体"/>
                <w:color w:val="auto"/>
                <w:sz w:val="24"/>
                <w:szCs w:val="24"/>
                <w:highlight w:val="none"/>
              </w:rPr>
            </w:pPr>
          </w:p>
        </w:tc>
      </w:tr>
      <w:tr w14:paraId="33519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301" w:type="pct"/>
            <w:vAlign w:val="center"/>
          </w:tcPr>
          <w:p w14:paraId="753CF1D5">
            <w:pPr>
              <w:spacing w:line="480" w:lineRule="exact"/>
              <w:jc w:val="center"/>
              <w:rPr>
                <w:rFonts w:ascii="宋体" w:hAnsi="宋体" w:cs="宋体"/>
                <w:color w:val="auto"/>
                <w:sz w:val="24"/>
                <w:szCs w:val="24"/>
                <w:highlight w:val="none"/>
              </w:rPr>
            </w:pPr>
          </w:p>
        </w:tc>
        <w:tc>
          <w:tcPr>
            <w:tcW w:w="654" w:type="pct"/>
          </w:tcPr>
          <w:p w14:paraId="46B7387C">
            <w:pPr>
              <w:spacing w:line="480" w:lineRule="exact"/>
              <w:rPr>
                <w:rFonts w:ascii="宋体" w:hAnsi="宋体" w:cs="宋体"/>
                <w:color w:val="auto"/>
                <w:sz w:val="24"/>
                <w:szCs w:val="24"/>
                <w:highlight w:val="none"/>
              </w:rPr>
            </w:pPr>
          </w:p>
        </w:tc>
        <w:tc>
          <w:tcPr>
            <w:tcW w:w="703" w:type="pct"/>
          </w:tcPr>
          <w:p w14:paraId="7AEB3560">
            <w:pPr>
              <w:spacing w:line="480" w:lineRule="exact"/>
              <w:rPr>
                <w:rFonts w:ascii="宋体" w:hAnsi="宋体" w:cs="宋体"/>
                <w:color w:val="auto"/>
                <w:sz w:val="24"/>
                <w:szCs w:val="24"/>
                <w:highlight w:val="none"/>
              </w:rPr>
            </w:pPr>
          </w:p>
        </w:tc>
        <w:tc>
          <w:tcPr>
            <w:tcW w:w="842" w:type="pct"/>
          </w:tcPr>
          <w:p w14:paraId="428C5DC7">
            <w:pPr>
              <w:spacing w:line="480" w:lineRule="exact"/>
              <w:rPr>
                <w:rFonts w:ascii="宋体" w:hAnsi="宋体" w:cs="宋体"/>
                <w:color w:val="auto"/>
                <w:sz w:val="24"/>
                <w:szCs w:val="24"/>
                <w:highlight w:val="none"/>
              </w:rPr>
            </w:pPr>
          </w:p>
        </w:tc>
        <w:tc>
          <w:tcPr>
            <w:tcW w:w="706" w:type="pct"/>
          </w:tcPr>
          <w:p w14:paraId="0AC235E8">
            <w:pPr>
              <w:spacing w:line="480" w:lineRule="exact"/>
              <w:rPr>
                <w:rFonts w:ascii="宋体" w:hAnsi="宋体" w:cs="宋体"/>
                <w:color w:val="auto"/>
                <w:sz w:val="24"/>
                <w:szCs w:val="24"/>
                <w:highlight w:val="none"/>
              </w:rPr>
            </w:pPr>
          </w:p>
        </w:tc>
        <w:tc>
          <w:tcPr>
            <w:tcW w:w="658" w:type="pct"/>
          </w:tcPr>
          <w:p w14:paraId="404BF7A7">
            <w:pPr>
              <w:spacing w:line="480" w:lineRule="exact"/>
              <w:rPr>
                <w:rFonts w:ascii="宋体" w:hAnsi="宋体" w:cs="宋体"/>
                <w:color w:val="auto"/>
                <w:sz w:val="24"/>
                <w:szCs w:val="24"/>
                <w:highlight w:val="none"/>
              </w:rPr>
            </w:pPr>
          </w:p>
        </w:tc>
        <w:tc>
          <w:tcPr>
            <w:tcW w:w="453" w:type="pct"/>
          </w:tcPr>
          <w:p w14:paraId="4F2F6AB8">
            <w:pPr>
              <w:spacing w:line="480" w:lineRule="exact"/>
              <w:rPr>
                <w:rFonts w:ascii="宋体" w:hAnsi="宋体" w:cs="宋体"/>
                <w:color w:val="auto"/>
                <w:sz w:val="24"/>
                <w:szCs w:val="24"/>
                <w:highlight w:val="none"/>
              </w:rPr>
            </w:pPr>
          </w:p>
        </w:tc>
        <w:tc>
          <w:tcPr>
            <w:tcW w:w="678" w:type="pct"/>
          </w:tcPr>
          <w:p w14:paraId="4BBD0E8D">
            <w:pPr>
              <w:spacing w:line="480" w:lineRule="exact"/>
              <w:rPr>
                <w:rFonts w:ascii="宋体" w:hAnsi="宋体" w:cs="宋体"/>
                <w:color w:val="auto"/>
                <w:sz w:val="24"/>
                <w:szCs w:val="24"/>
                <w:highlight w:val="none"/>
              </w:rPr>
            </w:pPr>
          </w:p>
        </w:tc>
      </w:tr>
    </w:tbl>
    <w:p w14:paraId="7F9840FA">
      <w:pPr>
        <w:autoSpaceD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注：1、表格中“偏离情况”一列，投标人只能如实填写“正偏离”、“负偏离”或“无偏离”。凡投标性能要求高于招标文件要求的，按“正偏离”填写；低于招标文件要求的，按“负偏离”填写；满足招标文件要求的，按“无偏离”填写。</w:t>
      </w:r>
    </w:p>
    <w:p w14:paraId="41E154B5">
      <w:pPr>
        <w:autoSpaceDE w:val="0"/>
        <w:spacing w:line="360" w:lineRule="auto"/>
        <w:rPr>
          <w:rFonts w:ascii="宋体" w:hAnsi="宋体" w:cs="宋体"/>
          <w:b/>
          <w:bCs/>
          <w:color w:val="auto"/>
          <w:sz w:val="24"/>
          <w:szCs w:val="24"/>
          <w:highlight w:val="none"/>
        </w:rPr>
      </w:pPr>
      <w:r>
        <w:rPr>
          <w:rFonts w:hint="eastAsia" w:ascii="宋体" w:hAnsi="宋体" w:cs="宋体"/>
          <w:color w:val="auto"/>
          <w:sz w:val="24"/>
          <w:szCs w:val="24"/>
          <w:highlight w:val="none"/>
        </w:rPr>
        <w:t>2、</w:t>
      </w:r>
      <w:r>
        <w:rPr>
          <w:color w:val="auto"/>
          <w:sz w:val="24"/>
          <w:szCs w:val="24"/>
          <w:highlight w:val="none"/>
        </w:rPr>
        <w:t>投标人除如实填写技术规格偏离表外，</w:t>
      </w:r>
      <w:r>
        <w:rPr>
          <w:rFonts w:hint="eastAsia"/>
          <w:b/>
          <w:bCs/>
          <w:color w:val="auto"/>
          <w:sz w:val="24"/>
          <w:szCs w:val="24"/>
          <w:highlight w:val="none"/>
          <w:lang w:val="en-US" w:eastAsia="zh-CN"/>
        </w:rPr>
        <w:t>标注</w:t>
      </w:r>
      <w:r>
        <w:rPr>
          <w:rFonts w:hint="eastAsia" w:ascii="宋体" w:hAnsi="宋体" w:cs="宋体"/>
          <w:b/>
          <w:bCs/>
          <w:color w:val="auto"/>
          <w:sz w:val="24"/>
          <w:szCs w:val="24"/>
          <w:highlight w:val="none"/>
        </w:rPr>
        <w:t>“★”技术参数</w:t>
      </w:r>
      <w:r>
        <w:rPr>
          <w:rFonts w:hint="eastAsia" w:ascii="宋体" w:hAnsi="宋体" w:cs="宋体"/>
          <w:b/>
          <w:bCs/>
          <w:color w:val="auto"/>
          <w:sz w:val="24"/>
          <w:szCs w:val="24"/>
          <w:highlight w:val="none"/>
          <w:lang w:val="en-US" w:eastAsia="zh-CN"/>
        </w:rPr>
        <w:t>不允许负偏离，提供承诺书；</w:t>
      </w:r>
      <w:r>
        <w:rPr>
          <w:b/>
          <w:bCs/>
          <w:color w:val="auto"/>
          <w:sz w:val="24"/>
          <w:szCs w:val="24"/>
          <w:highlight w:val="none"/>
        </w:rPr>
        <w:t>标注</w:t>
      </w:r>
      <w:r>
        <w:rPr>
          <w:rFonts w:hint="eastAsia"/>
          <w:b/>
          <w:bCs/>
          <w:color w:val="auto"/>
          <w:sz w:val="24"/>
          <w:szCs w:val="24"/>
          <w:highlight w:val="none"/>
        </w:rPr>
        <w:t>“▲”</w:t>
      </w:r>
      <w:r>
        <w:rPr>
          <w:b/>
          <w:bCs/>
          <w:color w:val="auto"/>
          <w:sz w:val="24"/>
          <w:szCs w:val="24"/>
          <w:highlight w:val="none"/>
        </w:rPr>
        <w:t>的技术参数</w:t>
      </w:r>
      <w:r>
        <w:rPr>
          <w:rFonts w:hint="eastAsia"/>
          <w:b/>
          <w:bCs/>
          <w:color w:val="auto"/>
          <w:sz w:val="24"/>
          <w:szCs w:val="24"/>
          <w:highlight w:val="none"/>
          <w:lang w:val="en-US" w:eastAsia="zh-CN"/>
        </w:rPr>
        <w:t>需按照招标文件的要求提供相关证明材料</w:t>
      </w:r>
      <w:r>
        <w:rPr>
          <w:b/>
          <w:bCs/>
          <w:color w:val="auto"/>
          <w:sz w:val="24"/>
          <w:szCs w:val="24"/>
          <w:highlight w:val="none"/>
        </w:rPr>
        <w:t>，标注</w:t>
      </w:r>
      <w:r>
        <w:rPr>
          <w:rFonts w:hint="eastAsia"/>
          <w:b/>
          <w:bCs/>
          <w:color w:val="auto"/>
          <w:sz w:val="24"/>
          <w:szCs w:val="24"/>
          <w:highlight w:val="none"/>
        </w:rPr>
        <w:t>“▲”</w:t>
      </w:r>
      <w:r>
        <w:rPr>
          <w:b/>
          <w:bCs/>
          <w:color w:val="auto"/>
          <w:sz w:val="24"/>
          <w:szCs w:val="24"/>
          <w:highlight w:val="none"/>
        </w:rPr>
        <w:t>的技术参数</w:t>
      </w:r>
      <w:r>
        <w:rPr>
          <w:rFonts w:hint="eastAsia"/>
          <w:b/>
          <w:bCs/>
          <w:color w:val="auto"/>
          <w:sz w:val="24"/>
          <w:szCs w:val="24"/>
          <w:highlight w:val="none"/>
          <w:lang w:val="en-US" w:eastAsia="zh-CN"/>
        </w:rPr>
        <w:t>招标文件未要求的，</w:t>
      </w:r>
      <w:r>
        <w:rPr>
          <w:rFonts w:hint="eastAsia"/>
          <w:b/>
          <w:bCs/>
          <w:color w:val="auto"/>
          <w:sz w:val="24"/>
          <w:szCs w:val="24"/>
          <w:highlight w:val="none"/>
        </w:rPr>
        <w:t>需</w:t>
      </w:r>
      <w:r>
        <w:rPr>
          <w:b/>
          <w:bCs/>
          <w:color w:val="auto"/>
          <w:sz w:val="24"/>
          <w:szCs w:val="24"/>
          <w:highlight w:val="none"/>
        </w:rPr>
        <w:t>提供下列任一材料证明技术参数的真实性：检测报告、产品彩页、白皮书、说明书、配置清单、设备制造厂商官方网站资料、承诺书、其他技术证明资料</w:t>
      </w:r>
      <w:r>
        <w:rPr>
          <w:rFonts w:hint="eastAsia"/>
          <w:b/>
          <w:bCs/>
          <w:color w:val="auto"/>
          <w:sz w:val="24"/>
          <w:szCs w:val="24"/>
          <w:highlight w:val="none"/>
          <w:lang w:eastAsia="zh-CN"/>
        </w:rPr>
        <w:t>，</w:t>
      </w:r>
      <w:r>
        <w:rPr>
          <w:rFonts w:hint="eastAsia"/>
          <w:b/>
          <w:bCs/>
          <w:color w:val="auto"/>
          <w:sz w:val="24"/>
          <w:szCs w:val="24"/>
          <w:highlight w:val="none"/>
          <w:lang w:val="en-US" w:eastAsia="zh-CN"/>
        </w:rPr>
        <w:t>否则该条技术参数不予认可</w:t>
      </w:r>
      <w:r>
        <w:rPr>
          <w:b/>
          <w:bCs/>
          <w:color w:val="auto"/>
          <w:sz w:val="24"/>
          <w:szCs w:val="24"/>
          <w:highlight w:val="none"/>
        </w:rPr>
        <w:t>。</w:t>
      </w:r>
    </w:p>
    <w:p w14:paraId="73412EF5">
      <w:pPr>
        <w:autoSpaceD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3.</w:t>
      </w:r>
      <w:r>
        <w:rPr>
          <w:color w:val="auto"/>
          <w:sz w:val="24"/>
          <w:szCs w:val="24"/>
          <w:highlight w:val="none"/>
        </w:rPr>
        <w:t>未标注</w:t>
      </w:r>
      <w:r>
        <w:rPr>
          <w:rFonts w:hint="eastAsia"/>
          <w:color w:val="auto"/>
          <w:sz w:val="24"/>
          <w:szCs w:val="24"/>
          <w:highlight w:val="none"/>
        </w:rPr>
        <w:t>“★”、“▲”的技术参数，</w:t>
      </w:r>
      <w:r>
        <w:rPr>
          <w:rFonts w:hint="eastAsia" w:ascii="宋体" w:hAnsi="宋体" w:cs="宋体"/>
          <w:color w:val="auto"/>
          <w:sz w:val="24"/>
          <w:szCs w:val="24"/>
          <w:highlight w:val="none"/>
        </w:rPr>
        <w:t>提供的投标产品以技术支持资料</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若有</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与技术规格偏离表应答不符，且投标人又未在投标文件中作出说明和解释的，以技术支持资料为准。</w:t>
      </w:r>
    </w:p>
    <w:p w14:paraId="10E587B4">
      <w:pPr>
        <w:autoSpaceDE w:val="0"/>
        <w:spacing w:line="360" w:lineRule="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4.请投标人按照所投产品实际情况认真、仔细填写此表，若全部复制粘贴导致中标后提供的产品与技术参数不符的，采购人有权追究中标人所造成的一切经济损失及法律责任，并上报相关监督管理部门。</w:t>
      </w:r>
    </w:p>
    <w:p w14:paraId="4FDAF02E">
      <w:pPr>
        <w:autoSpaceDE w:val="0"/>
        <w:spacing w:line="360" w:lineRule="auto"/>
        <w:rPr>
          <w:rFonts w:ascii="宋体" w:hAnsi="宋体" w:cs="宋体"/>
          <w:color w:val="auto"/>
          <w:sz w:val="24"/>
          <w:szCs w:val="24"/>
          <w:highlight w:val="none"/>
        </w:rPr>
      </w:pPr>
    </w:p>
    <w:p w14:paraId="53C8D333">
      <w:pPr>
        <w:ind w:firstLine="1687" w:firstLineChars="700"/>
        <w:rPr>
          <w:rFonts w:ascii="宋体" w:hAnsi="宋体" w:cs="宋体"/>
          <w:b/>
          <w:color w:val="auto"/>
          <w:sz w:val="24"/>
          <w:szCs w:val="24"/>
          <w:highlight w:val="none"/>
        </w:rPr>
      </w:pPr>
      <w:bookmarkStart w:id="291" w:name="_Toc14236"/>
      <w:bookmarkEnd w:id="291"/>
      <w:bookmarkStart w:id="292" w:name="_Toc29437"/>
      <w:r>
        <w:rPr>
          <w:rFonts w:hint="eastAsia" w:ascii="宋体" w:hAnsi="宋体" w:cs="宋体"/>
          <w:b/>
          <w:color w:val="auto"/>
          <w:sz w:val="24"/>
          <w:szCs w:val="24"/>
          <w:highlight w:val="none"/>
        </w:rPr>
        <w:t>投标人：</w:t>
      </w:r>
      <w:r>
        <w:rPr>
          <w:rFonts w:hint="eastAsia" w:ascii="宋体" w:hAnsi="宋体" w:cs="宋体"/>
          <w:b/>
          <w:color w:val="auto"/>
          <w:sz w:val="24"/>
          <w:szCs w:val="24"/>
          <w:highlight w:val="none"/>
          <w:u w:val="single"/>
        </w:rPr>
        <w:tab/>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（电子签章）</w:t>
      </w:r>
    </w:p>
    <w:p w14:paraId="75CC2451">
      <w:pPr>
        <w:ind w:firstLine="1687" w:firstLineChars="700"/>
        <w:rPr>
          <w:rFonts w:ascii="宋体" w:hAnsi="宋体" w:cs="宋体"/>
          <w:b/>
          <w:color w:val="auto"/>
          <w:sz w:val="24"/>
          <w:szCs w:val="24"/>
          <w:highlight w:val="none"/>
        </w:rPr>
      </w:pPr>
      <w:r>
        <w:rPr>
          <w:rFonts w:hint="eastAsia" w:ascii="宋体" w:hAnsi="宋体" w:cs="宋体"/>
          <w:b/>
          <w:color w:val="auto"/>
          <w:sz w:val="24"/>
          <w:szCs w:val="24"/>
          <w:highlight w:val="none"/>
        </w:rPr>
        <w:t>法定代表人（单位负责人）：</w:t>
      </w:r>
      <w:r>
        <w:rPr>
          <w:rFonts w:hint="eastAsia" w:ascii="宋体" w:hAnsi="宋体" w:cs="宋体"/>
          <w:b/>
          <w:color w:val="auto"/>
          <w:sz w:val="24"/>
          <w:szCs w:val="24"/>
          <w:highlight w:val="none"/>
          <w:u w:val="single"/>
        </w:rPr>
        <w:tab/>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（电子签名或电子签章）</w:t>
      </w:r>
    </w:p>
    <w:p w14:paraId="36B8A993">
      <w:pPr>
        <w:ind w:firstLine="1687" w:firstLineChars="700"/>
        <w:rPr>
          <w:rFonts w:ascii="宋体" w:hAnsi="宋体" w:cs="宋体"/>
          <w:b/>
          <w:color w:val="auto"/>
          <w:sz w:val="24"/>
          <w:szCs w:val="24"/>
          <w:highlight w:val="none"/>
        </w:rPr>
      </w:pPr>
      <w:r>
        <w:rPr>
          <w:rFonts w:hint="eastAsia" w:ascii="宋体" w:hAnsi="宋体" w:cs="宋体"/>
          <w:b/>
          <w:color w:val="auto"/>
          <w:sz w:val="24"/>
          <w:szCs w:val="24"/>
          <w:highlight w:val="none"/>
        </w:rPr>
        <w:t>日期：</w:t>
      </w:r>
      <w:r>
        <w:rPr>
          <w:rFonts w:hint="eastAsia" w:ascii="宋体" w:hAnsi="宋体" w:cs="宋体"/>
          <w:bCs/>
          <w:color w:val="auto"/>
          <w:sz w:val="24"/>
          <w:szCs w:val="24"/>
          <w:highlight w:val="none"/>
          <w:u w:val="single"/>
        </w:rPr>
        <w:t xml:space="preserve">      </w:t>
      </w:r>
      <w:r>
        <w:rPr>
          <w:rFonts w:hint="eastAsia" w:ascii="宋体" w:hAnsi="宋体" w:cs="宋体"/>
          <w:b/>
          <w:color w:val="auto"/>
          <w:sz w:val="24"/>
          <w:szCs w:val="24"/>
          <w:highlight w:val="none"/>
        </w:rPr>
        <w:t>年</w:t>
      </w:r>
      <w:r>
        <w:rPr>
          <w:rFonts w:hint="eastAsia" w:ascii="宋体" w:hAnsi="宋体" w:cs="宋体"/>
          <w:bCs/>
          <w:color w:val="auto"/>
          <w:sz w:val="24"/>
          <w:szCs w:val="24"/>
          <w:highlight w:val="none"/>
          <w:u w:val="single"/>
        </w:rPr>
        <w:t xml:space="preserve">     </w:t>
      </w:r>
      <w:r>
        <w:rPr>
          <w:rFonts w:hint="eastAsia" w:ascii="宋体" w:hAnsi="宋体" w:cs="宋体"/>
          <w:b/>
          <w:color w:val="auto"/>
          <w:sz w:val="24"/>
          <w:szCs w:val="24"/>
          <w:highlight w:val="none"/>
        </w:rPr>
        <w:t>月</w:t>
      </w:r>
      <w:r>
        <w:rPr>
          <w:rFonts w:hint="eastAsia" w:ascii="宋体" w:hAnsi="宋体" w:cs="宋体"/>
          <w:bCs/>
          <w:color w:val="auto"/>
          <w:sz w:val="24"/>
          <w:szCs w:val="24"/>
          <w:highlight w:val="none"/>
          <w:u w:val="single"/>
        </w:rPr>
        <w:t xml:space="preserve">     </w:t>
      </w:r>
      <w:r>
        <w:rPr>
          <w:rFonts w:hint="eastAsia" w:ascii="宋体" w:hAnsi="宋体" w:cs="宋体"/>
          <w:b/>
          <w:color w:val="auto"/>
          <w:sz w:val="24"/>
          <w:szCs w:val="24"/>
          <w:highlight w:val="none"/>
        </w:rPr>
        <w:t>日</w:t>
      </w:r>
    </w:p>
    <w:p w14:paraId="4D3D4EE4">
      <w:pPr>
        <w:ind w:firstLine="1687" w:firstLineChars="700"/>
        <w:rPr>
          <w:rFonts w:ascii="宋体" w:hAnsi="宋体" w:cs="宋体"/>
          <w:b/>
          <w:color w:val="auto"/>
          <w:sz w:val="24"/>
          <w:szCs w:val="24"/>
          <w:highlight w:val="none"/>
        </w:rPr>
      </w:pPr>
    </w:p>
    <w:p w14:paraId="5E2A3498">
      <w:pPr>
        <w:ind w:firstLine="1687" w:firstLineChars="700"/>
        <w:rPr>
          <w:rFonts w:ascii="宋体" w:hAnsi="宋体" w:cs="宋体"/>
          <w:b/>
          <w:color w:val="auto"/>
          <w:sz w:val="24"/>
          <w:szCs w:val="24"/>
          <w:highlight w:val="none"/>
        </w:rPr>
        <w:sectPr>
          <w:headerReference r:id="rId11" w:type="default"/>
          <w:footerReference r:id="rId12" w:type="default"/>
          <w:pgSz w:w="11906" w:h="16838"/>
          <w:pgMar w:top="1440" w:right="1083" w:bottom="1440" w:left="1083" w:header="720" w:footer="720" w:gutter="0"/>
          <w:pgBorders>
            <w:top w:val="none" w:sz="0" w:space="0"/>
            <w:left w:val="none" w:sz="0" w:space="0"/>
            <w:bottom w:val="none" w:sz="0" w:space="0"/>
            <w:right w:val="none" w:sz="0" w:space="0"/>
          </w:pgBorders>
          <w:pgNumType w:fmt="numberInDash"/>
          <w:cols w:space="0" w:num="1"/>
          <w:docGrid w:type="lines" w:linePitch="324" w:charSpace="0"/>
        </w:sectPr>
      </w:pPr>
    </w:p>
    <w:bookmarkEnd w:id="292"/>
    <w:p w14:paraId="5A225926">
      <w:pPr>
        <w:spacing w:line="400" w:lineRule="exact"/>
        <w:jc w:val="center"/>
        <w:outlineLvl w:val="3"/>
        <w:rPr>
          <w:rFonts w:ascii="宋体" w:hAnsi="宋体" w:cs="宋体"/>
          <w:b/>
          <w:color w:val="auto"/>
          <w:sz w:val="24"/>
          <w:szCs w:val="24"/>
          <w:highlight w:val="none"/>
        </w:rPr>
      </w:pPr>
      <w:bookmarkStart w:id="293" w:name="_Toc15277"/>
      <w:bookmarkEnd w:id="293"/>
      <w:bookmarkStart w:id="294" w:name="_Toc10610"/>
      <w:bookmarkEnd w:id="294"/>
      <w:bookmarkStart w:id="295" w:name="_Toc5488"/>
      <w:r>
        <w:rPr>
          <w:rFonts w:hint="eastAsia" w:ascii="宋体" w:hAnsi="宋体" w:cs="宋体"/>
          <w:b/>
          <w:color w:val="auto"/>
          <w:sz w:val="24"/>
          <w:szCs w:val="24"/>
          <w:highlight w:val="none"/>
        </w:rPr>
        <w:t>（一）投标产品技术支持资料</w:t>
      </w:r>
    </w:p>
    <w:p w14:paraId="22D05E3D">
      <w:pPr>
        <w:rPr>
          <w:rFonts w:ascii="宋体" w:hAnsi="宋体" w:cs="宋体"/>
          <w:color w:val="auto"/>
          <w:szCs w:val="28"/>
          <w:highlight w:val="none"/>
        </w:rPr>
      </w:pPr>
      <w:r>
        <w:rPr>
          <w:rFonts w:hint="eastAsia" w:ascii="宋体" w:hAnsi="宋体" w:cs="宋体"/>
          <w:color w:val="auto"/>
          <w:szCs w:val="28"/>
          <w:highlight w:val="none"/>
        </w:rPr>
        <w:br w:type="page"/>
      </w:r>
    </w:p>
    <w:p w14:paraId="3A2D4589">
      <w:pPr>
        <w:jc w:val="center"/>
        <w:outlineLvl w:val="3"/>
        <w:rPr>
          <w:rFonts w:ascii="宋体" w:hAnsi="宋体" w:cs="宋体"/>
          <w:color w:val="auto"/>
          <w:szCs w:val="28"/>
          <w:highlight w:val="none"/>
        </w:rPr>
      </w:pPr>
      <w:r>
        <w:rPr>
          <w:rFonts w:hint="eastAsia" w:ascii="宋体" w:hAnsi="宋体" w:cs="宋体"/>
          <w:color w:val="auto"/>
          <w:szCs w:val="28"/>
          <w:highlight w:val="none"/>
        </w:rPr>
        <w:t>▲</w:t>
      </w:r>
      <w:r>
        <w:rPr>
          <w:rFonts w:hint="eastAsia" w:ascii="宋体" w:hAnsi="宋体" w:cs="宋体"/>
          <w:b/>
          <w:color w:val="auto"/>
          <w:sz w:val="24"/>
          <w:szCs w:val="24"/>
          <w:highlight w:val="none"/>
        </w:rPr>
        <w:t>（二）“★”技术参数承诺书</w:t>
      </w:r>
    </w:p>
    <w:p w14:paraId="695D2387">
      <w:pPr>
        <w:rPr>
          <w:rFonts w:ascii="宋体" w:hAnsi="宋体" w:cs="宋体"/>
          <w:color w:val="auto"/>
          <w:szCs w:val="28"/>
          <w:highlight w:val="none"/>
        </w:rPr>
      </w:pPr>
    </w:p>
    <w:p w14:paraId="1F330A22">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（采购人名称）：</w:t>
      </w:r>
    </w:p>
    <w:p w14:paraId="79B95E1C">
      <w:pPr>
        <w:rPr>
          <w:rFonts w:ascii="宋体" w:hAnsi="宋体" w:cs="宋体"/>
          <w:color w:val="auto"/>
          <w:sz w:val="24"/>
          <w:szCs w:val="24"/>
          <w:highlight w:val="none"/>
        </w:rPr>
      </w:pPr>
    </w:p>
    <w:p w14:paraId="41017BE7">
      <w:pPr>
        <w:spacing w:line="360" w:lineRule="auto"/>
        <w:ind w:firstLine="480" w:firstLineChars="200"/>
        <w:rPr>
          <w:rFonts w:ascii="宋体" w:hAnsi="宋体" w:cs="宋体"/>
          <w:color w:val="auto"/>
          <w:szCs w:val="28"/>
          <w:highlight w:val="none"/>
        </w:rPr>
      </w:pPr>
      <w:r>
        <w:rPr>
          <w:rFonts w:hint="eastAsia" w:ascii="宋体" w:hAnsi="宋体" w:cs="宋体"/>
          <w:color w:val="auto"/>
          <w:sz w:val="24"/>
          <w:szCs w:val="24"/>
          <w:highlight w:val="none"/>
        </w:rPr>
        <w:t>我方已仔细研究了</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（项目名称）招标文件的全部内容，</w:t>
      </w:r>
      <w:r>
        <w:rPr>
          <w:rFonts w:hint="eastAsia" w:ascii="宋体" w:hAnsi="宋体" w:cs="宋体"/>
          <w:color w:val="auto"/>
          <w:sz w:val="24"/>
          <w:highlight w:val="none"/>
        </w:rPr>
        <w:t>且对招标文件无任何异议，我单位承诺满足以下技术参数。</w:t>
      </w:r>
    </w:p>
    <w:p w14:paraId="2E972E04">
      <w:pPr>
        <w:ind w:firstLine="1687" w:firstLineChars="700"/>
        <w:rPr>
          <w:rFonts w:ascii="宋体" w:hAnsi="宋体" w:cs="宋体"/>
          <w:b/>
          <w:color w:val="auto"/>
          <w:sz w:val="24"/>
          <w:szCs w:val="24"/>
          <w:highlight w:val="none"/>
        </w:rPr>
      </w:pPr>
    </w:p>
    <w:p w14:paraId="044EC555">
      <w:pPr>
        <w:ind w:firstLine="1687" w:firstLineChars="700"/>
        <w:rPr>
          <w:rFonts w:ascii="宋体" w:hAnsi="宋体" w:cs="宋体"/>
          <w:b/>
          <w:color w:val="auto"/>
          <w:sz w:val="24"/>
          <w:szCs w:val="24"/>
          <w:highlight w:val="none"/>
        </w:rPr>
      </w:pPr>
      <w:r>
        <w:rPr>
          <w:rFonts w:hint="eastAsia" w:ascii="宋体" w:hAnsi="宋体" w:cs="宋体"/>
          <w:b/>
          <w:color w:val="auto"/>
          <w:sz w:val="24"/>
          <w:szCs w:val="24"/>
          <w:highlight w:val="none"/>
        </w:rPr>
        <w:t>投标人：</w:t>
      </w:r>
      <w:r>
        <w:rPr>
          <w:rFonts w:hint="eastAsia" w:ascii="宋体" w:hAnsi="宋体" w:cs="宋体"/>
          <w:b/>
          <w:color w:val="auto"/>
          <w:sz w:val="24"/>
          <w:szCs w:val="24"/>
          <w:highlight w:val="none"/>
          <w:u w:val="single"/>
        </w:rPr>
        <w:tab/>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（电子签章）</w:t>
      </w:r>
    </w:p>
    <w:p w14:paraId="6CEE3ED0">
      <w:pPr>
        <w:ind w:firstLine="1687" w:firstLineChars="700"/>
        <w:rPr>
          <w:rFonts w:ascii="宋体" w:hAnsi="宋体" w:cs="宋体"/>
          <w:b/>
          <w:color w:val="auto"/>
          <w:sz w:val="24"/>
          <w:szCs w:val="24"/>
          <w:highlight w:val="none"/>
        </w:rPr>
      </w:pPr>
      <w:r>
        <w:rPr>
          <w:rFonts w:hint="eastAsia" w:ascii="宋体" w:hAnsi="宋体" w:cs="宋体"/>
          <w:b/>
          <w:color w:val="auto"/>
          <w:sz w:val="24"/>
          <w:szCs w:val="24"/>
          <w:highlight w:val="none"/>
        </w:rPr>
        <w:t>法定代表人（单位负责人）：</w:t>
      </w:r>
      <w:r>
        <w:rPr>
          <w:rFonts w:hint="eastAsia" w:ascii="宋体" w:hAnsi="宋体" w:cs="宋体"/>
          <w:b/>
          <w:color w:val="auto"/>
          <w:sz w:val="24"/>
          <w:szCs w:val="24"/>
          <w:highlight w:val="none"/>
          <w:u w:val="single"/>
        </w:rPr>
        <w:tab/>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（电子签名或电子签章）</w:t>
      </w:r>
    </w:p>
    <w:p w14:paraId="7623422A">
      <w:pPr>
        <w:ind w:firstLine="1687" w:firstLineChars="700"/>
        <w:rPr>
          <w:rFonts w:ascii="宋体" w:hAnsi="宋体" w:cs="宋体"/>
          <w:b/>
          <w:color w:val="auto"/>
          <w:sz w:val="24"/>
          <w:szCs w:val="24"/>
          <w:highlight w:val="none"/>
        </w:rPr>
      </w:pPr>
      <w:r>
        <w:rPr>
          <w:rFonts w:hint="eastAsia" w:ascii="宋体" w:hAnsi="宋体" w:cs="宋体"/>
          <w:b/>
          <w:color w:val="auto"/>
          <w:sz w:val="24"/>
          <w:szCs w:val="24"/>
          <w:highlight w:val="none"/>
        </w:rPr>
        <w:t>日期：</w:t>
      </w:r>
      <w:r>
        <w:rPr>
          <w:rFonts w:hint="eastAsia" w:ascii="宋体" w:hAnsi="宋体" w:cs="宋体"/>
          <w:bCs/>
          <w:color w:val="auto"/>
          <w:sz w:val="24"/>
          <w:szCs w:val="24"/>
          <w:highlight w:val="none"/>
          <w:u w:val="single"/>
        </w:rPr>
        <w:t xml:space="preserve">      </w:t>
      </w:r>
      <w:r>
        <w:rPr>
          <w:rFonts w:hint="eastAsia" w:ascii="宋体" w:hAnsi="宋体" w:cs="宋体"/>
          <w:b/>
          <w:color w:val="auto"/>
          <w:sz w:val="24"/>
          <w:szCs w:val="24"/>
          <w:highlight w:val="none"/>
        </w:rPr>
        <w:t>年</w:t>
      </w:r>
      <w:r>
        <w:rPr>
          <w:rFonts w:hint="eastAsia" w:ascii="宋体" w:hAnsi="宋体" w:cs="宋体"/>
          <w:bCs/>
          <w:color w:val="auto"/>
          <w:sz w:val="24"/>
          <w:szCs w:val="24"/>
          <w:highlight w:val="none"/>
          <w:u w:val="single"/>
        </w:rPr>
        <w:t xml:space="preserve">     </w:t>
      </w:r>
      <w:r>
        <w:rPr>
          <w:rFonts w:hint="eastAsia" w:ascii="宋体" w:hAnsi="宋体" w:cs="宋体"/>
          <w:b/>
          <w:color w:val="auto"/>
          <w:sz w:val="24"/>
          <w:szCs w:val="24"/>
          <w:highlight w:val="none"/>
        </w:rPr>
        <w:t>月</w:t>
      </w:r>
      <w:r>
        <w:rPr>
          <w:rFonts w:hint="eastAsia" w:ascii="宋体" w:hAnsi="宋体" w:cs="宋体"/>
          <w:bCs/>
          <w:color w:val="auto"/>
          <w:sz w:val="24"/>
          <w:szCs w:val="24"/>
          <w:highlight w:val="none"/>
          <w:u w:val="single"/>
        </w:rPr>
        <w:t xml:space="preserve">     </w:t>
      </w:r>
      <w:r>
        <w:rPr>
          <w:rFonts w:hint="eastAsia" w:ascii="宋体" w:hAnsi="宋体" w:cs="宋体"/>
          <w:b/>
          <w:color w:val="auto"/>
          <w:sz w:val="24"/>
          <w:szCs w:val="24"/>
          <w:highlight w:val="none"/>
        </w:rPr>
        <w:t>日</w:t>
      </w:r>
    </w:p>
    <w:p w14:paraId="3756EA42">
      <w:pPr>
        <w:rPr>
          <w:rFonts w:ascii="宋体" w:hAnsi="宋体" w:cs="宋体"/>
          <w:color w:val="auto"/>
          <w:szCs w:val="28"/>
          <w:highlight w:val="none"/>
        </w:rPr>
      </w:pPr>
    </w:p>
    <w:p w14:paraId="122D6759">
      <w:pPr>
        <w:rPr>
          <w:rFonts w:ascii="宋体" w:hAnsi="宋体" w:cs="宋体"/>
          <w:color w:val="auto"/>
          <w:szCs w:val="28"/>
          <w:highlight w:val="none"/>
        </w:rPr>
      </w:pPr>
    </w:p>
    <w:p w14:paraId="5BF199DC">
      <w:pPr>
        <w:rPr>
          <w:rFonts w:ascii="宋体" w:hAnsi="宋体" w:cs="宋体"/>
          <w:color w:val="auto"/>
          <w:szCs w:val="28"/>
          <w:highlight w:val="none"/>
        </w:rPr>
      </w:pPr>
      <w:r>
        <w:rPr>
          <w:rFonts w:hint="eastAsia" w:ascii="宋体" w:hAnsi="宋体" w:cs="宋体"/>
          <w:color w:val="auto"/>
          <w:szCs w:val="28"/>
          <w:highlight w:val="none"/>
        </w:rPr>
        <w:br w:type="page"/>
      </w:r>
    </w:p>
    <w:p w14:paraId="69E1B8B7">
      <w:pPr>
        <w:pStyle w:val="4"/>
        <w:widowControl/>
        <w:autoSpaceDE w:val="0"/>
        <w:spacing w:before="0" w:after="0" w:line="360" w:lineRule="auto"/>
        <w:rPr>
          <w:rFonts w:ascii="宋体" w:hAnsi="宋体" w:cs="宋体"/>
          <w:color w:val="auto"/>
          <w:szCs w:val="28"/>
          <w:highlight w:val="none"/>
        </w:rPr>
      </w:pPr>
      <w:bookmarkStart w:id="296" w:name="_Toc8671"/>
      <w:r>
        <w:rPr>
          <w:rFonts w:hint="eastAsia" w:ascii="宋体" w:hAnsi="宋体" w:cs="宋体"/>
          <w:color w:val="auto"/>
          <w:szCs w:val="28"/>
          <w:highlight w:val="none"/>
        </w:rPr>
        <w:t>十</w:t>
      </w:r>
      <w:r>
        <w:rPr>
          <w:rFonts w:hint="eastAsia" w:ascii="宋体" w:hAnsi="宋体" w:cs="宋体"/>
          <w:color w:val="auto"/>
          <w:szCs w:val="28"/>
          <w:highlight w:val="none"/>
          <w:lang w:val="en-US" w:eastAsia="zh-CN"/>
        </w:rPr>
        <w:t>二</w:t>
      </w:r>
      <w:r>
        <w:rPr>
          <w:rFonts w:hint="eastAsia" w:ascii="宋体" w:hAnsi="宋体" w:cs="宋体"/>
          <w:color w:val="auto"/>
          <w:szCs w:val="28"/>
          <w:highlight w:val="none"/>
        </w:rPr>
        <w:t>、实施方案</w:t>
      </w:r>
      <w:bookmarkEnd w:id="296"/>
    </w:p>
    <w:p w14:paraId="63856739">
      <w:pPr>
        <w:keepNext/>
        <w:keepLines/>
        <w:autoSpaceDE w:val="0"/>
        <w:spacing w:line="360" w:lineRule="auto"/>
        <w:ind w:firstLine="480" w:firstLineChars="200"/>
        <w:jc w:val="center"/>
        <w:rPr>
          <w:rFonts w:ascii="宋体" w:hAnsi="宋体" w:cs="宋体"/>
          <w:color w:val="auto"/>
          <w:sz w:val="24"/>
          <w:szCs w:val="24"/>
          <w:highlight w:val="none"/>
        </w:rPr>
      </w:pPr>
      <w:r>
        <w:rPr>
          <w:rFonts w:hint="eastAsia" w:ascii="宋体" w:hAnsi="宋体" w:cs="宋体"/>
          <w:color w:val="auto"/>
          <w:sz w:val="24"/>
          <w:szCs w:val="24"/>
          <w:highlight w:val="none"/>
        </w:rPr>
        <w:t>（格式自拟）</w:t>
      </w:r>
    </w:p>
    <w:p w14:paraId="73CCD458">
      <w:pPr>
        <w:rPr>
          <w:rFonts w:hint="eastAsia" w:ascii="宋体" w:hAnsi="宋体" w:cs="宋体"/>
          <w:color w:val="auto"/>
          <w:szCs w:val="28"/>
          <w:highlight w:val="none"/>
        </w:rPr>
      </w:pPr>
      <w:r>
        <w:rPr>
          <w:rFonts w:hint="eastAsia" w:ascii="宋体" w:hAnsi="宋体" w:cs="宋体"/>
          <w:color w:val="auto"/>
          <w:szCs w:val="28"/>
          <w:highlight w:val="none"/>
        </w:rPr>
        <w:br w:type="page"/>
      </w:r>
    </w:p>
    <w:p w14:paraId="63CC983F">
      <w:pPr>
        <w:numPr>
          <w:ilvl w:val="0"/>
          <w:numId w:val="0"/>
        </w:numPr>
        <w:jc w:val="center"/>
        <w:outlineLvl w:val="2"/>
        <w:rPr>
          <w:rFonts w:hint="eastAsia" w:ascii="宋体" w:hAnsi="宋体" w:eastAsia="宋体" w:cs="宋体"/>
          <w:b/>
          <w:bCs/>
          <w:color w:val="auto"/>
          <w:sz w:val="28"/>
          <w:szCs w:val="28"/>
          <w:highlight w:val="none"/>
          <w:lang w:val="en-US" w:eastAsia="zh-CN" w:bidi="ar-SA"/>
        </w:rPr>
      </w:pPr>
      <w:bookmarkStart w:id="297" w:name="_Toc3747"/>
      <w:r>
        <w:rPr>
          <w:rFonts w:hint="eastAsia" w:ascii="宋体" w:hAnsi="宋体" w:eastAsia="宋体" w:cs="宋体"/>
          <w:b/>
          <w:bCs/>
          <w:color w:val="auto"/>
          <w:sz w:val="28"/>
          <w:szCs w:val="28"/>
          <w:lang w:val="en-US" w:eastAsia="zh-CN" w:bidi="ar-SA"/>
        </w:rPr>
        <w:t>十</w:t>
      </w:r>
      <w:r>
        <w:rPr>
          <w:rFonts w:hint="eastAsia" w:ascii="宋体" w:hAnsi="宋体" w:cs="宋体"/>
          <w:b/>
          <w:bCs/>
          <w:color w:val="auto"/>
          <w:sz w:val="28"/>
          <w:szCs w:val="28"/>
          <w:lang w:val="en-US" w:eastAsia="zh-CN" w:bidi="ar-SA"/>
        </w:rPr>
        <w:t>三</w:t>
      </w:r>
      <w:r>
        <w:rPr>
          <w:rFonts w:hint="eastAsia" w:ascii="宋体" w:hAnsi="宋体" w:eastAsia="宋体" w:cs="宋体"/>
          <w:b/>
          <w:bCs/>
          <w:color w:val="auto"/>
          <w:sz w:val="28"/>
          <w:szCs w:val="28"/>
          <w:lang w:val="en-US" w:eastAsia="zh-CN" w:bidi="ar-SA"/>
        </w:rPr>
        <w:t>、产品质量保证措施及承诺</w:t>
      </w:r>
      <w:bookmarkEnd w:id="297"/>
    </w:p>
    <w:p w14:paraId="76C9A771">
      <w:pPr>
        <w:jc w:val="center"/>
        <w:rPr>
          <w:rFonts w:hint="eastAsia" w:ascii="宋体" w:hAnsi="宋体" w:cs="宋体"/>
          <w:color w:val="auto"/>
          <w:sz w:val="24"/>
          <w:szCs w:val="24"/>
          <w:highlight w:val="none"/>
        </w:rPr>
      </w:pPr>
      <w:r>
        <w:rPr>
          <w:rFonts w:hint="eastAsia" w:ascii="宋体" w:hAnsi="宋体" w:cs="宋体"/>
          <w:bCs/>
          <w:color w:val="auto"/>
          <w:sz w:val="24"/>
          <w:szCs w:val="24"/>
          <w:highlight w:val="none"/>
        </w:rPr>
        <w:t>投标人根据招标文件“第七章评标办法”内容自行编制。</w:t>
      </w:r>
      <w:r>
        <w:rPr>
          <w:rFonts w:hint="eastAsia" w:ascii="宋体" w:hAnsi="宋体" w:cs="宋体"/>
          <w:color w:val="auto"/>
          <w:sz w:val="24"/>
          <w:szCs w:val="24"/>
          <w:highlight w:val="none"/>
        </w:rPr>
        <w:t>至少包括</w:t>
      </w:r>
      <w:r>
        <w:rPr>
          <w:rFonts w:ascii="宋体" w:hAnsi="宋体" w:cs="宋体"/>
          <w:color w:val="auto"/>
          <w:sz w:val="24"/>
          <w:szCs w:val="24"/>
          <w:highlight w:val="none"/>
        </w:rPr>
        <w:t>：</w:t>
      </w:r>
      <w:r>
        <w:rPr>
          <w:rFonts w:hint="eastAsia" w:ascii="宋体" w:hAnsi="宋体" w:cs="宋体"/>
          <w:color w:val="auto"/>
          <w:sz w:val="24"/>
          <w:szCs w:val="24"/>
          <w:highlight w:val="none"/>
        </w:rPr>
        <w:t>①</w:t>
      </w:r>
      <w:r>
        <w:rPr>
          <w:rFonts w:hint="eastAsia" w:ascii="宋体" w:hAnsi="宋体" w:cs="宋体"/>
          <w:color w:val="auto"/>
          <w:sz w:val="24"/>
          <w:szCs w:val="24"/>
          <w:highlight w:val="none"/>
          <w:lang w:bidi="ar"/>
        </w:rPr>
        <w:t>产品质量保证措施</w:t>
      </w:r>
      <w:r>
        <w:rPr>
          <w:rFonts w:hint="eastAsia" w:ascii="宋体" w:hAnsi="宋体" w:cs="宋体"/>
          <w:color w:val="auto"/>
          <w:sz w:val="24"/>
          <w:szCs w:val="24"/>
          <w:highlight w:val="none"/>
        </w:rPr>
        <w:t>；②</w:t>
      </w:r>
      <w:r>
        <w:rPr>
          <w:rFonts w:hint="eastAsia" w:ascii="宋体" w:hAnsi="宋体" w:cs="宋体"/>
          <w:color w:val="auto"/>
          <w:sz w:val="24"/>
          <w:szCs w:val="24"/>
          <w:highlight w:val="none"/>
          <w:lang w:bidi="ar"/>
        </w:rPr>
        <w:t>产品质量保证承诺</w:t>
      </w:r>
      <w:r>
        <w:rPr>
          <w:rFonts w:hint="eastAsia" w:ascii="宋体" w:hAnsi="宋体" w:cs="宋体"/>
          <w:color w:val="auto"/>
          <w:sz w:val="24"/>
          <w:szCs w:val="24"/>
          <w:highlight w:val="none"/>
        </w:rPr>
        <w:t>等（格式自拟）</w:t>
      </w:r>
    </w:p>
    <w:p w14:paraId="1B75839E">
      <w:pPr>
        <w:widowControl/>
        <w:autoSpaceDE w:val="0"/>
        <w:spacing w:before="0" w:after="0" w:line="360" w:lineRule="auto"/>
        <w:outlineLvl w:val="9"/>
        <w:rPr>
          <w:rFonts w:hint="eastAsia" w:ascii="宋体" w:hAnsi="宋体" w:cs="宋体"/>
          <w:color w:val="auto"/>
          <w:szCs w:val="28"/>
          <w:highlight w:val="none"/>
        </w:rPr>
      </w:pPr>
    </w:p>
    <w:p w14:paraId="2F5289E5">
      <w:pPr>
        <w:rPr>
          <w:rFonts w:hint="eastAsia" w:ascii="宋体" w:hAnsi="宋体" w:cs="宋体"/>
          <w:color w:val="auto"/>
          <w:szCs w:val="28"/>
          <w:highlight w:val="none"/>
        </w:rPr>
      </w:pPr>
      <w:r>
        <w:rPr>
          <w:rFonts w:hint="eastAsia" w:ascii="宋体" w:hAnsi="宋体" w:cs="宋体"/>
          <w:color w:val="auto"/>
          <w:szCs w:val="28"/>
          <w:highlight w:val="none"/>
        </w:rPr>
        <w:br w:type="page"/>
      </w:r>
    </w:p>
    <w:p w14:paraId="03051A54">
      <w:pPr>
        <w:pStyle w:val="4"/>
        <w:widowControl/>
        <w:autoSpaceDE w:val="0"/>
        <w:spacing w:before="0" w:after="0" w:line="360" w:lineRule="auto"/>
        <w:rPr>
          <w:rFonts w:ascii="宋体" w:hAnsi="宋体" w:cs="宋体"/>
          <w:color w:val="auto"/>
          <w:szCs w:val="28"/>
          <w:highlight w:val="none"/>
        </w:rPr>
      </w:pPr>
      <w:bookmarkStart w:id="298" w:name="_Toc29724"/>
      <w:r>
        <w:rPr>
          <w:rFonts w:hint="eastAsia" w:ascii="宋体" w:hAnsi="宋体" w:cs="宋体"/>
          <w:color w:val="auto"/>
          <w:szCs w:val="28"/>
          <w:highlight w:val="none"/>
        </w:rPr>
        <w:t>十</w:t>
      </w:r>
      <w:r>
        <w:rPr>
          <w:rFonts w:hint="eastAsia" w:ascii="宋体" w:hAnsi="宋体" w:cs="宋体"/>
          <w:color w:val="auto"/>
          <w:szCs w:val="28"/>
          <w:highlight w:val="none"/>
          <w:lang w:val="en-US" w:eastAsia="zh-CN"/>
        </w:rPr>
        <w:t>四</w:t>
      </w:r>
      <w:r>
        <w:rPr>
          <w:rFonts w:hint="eastAsia" w:ascii="宋体" w:hAnsi="宋体" w:cs="宋体"/>
          <w:color w:val="auto"/>
          <w:szCs w:val="28"/>
          <w:highlight w:val="none"/>
        </w:rPr>
        <w:t>、售后服务方案</w:t>
      </w:r>
      <w:bookmarkEnd w:id="298"/>
    </w:p>
    <w:p w14:paraId="10147DAC">
      <w:pPr>
        <w:spacing w:line="360" w:lineRule="auto"/>
        <w:ind w:firstLine="480" w:firstLineChars="200"/>
        <w:jc w:val="center"/>
        <w:rPr>
          <w:rFonts w:ascii="宋体" w:hAnsi="宋体" w:cs="宋体"/>
          <w:color w:val="auto"/>
          <w:sz w:val="24"/>
          <w:szCs w:val="24"/>
          <w:highlight w:val="none"/>
        </w:rPr>
      </w:pPr>
      <w:r>
        <w:rPr>
          <w:rFonts w:hint="eastAsia" w:ascii="宋体" w:hAnsi="宋体" w:cs="宋体"/>
          <w:bCs/>
          <w:color w:val="auto"/>
          <w:sz w:val="24"/>
          <w:szCs w:val="24"/>
          <w:highlight w:val="none"/>
        </w:rPr>
        <w:t>（格式自拟）</w:t>
      </w:r>
    </w:p>
    <w:p w14:paraId="6A312829">
      <w:pPr>
        <w:numPr>
          <w:ilvl w:val="0"/>
          <w:numId w:val="0"/>
        </w:numPr>
        <w:rPr>
          <w:rFonts w:hint="eastAsia" w:ascii="宋体" w:hAnsi="宋体" w:cs="宋体"/>
          <w:color w:val="auto"/>
          <w:szCs w:val="28"/>
          <w:highlight w:val="none"/>
        </w:rPr>
      </w:pPr>
      <w:r>
        <w:rPr>
          <w:rFonts w:hint="eastAsia" w:ascii="宋体" w:hAnsi="宋体" w:cs="宋体"/>
          <w:color w:val="auto"/>
          <w:szCs w:val="28"/>
          <w:highlight w:val="none"/>
        </w:rPr>
        <w:br w:type="page"/>
      </w:r>
    </w:p>
    <w:p w14:paraId="170B107C">
      <w:pPr>
        <w:pStyle w:val="4"/>
        <w:widowControl/>
        <w:autoSpaceDE w:val="0"/>
        <w:spacing w:before="0" w:after="0" w:line="360" w:lineRule="auto"/>
        <w:rPr>
          <w:rFonts w:ascii="宋体" w:hAnsi="宋体" w:cs="宋体"/>
          <w:color w:val="auto"/>
          <w:szCs w:val="28"/>
          <w:highlight w:val="none"/>
        </w:rPr>
      </w:pPr>
      <w:bookmarkStart w:id="299" w:name="_Toc13206"/>
      <w:r>
        <w:rPr>
          <w:rFonts w:hint="eastAsia" w:ascii="宋体" w:hAnsi="宋体" w:cs="宋体"/>
          <w:color w:val="auto"/>
          <w:szCs w:val="28"/>
          <w:highlight w:val="none"/>
        </w:rPr>
        <w:t>十</w:t>
      </w:r>
      <w:r>
        <w:rPr>
          <w:rFonts w:hint="eastAsia" w:ascii="宋体" w:hAnsi="宋体" w:cs="宋体"/>
          <w:color w:val="auto"/>
          <w:szCs w:val="28"/>
          <w:highlight w:val="none"/>
          <w:lang w:val="en-US" w:eastAsia="zh-CN"/>
        </w:rPr>
        <w:t>五</w:t>
      </w:r>
      <w:r>
        <w:rPr>
          <w:rFonts w:hint="eastAsia" w:ascii="宋体" w:hAnsi="宋体" w:cs="宋体"/>
          <w:color w:val="auto"/>
          <w:szCs w:val="28"/>
          <w:highlight w:val="none"/>
        </w:rPr>
        <w:t>、培训方案</w:t>
      </w:r>
      <w:bookmarkEnd w:id="299"/>
    </w:p>
    <w:p w14:paraId="74B3BAF3">
      <w:pPr>
        <w:spacing w:line="360" w:lineRule="auto"/>
        <w:ind w:firstLine="480" w:firstLineChars="200"/>
        <w:jc w:val="center"/>
        <w:rPr>
          <w:rFonts w:ascii="宋体" w:hAnsi="宋体" w:cs="宋体"/>
          <w:color w:val="auto"/>
          <w:sz w:val="24"/>
          <w:szCs w:val="24"/>
          <w:highlight w:val="none"/>
        </w:rPr>
      </w:pPr>
      <w:r>
        <w:rPr>
          <w:rFonts w:hint="eastAsia" w:ascii="宋体" w:hAnsi="宋体" w:cs="宋体"/>
          <w:color w:val="auto"/>
          <w:sz w:val="24"/>
          <w:szCs w:val="24"/>
          <w:highlight w:val="none"/>
        </w:rPr>
        <w:t>（格式自拟）</w:t>
      </w:r>
    </w:p>
    <w:bookmarkEnd w:id="295"/>
    <w:p w14:paraId="463D0CCD">
      <w:pPr>
        <w:ind w:firstLine="1960" w:firstLineChars="700"/>
        <w:rPr>
          <w:rFonts w:ascii="宋体" w:hAnsi="宋体" w:cs="宋体"/>
          <w:color w:val="auto"/>
          <w:sz w:val="28"/>
          <w:szCs w:val="28"/>
          <w:highlight w:val="none"/>
        </w:rPr>
        <w:sectPr>
          <w:headerReference r:id="rId13" w:type="default"/>
          <w:footerReference r:id="rId14" w:type="default"/>
          <w:pgSz w:w="11906" w:h="16838"/>
          <w:pgMar w:top="1440" w:right="1083" w:bottom="1440" w:left="1083" w:header="720" w:footer="720" w:gutter="0"/>
          <w:pgBorders>
            <w:top w:val="none" w:sz="0" w:space="0"/>
            <w:left w:val="none" w:sz="0" w:space="0"/>
            <w:bottom w:val="none" w:sz="0" w:space="0"/>
            <w:right w:val="none" w:sz="0" w:space="0"/>
          </w:pgBorders>
          <w:pgNumType w:fmt="numberInDash"/>
          <w:cols w:space="0" w:num="1"/>
          <w:docGrid w:type="lines" w:linePitch="324" w:charSpace="0"/>
        </w:sectPr>
      </w:pPr>
    </w:p>
    <w:p w14:paraId="132FAA38">
      <w:pPr>
        <w:pStyle w:val="4"/>
        <w:widowControl/>
        <w:autoSpaceDE w:val="0"/>
        <w:spacing w:before="0" w:after="0" w:line="360" w:lineRule="auto"/>
        <w:rPr>
          <w:rFonts w:ascii="宋体" w:hAnsi="宋体" w:cs="宋体"/>
          <w:color w:val="auto"/>
          <w:szCs w:val="28"/>
          <w:highlight w:val="none"/>
        </w:rPr>
      </w:pPr>
      <w:bookmarkStart w:id="300" w:name="_Toc3044"/>
      <w:bookmarkStart w:id="301" w:name="_Toc25376"/>
      <w:bookmarkStart w:id="302" w:name="_Toc2509"/>
      <w:bookmarkStart w:id="303" w:name="_Toc6898"/>
      <w:r>
        <w:rPr>
          <w:rFonts w:hint="eastAsia" w:ascii="宋体" w:hAnsi="宋体" w:cs="宋体"/>
          <w:color w:val="auto"/>
          <w:szCs w:val="28"/>
          <w:highlight w:val="none"/>
        </w:rPr>
        <w:t>十</w:t>
      </w:r>
      <w:r>
        <w:rPr>
          <w:rFonts w:hint="eastAsia" w:ascii="宋体" w:hAnsi="宋体" w:cs="宋体"/>
          <w:color w:val="auto"/>
          <w:szCs w:val="28"/>
          <w:highlight w:val="none"/>
          <w:lang w:val="en-US" w:eastAsia="zh-CN"/>
        </w:rPr>
        <w:t>六</w:t>
      </w:r>
      <w:r>
        <w:rPr>
          <w:rFonts w:hint="eastAsia" w:ascii="宋体" w:hAnsi="宋体" w:cs="宋体"/>
          <w:color w:val="auto"/>
          <w:szCs w:val="28"/>
          <w:highlight w:val="none"/>
        </w:rPr>
        <w:t>、人员配置</w:t>
      </w:r>
      <w:bookmarkEnd w:id="300"/>
    </w:p>
    <w:p w14:paraId="2FE7EA55">
      <w:pPr>
        <w:spacing w:line="360" w:lineRule="auto"/>
        <w:ind w:firstLine="480" w:firstLineChars="200"/>
        <w:jc w:val="center"/>
        <w:rPr>
          <w:rFonts w:ascii="宋体" w:hAnsi="宋体" w:cs="宋体"/>
          <w:color w:val="auto"/>
          <w:sz w:val="24"/>
          <w:szCs w:val="24"/>
          <w:highlight w:val="none"/>
        </w:rPr>
      </w:pPr>
      <w:r>
        <w:rPr>
          <w:rFonts w:hint="eastAsia" w:ascii="宋体" w:hAnsi="宋体" w:cs="宋体"/>
          <w:color w:val="auto"/>
          <w:sz w:val="24"/>
          <w:szCs w:val="24"/>
          <w:highlight w:val="none"/>
        </w:rPr>
        <w:t>（格式自拟）</w:t>
      </w:r>
    </w:p>
    <w:p w14:paraId="3DF21851">
      <w:pPr>
        <w:ind w:firstLine="1960" w:firstLineChars="700"/>
        <w:rPr>
          <w:rFonts w:ascii="宋体" w:hAnsi="宋体" w:cs="宋体"/>
          <w:color w:val="auto"/>
          <w:sz w:val="28"/>
          <w:szCs w:val="28"/>
          <w:highlight w:val="none"/>
        </w:rPr>
        <w:sectPr>
          <w:headerReference r:id="rId15" w:type="default"/>
          <w:footerReference r:id="rId16" w:type="default"/>
          <w:pgSz w:w="11906" w:h="16838"/>
          <w:pgMar w:top="1440" w:right="1083" w:bottom="1440" w:left="1083" w:header="720" w:footer="720" w:gutter="0"/>
          <w:pgBorders>
            <w:top w:val="none" w:sz="0" w:space="0"/>
            <w:left w:val="none" w:sz="0" w:space="0"/>
            <w:bottom w:val="none" w:sz="0" w:space="0"/>
            <w:right w:val="none" w:sz="0" w:space="0"/>
          </w:pgBorders>
          <w:pgNumType w:fmt="numberInDash"/>
          <w:cols w:space="0" w:num="1"/>
          <w:docGrid w:type="lines" w:linePitch="324" w:charSpace="0"/>
        </w:sectPr>
      </w:pPr>
    </w:p>
    <w:p w14:paraId="6DCA7726">
      <w:pPr>
        <w:rPr>
          <w:rFonts w:hint="eastAsia" w:ascii="宋体" w:hAnsi="宋体" w:eastAsia="宋体" w:cs="宋体"/>
          <w:color w:val="auto"/>
          <w:szCs w:val="28"/>
          <w:highlight w:val="none"/>
          <w:lang w:val="en-US" w:eastAsia="zh-CN"/>
        </w:rPr>
      </w:pPr>
    </w:p>
    <w:p w14:paraId="0EC17D92">
      <w:pPr>
        <w:pStyle w:val="4"/>
        <w:widowControl/>
        <w:autoSpaceDE w:val="0"/>
        <w:spacing w:before="0" w:after="0" w:line="360" w:lineRule="auto"/>
        <w:rPr>
          <w:rFonts w:hint="eastAsia" w:ascii="宋体" w:hAnsi="宋体" w:eastAsia="宋体" w:cs="宋体"/>
          <w:color w:val="auto"/>
          <w:szCs w:val="28"/>
          <w:highlight w:val="none"/>
        </w:rPr>
      </w:pPr>
      <w:bookmarkStart w:id="304" w:name="_Toc19319"/>
      <w:r>
        <w:rPr>
          <w:rFonts w:hint="eastAsia" w:ascii="宋体" w:hAnsi="宋体" w:eastAsia="宋体" w:cs="宋体"/>
          <w:color w:val="auto"/>
          <w:szCs w:val="28"/>
          <w:highlight w:val="none"/>
          <w:lang w:val="en-US" w:eastAsia="zh-CN"/>
        </w:rPr>
        <w:t>十</w:t>
      </w:r>
      <w:r>
        <w:rPr>
          <w:rFonts w:hint="eastAsia" w:ascii="宋体" w:hAnsi="宋体" w:cs="宋体"/>
          <w:color w:val="auto"/>
          <w:szCs w:val="28"/>
          <w:highlight w:val="none"/>
          <w:lang w:val="en-US" w:eastAsia="zh-CN"/>
        </w:rPr>
        <w:t>六</w:t>
      </w:r>
      <w:r>
        <w:rPr>
          <w:rFonts w:hint="eastAsia" w:ascii="宋体" w:hAnsi="宋体" w:eastAsia="宋体" w:cs="宋体"/>
          <w:color w:val="auto"/>
          <w:szCs w:val="28"/>
          <w:highlight w:val="none"/>
          <w:lang w:val="en-US" w:eastAsia="zh-CN"/>
        </w:rPr>
        <w:t>、</w:t>
      </w:r>
      <w:r>
        <w:rPr>
          <w:rFonts w:hint="eastAsia" w:ascii="宋体" w:hAnsi="宋体" w:eastAsia="宋体" w:cs="宋体"/>
          <w:color w:val="auto"/>
          <w:szCs w:val="28"/>
          <w:highlight w:val="none"/>
        </w:rPr>
        <w:t>类似业绩列表</w:t>
      </w:r>
      <w:bookmarkEnd w:id="301"/>
      <w:bookmarkEnd w:id="302"/>
      <w:bookmarkEnd w:id="304"/>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7"/>
        <w:gridCol w:w="2107"/>
        <w:gridCol w:w="1254"/>
        <w:gridCol w:w="1685"/>
        <w:gridCol w:w="1442"/>
        <w:gridCol w:w="1442"/>
        <w:gridCol w:w="1049"/>
      </w:tblGrid>
      <w:tr w14:paraId="0E21A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977" w:type="dxa"/>
            <w:vAlign w:val="center"/>
          </w:tcPr>
          <w:p w14:paraId="38152D96">
            <w:pPr>
              <w:jc w:val="center"/>
              <w:rPr>
                <w:rFonts w:hint="eastAsia" w:ascii="宋体" w:hAnsi="宋体" w:cs="宋体"/>
                <w:color w:val="auto"/>
                <w:sz w:val="24"/>
                <w:highlight w:val="none"/>
              </w:rPr>
            </w:pPr>
            <w:r>
              <w:rPr>
                <w:rFonts w:hint="eastAsia" w:ascii="宋体" w:hAnsi="宋体" w:cs="宋体"/>
                <w:color w:val="auto"/>
                <w:sz w:val="24"/>
                <w:highlight w:val="none"/>
              </w:rPr>
              <w:t>序号</w:t>
            </w:r>
          </w:p>
        </w:tc>
        <w:tc>
          <w:tcPr>
            <w:tcW w:w="2107" w:type="dxa"/>
            <w:vAlign w:val="center"/>
          </w:tcPr>
          <w:p w14:paraId="272F2638">
            <w:pPr>
              <w:jc w:val="center"/>
              <w:rPr>
                <w:rFonts w:hint="eastAsia" w:ascii="宋体" w:hAnsi="宋体" w:cs="宋体"/>
                <w:color w:val="auto"/>
                <w:sz w:val="24"/>
                <w:highlight w:val="none"/>
              </w:rPr>
            </w:pPr>
            <w:r>
              <w:rPr>
                <w:rFonts w:hint="eastAsia" w:ascii="宋体" w:hAnsi="宋体" w:cs="宋体"/>
                <w:color w:val="auto"/>
                <w:sz w:val="24"/>
                <w:highlight w:val="none"/>
              </w:rPr>
              <w:t>合同名称</w:t>
            </w:r>
          </w:p>
        </w:tc>
        <w:tc>
          <w:tcPr>
            <w:tcW w:w="1254" w:type="dxa"/>
            <w:vAlign w:val="center"/>
          </w:tcPr>
          <w:p w14:paraId="6FF17EF6">
            <w:pPr>
              <w:jc w:val="center"/>
              <w:rPr>
                <w:rFonts w:hint="eastAsia" w:ascii="宋体" w:hAnsi="宋体" w:cs="宋体"/>
                <w:color w:val="auto"/>
                <w:sz w:val="24"/>
                <w:highlight w:val="none"/>
              </w:rPr>
            </w:pPr>
            <w:r>
              <w:rPr>
                <w:rFonts w:hint="eastAsia" w:ascii="宋体" w:hAnsi="宋体" w:cs="宋体"/>
                <w:color w:val="auto"/>
                <w:sz w:val="24"/>
                <w:highlight w:val="none"/>
              </w:rPr>
              <w:t>合同金额（元）</w:t>
            </w:r>
          </w:p>
        </w:tc>
        <w:tc>
          <w:tcPr>
            <w:tcW w:w="1685" w:type="dxa"/>
            <w:vAlign w:val="center"/>
          </w:tcPr>
          <w:p w14:paraId="7D347594">
            <w:pPr>
              <w:jc w:val="center"/>
              <w:rPr>
                <w:rFonts w:hint="eastAsia" w:ascii="宋体" w:hAnsi="宋体" w:cs="宋体"/>
                <w:color w:val="auto"/>
                <w:sz w:val="24"/>
                <w:highlight w:val="none"/>
              </w:rPr>
            </w:pPr>
            <w:r>
              <w:rPr>
                <w:rFonts w:hint="eastAsia" w:ascii="宋体" w:hAnsi="宋体" w:cs="宋体"/>
                <w:color w:val="auto"/>
                <w:sz w:val="24"/>
                <w:highlight w:val="none"/>
              </w:rPr>
              <w:t>合同内容</w:t>
            </w:r>
          </w:p>
        </w:tc>
        <w:tc>
          <w:tcPr>
            <w:tcW w:w="1442" w:type="dxa"/>
            <w:vAlign w:val="center"/>
          </w:tcPr>
          <w:p w14:paraId="2627CE15">
            <w:pPr>
              <w:jc w:val="center"/>
              <w:rPr>
                <w:rFonts w:hint="eastAsia" w:ascii="宋体" w:hAnsi="宋体" w:cs="宋体"/>
                <w:color w:val="auto"/>
                <w:sz w:val="24"/>
                <w:highlight w:val="none"/>
              </w:rPr>
            </w:pPr>
            <w:r>
              <w:rPr>
                <w:rFonts w:hint="eastAsia" w:ascii="宋体" w:hAnsi="宋体" w:cs="宋体"/>
                <w:color w:val="auto"/>
                <w:sz w:val="24"/>
                <w:highlight w:val="none"/>
              </w:rPr>
              <w:t>使用单位名称</w:t>
            </w:r>
          </w:p>
        </w:tc>
        <w:tc>
          <w:tcPr>
            <w:tcW w:w="1442" w:type="dxa"/>
          </w:tcPr>
          <w:p w14:paraId="53EF2E48">
            <w:pPr>
              <w:jc w:val="center"/>
              <w:rPr>
                <w:rFonts w:hint="eastAsia" w:ascii="宋体" w:hAnsi="宋体" w:cs="宋体"/>
                <w:color w:val="auto"/>
                <w:sz w:val="24"/>
                <w:highlight w:val="none"/>
              </w:rPr>
            </w:pPr>
            <w:r>
              <w:rPr>
                <w:rFonts w:hint="eastAsia" w:ascii="宋体" w:hAnsi="宋体" w:cs="宋体"/>
                <w:color w:val="auto"/>
                <w:sz w:val="24"/>
                <w:highlight w:val="none"/>
              </w:rPr>
              <w:t>使用单位联系人及联系电话</w:t>
            </w:r>
          </w:p>
        </w:tc>
        <w:tc>
          <w:tcPr>
            <w:tcW w:w="1049" w:type="dxa"/>
            <w:vAlign w:val="center"/>
          </w:tcPr>
          <w:p w14:paraId="0D0FE022">
            <w:pPr>
              <w:jc w:val="center"/>
              <w:rPr>
                <w:rFonts w:hint="eastAsia" w:ascii="宋体" w:hAnsi="宋体" w:cs="宋体"/>
                <w:color w:val="auto"/>
                <w:sz w:val="24"/>
                <w:highlight w:val="none"/>
              </w:rPr>
            </w:pPr>
            <w:r>
              <w:rPr>
                <w:rFonts w:hint="eastAsia" w:ascii="宋体" w:hAnsi="宋体" w:cs="宋体"/>
                <w:color w:val="auto"/>
                <w:sz w:val="24"/>
                <w:highlight w:val="none"/>
              </w:rPr>
              <w:t>备注</w:t>
            </w:r>
          </w:p>
        </w:tc>
      </w:tr>
      <w:tr w14:paraId="487DE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77" w:type="dxa"/>
            <w:vAlign w:val="center"/>
          </w:tcPr>
          <w:p w14:paraId="51B1AA06">
            <w:pPr>
              <w:jc w:val="center"/>
              <w:rPr>
                <w:rFonts w:hint="eastAsia" w:ascii="宋体" w:hAnsi="宋体" w:cs="宋体"/>
                <w:color w:val="auto"/>
                <w:sz w:val="24"/>
                <w:highlight w:val="none"/>
              </w:rPr>
            </w:pPr>
            <w:r>
              <w:rPr>
                <w:rFonts w:hint="eastAsia" w:ascii="宋体" w:hAnsi="宋体" w:cs="宋体"/>
                <w:color w:val="auto"/>
                <w:sz w:val="24"/>
                <w:highlight w:val="none"/>
              </w:rPr>
              <w:t>1</w:t>
            </w:r>
          </w:p>
        </w:tc>
        <w:tc>
          <w:tcPr>
            <w:tcW w:w="2107" w:type="dxa"/>
            <w:vAlign w:val="center"/>
          </w:tcPr>
          <w:p w14:paraId="06F4D2FD">
            <w:pPr>
              <w:jc w:val="center"/>
              <w:rPr>
                <w:rFonts w:hint="eastAsia" w:ascii="宋体" w:hAnsi="宋体" w:cs="宋体"/>
                <w:color w:val="auto"/>
                <w:sz w:val="24"/>
                <w:highlight w:val="none"/>
              </w:rPr>
            </w:pPr>
          </w:p>
        </w:tc>
        <w:tc>
          <w:tcPr>
            <w:tcW w:w="1254" w:type="dxa"/>
            <w:vAlign w:val="center"/>
          </w:tcPr>
          <w:p w14:paraId="1A942F45">
            <w:pPr>
              <w:jc w:val="center"/>
              <w:rPr>
                <w:rFonts w:hint="eastAsia" w:ascii="宋体" w:hAnsi="宋体" w:cs="宋体"/>
                <w:color w:val="auto"/>
                <w:sz w:val="24"/>
                <w:highlight w:val="none"/>
              </w:rPr>
            </w:pPr>
          </w:p>
        </w:tc>
        <w:tc>
          <w:tcPr>
            <w:tcW w:w="1685" w:type="dxa"/>
            <w:vAlign w:val="center"/>
          </w:tcPr>
          <w:p w14:paraId="60D8853E">
            <w:pPr>
              <w:jc w:val="center"/>
              <w:rPr>
                <w:rFonts w:hint="eastAsia" w:ascii="宋体" w:hAnsi="宋体" w:cs="宋体"/>
                <w:color w:val="auto"/>
                <w:sz w:val="24"/>
                <w:highlight w:val="none"/>
              </w:rPr>
            </w:pPr>
          </w:p>
        </w:tc>
        <w:tc>
          <w:tcPr>
            <w:tcW w:w="1442" w:type="dxa"/>
          </w:tcPr>
          <w:p w14:paraId="4F403238">
            <w:pPr>
              <w:jc w:val="center"/>
              <w:rPr>
                <w:rFonts w:hint="eastAsia" w:ascii="宋体" w:hAnsi="宋体" w:cs="宋体"/>
                <w:color w:val="auto"/>
                <w:sz w:val="24"/>
                <w:highlight w:val="none"/>
              </w:rPr>
            </w:pPr>
          </w:p>
        </w:tc>
        <w:tc>
          <w:tcPr>
            <w:tcW w:w="1442" w:type="dxa"/>
            <w:vAlign w:val="center"/>
          </w:tcPr>
          <w:p w14:paraId="53C7EA8E">
            <w:pPr>
              <w:jc w:val="center"/>
              <w:rPr>
                <w:rFonts w:hint="eastAsia" w:ascii="宋体" w:hAnsi="宋体" w:cs="宋体"/>
                <w:color w:val="auto"/>
                <w:sz w:val="24"/>
                <w:highlight w:val="none"/>
              </w:rPr>
            </w:pPr>
          </w:p>
        </w:tc>
        <w:tc>
          <w:tcPr>
            <w:tcW w:w="1049" w:type="dxa"/>
            <w:vAlign w:val="center"/>
          </w:tcPr>
          <w:p w14:paraId="691FAFDF">
            <w:pPr>
              <w:jc w:val="center"/>
              <w:rPr>
                <w:rFonts w:hint="eastAsia" w:ascii="宋体" w:hAnsi="宋体" w:cs="宋体"/>
                <w:color w:val="auto"/>
                <w:sz w:val="24"/>
                <w:highlight w:val="none"/>
              </w:rPr>
            </w:pPr>
          </w:p>
        </w:tc>
      </w:tr>
      <w:tr w14:paraId="3DE79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77" w:type="dxa"/>
            <w:vAlign w:val="center"/>
          </w:tcPr>
          <w:p w14:paraId="6F30E9E8">
            <w:pPr>
              <w:jc w:val="center"/>
              <w:rPr>
                <w:rFonts w:hint="eastAsia" w:ascii="宋体" w:hAnsi="宋体" w:cs="宋体"/>
                <w:color w:val="auto"/>
                <w:sz w:val="24"/>
                <w:highlight w:val="none"/>
              </w:rPr>
            </w:pPr>
            <w:r>
              <w:rPr>
                <w:rFonts w:hint="eastAsia" w:ascii="宋体" w:hAnsi="宋体" w:cs="宋体"/>
                <w:color w:val="auto"/>
                <w:sz w:val="24"/>
                <w:highlight w:val="none"/>
              </w:rPr>
              <w:t>2</w:t>
            </w:r>
          </w:p>
        </w:tc>
        <w:tc>
          <w:tcPr>
            <w:tcW w:w="2107" w:type="dxa"/>
            <w:vAlign w:val="center"/>
          </w:tcPr>
          <w:p w14:paraId="7350E952">
            <w:pPr>
              <w:jc w:val="center"/>
              <w:rPr>
                <w:rFonts w:hint="eastAsia" w:ascii="宋体" w:hAnsi="宋体" w:cs="宋体"/>
                <w:color w:val="auto"/>
                <w:sz w:val="24"/>
                <w:highlight w:val="none"/>
              </w:rPr>
            </w:pPr>
          </w:p>
        </w:tc>
        <w:tc>
          <w:tcPr>
            <w:tcW w:w="1254" w:type="dxa"/>
            <w:vAlign w:val="center"/>
          </w:tcPr>
          <w:p w14:paraId="7D8AA700">
            <w:pPr>
              <w:jc w:val="center"/>
              <w:rPr>
                <w:rFonts w:hint="eastAsia" w:ascii="宋体" w:hAnsi="宋体" w:cs="宋体"/>
                <w:color w:val="auto"/>
                <w:sz w:val="24"/>
                <w:highlight w:val="none"/>
              </w:rPr>
            </w:pPr>
          </w:p>
        </w:tc>
        <w:tc>
          <w:tcPr>
            <w:tcW w:w="1685" w:type="dxa"/>
            <w:vAlign w:val="center"/>
          </w:tcPr>
          <w:p w14:paraId="39FB608A">
            <w:pPr>
              <w:rPr>
                <w:rFonts w:hint="eastAsia" w:ascii="宋体" w:hAnsi="宋体" w:cs="宋体"/>
                <w:color w:val="auto"/>
                <w:sz w:val="24"/>
                <w:highlight w:val="none"/>
              </w:rPr>
            </w:pPr>
            <w:r>
              <w:rPr>
                <w:rFonts w:hint="eastAsia" w:ascii="宋体" w:hAnsi="宋体" w:cs="宋体"/>
                <w:color w:val="auto"/>
                <w:sz w:val="24"/>
                <w:highlight w:val="none"/>
              </w:rPr>
              <w:t xml:space="preserve">      </w:t>
            </w:r>
          </w:p>
        </w:tc>
        <w:tc>
          <w:tcPr>
            <w:tcW w:w="1442" w:type="dxa"/>
          </w:tcPr>
          <w:p w14:paraId="3A56FE12">
            <w:pPr>
              <w:jc w:val="center"/>
              <w:rPr>
                <w:rFonts w:hint="eastAsia" w:ascii="宋体" w:hAnsi="宋体" w:cs="宋体"/>
                <w:color w:val="auto"/>
                <w:sz w:val="24"/>
                <w:highlight w:val="none"/>
              </w:rPr>
            </w:pPr>
          </w:p>
        </w:tc>
        <w:tc>
          <w:tcPr>
            <w:tcW w:w="1442" w:type="dxa"/>
            <w:vAlign w:val="center"/>
          </w:tcPr>
          <w:p w14:paraId="5D966EC3">
            <w:pPr>
              <w:jc w:val="center"/>
              <w:rPr>
                <w:rFonts w:hint="eastAsia" w:ascii="宋体" w:hAnsi="宋体" w:cs="宋体"/>
                <w:color w:val="auto"/>
                <w:sz w:val="24"/>
                <w:highlight w:val="none"/>
              </w:rPr>
            </w:pPr>
          </w:p>
        </w:tc>
        <w:tc>
          <w:tcPr>
            <w:tcW w:w="1049" w:type="dxa"/>
            <w:vAlign w:val="center"/>
          </w:tcPr>
          <w:p w14:paraId="787D01DB">
            <w:pPr>
              <w:jc w:val="center"/>
              <w:rPr>
                <w:rFonts w:hint="eastAsia" w:ascii="宋体" w:hAnsi="宋体" w:cs="宋体"/>
                <w:color w:val="auto"/>
                <w:sz w:val="24"/>
                <w:highlight w:val="none"/>
              </w:rPr>
            </w:pPr>
          </w:p>
        </w:tc>
      </w:tr>
      <w:tr w14:paraId="05C64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77" w:type="dxa"/>
            <w:vAlign w:val="center"/>
          </w:tcPr>
          <w:p w14:paraId="3ADA42D4">
            <w:pPr>
              <w:jc w:val="center"/>
              <w:rPr>
                <w:rFonts w:hint="eastAsia" w:ascii="宋体" w:hAnsi="宋体" w:cs="宋体"/>
                <w:color w:val="auto"/>
                <w:sz w:val="24"/>
                <w:highlight w:val="none"/>
              </w:rPr>
            </w:pPr>
            <w:r>
              <w:rPr>
                <w:rFonts w:hint="eastAsia" w:ascii="宋体" w:hAnsi="宋体" w:cs="宋体"/>
                <w:color w:val="auto"/>
                <w:sz w:val="24"/>
                <w:highlight w:val="none"/>
              </w:rPr>
              <w:t>3</w:t>
            </w:r>
          </w:p>
        </w:tc>
        <w:tc>
          <w:tcPr>
            <w:tcW w:w="2107" w:type="dxa"/>
            <w:vAlign w:val="center"/>
          </w:tcPr>
          <w:p w14:paraId="1577C045">
            <w:pPr>
              <w:jc w:val="center"/>
              <w:rPr>
                <w:rFonts w:hint="eastAsia" w:ascii="宋体" w:hAnsi="宋体" w:cs="宋体"/>
                <w:color w:val="auto"/>
                <w:sz w:val="24"/>
                <w:highlight w:val="none"/>
              </w:rPr>
            </w:pPr>
          </w:p>
        </w:tc>
        <w:tc>
          <w:tcPr>
            <w:tcW w:w="1254" w:type="dxa"/>
            <w:vAlign w:val="center"/>
          </w:tcPr>
          <w:p w14:paraId="4177DF27">
            <w:pPr>
              <w:jc w:val="center"/>
              <w:rPr>
                <w:rFonts w:hint="eastAsia" w:ascii="宋体" w:hAnsi="宋体" w:cs="宋体"/>
                <w:color w:val="auto"/>
                <w:sz w:val="24"/>
                <w:highlight w:val="none"/>
              </w:rPr>
            </w:pPr>
          </w:p>
        </w:tc>
        <w:tc>
          <w:tcPr>
            <w:tcW w:w="1685" w:type="dxa"/>
            <w:vAlign w:val="center"/>
          </w:tcPr>
          <w:p w14:paraId="162DBE2E">
            <w:pPr>
              <w:jc w:val="center"/>
              <w:rPr>
                <w:rFonts w:hint="eastAsia" w:ascii="宋体" w:hAnsi="宋体" w:cs="宋体"/>
                <w:color w:val="auto"/>
                <w:sz w:val="24"/>
                <w:highlight w:val="none"/>
              </w:rPr>
            </w:pPr>
          </w:p>
        </w:tc>
        <w:tc>
          <w:tcPr>
            <w:tcW w:w="1442" w:type="dxa"/>
          </w:tcPr>
          <w:p w14:paraId="1EDA43B9">
            <w:pPr>
              <w:jc w:val="center"/>
              <w:rPr>
                <w:rFonts w:hint="eastAsia" w:ascii="宋体" w:hAnsi="宋体" w:cs="宋体"/>
                <w:color w:val="auto"/>
                <w:sz w:val="24"/>
                <w:highlight w:val="none"/>
              </w:rPr>
            </w:pPr>
          </w:p>
        </w:tc>
        <w:tc>
          <w:tcPr>
            <w:tcW w:w="1442" w:type="dxa"/>
            <w:vAlign w:val="center"/>
          </w:tcPr>
          <w:p w14:paraId="126F24BC">
            <w:pPr>
              <w:jc w:val="center"/>
              <w:rPr>
                <w:rFonts w:hint="eastAsia" w:ascii="宋体" w:hAnsi="宋体" w:cs="宋体"/>
                <w:color w:val="auto"/>
                <w:sz w:val="24"/>
                <w:highlight w:val="none"/>
              </w:rPr>
            </w:pPr>
          </w:p>
        </w:tc>
        <w:tc>
          <w:tcPr>
            <w:tcW w:w="1049" w:type="dxa"/>
            <w:vAlign w:val="center"/>
          </w:tcPr>
          <w:p w14:paraId="7C74573C">
            <w:pPr>
              <w:jc w:val="center"/>
              <w:rPr>
                <w:rFonts w:hint="eastAsia" w:ascii="宋体" w:hAnsi="宋体" w:cs="宋体"/>
                <w:color w:val="auto"/>
                <w:sz w:val="24"/>
                <w:highlight w:val="none"/>
              </w:rPr>
            </w:pPr>
          </w:p>
        </w:tc>
      </w:tr>
      <w:tr w14:paraId="2DFEB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77" w:type="dxa"/>
            <w:vAlign w:val="center"/>
          </w:tcPr>
          <w:p w14:paraId="0C9445CA">
            <w:pPr>
              <w:jc w:val="center"/>
              <w:rPr>
                <w:rFonts w:hint="eastAsia" w:ascii="宋体" w:hAnsi="宋体" w:cs="宋体"/>
                <w:color w:val="auto"/>
                <w:sz w:val="24"/>
                <w:highlight w:val="none"/>
              </w:rPr>
            </w:pPr>
            <w:r>
              <w:rPr>
                <w:rFonts w:hint="eastAsia" w:ascii="宋体" w:hAnsi="宋体" w:cs="宋体"/>
                <w:color w:val="auto"/>
                <w:sz w:val="24"/>
                <w:highlight w:val="none"/>
              </w:rPr>
              <w:t>4</w:t>
            </w:r>
          </w:p>
        </w:tc>
        <w:tc>
          <w:tcPr>
            <w:tcW w:w="2107" w:type="dxa"/>
            <w:vAlign w:val="center"/>
          </w:tcPr>
          <w:p w14:paraId="2B7FAAE3">
            <w:pPr>
              <w:jc w:val="center"/>
              <w:rPr>
                <w:rFonts w:hint="eastAsia" w:ascii="宋体" w:hAnsi="宋体" w:cs="宋体"/>
                <w:color w:val="auto"/>
                <w:sz w:val="24"/>
                <w:highlight w:val="none"/>
              </w:rPr>
            </w:pPr>
          </w:p>
        </w:tc>
        <w:tc>
          <w:tcPr>
            <w:tcW w:w="1254" w:type="dxa"/>
            <w:vAlign w:val="center"/>
          </w:tcPr>
          <w:p w14:paraId="6364DC06">
            <w:pPr>
              <w:jc w:val="center"/>
              <w:rPr>
                <w:rFonts w:hint="eastAsia" w:ascii="宋体" w:hAnsi="宋体" w:cs="宋体"/>
                <w:color w:val="auto"/>
                <w:sz w:val="24"/>
                <w:highlight w:val="none"/>
              </w:rPr>
            </w:pPr>
          </w:p>
        </w:tc>
        <w:tc>
          <w:tcPr>
            <w:tcW w:w="1685" w:type="dxa"/>
            <w:vAlign w:val="center"/>
          </w:tcPr>
          <w:p w14:paraId="5B767F9C">
            <w:pPr>
              <w:jc w:val="center"/>
              <w:rPr>
                <w:rFonts w:hint="eastAsia" w:ascii="宋体" w:hAnsi="宋体" w:cs="宋体"/>
                <w:color w:val="auto"/>
                <w:sz w:val="24"/>
                <w:highlight w:val="none"/>
              </w:rPr>
            </w:pPr>
          </w:p>
        </w:tc>
        <w:tc>
          <w:tcPr>
            <w:tcW w:w="1442" w:type="dxa"/>
          </w:tcPr>
          <w:p w14:paraId="15ACDF69">
            <w:pPr>
              <w:jc w:val="center"/>
              <w:rPr>
                <w:rFonts w:hint="eastAsia" w:ascii="宋体" w:hAnsi="宋体" w:cs="宋体"/>
                <w:color w:val="auto"/>
                <w:sz w:val="24"/>
                <w:highlight w:val="none"/>
              </w:rPr>
            </w:pPr>
          </w:p>
        </w:tc>
        <w:tc>
          <w:tcPr>
            <w:tcW w:w="1442" w:type="dxa"/>
            <w:vAlign w:val="center"/>
          </w:tcPr>
          <w:p w14:paraId="1D4C44D8">
            <w:pPr>
              <w:jc w:val="center"/>
              <w:rPr>
                <w:rFonts w:hint="eastAsia" w:ascii="宋体" w:hAnsi="宋体" w:cs="宋体"/>
                <w:color w:val="auto"/>
                <w:sz w:val="24"/>
                <w:highlight w:val="none"/>
              </w:rPr>
            </w:pPr>
          </w:p>
        </w:tc>
        <w:tc>
          <w:tcPr>
            <w:tcW w:w="1049" w:type="dxa"/>
            <w:vAlign w:val="center"/>
          </w:tcPr>
          <w:p w14:paraId="6896D977">
            <w:pPr>
              <w:jc w:val="center"/>
              <w:rPr>
                <w:rFonts w:hint="eastAsia" w:ascii="宋体" w:hAnsi="宋体" w:cs="宋体"/>
                <w:color w:val="auto"/>
                <w:sz w:val="24"/>
                <w:highlight w:val="none"/>
              </w:rPr>
            </w:pPr>
          </w:p>
        </w:tc>
      </w:tr>
      <w:tr w14:paraId="684DA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77" w:type="dxa"/>
            <w:vAlign w:val="center"/>
          </w:tcPr>
          <w:p w14:paraId="1B5DB52E">
            <w:pPr>
              <w:jc w:val="center"/>
              <w:rPr>
                <w:rFonts w:hint="eastAsia" w:ascii="宋体" w:hAnsi="宋体" w:cs="宋体"/>
                <w:color w:val="auto"/>
                <w:sz w:val="24"/>
                <w:highlight w:val="none"/>
              </w:rPr>
            </w:pPr>
            <w:r>
              <w:rPr>
                <w:rFonts w:hint="eastAsia" w:ascii="宋体" w:hAnsi="宋体" w:cs="宋体"/>
                <w:color w:val="auto"/>
                <w:sz w:val="24"/>
                <w:highlight w:val="none"/>
              </w:rPr>
              <w:t>5</w:t>
            </w:r>
          </w:p>
        </w:tc>
        <w:tc>
          <w:tcPr>
            <w:tcW w:w="2107" w:type="dxa"/>
            <w:vAlign w:val="center"/>
          </w:tcPr>
          <w:p w14:paraId="1669580B">
            <w:pPr>
              <w:jc w:val="center"/>
              <w:rPr>
                <w:rFonts w:hint="eastAsia" w:ascii="宋体" w:hAnsi="宋体" w:cs="宋体"/>
                <w:color w:val="auto"/>
                <w:sz w:val="24"/>
                <w:highlight w:val="none"/>
              </w:rPr>
            </w:pPr>
          </w:p>
        </w:tc>
        <w:tc>
          <w:tcPr>
            <w:tcW w:w="1254" w:type="dxa"/>
            <w:vAlign w:val="center"/>
          </w:tcPr>
          <w:p w14:paraId="1FD0E0AC">
            <w:pPr>
              <w:jc w:val="center"/>
              <w:rPr>
                <w:rFonts w:hint="eastAsia" w:ascii="宋体" w:hAnsi="宋体" w:cs="宋体"/>
                <w:color w:val="auto"/>
                <w:sz w:val="24"/>
                <w:highlight w:val="none"/>
              </w:rPr>
            </w:pPr>
          </w:p>
        </w:tc>
        <w:tc>
          <w:tcPr>
            <w:tcW w:w="1685" w:type="dxa"/>
            <w:vAlign w:val="center"/>
          </w:tcPr>
          <w:p w14:paraId="7065A25F">
            <w:pPr>
              <w:jc w:val="center"/>
              <w:rPr>
                <w:rFonts w:hint="eastAsia" w:ascii="宋体" w:hAnsi="宋体" w:cs="宋体"/>
                <w:color w:val="auto"/>
                <w:sz w:val="24"/>
                <w:highlight w:val="none"/>
              </w:rPr>
            </w:pPr>
          </w:p>
        </w:tc>
        <w:tc>
          <w:tcPr>
            <w:tcW w:w="1442" w:type="dxa"/>
          </w:tcPr>
          <w:p w14:paraId="36D601D6">
            <w:pPr>
              <w:jc w:val="center"/>
              <w:rPr>
                <w:rFonts w:hint="eastAsia" w:ascii="宋体" w:hAnsi="宋体" w:cs="宋体"/>
                <w:color w:val="auto"/>
                <w:sz w:val="24"/>
                <w:highlight w:val="none"/>
              </w:rPr>
            </w:pPr>
          </w:p>
        </w:tc>
        <w:tc>
          <w:tcPr>
            <w:tcW w:w="1442" w:type="dxa"/>
            <w:vAlign w:val="center"/>
          </w:tcPr>
          <w:p w14:paraId="34FA9260">
            <w:pPr>
              <w:jc w:val="center"/>
              <w:rPr>
                <w:rFonts w:hint="eastAsia" w:ascii="宋体" w:hAnsi="宋体" w:cs="宋体"/>
                <w:color w:val="auto"/>
                <w:sz w:val="24"/>
                <w:highlight w:val="none"/>
              </w:rPr>
            </w:pPr>
          </w:p>
        </w:tc>
        <w:tc>
          <w:tcPr>
            <w:tcW w:w="1049" w:type="dxa"/>
            <w:vAlign w:val="center"/>
          </w:tcPr>
          <w:p w14:paraId="69A84E53">
            <w:pPr>
              <w:jc w:val="center"/>
              <w:rPr>
                <w:rFonts w:hint="eastAsia" w:ascii="宋体" w:hAnsi="宋体" w:cs="宋体"/>
                <w:color w:val="auto"/>
                <w:sz w:val="24"/>
                <w:highlight w:val="none"/>
              </w:rPr>
            </w:pPr>
          </w:p>
        </w:tc>
      </w:tr>
      <w:tr w14:paraId="1B878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77" w:type="dxa"/>
            <w:vAlign w:val="center"/>
          </w:tcPr>
          <w:p w14:paraId="353F6AD8">
            <w:pPr>
              <w:jc w:val="center"/>
              <w:rPr>
                <w:rFonts w:hint="eastAsia" w:ascii="宋体" w:hAnsi="宋体" w:cs="宋体"/>
                <w:color w:val="auto"/>
                <w:sz w:val="24"/>
                <w:highlight w:val="none"/>
              </w:rPr>
            </w:pPr>
            <w:r>
              <w:rPr>
                <w:rFonts w:hint="eastAsia" w:ascii="宋体" w:hAnsi="宋体" w:cs="宋体"/>
                <w:color w:val="auto"/>
                <w:sz w:val="24"/>
                <w:highlight w:val="none"/>
              </w:rPr>
              <w:t>…</w:t>
            </w:r>
          </w:p>
        </w:tc>
        <w:tc>
          <w:tcPr>
            <w:tcW w:w="2107" w:type="dxa"/>
            <w:vAlign w:val="center"/>
          </w:tcPr>
          <w:p w14:paraId="3631EB27">
            <w:pPr>
              <w:jc w:val="center"/>
              <w:rPr>
                <w:rFonts w:hint="eastAsia" w:ascii="宋体" w:hAnsi="宋体" w:cs="宋体"/>
                <w:color w:val="auto"/>
                <w:sz w:val="24"/>
                <w:highlight w:val="none"/>
              </w:rPr>
            </w:pPr>
          </w:p>
        </w:tc>
        <w:tc>
          <w:tcPr>
            <w:tcW w:w="1254" w:type="dxa"/>
            <w:vAlign w:val="center"/>
          </w:tcPr>
          <w:p w14:paraId="35C9455B">
            <w:pPr>
              <w:jc w:val="center"/>
              <w:rPr>
                <w:rFonts w:hint="eastAsia" w:ascii="宋体" w:hAnsi="宋体" w:cs="宋体"/>
                <w:color w:val="auto"/>
                <w:sz w:val="24"/>
                <w:highlight w:val="none"/>
              </w:rPr>
            </w:pPr>
          </w:p>
        </w:tc>
        <w:tc>
          <w:tcPr>
            <w:tcW w:w="1685" w:type="dxa"/>
            <w:vAlign w:val="center"/>
          </w:tcPr>
          <w:p w14:paraId="4A11B5AE">
            <w:pPr>
              <w:jc w:val="center"/>
              <w:rPr>
                <w:rFonts w:hint="eastAsia" w:ascii="宋体" w:hAnsi="宋体" w:cs="宋体"/>
                <w:color w:val="auto"/>
                <w:sz w:val="24"/>
                <w:highlight w:val="none"/>
              </w:rPr>
            </w:pPr>
          </w:p>
        </w:tc>
        <w:tc>
          <w:tcPr>
            <w:tcW w:w="1442" w:type="dxa"/>
          </w:tcPr>
          <w:p w14:paraId="234B3CB7">
            <w:pPr>
              <w:jc w:val="center"/>
              <w:rPr>
                <w:rFonts w:hint="eastAsia" w:ascii="宋体" w:hAnsi="宋体" w:cs="宋体"/>
                <w:color w:val="auto"/>
                <w:sz w:val="24"/>
                <w:highlight w:val="none"/>
              </w:rPr>
            </w:pPr>
          </w:p>
        </w:tc>
        <w:tc>
          <w:tcPr>
            <w:tcW w:w="1442" w:type="dxa"/>
            <w:vAlign w:val="center"/>
          </w:tcPr>
          <w:p w14:paraId="296D22E9">
            <w:pPr>
              <w:jc w:val="center"/>
              <w:rPr>
                <w:rFonts w:hint="eastAsia" w:ascii="宋体" w:hAnsi="宋体" w:cs="宋体"/>
                <w:color w:val="auto"/>
                <w:sz w:val="24"/>
                <w:highlight w:val="none"/>
              </w:rPr>
            </w:pPr>
          </w:p>
        </w:tc>
        <w:tc>
          <w:tcPr>
            <w:tcW w:w="1049" w:type="dxa"/>
            <w:vAlign w:val="center"/>
          </w:tcPr>
          <w:p w14:paraId="0E34B945">
            <w:pPr>
              <w:jc w:val="center"/>
              <w:rPr>
                <w:rFonts w:hint="eastAsia" w:ascii="宋体" w:hAnsi="宋体" w:cs="宋体"/>
                <w:color w:val="auto"/>
                <w:sz w:val="24"/>
                <w:highlight w:val="none"/>
              </w:rPr>
            </w:pPr>
          </w:p>
        </w:tc>
      </w:tr>
    </w:tbl>
    <w:p w14:paraId="43B72901">
      <w:pPr>
        <w:spacing w:line="360" w:lineRule="auto"/>
        <w:rPr>
          <w:rFonts w:hint="eastAsia" w:ascii="宋体" w:hAnsi="宋体" w:cs="宋体"/>
          <w:b/>
          <w:bCs/>
          <w:color w:val="auto"/>
          <w:sz w:val="24"/>
          <w:szCs w:val="24"/>
          <w:highlight w:val="none"/>
        </w:rPr>
      </w:pPr>
      <w:r>
        <w:rPr>
          <w:rFonts w:hint="eastAsia" w:ascii="宋体" w:hAnsi="宋体" w:cs="宋体"/>
          <w:b w:val="0"/>
          <w:bCs w:val="0"/>
          <w:color w:val="auto"/>
          <w:sz w:val="24"/>
          <w:szCs w:val="24"/>
          <w:highlight w:val="none"/>
        </w:rPr>
        <w:t>注：</w:t>
      </w:r>
      <w:r>
        <w:rPr>
          <w:rFonts w:hint="eastAsia" w:ascii="宋体" w:hAnsi="宋体" w:cs="宋体"/>
          <w:b/>
          <w:bCs/>
          <w:color w:val="auto"/>
          <w:sz w:val="24"/>
          <w:szCs w:val="24"/>
          <w:highlight w:val="none"/>
        </w:rPr>
        <w:t>1、业绩证明材料为中标/成交通知书或合同（合同首页、标的所在页及合同签字盖章页）。无证明材料或证明材料不明确、无法体现业绩内容的，不予认可。一旦发现提供的业绩证明材料存在虚假的，其投标文件将按无效处理。</w:t>
      </w:r>
    </w:p>
    <w:p w14:paraId="0A4D34A1">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2、投标人可根据实际情况拓展本表。</w:t>
      </w:r>
    </w:p>
    <w:p w14:paraId="1220B768">
      <w:pPr>
        <w:rPr>
          <w:rFonts w:hint="eastAsia" w:ascii="宋体" w:hAnsi="宋体" w:cs="宋体"/>
          <w:b/>
          <w:color w:val="auto"/>
          <w:sz w:val="24"/>
          <w:szCs w:val="24"/>
          <w:highlight w:val="none"/>
        </w:rPr>
      </w:pPr>
    </w:p>
    <w:p w14:paraId="5A90DE5B">
      <w:pPr>
        <w:rPr>
          <w:rFonts w:hint="eastAsia" w:ascii="宋体" w:hAnsi="宋体" w:cs="宋体"/>
          <w:b/>
          <w:color w:val="auto"/>
          <w:sz w:val="24"/>
          <w:szCs w:val="24"/>
          <w:highlight w:val="none"/>
        </w:rPr>
      </w:pPr>
    </w:p>
    <w:p w14:paraId="412B2CDA">
      <w:pPr>
        <w:rPr>
          <w:rFonts w:hint="eastAsia" w:ascii="宋体" w:hAnsi="宋体" w:cs="宋体"/>
          <w:b/>
          <w:color w:val="auto"/>
          <w:sz w:val="24"/>
          <w:szCs w:val="24"/>
          <w:highlight w:val="none"/>
        </w:rPr>
      </w:pPr>
    </w:p>
    <w:p w14:paraId="34292108">
      <w:pPr>
        <w:rPr>
          <w:rFonts w:ascii="宋体" w:hAnsi="宋体" w:cs="宋体"/>
          <w:b/>
          <w:color w:val="auto"/>
          <w:sz w:val="24"/>
          <w:szCs w:val="24"/>
          <w:highlight w:val="none"/>
        </w:rPr>
      </w:pPr>
      <w:r>
        <w:rPr>
          <w:rFonts w:hint="eastAsia" w:ascii="宋体" w:hAnsi="宋体" w:cs="宋体"/>
          <w:b/>
          <w:color w:val="auto"/>
          <w:sz w:val="24"/>
          <w:szCs w:val="24"/>
          <w:highlight w:val="none"/>
        </w:rPr>
        <w:t>投标人：</w:t>
      </w:r>
      <w:r>
        <w:rPr>
          <w:rFonts w:hint="eastAsia" w:ascii="宋体" w:hAnsi="宋体" w:cs="宋体"/>
          <w:b/>
          <w:color w:val="auto"/>
          <w:sz w:val="24"/>
          <w:szCs w:val="24"/>
          <w:highlight w:val="none"/>
          <w:u w:val="single"/>
        </w:rPr>
        <w:tab/>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（电子签章）</w:t>
      </w:r>
    </w:p>
    <w:p w14:paraId="0D771C5C">
      <w:pPr>
        <w:rPr>
          <w:rFonts w:ascii="宋体" w:hAnsi="宋体" w:cs="宋体"/>
          <w:b/>
          <w:color w:val="auto"/>
          <w:sz w:val="24"/>
          <w:szCs w:val="24"/>
          <w:highlight w:val="none"/>
        </w:rPr>
      </w:pPr>
      <w:r>
        <w:rPr>
          <w:rFonts w:hint="eastAsia" w:ascii="宋体" w:hAnsi="宋体" w:cs="宋体"/>
          <w:b/>
          <w:color w:val="auto"/>
          <w:sz w:val="24"/>
          <w:szCs w:val="24"/>
          <w:highlight w:val="none"/>
        </w:rPr>
        <w:t>法定代表人（单位负责人）：</w:t>
      </w:r>
      <w:r>
        <w:rPr>
          <w:rFonts w:hint="eastAsia" w:ascii="宋体" w:hAnsi="宋体" w:cs="宋体"/>
          <w:b/>
          <w:color w:val="auto"/>
          <w:sz w:val="24"/>
          <w:szCs w:val="24"/>
          <w:highlight w:val="none"/>
          <w:u w:val="single"/>
        </w:rPr>
        <w:tab/>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（电子签名或电子签章）</w:t>
      </w:r>
    </w:p>
    <w:p w14:paraId="34098034">
      <w:pPr>
        <w:rPr>
          <w:rFonts w:ascii="宋体" w:hAnsi="宋体" w:cs="宋体"/>
          <w:b/>
          <w:color w:val="auto"/>
          <w:sz w:val="24"/>
          <w:szCs w:val="24"/>
          <w:highlight w:val="none"/>
        </w:rPr>
      </w:pPr>
      <w:r>
        <w:rPr>
          <w:rFonts w:hint="eastAsia" w:ascii="宋体" w:hAnsi="宋体" w:cs="宋体"/>
          <w:b/>
          <w:color w:val="auto"/>
          <w:sz w:val="24"/>
          <w:szCs w:val="24"/>
          <w:highlight w:val="none"/>
        </w:rPr>
        <w:t>日期：</w:t>
      </w:r>
      <w:r>
        <w:rPr>
          <w:rFonts w:hint="eastAsia" w:ascii="宋体" w:hAnsi="宋体" w:cs="宋体"/>
          <w:bCs/>
          <w:color w:val="auto"/>
          <w:sz w:val="24"/>
          <w:szCs w:val="24"/>
          <w:highlight w:val="none"/>
          <w:u w:val="single"/>
        </w:rPr>
        <w:t xml:space="preserve">      </w:t>
      </w:r>
      <w:r>
        <w:rPr>
          <w:rFonts w:hint="eastAsia" w:ascii="宋体" w:hAnsi="宋体" w:cs="宋体"/>
          <w:b/>
          <w:color w:val="auto"/>
          <w:sz w:val="24"/>
          <w:szCs w:val="24"/>
          <w:highlight w:val="none"/>
        </w:rPr>
        <w:t>年</w:t>
      </w:r>
      <w:r>
        <w:rPr>
          <w:rFonts w:hint="eastAsia" w:ascii="宋体" w:hAnsi="宋体" w:cs="宋体"/>
          <w:bCs/>
          <w:color w:val="auto"/>
          <w:sz w:val="24"/>
          <w:szCs w:val="24"/>
          <w:highlight w:val="none"/>
          <w:u w:val="single"/>
        </w:rPr>
        <w:t xml:space="preserve">     </w:t>
      </w:r>
      <w:r>
        <w:rPr>
          <w:rFonts w:hint="eastAsia" w:ascii="宋体" w:hAnsi="宋体" w:cs="宋体"/>
          <w:b/>
          <w:color w:val="auto"/>
          <w:sz w:val="24"/>
          <w:szCs w:val="24"/>
          <w:highlight w:val="none"/>
        </w:rPr>
        <w:t>月</w:t>
      </w:r>
      <w:r>
        <w:rPr>
          <w:rFonts w:hint="eastAsia" w:ascii="宋体" w:hAnsi="宋体" w:cs="宋体"/>
          <w:bCs/>
          <w:color w:val="auto"/>
          <w:sz w:val="24"/>
          <w:szCs w:val="24"/>
          <w:highlight w:val="none"/>
          <w:u w:val="single"/>
        </w:rPr>
        <w:t xml:space="preserve">     </w:t>
      </w:r>
      <w:r>
        <w:rPr>
          <w:rFonts w:hint="eastAsia" w:ascii="宋体" w:hAnsi="宋体" w:cs="宋体"/>
          <w:b/>
          <w:color w:val="auto"/>
          <w:sz w:val="24"/>
          <w:szCs w:val="24"/>
          <w:highlight w:val="none"/>
        </w:rPr>
        <w:t>日</w:t>
      </w:r>
    </w:p>
    <w:p w14:paraId="52F56C4E">
      <w:pP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br w:type="page"/>
      </w:r>
    </w:p>
    <w:p w14:paraId="47014555">
      <w:pPr>
        <w:jc w:val="center"/>
        <w:outlineLvl w:val="2"/>
        <w:rPr>
          <w:rFonts w:ascii="宋体" w:hAnsi="宋体" w:cs="宋体"/>
          <w:b/>
          <w:bCs/>
          <w:color w:val="auto"/>
          <w:sz w:val="28"/>
          <w:szCs w:val="28"/>
          <w:highlight w:val="none"/>
        </w:rPr>
      </w:pPr>
      <w:bookmarkStart w:id="305" w:name="_Toc19765"/>
      <w:r>
        <w:rPr>
          <w:rFonts w:hint="eastAsia" w:ascii="宋体" w:hAnsi="宋体" w:cs="宋体"/>
          <w:b/>
          <w:bCs/>
          <w:color w:val="auto"/>
          <w:sz w:val="28"/>
          <w:szCs w:val="28"/>
          <w:highlight w:val="none"/>
        </w:rPr>
        <w:t>十</w:t>
      </w:r>
      <w:r>
        <w:rPr>
          <w:rFonts w:hint="eastAsia" w:ascii="宋体" w:hAnsi="宋体" w:cs="宋体"/>
          <w:b/>
          <w:bCs/>
          <w:color w:val="auto"/>
          <w:sz w:val="28"/>
          <w:szCs w:val="28"/>
          <w:highlight w:val="none"/>
          <w:lang w:val="en-US" w:eastAsia="zh-CN"/>
        </w:rPr>
        <w:t>七</w:t>
      </w:r>
      <w:r>
        <w:rPr>
          <w:rFonts w:hint="eastAsia" w:ascii="宋体" w:hAnsi="宋体" w:cs="宋体"/>
          <w:b/>
          <w:bCs/>
          <w:color w:val="auto"/>
          <w:sz w:val="28"/>
          <w:szCs w:val="28"/>
          <w:highlight w:val="none"/>
        </w:rPr>
        <w:t>、中小企业声明函</w:t>
      </w:r>
      <w:bookmarkEnd w:id="303"/>
      <w:bookmarkEnd w:id="305"/>
    </w:p>
    <w:p w14:paraId="1C142F9F">
      <w:pPr>
        <w:keepNext/>
        <w:keepLines/>
        <w:widowControl w:val="0"/>
        <w:ind w:left="425"/>
        <w:jc w:val="center"/>
        <w:rPr>
          <w:rFonts w:ascii="宋体" w:hAnsi="宋体" w:cs="宋体"/>
          <w:b/>
          <w:bCs/>
          <w:color w:val="auto"/>
          <w:kern w:val="2"/>
          <w:sz w:val="28"/>
          <w:szCs w:val="28"/>
          <w:highlight w:val="none"/>
        </w:rPr>
      </w:pPr>
      <w:r>
        <w:rPr>
          <w:rFonts w:hint="eastAsia" w:ascii="宋体" w:hAnsi="宋体" w:cs="宋体"/>
          <w:b/>
          <w:bCs/>
          <w:color w:val="auto"/>
          <w:kern w:val="2"/>
          <w:sz w:val="28"/>
          <w:szCs w:val="28"/>
          <w:highlight w:val="none"/>
        </w:rPr>
        <w:t>《中小企业声明函》（符合《政府采购促进中小企业发展管理办法》（财库﹝2020﹞46 号）价格扣减条件的投标人须提交）</w:t>
      </w:r>
    </w:p>
    <w:p w14:paraId="3115E83C">
      <w:pPr>
        <w:keepNext/>
        <w:keepLines/>
        <w:widowControl w:val="0"/>
        <w:spacing w:line="360" w:lineRule="auto"/>
        <w:ind w:left="425"/>
        <w:jc w:val="center"/>
        <w:rPr>
          <w:rFonts w:ascii="宋体" w:hAnsi="宋体" w:cs="宋体"/>
          <w:b/>
          <w:bCs/>
          <w:color w:val="auto"/>
          <w:kern w:val="2"/>
          <w:sz w:val="32"/>
          <w:szCs w:val="32"/>
          <w:highlight w:val="none"/>
        </w:rPr>
      </w:pPr>
      <w:bookmarkStart w:id="306" w:name="_Toc518289519"/>
      <w:r>
        <w:rPr>
          <w:rFonts w:hint="eastAsia" w:ascii="宋体" w:hAnsi="宋体" w:cs="宋体"/>
          <w:b/>
          <w:bCs/>
          <w:color w:val="auto"/>
          <w:kern w:val="2"/>
          <w:sz w:val="32"/>
          <w:szCs w:val="32"/>
          <w:highlight w:val="none"/>
        </w:rPr>
        <w:t>中小企业声明函</w:t>
      </w:r>
      <w:bookmarkEnd w:id="306"/>
    </w:p>
    <w:p w14:paraId="33E3055C">
      <w:pPr>
        <w:pStyle w:val="29"/>
        <w:spacing w:before="0" w:beforeAutospacing="0" w:after="0" w:afterAutospacing="0" w:line="360" w:lineRule="auto"/>
        <w:ind w:firstLine="403"/>
        <w:rPr>
          <w:rFonts w:ascii="宋体" w:hAnsi="宋体" w:cs="宋体"/>
          <w:color w:val="auto"/>
          <w:highlight w:val="none"/>
        </w:rPr>
      </w:pPr>
      <w:r>
        <w:rPr>
          <w:rFonts w:hint="eastAsia" w:ascii="宋体" w:hAnsi="宋体" w:cs="宋体"/>
          <w:color w:val="auto"/>
          <w:highlight w:val="none"/>
        </w:rPr>
        <w:t>本公司（联合体）郑重声明，根据《政府采购促进中小企业发展管理办法》（财库﹝2020﹞46 号）的规定，本公司（联合体）参加</w:t>
      </w:r>
      <w:r>
        <w:rPr>
          <w:rFonts w:hint="eastAsia" w:ascii="宋体" w:hAnsi="宋体" w:cs="宋体"/>
          <w:color w:val="auto"/>
          <w:highlight w:val="none"/>
          <w:u w:val="single"/>
        </w:rPr>
        <w:t xml:space="preserve">          </w:t>
      </w:r>
      <w:r>
        <w:rPr>
          <w:rFonts w:hint="eastAsia" w:ascii="宋体" w:hAnsi="宋体" w:cs="宋体"/>
          <w:color w:val="auto"/>
          <w:highlight w:val="none"/>
        </w:rPr>
        <w:t>（单位名称）的</w:t>
      </w:r>
      <w:r>
        <w:rPr>
          <w:rFonts w:hint="eastAsia" w:ascii="宋体" w:hAnsi="宋体" w:cs="宋体"/>
          <w:color w:val="auto"/>
          <w:highlight w:val="none"/>
          <w:u w:val="single"/>
        </w:rPr>
        <w:t xml:space="preserve">              </w:t>
      </w:r>
      <w:r>
        <w:rPr>
          <w:rFonts w:hint="eastAsia" w:ascii="宋体" w:hAnsi="宋体" w:cs="宋体"/>
          <w:color w:val="auto"/>
          <w:highlight w:val="none"/>
        </w:rPr>
        <w:t>（项目名称）采购活动，提供的货物全部由符合政策要求的中小企业制造。相关企业 （含联合体中的中小企业、签订分包意向协议的中小企业） 的具体情况如下：</w:t>
      </w:r>
    </w:p>
    <w:p w14:paraId="3AF0B2B5">
      <w:pPr>
        <w:pStyle w:val="29"/>
        <w:spacing w:before="0" w:beforeAutospacing="0" w:after="0" w:afterAutospacing="0" w:line="360" w:lineRule="auto"/>
        <w:ind w:left="1199" w:leftChars="228" w:hanging="720" w:hangingChars="300"/>
        <w:rPr>
          <w:rFonts w:ascii="宋体" w:hAnsi="宋体" w:cs="宋体"/>
          <w:color w:val="auto"/>
          <w:highlight w:val="none"/>
        </w:rPr>
      </w:pPr>
      <w:r>
        <w:rPr>
          <w:rFonts w:ascii="宋体" w:hAnsi="宋体" w:cs="宋体"/>
          <w:color w:val="auto"/>
          <w:highlight w:val="none"/>
        </w:rPr>
        <w:t>1.</w:t>
      </w:r>
      <w:r>
        <w:rPr>
          <w:rFonts w:hint="eastAsia" w:ascii="宋体" w:hAnsi="宋体" w:cs="宋体"/>
          <w:color w:val="auto"/>
          <w:highlight w:val="none"/>
          <w:u w:val="single"/>
        </w:rPr>
        <w:t xml:space="preserve">     </w:t>
      </w:r>
      <w:r>
        <w:rPr>
          <w:rFonts w:hint="eastAsia" w:ascii="宋体" w:hAnsi="宋体" w:cs="宋体"/>
          <w:color w:val="auto"/>
          <w:highlight w:val="none"/>
        </w:rPr>
        <w:t>（标的名称），属于</w:t>
      </w:r>
      <w:r>
        <w:rPr>
          <w:rFonts w:hint="eastAsia" w:ascii="宋体" w:hAnsi="宋体" w:cs="宋体"/>
          <w:color w:val="auto"/>
          <w:highlight w:val="none"/>
          <w:u w:val="single"/>
        </w:rPr>
        <w:t xml:space="preserve">         </w:t>
      </w:r>
      <w:r>
        <w:rPr>
          <w:rFonts w:hint="eastAsia" w:ascii="宋体" w:hAnsi="宋体" w:cs="宋体"/>
          <w:color w:val="auto"/>
          <w:highlight w:val="none"/>
        </w:rPr>
        <w:t>（采购文件中明确的所属行业） 行业；制造商为</w:t>
      </w:r>
    </w:p>
    <w:p w14:paraId="231F76BF">
      <w:pPr>
        <w:pStyle w:val="29"/>
        <w:spacing w:before="0" w:beforeAutospacing="0" w:after="0" w:afterAutospacing="0" w:line="360" w:lineRule="auto"/>
        <w:ind w:left="-151" w:leftChars="-72"/>
        <w:rPr>
          <w:rFonts w:ascii="宋体" w:hAnsi="宋体" w:cs="宋体"/>
          <w:color w:val="auto"/>
          <w:highlight w:val="none"/>
        </w:rPr>
      </w:pPr>
      <w:r>
        <w:rPr>
          <w:rFonts w:hint="eastAsia" w:ascii="宋体" w:hAnsi="宋体" w:cs="宋体"/>
          <w:color w:val="auto"/>
          <w:highlight w:val="none"/>
          <w:u w:val="single"/>
        </w:rPr>
        <w:t xml:space="preserve">         </w:t>
      </w:r>
      <w:r>
        <w:rPr>
          <w:rFonts w:hint="eastAsia" w:ascii="宋体" w:hAnsi="宋体" w:cs="宋体"/>
          <w:color w:val="auto"/>
          <w:highlight w:val="none"/>
        </w:rPr>
        <w:t>（企业名称），从业人员</w:t>
      </w:r>
      <w:r>
        <w:rPr>
          <w:rFonts w:hint="eastAsia" w:ascii="宋体" w:hAnsi="宋体" w:cs="宋体"/>
          <w:color w:val="auto"/>
          <w:highlight w:val="none"/>
          <w:u w:val="single"/>
        </w:rPr>
        <w:t xml:space="preserve">       </w:t>
      </w:r>
      <w:r>
        <w:rPr>
          <w:rFonts w:hint="eastAsia" w:ascii="宋体" w:hAnsi="宋体" w:cs="宋体"/>
          <w:color w:val="auto"/>
          <w:highlight w:val="none"/>
        </w:rPr>
        <w:t>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 ，属于（中型企业、小 型企业、微型企业）； </w:t>
      </w:r>
    </w:p>
    <w:p w14:paraId="20204E3F">
      <w:pPr>
        <w:pStyle w:val="29"/>
        <w:spacing w:before="0" w:beforeAutospacing="0" w:after="0" w:afterAutospacing="0" w:line="360" w:lineRule="auto"/>
        <w:ind w:left="1199" w:leftChars="228" w:hanging="720" w:hangingChars="300"/>
        <w:rPr>
          <w:rFonts w:ascii="宋体" w:hAnsi="宋体" w:cs="宋体"/>
          <w:color w:val="auto"/>
          <w:highlight w:val="none"/>
        </w:rPr>
      </w:pPr>
      <w:r>
        <w:rPr>
          <w:rFonts w:ascii="宋体" w:hAnsi="宋体" w:cs="宋体"/>
          <w:color w:val="auto"/>
          <w:highlight w:val="none"/>
        </w:rPr>
        <w:t>2.</w:t>
      </w:r>
      <w:r>
        <w:rPr>
          <w:rFonts w:hint="eastAsia" w:ascii="宋体" w:hAnsi="宋体" w:cs="宋体"/>
          <w:color w:val="auto"/>
          <w:highlight w:val="none"/>
          <w:u w:val="single"/>
        </w:rPr>
        <w:t xml:space="preserve">     </w:t>
      </w:r>
      <w:r>
        <w:rPr>
          <w:rFonts w:hint="eastAsia" w:ascii="宋体" w:hAnsi="宋体" w:cs="宋体"/>
          <w:color w:val="auto"/>
          <w:highlight w:val="none"/>
        </w:rPr>
        <w:t>（标的名称） ，属于</w:t>
      </w:r>
      <w:r>
        <w:rPr>
          <w:rFonts w:hint="eastAsia" w:ascii="宋体" w:hAnsi="宋体" w:cs="宋体"/>
          <w:color w:val="auto"/>
          <w:highlight w:val="none"/>
          <w:u w:val="single"/>
        </w:rPr>
        <w:t xml:space="preserve">        </w:t>
      </w:r>
      <w:r>
        <w:rPr>
          <w:rFonts w:hint="eastAsia" w:ascii="宋体" w:hAnsi="宋体" w:cs="宋体"/>
          <w:color w:val="auto"/>
          <w:highlight w:val="none"/>
        </w:rPr>
        <w:t>（采购文件中明确的所属行业） 行业；制造商为</w:t>
      </w:r>
    </w:p>
    <w:p w14:paraId="23D0EA7A">
      <w:pPr>
        <w:pStyle w:val="29"/>
        <w:spacing w:before="0" w:beforeAutospacing="0" w:after="0" w:afterAutospacing="0" w:line="360" w:lineRule="auto"/>
        <w:ind w:left="-151" w:leftChars="-72"/>
        <w:rPr>
          <w:rFonts w:ascii="宋体" w:hAnsi="宋体" w:cs="宋体"/>
          <w:color w:val="auto"/>
          <w:highlight w:val="none"/>
        </w:rPr>
      </w:pPr>
      <w:r>
        <w:rPr>
          <w:rFonts w:hint="eastAsia" w:ascii="宋体" w:hAnsi="宋体" w:cs="宋体"/>
          <w:color w:val="auto"/>
          <w:highlight w:val="none"/>
          <w:u w:val="single"/>
        </w:rPr>
        <w:t xml:space="preserve">          </w:t>
      </w:r>
      <w:r>
        <w:rPr>
          <w:rFonts w:hint="eastAsia" w:ascii="宋体" w:hAnsi="宋体" w:cs="宋体"/>
          <w:color w:val="auto"/>
          <w:highlight w:val="none"/>
        </w:rPr>
        <w:t>（企业名称），从业人员</w:t>
      </w:r>
      <w:r>
        <w:rPr>
          <w:rFonts w:hint="eastAsia" w:ascii="宋体" w:hAnsi="宋体" w:cs="宋体"/>
          <w:color w:val="auto"/>
          <w:highlight w:val="none"/>
          <w:u w:val="single"/>
        </w:rPr>
        <w:t xml:space="preserve">     </w:t>
      </w:r>
      <w:r>
        <w:rPr>
          <w:rFonts w:hint="eastAsia" w:ascii="宋体" w:hAnsi="宋体" w:cs="宋体"/>
          <w:color w:val="auto"/>
          <w:highlight w:val="none"/>
        </w:rPr>
        <w:t>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万元，属于（中型企业、小型 企业、微型企业）；</w:t>
      </w:r>
    </w:p>
    <w:p w14:paraId="46E233F1">
      <w:pPr>
        <w:pStyle w:val="29"/>
        <w:spacing w:before="0" w:beforeAutospacing="0" w:after="0" w:afterAutospacing="0" w:line="360" w:lineRule="auto"/>
        <w:ind w:left="-151" w:leftChars="-72" w:firstLine="480" w:firstLineChars="200"/>
        <w:rPr>
          <w:rFonts w:ascii="宋体" w:hAnsi="宋体" w:cs="宋体"/>
          <w:color w:val="auto"/>
          <w:highlight w:val="none"/>
        </w:rPr>
      </w:pPr>
      <w:r>
        <w:rPr>
          <w:rFonts w:hint="eastAsia" w:ascii="宋体" w:hAnsi="宋体" w:cs="宋体"/>
          <w:color w:val="auto"/>
          <w:highlight w:val="none"/>
        </w:rPr>
        <w:t xml:space="preserve"> …… </w:t>
      </w:r>
    </w:p>
    <w:p w14:paraId="113933BD">
      <w:pPr>
        <w:pStyle w:val="29"/>
        <w:spacing w:before="0" w:beforeAutospacing="0" w:after="0" w:afterAutospacing="0" w:line="360" w:lineRule="auto"/>
        <w:ind w:left="-151" w:leftChars="-72" w:firstLine="480" w:firstLineChars="200"/>
        <w:rPr>
          <w:rFonts w:ascii="宋体" w:hAnsi="宋体" w:cs="宋体"/>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 </w:t>
      </w:r>
    </w:p>
    <w:p w14:paraId="503A229C">
      <w:pPr>
        <w:pStyle w:val="29"/>
        <w:spacing w:before="0" w:beforeAutospacing="0" w:after="0" w:afterAutospacing="0" w:line="360" w:lineRule="auto"/>
        <w:ind w:left="-151" w:leftChars="-72" w:firstLine="480" w:firstLineChars="200"/>
        <w:rPr>
          <w:rFonts w:ascii="宋体" w:hAnsi="宋体" w:cs="宋体"/>
          <w:color w:val="auto"/>
          <w:highlight w:val="none"/>
        </w:rPr>
      </w:pPr>
      <w:r>
        <w:rPr>
          <w:rFonts w:hint="eastAsia" w:ascii="宋体" w:hAnsi="宋体" w:cs="宋体"/>
          <w:color w:val="auto"/>
          <w:highlight w:val="none"/>
        </w:rPr>
        <w:t>本企业对上述声明内容的真实性负责。如有虚假，将依 法承担相应责任。</w:t>
      </w:r>
    </w:p>
    <w:p w14:paraId="267D92D6">
      <w:pPr>
        <w:pStyle w:val="29"/>
        <w:spacing w:line="432" w:lineRule="auto"/>
        <w:ind w:firstLine="405"/>
        <w:rPr>
          <w:rFonts w:ascii="宋体" w:hAnsi="宋体" w:cs="宋体"/>
          <w:color w:val="auto"/>
          <w:highlight w:val="none"/>
        </w:rPr>
      </w:pPr>
      <w:r>
        <w:rPr>
          <w:rFonts w:hint="eastAsia" w:ascii="宋体" w:hAnsi="宋体" w:cs="宋体"/>
          <w:b/>
          <w:bCs/>
          <w:color w:val="auto"/>
          <w:sz w:val="22"/>
          <w:szCs w:val="22"/>
          <w:highlight w:val="none"/>
        </w:rPr>
        <w:t>从业人员、营业收入、资产总额填报上一年度数据，无上一年度数据的新成立企业可不填报</w:t>
      </w:r>
      <w:r>
        <w:rPr>
          <w:rFonts w:hint="eastAsia" w:ascii="宋体" w:hAnsi="宋体" w:cs="宋体"/>
          <w:color w:val="auto"/>
          <w:highlight w:val="none"/>
        </w:rPr>
        <w:t>。</w:t>
      </w:r>
    </w:p>
    <w:p w14:paraId="673DC762">
      <w:pPr>
        <w:pStyle w:val="29"/>
        <w:spacing w:line="432" w:lineRule="auto"/>
        <w:ind w:firstLine="405"/>
        <w:rPr>
          <w:rFonts w:ascii="宋体" w:hAnsi="宋体" w:cs="宋体"/>
          <w:b/>
          <w:bCs/>
          <w:color w:val="auto"/>
          <w:highlight w:val="none"/>
        </w:rPr>
      </w:pPr>
      <w:r>
        <w:rPr>
          <w:rFonts w:hint="eastAsia" w:ascii="宋体" w:hAnsi="宋体" w:cs="宋体"/>
          <w:b/>
          <w:bCs/>
          <w:color w:val="auto"/>
          <w:highlight w:val="none"/>
        </w:rPr>
        <w:t>投标人：</w:t>
      </w:r>
      <w:r>
        <w:rPr>
          <w:rFonts w:hint="eastAsia" w:ascii="宋体" w:hAnsi="宋体" w:cs="宋体"/>
          <w:b/>
          <w:bCs/>
          <w:color w:val="auto"/>
          <w:highlight w:val="none"/>
          <w:u w:val="single"/>
        </w:rPr>
        <w:t xml:space="preserve">                 </w:t>
      </w:r>
      <w:r>
        <w:rPr>
          <w:rFonts w:hint="eastAsia" w:ascii="宋体" w:hAnsi="宋体" w:cs="宋体"/>
          <w:b/>
          <w:bCs/>
          <w:color w:val="auto"/>
          <w:highlight w:val="none"/>
        </w:rPr>
        <w:t>（电子签章）</w:t>
      </w:r>
    </w:p>
    <w:p w14:paraId="504DFB3D">
      <w:pPr>
        <w:pStyle w:val="29"/>
        <w:spacing w:line="432" w:lineRule="auto"/>
        <w:ind w:firstLine="405"/>
        <w:rPr>
          <w:rFonts w:ascii="宋体" w:hAnsi="宋体" w:cs="宋体"/>
          <w:b/>
          <w:bCs/>
          <w:color w:val="auto"/>
          <w:highlight w:val="none"/>
        </w:rPr>
      </w:pPr>
      <w:r>
        <w:rPr>
          <w:rFonts w:hint="eastAsia" w:ascii="宋体" w:hAnsi="宋体" w:cs="宋体"/>
          <w:b/>
          <w:bCs/>
          <w:color w:val="auto"/>
          <w:highlight w:val="none"/>
        </w:rPr>
        <w:t>日  期：</w:t>
      </w:r>
      <w:r>
        <w:rPr>
          <w:rFonts w:hint="eastAsia" w:ascii="宋体" w:hAnsi="宋体" w:cs="宋体"/>
          <w:b/>
          <w:bCs/>
          <w:color w:val="auto"/>
          <w:highlight w:val="none"/>
          <w:u w:val="single"/>
        </w:rPr>
        <w:t xml:space="preserve">     </w:t>
      </w:r>
      <w:r>
        <w:rPr>
          <w:rFonts w:hint="eastAsia" w:ascii="宋体" w:hAnsi="宋体" w:cs="宋体"/>
          <w:b/>
          <w:bCs/>
          <w:color w:val="auto"/>
          <w:highlight w:val="none"/>
        </w:rPr>
        <w:t>年</w:t>
      </w:r>
      <w:r>
        <w:rPr>
          <w:rFonts w:hint="eastAsia" w:ascii="宋体" w:hAnsi="宋体" w:cs="宋体"/>
          <w:b/>
          <w:bCs/>
          <w:color w:val="auto"/>
          <w:highlight w:val="none"/>
          <w:u w:val="single"/>
        </w:rPr>
        <w:t xml:space="preserve">   </w:t>
      </w:r>
      <w:r>
        <w:rPr>
          <w:rFonts w:hint="eastAsia" w:ascii="宋体" w:hAnsi="宋体" w:cs="宋体"/>
          <w:b/>
          <w:bCs/>
          <w:color w:val="auto"/>
          <w:highlight w:val="none"/>
        </w:rPr>
        <w:t>月</w:t>
      </w:r>
      <w:r>
        <w:rPr>
          <w:rFonts w:hint="eastAsia" w:ascii="宋体" w:hAnsi="宋体" w:cs="宋体"/>
          <w:b/>
          <w:bCs/>
          <w:color w:val="auto"/>
          <w:highlight w:val="none"/>
          <w:u w:val="single"/>
        </w:rPr>
        <w:t xml:space="preserve">   </w:t>
      </w:r>
      <w:r>
        <w:rPr>
          <w:rFonts w:hint="eastAsia" w:ascii="宋体" w:hAnsi="宋体" w:cs="宋体"/>
          <w:b/>
          <w:bCs/>
          <w:color w:val="auto"/>
          <w:highlight w:val="none"/>
        </w:rPr>
        <w:t>日　</w:t>
      </w:r>
    </w:p>
    <w:p w14:paraId="1DCE77A5">
      <w:pPr>
        <w:jc w:val="center"/>
        <w:outlineLvl w:val="2"/>
        <w:rPr>
          <w:rFonts w:ascii="宋体" w:hAnsi="宋体" w:cs="宋体"/>
          <w:b/>
          <w:color w:val="auto"/>
          <w:sz w:val="28"/>
          <w:szCs w:val="28"/>
          <w:highlight w:val="none"/>
        </w:rPr>
      </w:pPr>
      <w:r>
        <w:rPr>
          <w:rFonts w:hint="eastAsia" w:ascii="宋体" w:hAnsi="宋体" w:cs="宋体"/>
          <w:b/>
          <w:color w:val="auto"/>
          <w:highlight w:val="none"/>
        </w:rPr>
        <w:br w:type="page"/>
      </w:r>
      <w:bookmarkStart w:id="307" w:name="_Toc30921"/>
      <w:bookmarkStart w:id="308" w:name="_Toc32444"/>
      <w:r>
        <w:rPr>
          <w:rFonts w:hint="eastAsia" w:ascii="宋体" w:hAnsi="宋体" w:cs="宋体"/>
          <w:b/>
          <w:bCs/>
          <w:color w:val="auto"/>
          <w:sz w:val="28"/>
          <w:szCs w:val="28"/>
          <w:highlight w:val="none"/>
        </w:rPr>
        <w:t>十</w:t>
      </w:r>
      <w:r>
        <w:rPr>
          <w:rFonts w:hint="eastAsia" w:ascii="宋体" w:hAnsi="宋体" w:cs="宋体"/>
          <w:b/>
          <w:bCs/>
          <w:color w:val="auto"/>
          <w:sz w:val="28"/>
          <w:szCs w:val="28"/>
          <w:highlight w:val="none"/>
          <w:lang w:val="en-US" w:eastAsia="zh-CN"/>
        </w:rPr>
        <w:t>八</w:t>
      </w:r>
      <w:r>
        <w:rPr>
          <w:rFonts w:hint="eastAsia" w:ascii="宋体" w:hAnsi="宋体" w:cs="宋体"/>
          <w:b/>
          <w:bCs/>
          <w:color w:val="auto"/>
          <w:sz w:val="28"/>
          <w:szCs w:val="28"/>
          <w:highlight w:val="none"/>
        </w:rPr>
        <w:t>、残疾人福利性单位声明函</w:t>
      </w:r>
      <w:bookmarkEnd w:id="307"/>
      <w:bookmarkEnd w:id="308"/>
    </w:p>
    <w:p w14:paraId="70D805D0">
      <w:pPr>
        <w:rPr>
          <w:rFonts w:ascii="宋体" w:hAnsi="宋体" w:cs="宋体"/>
          <w:b/>
          <w:color w:val="auto"/>
          <w:sz w:val="28"/>
          <w:szCs w:val="28"/>
          <w:highlight w:val="none"/>
        </w:rPr>
      </w:pPr>
    </w:p>
    <w:p w14:paraId="2FDE7E0E">
      <w:pPr>
        <w:keepNext/>
        <w:keepLines/>
        <w:widowControl w:val="0"/>
        <w:ind w:left="425"/>
        <w:jc w:val="center"/>
        <w:rPr>
          <w:rFonts w:ascii="宋体" w:hAnsi="宋体" w:cs="宋体"/>
          <w:b/>
          <w:bCs/>
          <w:color w:val="auto"/>
          <w:kern w:val="2"/>
          <w:sz w:val="28"/>
          <w:szCs w:val="28"/>
          <w:highlight w:val="none"/>
        </w:rPr>
      </w:pPr>
      <w:r>
        <w:rPr>
          <w:rFonts w:hint="eastAsia" w:ascii="宋体" w:hAnsi="宋体" w:cs="宋体"/>
          <w:b/>
          <w:bCs/>
          <w:color w:val="auto"/>
          <w:kern w:val="2"/>
          <w:sz w:val="24"/>
          <w:szCs w:val="24"/>
          <w:highlight w:val="none"/>
        </w:rPr>
        <w:t>《</w:t>
      </w:r>
      <w:r>
        <w:rPr>
          <w:rFonts w:hint="eastAsia" w:ascii="宋体" w:hAnsi="宋体" w:cs="宋体"/>
          <w:b/>
          <w:bCs/>
          <w:color w:val="auto"/>
          <w:kern w:val="2"/>
          <w:sz w:val="28"/>
          <w:szCs w:val="28"/>
          <w:highlight w:val="none"/>
        </w:rPr>
        <w:t>残疾人福利性单位声明函》（符合《三部门联合发布关于促进残疾人就业政府采购政策的通知》（财库〔2017〕141号）价格扣减条件的投标人须提交）</w:t>
      </w:r>
    </w:p>
    <w:p w14:paraId="01D0668E">
      <w:pPr>
        <w:rPr>
          <w:rFonts w:ascii="宋体" w:hAnsi="宋体" w:cs="宋体"/>
          <w:color w:val="auto"/>
          <w:highlight w:val="none"/>
        </w:rPr>
      </w:pPr>
    </w:p>
    <w:p w14:paraId="1151A099">
      <w:pPr>
        <w:keepNext/>
        <w:keepLines/>
        <w:widowControl w:val="0"/>
        <w:spacing w:line="360" w:lineRule="auto"/>
        <w:jc w:val="center"/>
        <w:rPr>
          <w:rFonts w:ascii="宋体" w:hAnsi="宋体" w:cs="宋体"/>
          <w:b/>
          <w:bCs/>
          <w:color w:val="auto"/>
          <w:kern w:val="2"/>
          <w:sz w:val="32"/>
          <w:szCs w:val="32"/>
          <w:highlight w:val="none"/>
        </w:rPr>
      </w:pPr>
      <w:bookmarkStart w:id="309" w:name="_Toc518289520"/>
      <w:r>
        <w:rPr>
          <w:rFonts w:hint="eastAsia" w:ascii="宋体" w:hAnsi="宋体" w:cs="宋体"/>
          <w:b/>
          <w:bCs/>
          <w:color w:val="auto"/>
          <w:kern w:val="2"/>
          <w:sz w:val="32"/>
          <w:szCs w:val="32"/>
          <w:highlight w:val="none"/>
        </w:rPr>
        <w:t>残疾人福利性单位声明函</w:t>
      </w:r>
      <w:bookmarkEnd w:id="309"/>
    </w:p>
    <w:p w14:paraId="64DDE423">
      <w:pPr>
        <w:spacing w:line="588" w:lineRule="exact"/>
        <w:ind w:firstLine="504" w:firstLineChars="200"/>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本单位郑重声明，根据《财政部民政部中国残疾人联合会关于促进残疾人就业政府采购政策的通知》（财库</w:t>
      </w:r>
      <w:r>
        <w:rPr>
          <w:rFonts w:hint="eastAsia" w:ascii="宋体" w:hAnsi="宋体" w:cs="宋体"/>
          <w:color w:val="auto"/>
          <w:sz w:val="24"/>
          <w:szCs w:val="24"/>
          <w:highlight w:val="none"/>
        </w:rPr>
        <w:t>〔2017〕141</w:t>
      </w:r>
      <w:r>
        <w:rPr>
          <w:rFonts w:hint="eastAsia" w:ascii="宋体" w:hAnsi="宋体" w:cs="宋体"/>
          <w:color w:val="auto"/>
          <w:spacing w:val="6"/>
          <w:sz w:val="24"/>
          <w:szCs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5FE29E9">
      <w:pPr>
        <w:spacing w:line="588" w:lineRule="exact"/>
        <w:ind w:firstLine="504" w:firstLineChars="200"/>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本单位对上述声明的真实性负责。如有虚假，将依法承担相应责任。</w:t>
      </w:r>
    </w:p>
    <w:p w14:paraId="51BBE6EC">
      <w:pPr>
        <w:spacing w:line="588" w:lineRule="exact"/>
        <w:ind w:firstLine="504" w:firstLineChars="200"/>
        <w:rPr>
          <w:rFonts w:ascii="宋体" w:hAnsi="宋体" w:cs="宋体"/>
          <w:color w:val="auto"/>
          <w:spacing w:val="6"/>
          <w:sz w:val="24"/>
          <w:szCs w:val="24"/>
          <w:highlight w:val="none"/>
        </w:rPr>
      </w:pPr>
    </w:p>
    <w:p w14:paraId="2B157943">
      <w:pPr>
        <w:spacing w:line="588" w:lineRule="exact"/>
        <w:ind w:firstLine="504" w:firstLineChars="200"/>
        <w:rPr>
          <w:rFonts w:ascii="宋体" w:hAnsi="宋体" w:cs="宋体"/>
          <w:color w:val="auto"/>
          <w:spacing w:val="6"/>
          <w:sz w:val="24"/>
          <w:szCs w:val="24"/>
          <w:highlight w:val="none"/>
        </w:rPr>
      </w:pPr>
    </w:p>
    <w:p w14:paraId="386CDAA4">
      <w:pPr>
        <w:pStyle w:val="29"/>
        <w:spacing w:line="432" w:lineRule="auto"/>
        <w:ind w:firstLine="405"/>
        <w:rPr>
          <w:rFonts w:ascii="宋体" w:hAnsi="宋体" w:cs="宋体"/>
          <w:b/>
          <w:bCs/>
          <w:color w:val="auto"/>
          <w:highlight w:val="none"/>
        </w:rPr>
      </w:pPr>
      <w:r>
        <w:rPr>
          <w:rFonts w:hint="eastAsia" w:ascii="宋体" w:hAnsi="宋体" w:cs="宋体"/>
          <w:b/>
          <w:bCs/>
          <w:color w:val="auto"/>
          <w:highlight w:val="none"/>
        </w:rPr>
        <w:t>投标人：</w:t>
      </w:r>
      <w:r>
        <w:rPr>
          <w:rFonts w:hint="eastAsia" w:ascii="宋体" w:hAnsi="宋体" w:cs="宋体"/>
          <w:b/>
          <w:bCs/>
          <w:color w:val="auto"/>
          <w:highlight w:val="none"/>
          <w:u w:val="single"/>
        </w:rPr>
        <w:t xml:space="preserve">                 </w:t>
      </w:r>
      <w:r>
        <w:rPr>
          <w:rFonts w:hint="eastAsia" w:ascii="宋体" w:hAnsi="宋体" w:cs="宋体"/>
          <w:b/>
          <w:bCs/>
          <w:color w:val="auto"/>
          <w:highlight w:val="none"/>
        </w:rPr>
        <w:t>（电子签章）</w:t>
      </w:r>
    </w:p>
    <w:p w14:paraId="299AAEFA">
      <w:pPr>
        <w:pStyle w:val="29"/>
        <w:spacing w:line="432" w:lineRule="auto"/>
        <w:ind w:firstLine="405"/>
        <w:rPr>
          <w:rFonts w:ascii="宋体" w:hAnsi="宋体" w:cs="宋体"/>
          <w:b/>
          <w:bCs/>
          <w:color w:val="auto"/>
          <w:highlight w:val="none"/>
        </w:rPr>
      </w:pPr>
      <w:r>
        <w:rPr>
          <w:rFonts w:hint="eastAsia" w:ascii="宋体" w:hAnsi="宋体" w:cs="宋体"/>
          <w:b/>
          <w:bCs/>
          <w:color w:val="auto"/>
          <w:highlight w:val="none"/>
        </w:rPr>
        <w:t>日  期：</w:t>
      </w:r>
      <w:r>
        <w:rPr>
          <w:rFonts w:hint="eastAsia" w:ascii="宋体" w:hAnsi="宋体" w:cs="宋体"/>
          <w:b/>
          <w:bCs/>
          <w:color w:val="auto"/>
          <w:highlight w:val="none"/>
          <w:u w:val="single"/>
        </w:rPr>
        <w:t xml:space="preserve">     </w:t>
      </w:r>
      <w:r>
        <w:rPr>
          <w:rFonts w:hint="eastAsia" w:ascii="宋体" w:hAnsi="宋体" w:cs="宋体"/>
          <w:b/>
          <w:bCs/>
          <w:color w:val="auto"/>
          <w:highlight w:val="none"/>
        </w:rPr>
        <w:t>年</w:t>
      </w:r>
      <w:r>
        <w:rPr>
          <w:rFonts w:hint="eastAsia" w:ascii="宋体" w:hAnsi="宋体" w:cs="宋体"/>
          <w:b/>
          <w:bCs/>
          <w:color w:val="auto"/>
          <w:highlight w:val="none"/>
          <w:u w:val="single"/>
        </w:rPr>
        <w:t xml:space="preserve">   </w:t>
      </w:r>
      <w:r>
        <w:rPr>
          <w:rFonts w:hint="eastAsia" w:ascii="宋体" w:hAnsi="宋体" w:cs="宋体"/>
          <w:b/>
          <w:bCs/>
          <w:color w:val="auto"/>
          <w:highlight w:val="none"/>
        </w:rPr>
        <w:t>月</w:t>
      </w:r>
      <w:r>
        <w:rPr>
          <w:rFonts w:hint="eastAsia" w:ascii="宋体" w:hAnsi="宋体" w:cs="宋体"/>
          <w:b/>
          <w:bCs/>
          <w:color w:val="auto"/>
          <w:highlight w:val="none"/>
          <w:u w:val="single"/>
        </w:rPr>
        <w:t xml:space="preserve">   </w:t>
      </w:r>
      <w:r>
        <w:rPr>
          <w:rFonts w:hint="eastAsia" w:ascii="宋体" w:hAnsi="宋体" w:cs="宋体"/>
          <w:b/>
          <w:bCs/>
          <w:color w:val="auto"/>
          <w:highlight w:val="none"/>
        </w:rPr>
        <w:t>日　</w:t>
      </w:r>
    </w:p>
    <w:p w14:paraId="0D03D94C">
      <w:pPr>
        <w:rPr>
          <w:rFonts w:ascii="宋体" w:hAnsi="宋体" w:cs="宋体"/>
          <w:b/>
          <w:color w:val="auto"/>
          <w:sz w:val="24"/>
          <w:szCs w:val="24"/>
          <w:highlight w:val="none"/>
        </w:rPr>
      </w:pPr>
    </w:p>
    <w:p w14:paraId="14E505E9">
      <w:pPr>
        <w:rPr>
          <w:rFonts w:ascii="宋体" w:hAnsi="宋体" w:cs="宋体"/>
          <w:b/>
          <w:color w:val="auto"/>
          <w:sz w:val="24"/>
          <w:szCs w:val="24"/>
          <w:highlight w:val="none"/>
        </w:rPr>
      </w:pPr>
    </w:p>
    <w:p w14:paraId="69A0917E">
      <w:pPr>
        <w:rPr>
          <w:rFonts w:ascii="宋体" w:hAnsi="宋体" w:cs="宋体"/>
          <w:b/>
          <w:color w:val="auto"/>
          <w:sz w:val="24"/>
          <w:szCs w:val="24"/>
          <w:highlight w:val="none"/>
        </w:rPr>
      </w:pPr>
      <w:r>
        <w:rPr>
          <w:rFonts w:hint="eastAsia" w:ascii="宋体" w:hAnsi="宋体" w:cs="宋体"/>
          <w:b/>
          <w:color w:val="auto"/>
          <w:sz w:val="24"/>
          <w:szCs w:val="24"/>
          <w:highlight w:val="none"/>
        </w:rPr>
        <w:t>注：符合条件的残疾人福利性单位在参加政府采购活动时，应当按《三部门联合发布关于促进残疾人就业政府采购政策的通知》（财库〔2017〕141号）提供规定的《残疾人福利性单位声明函》，并对声明的真实性负责。</w:t>
      </w:r>
    </w:p>
    <w:p w14:paraId="202D1B42">
      <w:pPr>
        <w:jc w:val="center"/>
        <w:outlineLvl w:val="2"/>
        <w:rPr>
          <w:rFonts w:ascii="宋体" w:hAnsi="宋体" w:cs="宋体"/>
          <w:b/>
          <w:color w:val="auto"/>
          <w:sz w:val="28"/>
          <w:szCs w:val="28"/>
          <w:highlight w:val="none"/>
        </w:rPr>
      </w:pPr>
      <w:r>
        <w:rPr>
          <w:rFonts w:hint="eastAsia" w:ascii="宋体" w:hAnsi="宋体" w:cs="宋体"/>
          <w:b/>
          <w:color w:val="auto"/>
          <w:highlight w:val="none"/>
        </w:rPr>
        <w:br w:type="page"/>
      </w:r>
      <w:bookmarkStart w:id="310" w:name="_Toc4953"/>
      <w:bookmarkStart w:id="311" w:name="_Toc19737"/>
      <w:bookmarkStart w:id="312" w:name="_Toc507412336"/>
      <w:bookmarkStart w:id="313" w:name="_Toc507409073"/>
      <w:r>
        <w:rPr>
          <w:rFonts w:hint="eastAsia" w:ascii="宋体" w:hAnsi="宋体" w:cs="宋体"/>
          <w:b/>
          <w:bCs/>
          <w:color w:val="auto"/>
          <w:sz w:val="28"/>
          <w:szCs w:val="28"/>
          <w:highlight w:val="none"/>
          <w:lang w:val="en-US" w:eastAsia="zh-CN"/>
        </w:rPr>
        <w:t>十九</w:t>
      </w:r>
      <w:r>
        <w:rPr>
          <w:rFonts w:hint="eastAsia" w:ascii="宋体" w:hAnsi="宋体" w:cs="宋体"/>
          <w:b/>
          <w:bCs/>
          <w:color w:val="auto"/>
          <w:sz w:val="28"/>
          <w:szCs w:val="28"/>
          <w:highlight w:val="none"/>
        </w:rPr>
        <w:t>、监狱企业证明文件</w:t>
      </w:r>
      <w:bookmarkEnd w:id="310"/>
      <w:bookmarkEnd w:id="311"/>
    </w:p>
    <w:p w14:paraId="54D83992">
      <w:pPr>
        <w:rPr>
          <w:rFonts w:ascii="宋体" w:hAnsi="宋体" w:cs="宋体"/>
          <w:b/>
          <w:color w:val="auto"/>
          <w:sz w:val="28"/>
          <w:szCs w:val="28"/>
          <w:highlight w:val="none"/>
        </w:rPr>
      </w:pPr>
    </w:p>
    <w:p w14:paraId="59085EBD">
      <w:pPr>
        <w:tabs>
          <w:tab w:val="left" w:pos="5580"/>
        </w:tabs>
        <w:spacing w:line="240" w:lineRule="atLeast"/>
        <w:jc w:val="center"/>
        <w:rPr>
          <w:rFonts w:ascii="宋体" w:hAnsi="宋体" w:cs="宋体"/>
          <w:b/>
          <w:color w:val="auto"/>
          <w:sz w:val="28"/>
          <w:szCs w:val="22"/>
          <w:highlight w:val="none"/>
        </w:rPr>
      </w:pPr>
      <w:bookmarkStart w:id="314" w:name="_Toc14772"/>
      <w:r>
        <w:rPr>
          <w:rFonts w:hint="eastAsia" w:ascii="宋体" w:hAnsi="宋体" w:cs="宋体"/>
          <w:b/>
          <w:color w:val="auto"/>
          <w:sz w:val="28"/>
          <w:szCs w:val="22"/>
          <w:highlight w:val="none"/>
        </w:rPr>
        <w:t>《监狱企业证明文件》（符合《财政部司法部关于政府采购支持监狱企业发展有关问题的通知》（财库[2014]68号）价格扣减条件</w:t>
      </w:r>
    </w:p>
    <w:p w14:paraId="632173A7">
      <w:pPr>
        <w:tabs>
          <w:tab w:val="left" w:pos="5580"/>
        </w:tabs>
        <w:spacing w:line="240" w:lineRule="atLeast"/>
        <w:jc w:val="center"/>
        <w:rPr>
          <w:rFonts w:ascii="宋体" w:hAnsi="宋体" w:cs="宋体"/>
          <w:b/>
          <w:color w:val="auto"/>
          <w:sz w:val="28"/>
          <w:szCs w:val="22"/>
          <w:highlight w:val="none"/>
        </w:rPr>
      </w:pPr>
      <w:r>
        <w:rPr>
          <w:rFonts w:hint="eastAsia" w:ascii="宋体" w:hAnsi="宋体" w:cs="宋体"/>
          <w:b/>
          <w:color w:val="auto"/>
          <w:sz w:val="28"/>
          <w:szCs w:val="22"/>
          <w:highlight w:val="none"/>
        </w:rPr>
        <w:t>的投标人须提交）</w:t>
      </w:r>
      <w:bookmarkEnd w:id="314"/>
    </w:p>
    <w:p w14:paraId="6F76ECF2">
      <w:pPr>
        <w:tabs>
          <w:tab w:val="left" w:pos="5580"/>
        </w:tabs>
        <w:spacing w:line="240" w:lineRule="atLeast"/>
        <w:jc w:val="center"/>
        <w:rPr>
          <w:rFonts w:ascii="宋体" w:hAnsi="宋体" w:cs="宋体"/>
          <w:b/>
          <w:color w:val="auto"/>
          <w:sz w:val="28"/>
          <w:szCs w:val="22"/>
          <w:highlight w:val="none"/>
        </w:rPr>
      </w:pPr>
    </w:p>
    <w:p w14:paraId="68E0B2DC">
      <w:pPr>
        <w:keepNext/>
        <w:keepLines/>
        <w:widowControl w:val="0"/>
        <w:spacing w:line="360" w:lineRule="auto"/>
        <w:jc w:val="center"/>
        <w:rPr>
          <w:rFonts w:ascii="宋体" w:hAnsi="宋体" w:cs="宋体"/>
          <w:b/>
          <w:bCs/>
          <w:color w:val="auto"/>
          <w:kern w:val="2"/>
          <w:sz w:val="32"/>
          <w:szCs w:val="32"/>
          <w:highlight w:val="none"/>
        </w:rPr>
      </w:pPr>
      <w:r>
        <w:rPr>
          <w:rFonts w:hint="eastAsia" w:ascii="宋体" w:hAnsi="宋体" w:cs="宋体"/>
          <w:b/>
          <w:bCs/>
          <w:color w:val="auto"/>
          <w:kern w:val="2"/>
          <w:sz w:val="32"/>
          <w:szCs w:val="32"/>
          <w:highlight w:val="none"/>
        </w:rPr>
        <w:t>监狱企业证明文件</w:t>
      </w:r>
      <w:bookmarkEnd w:id="312"/>
      <w:bookmarkEnd w:id="313"/>
    </w:p>
    <w:p w14:paraId="143B87D4">
      <w:pPr>
        <w:spacing w:line="360" w:lineRule="auto"/>
        <w:ind w:firstLine="480" w:firstLineChars="200"/>
        <w:rPr>
          <w:rFonts w:ascii="宋体" w:hAnsi="宋体" w:cs="宋体"/>
          <w:color w:val="auto"/>
          <w:sz w:val="24"/>
          <w:szCs w:val="24"/>
          <w:highlight w:val="none"/>
        </w:rPr>
      </w:pPr>
    </w:p>
    <w:p w14:paraId="397535C3">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9B67A53">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监狱企业参加政府采购活动时，应当提供由省级以上监狱管理局、戒毒管理局（含新疆生产建设兵团）出具的属于监狱企业的证明文件。</w:t>
      </w:r>
    </w:p>
    <w:p w14:paraId="5DDB1C72">
      <w:pPr>
        <w:rPr>
          <w:rFonts w:ascii="宋体" w:hAnsi="宋体" w:cs="宋体"/>
          <w:b/>
          <w:color w:val="auto"/>
          <w:sz w:val="24"/>
          <w:szCs w:val="24"/>
          <w:highlight w:val="none"/>
        </w:rPr>
      </w:pPr>
    </w:p>
    <w:p w14:paraId="34D3101D">
      <w:pPr>
        <w:pStyle w:val="76"/>
        <w:rPr>
          <w:rFonts w:hAnsi="宋体"/>
          <w:b/>
          <w:color w:val="auto"/>
          <w:highlight w:val="none"/>
        </w:rPr>
      </w:pPr>
    </w:p>
    <w:p w14:paraId="7E60FD21">
      <w:pPr>
        <w:pStyle w:val="29"/>
        <w:spacing w:line="432" w:lineRule="auto"/>
        <w:ind w:firstLine="405"/>
        <w:rPr>
          <w:rFonts w:ascii="宋体" w:hAnsi="宋体" w:cs="宋体"/>
          <w:b/>
          <w:bCs/>
          <w:color w:val="auto"/>
          <w:highlight w:val="none"/>
        </w:rPr>
      </w:pPr>
      <w:r>
        <w:rPr>
          <w:rFonts w:hint="eastAsia" w:ascii="宋体" w:hAnsi="宋体" w:cs="宋体"/>
          <w:b/>
          <w:bCs/>
          <w:color w:val="auto"/>
          <w:highlight w:val="none"/>
        </w:rPr>
        <w:t>投标人：</w:t>
      </w:r>
      <w:r>
        <w:rPr>
          <w:rFonts w:hint="eastAsia" w:ascii="宋体" w:hAnsi="宋体" w:cs="宋体"/>
          <w:b/>
          <w:bCs/>
          <w:color w:val="auto"/>
          <w:highlight w:val="none"/>
          <w:u w:val="single"/>
        </w:rPr>
        <w:t xml:space="preserve">                 </w:t>
      </w:r>
      <w:r>
        <w:rPr>
          <w:rFonts w:hint="eastAsia" w:ascii="宋体" w:hAnsi="宋体" w:cs="宋体"/>
          <w:b/>
          <w:bCs/>
          <w:color w:val="auto"/>
          <w:highlight w:val="none"/>
        </w:rPr>
        <w:t>（电子签章）</w:t>
      </w:r>
    </w:p>
    <w:p w14:paraId="3C6C27DA">
      <w:pPr>
        <w:pStyle w:val="29"/>
        <w:spacing w:line="432" w:lineRule="auto"/>
        <w:ind w:firstLine="405"/>
        <w:rPr>
          <w:rFonts w:ascii="宋体" w:hAnsi="宋体" w:cs="宋体"/>
          <w:b/>
          <w:bCs/>
          <w:color w:val="auto"/>
          <w:highlight w:val="none"/>
        </w:rPr>
      </w:pPr>
      <w:r>
        <w:rPr>
          <w:rFonts w:hint="eastAsia" w:ascii="宋体" w:hAnsi="宋体" w:cs="宋体"/>
          <w:b/>
          <w:bCs/>
          <w:color w:val="auto"/>
          <w:highlight w:val="none"/>
        </w:rPr>
        <w:t>日  期：</w:t>
      </w:r>
      <w:r>
        <w:rPr>
          <w:rFonts w:hint="eastAsia" w:ascii="宋体" w:hAnsi="宋体" w:cs="宋体"/>
          <w:b/>
          <w:bCs/>
          <w:color w:val="auto"/>
          <w:highlight w:val="none"/>
          <w:u w:val="single"/>
        </w:rPr>
        <w:t xml:space="preserve">     </w:t>
      </w:r>
      <w:r>
        <w:rPr>
          <w:rFonts w:hint="eastAsia" w:ascii="宋体" w:hAnsi="宋体" w:cs="宋体"/>
          <w:b/>
          <w:bCs/>
          <w:color w:val="auto"/>
          <w:highlight w:val="none"/>
        </w:rPr>
        <w:t>年</w:t>
      </w:r>
      <w:r>
        <w:rPr>
          <w:rFonts w:hint="eastAsia" w:ascii="宋体" w:hAnsi="宋体" w:cs="宋体"/>
          <w:b/>
          <w:bCs/>
          <w:color w:val="auto"/>
          <w:highlight w:val="none"/>
          <w:u w:val="single"/>
        </w:rPr>
        <w:t xml:space="preserve">   </w:t>
      </w:r>
      <w:r>
        <w:rPr>
          <w:rFonts w:hint="eastAsia" w:ascii="宋体" w:hAnsi="宋体" w:cs="宋体"/>
          <w:b/>
          <w:bCs/>
          <w:color w:val="auto"/>
          <w:highlight w:val="none"/>
        </w:rPr>
        <w:t>月</w:t>
      </w:r>
      <w:r>
        <w:rPr>
          <w:rFonts w:hint="eastAsia" w:ascii="宋体" w:hAnsi="宋体" w:cs="宋体"/>
          <w:b/>
          <w:bCs/>
          <w:color w:val="auto"/>
          <w:highlight w:val="none"/>
          <w:u w:val="single"/>
        </w:rPr>
        <w:t xml:space="preserve">   </w:t>
      </w:r>
      <w:r>
        <w:rPr>
          <w:rFonts w:hint="eastAsia" w:ascii="宋体" w:hAnsi="宋体" w:cs="宋体"/>
          <w:b/>
          <w:bCs/>
          <w:color w:val="auto"/>
          <w:highlight w:val="none"/>
        </w:rPr>
        <w:t>日</w:t>
      </w:r>
    </w:p>
    <w:p w14:paraId="278762D5">
      <w:pPr>
        <w:pStyle w:val="76"/>
        <w:rPr>
          <w:rFonts w:hAnsi="宋体"/>
          <w:b/>
          <w:bCs/>
          <w:color w:val="auto"/>
          <w:highlight w:val="none"/>
        </w:rPr>
      </w:pPr>
    </w:p>
    <w:p w14:paraId="33146F6B">
      <w:pPr>
        <w:rPr>
          <w:rFonts w:ascii="宋体" w:hAnsi="宋体" w:cs="宋体"/>
          <w:b/>
          <w:color w:val="auto"/>
          <w:sz w:val="24"/>
          <w:szCs w:val="24"/>
          <w:highlight w:val="none"/>
        </w:rPr>
      </w:pPr>
      <w:r>
        <w:rPr>
          <w:rFonts w:hint="eastAsia" w:ascii="宋体" w:hAnsi="宋体" w:cs="宋体"/>
          <w:b/>
          <w:color w:val="auto"/>
          <w:sz w:val="24"/>
          <w:szCs w:val="24"/>
          <w:highlight w:val="none"/>
        </w:rPr>
        <w:t>注：符合条件的监狱企业在参加政府采购活动时，应当按《财政部司法部关于政府采购支持监狱企业发展有关问题的通知》（财库[2014]68号）提供规定的《监狱企业证明文件》，并对声明的真实性负责。</w:t>
      </w:r>
    </w:p>
    <w:p w14:paraId="29265B1B">
      <w:pPr>
        <w:pStyle w:val="4"/>
        <w:widowControl/>
        <w:autoSpaceDE w:val="0"/>
        <w:spacing w:before="0" w:after="0" w:line="240" w:lineRule="auto"/>
        <w:ind w:firstLine="562" w:firstLineChars="200"/>
        <w:rPr>
          <w:rFonts w:ascii="宋体" w:hAnsi="宋体" w:cs="宋体"/>
          <w:color w:val="auto"/>
          <w:sz w:val="24"/>
          <w:szCs w:val="24"/>
          <w:highlight w:val="none"/>
        </w:rPr>
      </w:pPr>
      <w:r>
        <w:rPr>
          <w:rFonts w:hint="eastAsia" w:ascii="宋体" w:hAnsi="宋体" w:cs="宋体"/>
          <w:color w:val="auto"/>
          <w:szCs w:val="28"/>
          <w:highlight w:val="none"/>
        </w:rPr>
        <w:br w:type="page"/>
      </w:r>
      <w:bookmarkStart w:id="315" w:name="_Toc20144"/>
      <w:r>
        <w:rPr>
          <w:rFonts w:hint="eastAsia" w:ascii="宋体" w:hAnsi="宋体" w:cs="宋体"/>
          <w:color w:val="auto"/>
          <w:szCs w:val="28"/>
          <w:highlight w:val="none"/>
          <w:lang w:val="en-US" w:eastAsia="zh-CN"/>
        </w:rPr>
        <w:t>二十</w:t>
      </w:r>
      <w:r>
        <w:rPr>
          <w:rFonts w:hint="eastAsia" w:ascii="宋体" w:hAnsi="宋体" w:cs="宋体"/>
          <w:color w:val="auto"/>
          <w:szCs w:val="28"/>
          <w:highlight w:val="none"/>
        </w:rPr>
        <w:t>、其他资料</w:t>
      </w:r>
      <w:bookmarkEnd w:id="315"/>
    </w:p>
    <w:p w14:paraId="5A3361D3">
      <w:pPr>
        <w:spacing w:before="162" w:beforeLines="50" w:line="360" w:lineRule="auto"/>
        <w:ind w:firstLine="720" w:firstLineChars="300"/>
        <w:rPr>
          <w:rFonts w:ascii="宋体" w:hAnsi="宋体" w:cs="宋体"/>
          <w:color w:val="auto"/>
          <w:sz w:val="24"/>
          <w:szCs w:val="24"/>
          <w:highlight w:val="none"/>
        </w:rPr>
      </w:pPr>
      <w:r>
        <w:rPr>
          <w:rFonts w:hint="eastAsia" w:ascii="宋体" w:hAnsi="宋体" w:cs="宋体"/>
          <w:color w:val="auto"/>
          <w:sz w:val="24"/>
          <w:szCs w:val="24"/>
          <w:highlight w:val="none"/>
        </w:rPr>
        <w:t>1.招标文件要求提交的其他资料；</w:t>
      </w:r>
    </w:p>
    <w:p w14:paraId="5FA36A82">
      <w:pPr>
        <w:spacing w:before="162" w:beforeLines="50" w:line="360" w:lineRule="auto"/>
        <w:ind w:firstLine="720" w:firstLineChars="300"/>
        <w:rPr>
          <w:rFonts w:ascii="宋体" w:hAnsi="宋体" w:cs="宋体"/>
          <w:color w:val="auto"/>
          <w:highlight w:val="none"/>
        </w:rPr>
      </w:pPr>
      <w:r>
        <w:rPr>
          <w:rFonts w:hint="eastAsia" w:ascii="宋体" w:hAnsi="宋体" w:cs="宋体"/>
          <w:color w:val="auto"/>
          <w:sz w:val="24"/>
          <w:szCs w:val="24"/>
          <w:highlight w:val="none"/>
        </w:rPr>
        <w:t>2.投标人认为需要提交的其他资料。</w:t>
      </w:r>
    </w:p>
    <w:p w14:paraId="2B362804">
      <w:pPr>
        <w:spacing w:before="162" w:beforeLines="50" w:line="360" w:lineRule="auto"/>
        <w:ind w:firstLine="720" w:firstLineChars="300"/>
        <w:rPr>
          <w:rFonts w:ascii="宋体" w:hAnsi="宋体" w:cs="宋体"/>
          <w:color w:val="auto"/>
          <w:sz w:val="24"/>
          <w:szCs w:val="24"/>
          <w:highlight w:val="none"/>
        </w:rPr>
      </w:pPr>
    </w:p>
    <w:p w14:paraId="773E3391">
      <w:pPr>
        <w:spacing w:line="360" w:lineRule="auto"/>
        <w:jc w:val="center"/>
        <w:outlineLvl w:val="0"/>
        <w:rPr>
          <w:rFonts w:ascii="宋体" w:hAnsi="宋体" w:cs="宋体"/>
          <w:color w:val="auto"/>
          <w:highlight w:val="none"/>
        </w:rPr>
      </w:pPr>
      <w:bookmarkStart w:id="316" w:name="_Toc32052"/>
      <w:bookmarkStart w:id="317" w:name="_Toc835"/>
      <w:r>
        <w:rPr>
          <w:rFonts w:hint="eastAsia" w:ascii="宋体" w:hAnsi="宋体" w:cs="宋体"/>
          <w:b/>
          <w:bCs/>
          <w:color w:val="auto"/>
          <w:kern w:val="44"/>
          <w:sz w:val="44"/>
          <w:szCs w:val="32"/>
          <w:highlight w:val="none"/>
        </w:rPr>
        <w:t>第</w:t>
      </w:r>
      <w:r>
        <w:rPr>
          <w:rFonts w:hint="eastAsia" w:ascii="宋体" w:hAnsi="宋体" w:cs="宋体"/>
          <w:b/>
          <w:bCs/>
          <w:color w:val="auto"/>
          <w:kern w:val="44"/>
          <w:sz w:val="44"/>
          <w:szCs w:val="32"/>
          <w:highlight w:val="none"/>
          <w:lang w:val="en-US" w:eastAsia="zh-CN"/>
        </w:rPr>
        <w:t>五</w:t>
      </w:r>
      <w:r>
        <w:rPr>
          <w:rFonts w:hint="eastAsia" w:ascii="宋体" w:hAnsi="宋体" w:cs="宋体"/>
          <w:b/>
          <w:bCs/>
          <w:color w:val="auto"/>
          <w:kern w:val="44"/>
          <w:sz w:val="44"/>
          <w:szCs w:val="32"/>
          <w:highlight w:val="none"/>
        </w:rPr>
        <w:t>章 资格审查</w:t>
      </w:r>
      <w:bookmarkEnd w:id="316"/>
      <w:bookmarkEnd w:id="317"/>
    </w:p>
    <w:p w14:paraId="0101D91B">
      <w:pPr>
        <w:pStyle w:val="29"/>
        <w:spacing w:before="0" w:beforeAutospacing="0" w:after="0" w:afterAutospacing="0" w:line="360" w:lineRule="auto"/>
        <w:ind w:firstLine="480" w:firstLineChars="200"/>
        <w:jc w:val="both"/>
        <w:rPr>
          <w:rFonts w:ascii="宋体" w:hAnsi="宋体" w:cs="宋体"/>
          <w:color w:val="auto"/>
          <w:highlight w:val="none"/>
        </w:rPr>
      </w:pPr>
      <w:r>
        <w:rPr>
          <w:rFonts w:hint="eastAsia" w:ascii="宋体" w:hAnsi="宋体" w:cs="宋体"/>
          <w:color w:val="auto"/>
          <w:highlight w:val="none"/>
        </w:rPr>
        <w:t>公开招标采购项目开标结束后，采购人或采购代理机构依法对投标人的资格进行审查。合格投标人不足3家的，不得评标。</w:t>
      </w:r>
    </w:p>
    <w:p w14:paraId="3DFF6A90">
      <w:pPr>
        <w:spacing w:line="360" w:lineRule="auto"/>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资格审查：</w:t>
      </w:r>
    </w:p>
    <w:p w14:paraId="22F4C6E5">
      <w:pPr>
        <w:pStyle w:val="16"/>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采购人依据法律法规和招标文件的规定，对投标文件中“证明投标人的资格文件”进行审查，以确定投标人是否具备投标资格。只有通过资格审查的投标文件才能进入评标。</w:t>
      </w:r>
    </w:p>
    <w:p w14:paraId="2A5CFD82">
      <w:pPr>
        <w:pStyle w:val="16"/>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不符合下列情形之一的投标文件不能通过资格审查</w:t>
      </w:r>
    </w:p>
    <w:p w14:paraId="2B379AAD">
      <w:pPr>
        <w:wordWrap w:val="0"/>
        <w:spacing w:line="360" w:lineRule="auto"/>
        <w:ind w:firstLine="480" w:firstLineChars="200"/>
        <w:rPr>
          <w:rFonts w:ascii="宋体" w:hAnsi="宋体" w:cs="宋体"/>
          <w:color w:val="auto"/>
          <w:sz w:val="24"/>
          <w:szCs w:val="24"/>
          <w:highlight w:val="none"/>
        </w:rPr>
      </w:pPr>
      <w:bookmarkStart w:id="318" w:name="_Toc5266"/>
      <w:r>
        <w:rPr>
          <w:rFonts w:hint="eastAsia" w:ascii="宋体" w:hAnsi="宋体" w:cs="宋体"/>
          <w:color w:val="auto"/>
          <w:sz w:val="24"/>
          <w:szCs w:val="24"/>
          <w:highlight w:val="none"/>
        </w:rPr>
        <w:t>1.满足《中华人民共和国政府采购法》第二十二条规定；</w:t>
      </w:r>
    </w:p>
    <w:p w14:paraId="7D3260A3">
      <w:pPr>
        <w:wordWrap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1.1投标人具有独立承担民事责任的能力：在中华人民共和国境内登记或注册，提供有效的营业执照或事业单位法人证书或其他法定凭证。</w:t>
      </w:r>
    </w:p>
    <w:p w14:paraId="35F8D1D4">
      <w:pPr>
        <w:wordWrap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1.2投标人须具有良好的商业信誉和健全的财务会计制度：</w:t>
      </w:r>
    </w:p>
    <w:p w14:paraId="133E6CC8">
      <w:pPr>
        <w:wordWrap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良好的商业信誉</w:t>
      </w:r>
      <w:r>
        <w:rPr>
          <w:rFonts w:hint="eastAsia" w:ascii="宋体" w:hAnsi="宋体" w:cs="宋体"/>
          <w:color w:val="auto"/>
          <w:sz w:val="24"/>
          <w:szCs w:val="24"/>
          <w:highlight w:val="none"/>
          <w:lang w:val="en-US" w:eastAsia="zh-CN"/>
        </w:rPr>
        <w:t>是指：</w:t>
      </w:r>
      <w:r>
        <w:rPr>
          <w:rFonts w:hint="eastAsia" w:ascii="宋体" w:hAnsi="宋体" w:cs="宋体"/>
          <w:color w:val="auto"/>
          <w:sz w:val="24"/>
          <w:szCs w:val="24"/>
          <w:highlight w:val="none"/>
        </w:rPr>
        <w:t>投标人在“信用中国”网站没有失信被执行人记录和重大税收违法案件当事人名单记录；且在中国政府采购网没有政府采购严重违法失信行为记录（被禁止在一定期限内参加政府采购活动但期限届满的除外）。信用查询截止时间：本项目公告发布以后（含发布当日）至</w:t>
      </w:r>
      <w:r>
        <w:rPr>
          <w:rFonts w:hint="eastAsia" w:ascii="宋体" w:hAnsi="宋体" w:cs="宋体"/>
          <w:color w:val="auto"/>
          <w:sz w:val="24"/>
          <w:szCs w:val="24"/>
          <w:highlight w:val="none"/>
          <w:lang w:val="en-US" w:eastAsia="zh-CN"/>
        </w:rPr>
        <w:t>投标</w:t>
      </w:r>
      <w:r>
        <w:rPr>
          <w:rFonts w:hint="eastAsia" w:ascii="宋体" w:hAnsi="宋体" w:cs="宋体"/>
          <w:color w:val="auto"/>
          <w:sz w:val="24"/>
          <w:szCs w:val="24"/>
          <w:highlight w:val="none"/>
        </w:rPr>
        <w:t>文件递交截止时间前（此项由采购代理机构进行查询为准，查询记录为上述网站信用信息查询结果的网页截图或网页打印稿）；</w:t>
      </w:r>
    </w:p>
    <w:p w14:paraId="50AEB7EC">
      <w:pPr>
        <w:wordWrap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健全的财务会计制度</w:t>
      </w:r>
      <w:r>
        <w:rPr>
          <w:rFonts w:hint="eastAsia" w:ascii="宋体" w:hAnsi="宋体" w:cs="宋体"/>
          <w:color w:val="auto"/>
          <w:sz w:val="24"/>
          <w:szCs w:val="24"/>
          <w:highlight w:val="none"/>
          <w:lang w:val="en-US" w:eastAsia="zh-CN"/>
        </w:rPr>
        <w:t>是指：</w:t>
      </w:r>
      <w:r>
        <w:rPr>
          <w:rFonts w:hint="eastAsia" w:ascii="宋体" w:hAnsi="宋体" w:cs="宋体"/>
          <w:color w:val="auto"/>
          <w:sz w:val="24"/>
          <w:szCs w:val="24"/>
          <w:highlight w:val="none"/>
        </w:rPr>
        <w:t>投标人须提供202</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年或202</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年或202</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年经第三方审计的财务报告及报表（包括资产负债表、利润表、现金流量表、所有者权益变动表及其附注），或提供自本项目投标文件提交截止时间前三个月内基本开户银行出具的资信证明。新成立企业，成立时间不足一年的，提供自本项目投标文件提交截止时间前三个月内基本开户银行出具的资信证明或自成立至今经第三方审计的财务报告及报表（包括资产负债表、利润表、现金流量表、所有者权益变动表及其附注）；</w:t>
      </w:r>
    </w:p>
    <w:p w14:paraId="11E14C57">
      <w:pPr>
        <w:wordWrap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1.3投标人须具有履行合同所必需的设备和专业技术能力</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提供说明承诺或其他证明材料</w:t>
      </w:r>
      <w:r>
        <w:rPr>
          <w:rFonts w:hint="eastAsia" w:ascii="宋体" w:hAnsi="宋体" w:cs="宋体"/>
          <w:color w:val="auto"/>
          <w:sz w:val="24"/>
          <w:szCs w:val="24"/>
          <w:highlight w:val="none"/>
          <w:lang w:eastAsia="zh-CN"/>
        </w:rPr>
        <w:t>；</w:t>
      </w:r>
    </w:p>
    <w:p w14:paraId="47E964A7">
      <w:pPr>
        <w:wordWrap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1.4投标人须具有依法缴纳税收和社会保障资金的良好记录：</w:t>
      </w:r>
    </w:p>
    <w:p w14:paraId="45541AF8">
      <w:pPr>
        <w:wordWrap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投标人须提供缴税所属时间在提交投标文件截止之日前十二个月内任意连续</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个月的税务局税收通用缴款书复印件或银行电子缴税（费）凭证复印件或税务局出具纳税情况的相关证明，新成立企业，成立时间不足</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个月的提供自成立以来的税务局税收通用缴款书复印件或银行电子缴税（费）凭证复印件或税务局出具纳税情况的相关证明。投标人依法免税的，应提供依法免税的相关证明文件；</w:t>
      </w:r>
    </w:p>
    <w:p w14:paraId="5839920A">
      <w:pPr>
        <w:wordWrap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投标人须提供缴费所属时间在提交投标文件截止之日前十二个月内任意连续</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个月的社会保险费缴款书复印件或银行电子缴税（费）凭证复印件或社保管理部门出具的有效的缴款证明，新成立企业，成立时间不足</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个月的提供自成立以来的社会保险费缴款书复印件或银行电子缴税（费）凭证复印件或社保管理部门出具的有效的缴款证明。投标人依法免缴的，应提供依法免缴的相关证明文件；</w:t>
      </w:r>
    </w:p>
    <w:p w14:paraId="51F021D6">
      <w:pPr>
        <w:wordWrap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1.5参加政府采购活动前三年内，在经营活动中没有重大违法记录：投标人须提供参加政府采购活动前三年内，在经营活动中没有重大违法记录（重大违法记录，是指投标人因违法经营受到刑事处罚或者责令停产停业、吊销许可证或者执照、较大数额罚款等行政处罚）的书面声明。</w:t>
      </w:r>
    </w:p>
    <w:p w14:paraId="307E4CAE">
      <w:pPr>
        <w:wordWrap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1.6法律、行政法规规定的其他条件：</w:t>
      </w:r>
    </w:p>
    <w:p w14:paraId="1284DB83">
      <w:pPr>
        <w:wordWrap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单位负责人为同一人或者存在直接控股、管理关系的不同投标人，不得参加同一合同项下的政府采购活动。（提供声明书）</w:t>
      </w:r>
    </w:p>
    <w:p w14:paraId="5F4B6A98">
      <w:pPr>
        <w:wordWrap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为本采购项目提供整体设计、规范编制或者项目管理、监理、检测等服务的投标人，不得再参加本采购项目的其他采购活动。（提供声明书）</w:t>
      </w:r>
    </w:p>
    <w:p w14:paraId="5FEE2EE6">
      <w:pPr>
        <w:wordWrap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落实政府采购政策需满足的资格要求：无。</w:t>
      </w:r>
    </w:p>
    <w:p w14:paraId="3C011386">
      <w:pPr>
        <w:spacing w:line="360" w:lineRule="auto"/>
        <w:ind w:firstLine="480"/>
        <w:rPr>
          <w:rFonts w:ascii="宋体" w:hAnsi="宋体" w:cs="宋体"/>
          <w:color w:val="auto"/>
          <w:sz w:val="24"/>
          <w:szCs w:val="24"/>
          <w:highlight w:val="none"/>
        </w:rPr>
      </w:pPr>
      <w:r>
        <w:rPr>
          <w:rFonts w:hint="eastAsia" w:ascii="宋体" w:hAnsi="宋体"/>
          <w:color w:val="auto"/>
          <w:sz w:val="24"/>
          <w:szCs w:val="24"/>
          <w:highlight w:val="none"/>
        </w:rPr>
        <w:t>（本项目不属于专门面向中小企业采购项目）</w:t>
      </w:r>
    </w:p>
    <w:p w14:paraId="0B86EBDB">
      <w:pPr>
        <w:tabs>
          <w:tab w:val="left" w:pos="433"/>
        </w:tabs>
        <w:wordWrap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本项目的特定资格要求：无</w:t>
      </w:r>
    </w:p>
    <w:p w14:paraId="6240AB2D">
      <w:pPr>
        <w:spacing w:line="360" w:lineRule="auto"/>
        <w:ind w:firstLine="480" w:firstLineChars="200"/>
        <w:rPr>
          <w:rFonts w:ascii="宋体" w:hAnsi="宋体" w:cs="宋体"/>
          <w:color w:val="auto"/>
          <w:sz w:val="24"/>
          <w:szCs w:val="24"/>
          <w:highlight w:val="none"/>
        </w:rPr>
      </w:pPr>
    </w:p>
    <w:p w14:paraId="7DE71067">
      <w:pPr>
        <w:wordWrap w:val="0"/>
        <w:spacing w:line="360" w:lineRule="auto"/>
        <w:ind w:firstLine="480" w:firstLineChars="200"/>
        <w:rPr>
          <w:rFonts w:ascii="宋体" w:hAnsi="宋体" w:cs="宋体"/>
          <w:color w:val="auto"/>
          <w:sz w:val="24"/>
          <w:szCs w:val="24"/>
          <w:highlight w:val="none"/>
        </w:rPr>
      </w:pPr>
    </w:p>
    <w:p w14:paraId="595D9728">
      <w:pPr>
        <w:wordWrap w:val="0"/>
        <w:spacing w:line="360" w:lineRule="auto"/>
        <w:ind w:firstLine="480" w:firstLineChars="200"/>
        <w:rPr>
          <w:rFonts w:ascii="宋体" w:hAnsi="宋体" w:cs="宋体"/>
          <w:color w:val="auto"/>
          <w:sz w:val="24"/>
          <w:szCs w:val="24"/>
          <w:highlight w:val="none"/>
        </w:rPr>
      </w:pPr>
    </w:p>
    <w:p w14:paraId="4991A7BA">
      <w:pPr>
        <w:pStyle w:val="2"/>
        <w:spacing w:before="0" w:after="0" w:line="360" w:lineRule="auto"/>
        <w:jc w:val="center"/>
        <w:rPr>
          <w:rFonts w:ascii="宋体" w:hAnsi="宋体" w:cs="宋体"/>
          <w:color w:val="auto"/>
          <w:highlight w:val="none"/>
        </w:rPr>
      </w:pPr>
      <w:bookmarkStart w:id="319" w:name="_Toc8577"/>
      <w:r>
        <w:rPr>
          <w:rFonts w:hint="eastAsia" w:ascii="宋体" w:hAnsi="宋体" w:cs="宋体"/>
          <w:color w:val="auto"/>
          <w:highlight w:val="none"/>
        </w:rPr>
        <w:br w:type="page"/>
      </w:r>
      <w:bookmarkStart w:id="320" w:name="_Toc23222"/>
      <w:r>
        <w:rPr>
          <w:rFonts w:hint="eastAsia" w:ascii="宋体" w:hAnsi="宋体" w:cs="宋体"/>
          <w:color w:val="auto"/>
          <w:highlight w:val="none"/>
        </w:rPr>
        <w:t>第</w:t>
      </w:r>
      <w:r>
        <w:rPr>
          <w:rFonts w:hint="eastAsia" w:ascii="宋体" w:hAnsi="宋体" w:cs="宋体"/>
          <w:color w:val="auto"/>
          <w:highlight w:val="none"/>
          <w:lang w:val="en-US" w:eastAsia="zh-CN"/>
        </w:rPr>
        <w:t>六</w:t>
      </w:r>
      <w:r>
        <w:rPr>
          <w:rFonts w:hint="eastAsia" w:ascii="宋体" w:hAnsi="宋体" w:cs="宋体"/>
          <w:color w:val="auto"/>
          <w:highlight w:val="none"/>
        </w:rPr>
        <w:t xml:space="preserve">章 </w:t>
      </w:r>
      <w:bookmarkEnd w:id="319"/>
      <w:r>
        <w:rPr>
          <w:rFonts w:hint="eastAsia" w:ascii="宋体" w:hAnsi="宋体" w:cs="宋体"/>
          <w:color w:val="auto"/>
          <w:highlight w:val="none"/>
        </w:rPr>
        <w:t>采购内容及要求</w:t>
      </w:r>
      <w:bookmarkEnd w:id="320"/>
    </w:p>
    <w:p w14:paraId="63D89237">
      <w:pPr>
        <w:spacing w:line="480" w:lineRule="exact"/>
        <w:rPr>
          <w:rFonts w:hint="eastAsia" w:ascii="宋体" w:hAnsi="宋体" w:cs="宋体"/>
          <w:b/>
          <w:bCs/>
          <w:sz w:val="24"/>
        </w:rPr>
      </w:pPr>
      <w:bookmarkStart w:id="321" w:name="_Toc21356"/>
      <w:bookmarkEnd w:id="321"/>
    </w:p>
    <w:p w14:paraId="27F9FEEA">
      <w:pPr>
        <w:spacing w:line="480" w:lineRule="exact"/>
        <w:rPr>
          <w:rFonts w:hint="eastAsia" w:ascii="宋体" w:hAnsi="宋体" w:cs="宋体"/>
          <w:b/>
          <w:bCs/>
          <w:sz w:val="24"/>
        </w:rPr>
      </w:pPr>
      <w:r>
        <w:rPr>
          <w:rFonts w:hint="eastAsia" w:ascii="宋体" w:hAnsi="宋体" w:cs="宋体"/>
          <w:b/>
          <w:bCs/>
          <w:sz w:val="24"/>
        </w:rPr>
        <w:t>（一）采购标的需实现的功能或者目标，以及为落实政府采购政策需满足的要求：</w:t>
      </w:r>
    </w:p>
    <w:p w14:paraId="47DF3463">
      <w:pPr>
        <w:pStyle w:val="116"/>
        <w:ind w:firstLine="400" w:firstLineChars="200"/>
        <w:rPr>
          <w:smallCaps/>
          <w:sz w:val="20"/>
          <w:lang w:val="en-US"/>
        </w:rPr>
      </w:pPr>
      <w:r>
        <w:rPr>
          <w:rFonts w:hint="eastAsia"/>
          <w:smallCaps/>
          <w:sz w:val="20"/>
          <w:lang w:val="en-US"/>
        </w:rPr>
        <w:t>建设一个集教学实训、培训、创新、技术服务和开发推广典型生产性实训项目于一体的高水平物联网综合实训室，为学生提供先进完善的、成体系的实践教学平台，培养适应产业发展需求的高素质物联网技术技能人才，同时为教师研究和社会服务提供有力支撑，推动学院在物联网领域的教育教学水平和科研能力跻身省内领先行列。契合云南数字经济产业发展行业人才的需求，打造新双高专业群的建设，遵循国家对专业在课程设置的指导标准，将职业岗位、项目课程、资格证书、技能竞赛、创新创业等元素相互融通，以满足专业课程设置与专业发展前沿及社会需求的紧密结合。</w:t>
      </w:r>
    </w:p>
    <w:p w14:paraId="6ED45D51">
      <w:pPr>
        <w:pStyle w:val="116"/>
        <w:ind w:firstLine="400" w:firstLineChars="200"/>
        <w:rPr>
          <w:rFonts w:hint="eastAsia"/>
          <w:smallCaps/>
          <w:sz w:val="20"/>
          <w:lang w:val="en-US"/>
        </w:rPr>
      </w:pPr>
      <w:r>
        <w:rPr>
          <w:rFonts w:hint="eastAsia"/>
          <w:smallCaps/>
          <w:sz w:val="20"/>
          <w:lang w:val="en-US"/>
        </w:rPr>
        <w:t>为落实政府采购政策需满足的需求:符合《中华人民共和国政府采购法》、《中华人民共和国政府采购法实施条例》、《政府采购货物和服务招标投标管理办法》等有关法律、法规和规章的规定；本项目执行政府采购促进中小企业发展、支持监狱企业、促进残疾人就业等政府采购政策。</w:t>
      </w:r>
    </w:p>
    <w:p w14:paraId="12AE4EE9">
      <w:pPr>
        <w:spacing w:line="600" w:lineRule="exact"/>
        <w:rPr>
          <w:rFonts w:hint="eastAsia" w:ascii="宋体" w:hAnsi="宋体" w:cs="宋体"/>
          <w:b/>
          <w:bCs/>
        </w:rPr>
      </w:pPr>
      <w:r>
        <w:rPr>
          <w:rFonts w:hint="eastAsia" w:ascii="宋体" w:hAnsi="宋体" w:cs="宋体"/>
          <w:b/>
          <w:bCs/>
        </w:rPr>
        <w:t>（二）采购标的需执行的国家相关标准、行业标准、地方标准或者其他标准、规范</w:t>
      </w:r>
    </w:p>
    <w:p w14:paraId="1226186A">
      <w:pPr>
        <w:pStyle w:val="27"/>
        <w:numPr>
          <w:ilvl w:val="0"/>
          <w:numId w:val="2"/>
        </w:numPr>
        <w:rPr>
          <w:rFonts w:ascii="宋体" w:hAnsi="宋体" w:cs="宋体"/>
          <w:szCs w:val="24"/>
        </w:rPr>
      </w:pPr>
      <w:r>
        <w:rPr>
          <w:rFonts w:hint="eastAsia" w:ascii="宋体" w:hAnsi="宋体" w:cs="宋体"/>
          <w:szCs w:val="24"/>
        </w:rPr>
        <w:t>本期项目标的需执行以下标准及规范：</w:t>
      </w:r>
    </w:p>
    <w:p w14:paraId="202A4D54">
      <w:pPr>
        <w:ind w:left="630" w:leftChars="300"/>
        <w:rPr>
          <w:sz w:val="20"/>
          <w:szCs w:val="20"/>
        </w:rPr>
      </w:pPr>
      <w:r>
        <w:rPr>
          <w:rFonts w:ascii="Segoe UI" w:hAnsi="Segoe UI" w:eastAsia="Segoe UI" w:cs="Segoe UI"/>
          <w:color w:val="404040"/>
          <w:sz w:val="18"/>
          <w:szCs w:val="18"/>
          <w:shd w:val="clear" w:color="auto" w:fill="FFFFFF"/>
        </w:rPr>
        <w:t>物联网通用标准</w:t>
      </w:r>
      <w:r>
        <w:rPr>
          <w:rFonts w:hint="eastAsia" w:ascii="Segoe UI" w:hAnsi="Segoe UI" w:cs="Segoe UI"/>
          <w:color w:val="404040"/>
          <w:sz w:val="18"/>
          <w:szCs w:val="18"/>
          <w:shd w:val="clear" w:color="auto" w:fill="FFFFFF"/>
        </w:rPr>
        <w:t>：</w:t>
      </w:r>
    </w:p>
    <w:p w14:paraId="0A331BD9">
      <w:pPr>
        <w:pStyle w:val="27"/>
        <w:ind w:left="480" w:firstLine="180" w:firstLineChars="100"/>
        <w:rPr>
          <w:rFonts w:ascii="宋体" w:hAnsi="宋体" w:cs="宋体"/>
          <w:sz w:val="18"/>
          <w:szCs w:val="22"/>
        </w:rPr>
      </w:pPr>
      <w:r>
        <w:rPr>
          <w:rFonts w:hint="eastAsia" w:ascii="宋体" w:hAnsi="宋体" w:cs="宋体"/>
          <w:sz w:val="18"/>
          <w:szCs w:val="22"/>
        </w:rPr>
        <w:t>① GB/T 33745-2017物联网术语</w:t>
      </w:r>
    </w:p>
    <w:p w14:paraId="7592F782">
      <w:pPr>
        <w:pStyle w:val="27"/>
        <w:ind w:left="480" w:firstLine="180" w:firstLineChars="100"/>
        <w:rPr>
          <w:rFonts w:ascii="宋体" w:hAnsi="宋体" w:cs="宋体"/>
          <w:sz w:val="18"/>
          <w:szCs w:val="22"/>
        </w:rPr>
      </w:pPr>
      <w:r>
        <w:rPr>
          <w:rFonts w:hint="eastAsia" w:ascii="宋体" w:hAnsi="宋体" w:cs="宋体"/>
          <w:sz w:val="18"/>
          <w:szCs w:val="22"/>
        </w:rPr>
        <w:t>② GB/T 35319-2025</w:t>
      </w:r>
      <w:r>
        <w:rPr>
          <w:rFonts w:hint="eastAsia" w:ascii="宋体" w:hAnsi="宋体" w:cs="宋体"/>
          <w:sz w:val="18"/>
          <w:szCs w:val="22"/>
        </w:rPr>
        <w:tab/>
      </w:r>
      <w:r>
        <w:rPr>
          <w:rFonts w:hint="eastAsia" w:ascii="宋体" w:hAnsi="宋体" w:cs="宋体"/>
          <w:sz w:val="18"/>
          <w:szCs w:val="22"/>
        </w:rPr>
        <w:t>物联网系统接口要求</w:t>
      </w:r>
    </w:p>
    <w:p w14:paraId="15BFA47B">
      <w:pPr>
        <w:rPr>
          <w:sz w:val="20"/>
          <w:szCs w:val="20"/>
        </w:rPr>
      </w:pPr>
      <w:r>
        <w:rPr>
          <w:rFonts w:hint="eastAsia" w:ascii="宋体" w:hAnsi="宋体" w:cs="宋体"/>
          <w:sz w:val="20"/>
          <w:szCs w:val="22"/>
        </w:rPr>
        <w:t xml:space="preserve">       </w:t>
      </w:r>
      <w:r>
        <w:rPr>
          <w:rFonts w:hint="eastAsia" w:ascii="宋体" w:hAnsi="宋体" w:cs="宋体"/>
          <w:smallCaps/>
          <w:sz w:val="18"/>
          <w:szCs w:val="22"/>
        </w:rPr>
        <w:t>③ GB/T 37044-2018 信息安全技术 物联网安全参考模型及通用要求</w:t>
      </w:r>
    </w:p>
    <w:p w14:paraId="462996A4">
      <w:pPr>
        <w:ind w:left="630" w:leftChars="300"/>
        <w:rPr>
          <w:rFonts w:ascii="Segoe UI" w:hAnsi="Segoe UI" w:cs="Segoe UI"/>
          <w:color w:val="404040"/>
          <w:sz w:val="18"/>
          <w:szCs w:val="18"/>
          <w:shd w:val="clear" w:color="auto" w:fill="FFFFFF"/>
        </w:rPr>
      </w:pPr>
      <w:r>
        <w:rPr>
          <w:rFonts w:ascii="Segoe UI" w:hAnsi="Segoe UI" w:eastAsia="Segoe UI" w:cs="Segoe UI"/>
          <w:color w:val="404040"/>
          <w:sz w:val="18"/>
          <w:szCs w:val="18"/>
          <w:shd w:val="clear" w:color="auto" w:fill="FFFFFF"/>
        </w:rPr>
        <w:t>通信与网络标准</w:t>
      </w:r>
      <w:r>
        <w:rPr>
          <w:rFonts w:hint="eastAsia" w:ascii="Segoe UI" w:hAnsi="Segoe UI" w:cs="Segoe UI"/>
          <w:color w:val="404040"/>
          <w:sz w:val="18"/>
          <w:szCs w:val="18"/>
          <w:shd w:val="clear" w:color="auto" w:fill="FFFFFF"/>
        </w:rPr>
        <w:t>：</w:t>
      </w:r>
    </w:p>
    <w:p w14:paraId="1AD6B913">
      <w:pPr>
        <w:pStyle w:val="27"/>
        <w:ind w:left="480" w:firstLine="180" w:firstLineChars="100"/>
        <w:rPr>
          <w:rFonts w:ascii="宋体" w:hAnsi="宋体" w:cs="宋体"/>
          <w:sz w:val="18"/>
          <w:szCs w:val="22"/>
        </w:rPr>
      </w:pPr>
      <w:r>
        <w:rPr>
          <w:rFonts w:hint="eastAsia" w:ascii="宋体" w:hAnsi="宋体" w:cs="宋体"/>
          <w:sz w:val="18"/>
          <w:szCs w:val="22"/>
        </w:rPr>
        <w:t xml:space="preserve">① IEEE 802.15.4 </w:t>
      </w:r>
      <w:r>
        <w:rPr>
          <w:rFonts w:ascii="宋体" w:hAnsi="宋体" w:cs="宋体"/>
          <w:sz w:val="18"/>
          <w:szCs w:val="22"/>
        </w:rPr>
        <w:t>低功耗无线个人区域网络规范</w:t>
      </w:r>
    </w:p>
    <w:p w14:paraId="14823824">
      <w:pPr>
        <w:pStyle w:val="27"/>
        <w:ind w:left="480" w:firstLine="180" w:firstLineChars="100"/>
        <w:rPr>
          <w:rFonts w:ascii="宋体" w:hAnsi="宋体" w:cs="宋体"/>
          <w:sz w:val="18"/>
          <w:szCs w:val="22"/>
        </w:rPr>
      </w:pPr>
      <w:r>
        <w:rPr>
          <w:rFonts w:hint="eastAsia" w:ascii="宋体" w:hAnsi="宋体" w:cs="宋体"/>
          <w:sz w:val="18"/>
          <w:szCs w:val="22"/>
        </w:rPr>
        <w:t xml:space="preserve">② </w:t>
      </w:r>
      <w:r>
        <w:rPr>
          <w:rFonts w:ascii="宋体" w:hAnsi="宋体" w:cs="宋体"/>
          <w:sz w:val="18"/>
          <w:szCs w:val="22"/>
        </w:rPr>
        <w:t>YD/T 2583.14-2013</w:t>
      </w:r>
      <w:r>
        <w:rPr>
          <w:rFonts w:hint="eastAsia" w:ascii="宋体" w:hAnsi="宋体" w:cs="宋体"/>
          <w:sz w:val="18"/>
          <w:szCs w:val="22"/>
        </w:rPr>
        <w:t xml:space="preserve"> </w:t>
      </w:r>
      <w:r>
        <w:rPr>
          <w:rFonts w:ascii="宋体" w:hAnsi="宋体" w:cs="宋体"/>
          <w:sz w:val="18"/>
          <w:szCs w:val="22"/>
        </w:rPr>
        <w:t>蜂窝式移动通信设备电磁兼容性要求和测量方法</w:t>
      </w:r>
    </w:p>
    <w:p w14:paraId="1121BBC1">
      <w:pPr>
        <w:pStyle w:val="27"/>
        <w:ind w:left="480" w:firstLine="180" w:firstLineChars="100"/>
        <w:rPr>
          <w:rFonts w:ascii="宋体" w:hAnsi="宋体" w:cs="宋体"/>
          <w:sz w:val="18"/>
          <w:szCs w:val="22"/>
        </w:rPr>
      </w:pPr>
      <w:r>
        <w:rPr>
          <w:rFonts w:hint="eastAsia" w:ascii="宋体" w:hAnsi="宋体" w:cs="宋体"/>
          <w:sz w:val="18"/>
          <w:szCs w:val="22"/>
        </w:rPr>
        <w:t xml:space="preserve">③ </w:t>
      </w:r>
      <w:r>
        <w:rPr>
          <w:rFonts w:ascii="宋体" w:hAnsi="宋体" w:cs="宋体"/>
          <w:sz w:val="18"/>
          <w:szCs w:val="22"/>
        </w:rPr>
        <w:t>GB/T 38668-2020智能制造—射频识别系统—通用技术要求</w:t>
      </w:r>
    </w:p>
    <w:p w14:paraId="51F8F1D6">
      <w:pPr>
        <w:pStyle w:val="27"/>
        <w:ind w:left="480" w:firstLine="180" w:firstLineChars="100"/>
        <w:rPr>
          <w:rFonts w:ascii="宋体" w:hAnsi="宋体" w:cs="宋体"/>
          <w:sz w:val="18"/>
          <w:szCs w:val="22"/>
        </w:rPr>
      </w:pPr>
      <w:r>
        <w:rPr>
          <w:rFonts w:hint="eastAsia" w:ascii="宋体" w:hAnsi="宋体" w:cs="宋体"/>
          <w:sz w:val="18"/>
          <w:szCs w:val="22"/>
        </w:rPr>
        <w:t>④ IEEE 802.11系列  无线局域网标准</w:t>
      </w:r>
    </w:p>
    <w:p w14:paraId="5FE1EA54">
      <w:pPr>
        <w:ind w:firstLine="720" w:firstLineChars="400"/>
        <w:rPr>
          <w:rFonts w:ascii="Segoe UI" w:hAnsi="Segoe UI" w:eastAsia="Segoe UI" w:cs="Segoe UI"/>
          <w:color w:val="404040"/>
          <w:sz w:val="18"/>
          <w:szCs w:val="18"/>
          <w:shd w:val="clear" w:color="auto" w:fill="FFFFFF"/>
        </w:rPr>
      </w:pPr>
      <w:r>
        <w:rPr>
          <w:rFonts w:ascii="Segoe UI" w:hAnsi="Segoe UI" w:eastAsia="Segoe UI" w:cs="Segoe UI"/>
          <w:color w:val="404040"/>
          <w:sz w:val="18"/>
          <w:szCs w:val="18"/>
          <w:shd w:val="clear" w:color="auto" w:fill="FFFFFF"/>
        </w:rPr>
        <w:t>信息安全标准</w:t>
      </w:r>
    </w:p>
    <w:p w14:paraId="14F1713D">
      <w:pPr>
        <w:pStyle w:val="27"/>
        <w:ind w:left="0" w:firstLine="720" w:firstLineChars="400"/>
        <w:rPr>
          <w:rFonts w:ascii="宋体" w:hAnsi="宋体" w:cs="宋体"/>
          <w:sz w:val="18"/>
          <w:szCs w:val="22"/>
        </w:rPr>
      </w:pPr>
      <w:r>
        <w:rPr>
          <w:rFonts w:hint="eastAsia" w:ascii="宋体" w:hAnsi="宋体" w:cs="宋体"/>
          <w:sz w:val="18"/>
          <w:szCs w:val="22"/>
        </w:rPr>
        <w:t>① GB/T 22239-2019 信息安全技术 网络安全等级保护基本要求</w:t>
      </w:r>
    </w:p>
    <w:p w14:paraId="50E498D7">
      <w:pPr>
        <w:pStyle w:val="27"/>
        <w:ind w:left="0" w:firstLine="720" w:firstLineChars="400"/>
        <w:rPr>
          <w:rFonts w:ascii="宋体" w:hAnsi="宋体" w:cs="宋体"/>
          <w:sz w:val="18"/>
          <w:szCs w:val="22"/>
        </w:rPr>
      </w:pPr>
      <w:r>
        <w:rPr>
          <w:rFonts w:hint="eastAsia" w:ascii="宋体" w:hAnsi="宋体" w:cs="宋体"/>
          <w:sz w:val="18"/>
          <w:szCs w:val="22"/>
        </w:rPr>
        <w:t>② GB/T 37044-2018 信息安全技术 物联网安全参考模型及通用要求</w:t>
      </w:r>
    </w:p>
    <w:p w14:paraId="15E2EC94">
      <w:pPr>
        <w:pStyle w:val="27"/>
        <w:ind w:left="0" w:firstLine="720" w:firstLineChars="400"/>
        <w:rPr>
          <w:rFonts w:ascii="宋体" w:hAnsi="宋体" w:cs="宋体"/>
          <w:sz w:val="18"/>
          <w:szCs w:val="22"/>
        </w:rPr>
      </w:pPr>
      <w:r>
        <w:rPr>
          <w:rFonts w:hint="eastAsia" w:ascii="宋体" w:hAnsi="宋体" w:cs="宋体"/>
          <w:sz w:val="18"/>
          <w:szCs w:val="22"/>
        </w:rPr>
        <w:t>③ GＭ/T 0054-2018  信息系统密码应用基本要求</w:t>
      </w:r>
    </w:p>
    <w:p w14:paraId="588BA824">
      <w:pPr>
        <w:pStyle w:val="27"/>
        <w:ind w:left="0" w:firstLine="720" w:firstLineChars="400"/>
        <w:rPr>
          <w:rFonts w:ascii="宋体" w:hAnsi="宋体" w:cs="宋体"/>
          <w:sz w:val="18"/>
          <w:szCs w:val="22"/>
        </w:rPr>
      </w:pPr>
      <w:r>
        <w:rPr>
          <w:rFonts w:hint="eastAsia" w:ascii="宋体" w:hAnsi="宋体" w:cs="宋体"/>
          <w:sz w:val="18"/>
          <w:szCs w:val="22"/>
        </w:rPr>
        <w:t>④ GB/T 37093-2018</w:t>
      </w:r>
      <w:r>
        <w:rPr>
          <w:rFonts w:hint="eastAsia" w:ascii="宋体" w:hAnsi="宋体" w:cs="宋体"/>
          <w:sz w:val="18"/>
          <w:szCs w:val="22"/>
        </w:rPr>
        <w:tab/>
      </w:r>
      <w:r>
        <w:rPr>
          <w:rFonts w:hint="eastAsia" w:ascii="宋体" w:hAnsi="宋体" w:cs="宋体"/>
          <w:sz w:val="18"/>
          <w:szCs w:val="22"/>
        </w:rPr>
        <w:t>信息安全技术 物联网感知层接入通信网的安全要求</w:t>
      </w:r>
    </w:p>
    <w:p w14:paraId="6B7F12F3">
      <w:pPr>
        <w:ind w:firstLine="720" w:firstLineChars="400"/>
        <w:rPr>
          <w:rFonts w:ascii="Segoe UI" w:hAnsi="Segoe UI" w:eastAsia="Segoe UI" w:cs="Segoe UI"/>
          <w:color w:val="404040"/>
          <w:sz w:val="18"/>
          <w:szCs w:val="18"/>
          <w:shd w:val="clear" w:color="auto" w:fill="FFFFFF"/>
        </w:rPr>
      </w:pPr>
      <w:r>
        <w:rPr>
          <w:rFonts w:ascii="Segoe UI" w:hAnsi="Segoe UI" w:eastAsia="Segoe UI" w:cs="Segoe UI"/>
          <w:color w:val="404040"/>
          <w:sz w:val="18"/>
          <w:szCs w:val="18"/>
          <w:shd w:val="clear" w:color="auto" w:fill="FFFFFF"/>
        </w:rPr>
        <w:t>传感器与检测标准</w:t>
      </w:r>
    </w:p>
    <w:p w14:paraId="6D334BFE">
      <w:pPr>
        <w:pStyle w:val="27"/>
        <w:ind w:firstLine="540" w:firstLineChars="300"/>
        <w:rPr>
          <w:rFonts w:ascii="宋体" w:hAnsi="宋体" w:cs="宋体"/>
          <w:sz w:val="18"/>
          <w:szCs w:val="22"/>
        </w:rPr>
      </w:pPr>
      <w:r>
        <w:rPr>
          <w:rFonts w:hint="eastAsia" w:ascii="宋体" w:hAnsi="宋体" w:cs="宋体"/>
          <w:sz w:val="18"/>
          <w:szCs w:val="22"/>
        </w:rPr>
        <w:t>① GB/T 34071-2017物联网总体技术 智能传感器可靠性设计方法与评审</w:t>
      </w:r>
    </w:p>
    <w:p w14:paraId="1F0440D0">
      <w:pPr>
        <w:pStyle w:val="27"/>
        <w:ind w:firstLine="540" w:firstLineChars="300"/>
        <w:rPr>
          <w:rFonts w:ascii="宋体" w:hAnsi="宋体" w:cs="宋体"/>
          <w:sz w:val="18"/>
          <w:szCs w:val="22"/>
        </w:rPr>
      </w:pPr>
      <w:r>
        <w:rPr>
          <w:rFonts w:hint="eastAsia" w:ascii="宋体" w:hAnsi="宋体" w:cs="宋体"/>
          <w:sz w:val="18"/>
          <w:szCs w:val="22"/>
        </w:rPr>
        <w:t>② GB/T 34068-2017物联网总体技术 智能传感器接口规范</w:t>
      </w:r>
    </w:p>
    <w:p w14:paraId="4588ABA6">
      <w:pPr>
        <w:pStyle w:val="27"/>
        <w:ind w:firstLine="540" w:firstLineChars="300"/>
        <w:rPr>
          <w:rFonts w:ascii="Segoe UI" w:hAnsi="Segoe UI" w:eastAsia="Segoe UI" w:cs="Segoe UI"/>
          <w:color w:val="404040"/>
          <w:sz w:val="18"/>
          <w:szCs w:val="18"/>
          <w:shd w:val="clear" w:color="auto" w:fill="FFFFFF"/>
        </w:rPr>
      </w:pPr>
      <w:r>
        <w:rPr>
          <w:rFonts w:ascii="Segoe UI" w:hAnsi="Segoe UI" w:eastAsia="Segoe UI" w:cs="Segoe UI"/>
          <w:color w:val="404040"/>
          <w:sz w:val="18"/>
          <w:szCs w:val="18"/>
          <w:shd w:val="clear" w:color="auto" w:fill="FFFFFF"/>
        </w:rPr>
        <w:t>行业技术规范</w:t>
      </w:r>
    </w:p>
    <w:p w14:paraId="52E9257B">
      <w:pPr>
        <w:pStyle w:val="27"/>
        <w:ind w:left="840" w:leftChars="400"/>
        <w:rPr>
          <w:rFonts w:ascii="宋体" w:hAnsi="宋体" w:cs="宋体"/>
          <w:sz w:val="18"/>
          <w:szCs w:val="22"/>
        </w:rPr>
      </w:pPr>
      <w:r>
        <w:rPr>
          <w:rFonts w:ascii="宋体" w:hAnsi="宋体" w:cs="宋体"/>
          <w:sz w:val="18"/>
          <w:szCs w:val="22"/>
        </w:rPr>
        <w:t>《物联网企业实训基地通用标准规范》</w:t>
      </w:r>
      <w:r>
        <w:rPr>
          <w:rFonts w:hint="eastAsia" w:ascii="宋体" w:hAnsi="宋体" w:cs="宋体"/>
          <w:sz w:val="18"/>
          <w:szCs w:val="22"/>
        </w:rPr>
        <w:t xml:space="preserve">   </w:t>
      </w:r>
      <w:r>
        <w:rPr>
          <w:rFonts w:ascii="宋体" w:hAnsi="宋体" w:cs="宋体"/>
          <w:sz w:val="18"/>
          <w:szCs w:val="22"/>
        </w:rPr>
        <w:t>T/IOT 0201—2020</w:t>
      </w:r>
    </w:p>
    <w:p w14:paraId="54CF5246">
      <w:pPr>
        <w:rPr>
          <w:rFonts w:hint="eastAsia" w:ascii="宋体" w:hAnsi="宋体" w:cs="宋体"/>
          <w:b/>
          <w:bCs/>
          <w:sz w:val="24"/>
        </w:rPr>
      </w:pPr>
      <w:r>
        <w:rPr>
          <w:rFonts w:hint="eastAsia" w:ascii="宋体" w:hAnsi="宋体" w:cs="宋体"/>
          <w:b/>
          <w:bCs/>
          <w:sz w:val="24"/>
        </w:rPr>
        <w:br w:type="page"/>
      </w:r>
    </w:p>
    <w:p w14:paraId="66409262">
      <w:pPr>
        <w:spacing w:line="480" w:lineRule="exact"/>
        <w:rPr>
          <w:rFonts w:hint="eastAsia" w:ascii="宋体" w:hAnsi="宋体" w:cs="宋体"/>
          <w:b/>
          <w:bCs/>
          <w:sz w:val="24"/>
        </w:rPr>
      </w:pPr>
      <w:r>
        <w:rPr>
          <w:rFonts w:hint="eastAsia" w:ascii="宋体" w:hAnsi="宋体" w:cs="宋体"/>
          <w:b/>
          <w:bCs/>
          <w:sz w:val="24"/>
        </w:rPr>
        <w:t>（三）采购标的需满足的质量、安全、技术规格、物理特性等要求：</w:t>
      </w:r>
    </w:p>
    <w:p w14:paraId="0ABB8F66">
      <w:pPr>
        <w:rPr>
          <w:rFonts w:hint="eastAsia" w:ascii="宋体" w:hAnsi="宋体"/>
        </w:rPr>
      </w:pPr>
    </w:p>
    <w:p w14:paraId="6157B13E">
      <w:pPr>
        <w:rPr>
          <w:rFonts w:hint="eastAsia" w:ascii="宋体" w:hAnsi="宋体"/>
        </w:rPr>
      </w:pPr>
      <w:r>
        <w:rPr>
          <w:rFonts w:hint="eastAsia" w:ascii="宋体" w:hAnsi="宋体"/>
        </w:rPr>
        <w:t>“▲”标注的服务需求为重要服务需求</w:t>
      </w:r>
    </w:p>
    <w:p w14:paraId="64385A4F">
      <w:pPr>
        <w:rPr>
          <w:rFonts w:hint="eastAsia" w:ascii="宋体" w:hAnsi="宋体"/>
        </w:rPr>
      </w:pPr>
      <w:r>
        <w:rPr>
          <w:rFonts w:hint="eastAsia" w:ascii="宋体" w:hAnsi="宋体"/>
        </w:rPr>
        <w:t>“★”标注的服务需求为符合性审查中的实质性要求</w:t>
      </w:r>
    </w:p>
    <w:p w14:paraId="2A221BA9">
      <w:pPr>
        <w:spacing w:before="100" w:beforeAutospacing="1" w:after="100" w:afterAutospacing="1" w:line="360" w:lineRule="auto"/>
        <w:ind w:firstLine="480"/>
        <w:jc w:val="center"/>
        <w:rPr>
          <w:rFonts w:hint="eastAsia" w:ascii="宋体" w:hAnsi="宋体" w:cs="宋体"/>
          <w:sz w:val="24"/>
        </w:rPr>
      </w:pPr>
      <w:r>
        <w:rPr>
          <w:rFonts w:hint="eastAsia" w:ascii="宋体" w:hAnsi="宋体" w:cs="宋体"/>
          <w:sz w:val="24"/>
        </w:rPr>
        <w:t>项目建设明细表</w:t>
      </w: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2"/>
        <w:gridCol w:w="729"/>
        <w:gridCol w:w="6095"/>
        <w:gridCol w:w="433"/>
        <w:gridCol w:w="433"/>
        <w:gridCol w:w="866"/>
        <w:gridCol w:w="968"/>
      </w:tblGrid>
      <w:tr w14:paraId="59618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14:paraId="7A18FE82">
            <w:pPr>
              <w:jc w:val="center"/>
              <w:rPr>
                <w:rFonts w:ascii="宋体" w:hAnsi="宋体" w:cs="宋体"/>
              </w:rPr>
            </w:pPr>
            <w:r>
              <w:rPr>
                <w:rFonts w:hint="eastAsia" w:ascii="宋体" w:hAnsi="宋体" w:cs="宋体"/>
              </w:rPr>
              <w:t>序号</w:t>
            </w:r>
          </w:p>
        </w:tc>
        <w:tc>
          <w:tcPr>
            <w:tcW w:w="0" w:type="auto"/>
            <w:vAlign w:val="center"/>
          </w:tcPr>
          <w:p w14:paraId="3CA803E4">
            <w:pPr>
              <w:jc w:val="center"/>
              <w:rPr>
                <w:rFonts w:ascii="宋体" w:hAnsi="宋体" w:cs="宋体"/>
              </w:rPr>
            </w:pPr>
            <w:r>
              <w:rPr>
                <w:rFonts w:hint="eastAsia" w:ascii="宋体" w:hAnsi="宋体" w:cs="宋体"/>
              </w:rPr>
              <w:t>名称</w:t>
            </w:r>
          </w:p>
        </w:tc>
        <w:tc>
          <w:tcPr>
            <w:tcW w:w="0" w:type="auto"/>
            <w:vAlign w:val="center"/>
          </w:tcPr>
          <w:p w14:paraId="4BA77C51">
            <w:pPr>
              <w:jc w:val="center"/>
              <w:rPr>
                <w:rFonts w:ascii="宋体" w:hAnsi="宋体" w:cs="宋体"/>
              </w:rPr>
            </w:pPr>
            <w:r>
              <w:rPr>
                <w:rFonts w:hint="eastAsia" w:ascii="宋体" w:hAnsi="宋体" w:cs="宋体"/>
              </w:rPr>
              <w:t>主要技术参数</w:t>
            </w:r>
          </w:p>
        </w:tc>
        <w:tc>
          <w:tcPr>
            <w:tcW w:w="0" w:type="auto"/>
            <w:vAlign w:val="center"/>
          </w:tcPr>
          <w:p w14:paraId="5F9AF7F0">
            <w:pPr>
              <w:jc w:val="center"/>
              <w:rPr>
                <w:rFonts w:ascii="宋体" w:hAnsi="宋体" w:cs="宋体"/>
              </w:rPr>
            </w:pPr>
            <w:r>
              <w:rPr>
                <w:rFonts w:hint="eastAsia" w:ascii="宋体" w:hAnsi="宋体" w:cs="宋体"/>
              </w:rPr>
              <w:t>单位</w:t>
            </w:r>
          </w:p>
        </w:tc>
        <w:tc>
          <w:tcPr>
            <w:tcW w:w="0" w:type="auto"/>
            <w:vAlign w:val="center"/>
          </w:tcPr>
          <w:p w14:paraId="79D37A27">
            <w:pPr>
              <w:jc w:val="center"/>
              <w:rPr>
                <w:rFonts w:ascii="宋体" w:hAnsi="宋体" w:cs="宋体"/>
              </w:rPr>
            </w:pPr>
            <w:r>
              <w:rPr>
                <w:rFonts w:hint="eastAsia" w:ascii="宋体" w:hAnsi="宋体" w:cs="宋体"/>
              </w:rPr>
              <w:t>数量</w:t>
            </w:r>
          </w:p>
        </w:tc>
        <w:tc>
          <w:tcPr>
            <w:tcW w:w="0" w:type="auto"/>
            <w:vAlign w:val="center"/>
          </w:tcPr>
          <w:p w14:paraId="255A1C6F">
            <w:pPr>
              <w:jc w:val="center"/>
              <w:rPr>
                <w:rFonts w:ascii="宋体" w:hAnsi="宋体" w:cs="宋体"/>
              </w:rPr>
            </w:pPr>
            <w:r>
              <w:rPr>
                <w:rFonts w:hint="eastAsia" w:ascii="宋体" w:hAnsi="宋体" w:cs="宋体"/>
              </w:rPr>
              <w:t>单价（万元）</w:t>
            </w:r>
          </w:p>
        </w:tc>
        <w:tc>
          <w:tcPr>
            <w:tcW w:w="0" w:type="auto"/>
            <w:vAlign w:val="center"/>
          </w:tcPr>
          <w:p w14:paraId="0C61E9F7">
            <w:pPr>
              <w:jc w:val="center"/>
              <w:rPr>
                <w:rFonts w:ascii="宋体" w:hAnsi="宋体" w:cs="宋体"/>
              </w:rPr>
            </w:pPr>
            <w:r>
              <w:rPr>
                <w:rFonts w:hint="eastAsia" w:ascii="宋体" w:hAnsi="宋体" w:cs="宋体"/>
              </w:rPr>
              <w:t>总价（万元）</w:t>
            </w:r>
          </w:p>
        </w:tc>
      </w:tr>
      <w:tr w14:paraId="05706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14:paraId="1BE4D6AF">
            <w:pPr>
              <w:jc w:val="center"/>
              <w:rPr>
                <w:rFonts w:ascii="宋体" w:hAnsi="宋体"/>
              </w:rPr>
            </w:pPr>
            <w:r>
              <w:rPr>
                <w:rFonts w:hint="eastAsia" w:ascii="宋体" w:hAnsi="宋体"/>
              </w:rPr>
              <w:t>1</w:t>
            </w:r>
          </w:p>
        </w:tc>
        <w:tc>
          <w:tcPr>
            <w:tcW w:w="0" w:type="auto"/>
            <w:vAlign w:val="center"/>
          </w:tcPr>
          <w:p w14:paraId="38F5DB93">
            <w:pPr>
              <w:rPr>
                <w:rFonts w:ascii="宋体" w:hAnsi="宋体"/>
              </w:rPr>
            </w:pPr>
            <w:r>
              <w:rPr>
                <w:rFonts w:hint="eastAsia"/>
                <w:lang w:bidi="ar"/>
              </w:rPr>
              <w:t>物联网全栈智能应用实训套装</w:t>
            </w:r>
          </w:p>
        </w:tc>
        <w:tc>
          <w:tcPr>
            <w:tcW w:w="0" w:type="auto"/>
            <w:vAlign w:val="center"/>
          </w:tcPr>
          <w:p w14:paraId="35AF1310">
            <w:pPr>
              <w:rPr>
                <w:rFonts w:ascii="宋体" w:hAnsi="宋体"/>
              </w:rPr>
            </w:pPr>
            <w:r>
              <w:rPr>
                <w:rFonts w:hint="eastAsia" w:ascii="宋体" w:hAnsi="宋体"/>
              </w:rPr>
              <w:t>物联网全栈智能应用实训系统</w:t>
            </w:r>
          </w:p>
          <w:p w14:paraId="158F2202">
            <w:pPr>
              <w:rPr>
                <w:rFonts w:ascii="宋体" w:hAnsi="宋体"/>
              </w:rPr>
            </w:pPr>
            <w:r>
              <w:rPr>
                <w:rFonts w:hint="eastAsia" w:ascii="宋体" w:hAnsi="宋体"/>
              </w:rPr>
              <w:t>（一）</w:t>
            </w:r>
            <w:r>
              <w:rPr>
                <w:rFonts w:hint="eastAsia" w:ascii="宋体" w:hAnsi="宋体"/>
              </w:rPr>
              <w:tab/>
            </w:r>
            <w:r>
              <w:rPr>
                <w:rFonts w:hint="eastAsia" w:ascii="宋体" w:hAnsi="宋体"/>
              </w:rPr>
              <w:t>硬件资源</w:t>
            </w:r>
          </w:p>
          <w:p w14:paraId="481F28C7">
            <w:pPr>
              <w:rPr>
                <w:rFonts w:ascii="宋体" w:hAnsi="宋体"/>
              </w:rPr>
            </w:pPr>
            <w:r>
              <w:rPr>
                <w:rFonts w:hint="eastAsia" w:ascii="宋体" w:hAnsi="宋体"/>
              </w:rPr>
              <w:t>物联网网关</w:t>
            </w:r>
          </w:p>
          <w:p w14:paraId="5AB052AF">
            <w:pPr>
              <w:rPr>
                <w:rFonts w:ascii="宋体" w:hAnsi="宋体"/>
              </w:rPr>
            </w:pPr>
            <w:r>
              <w:rPr>
                <w:rFonts w:hint="eastAsia" w:ascii="宋体" w:hAnsi="宋体"/>
              </w:rPr>
              <w:t>1.支持Ubuntu系统；</w:t>
            </w:r>
          </w:p>
          <w:p w14:paraId="1991C89E">
            <w:pPr>
              <w:rPr>
                <w:rFonts w:ascii="宋体" w:hAnsi="宋体"/>
              </w:rPr>
            </w:pPr>
            <w:r>
              <w:rPr>
                <w:rFonts w:hint="eastAsia" w:ascii="宋体" w:hAnsi="宋体"/>
              </w:rPr>
              <w:t>2.具备1个10/100/1000MbpsRJ45以太网端口；</w:t>
            </w:r>
          </w:p>
          <w:p w14:paraId="5FBC3571">
            <w:pPr>
              <w:rPr>
                <w:rFonts w:ascii="宋体" w:hAnsi="宋体"/>
              </w:rPr>
            </w:pPr>
            <w:r>
              <w:rPr>
                <w:rFonts w:hint="eastAsia" w:ascii="宋体" w:hAnsi="宋体"/>
              </w:rPr>
              <w:t>3.支持2.4GHzWiFi连接；</w:t>
            </w:r>
          </w:p>
          <w:p w14:paraId="11EDCF83">
            <w:pPr>
              <w:rPr>
                <w:rFonts w:ascii="宋体" w:hAnsi="宋体"/>
              </w:rPr>
            </w:pPr>
            <w:r>
              <w:rPr>
                <w:rFonts w:hint="eastAsia" w:ascii="宋体" w:hAnsi="宋体"/>
              </w:rPr>
              <w:t>4.具备1个HDMI接口；</w:t>
            </w:r>
          </w:p>
          <w:p w14:paraId="2B6193C1">
            <w:pPr>
              <w:rPr>
                <w:rFonts w:ascii="宋体" w:hAnsi="宋体"/>
              </w:rPr>
            </w:pPr>
            <w:r>
              <w:rPr>
                <w:rFonts w:hint="eastAsia" w:ascii="宋体" w:hAnsi="宋体"/>
              </w:rPr>
              <w:t>5.支持OPENGLES1.1/2.0/3.0,OPENVG1.1,OPENCL,Directx11；</w:t>
            </w:r>
          </w:p>
          <w:p w14:paraId="41359089">
            <w:pPr>
              <w:rPr>
                <w:rFonts w:ascii="宋体" w:hAnsi="宋体"/>
              </w:rPr>
            </w:pPr>
            <w:r>
              <w:rPr>
                <w:rFonts w:hint="eastAsia" w:ascii="宋体" w:hAnsi="宋体"/>
              </w:rPr>
              <w:t>6.支持4K、H.265硬解码10bits色深、HDMI2.0；</w:t>
            </w:r>
          </w:p>
          <w:p w14:paraId="38747AA5">
            <w:pPr>
              <w:rPr>
                <w:rFonts w:ascii="宋体" w:hAnsi="宋体"/>
              </w:rPr>
            </w:pPr>
            <w:r>
              <w:rPr>
                <w:rFonts w:hint="eastAsia" w:ascii="宋体" w:hAnsi="宋体"/>
              </w:rPr>
              <w:t>7.支持1080P多格式视频解码1080P视频编码，支持H.264,VP8和MVC图像增强处理；</w:t>
            </w:r>
          </w:p>
          <w:p w14:paraId="5E16EEC8">
            <w:pPr>
              <w:rPr>
                <w:rFonts w:ascii="宋体" w:hAnsi="宋体"/>
              </w:rPr>
            </w:pPr>
            <w:r>
              <w:rPr>
                <w:rFonts w:hint="eastAsia" w:ascii="宋体" w:hAnsi="宋体"/>
              </w:rPr>
              <w:t>8.具备硬件安全系统,支持HDCP2.X，支持ATECC608A芯片硬件加密（提供实物照片并标注）;</w:t>
            </w:r>
          </w:p>
          <w:p w14:paraId="33CFB06E">
            <w:pPr>
              <w:rPr>
                <w:rFonts w:ascii="宋体" w:hAnsi="宋体"/>
              </w:rPr>
            </w:pPr>
            <w:r>
              <w:rPr>
                <w:rFonts w:hint="eastAsia" w:ascii="宋体" w:hAnsi="宋体"/>
              </w:rPr>
              <w:t>9.支持OpenCV机器视觉库、支持TensorFlow；</w:t>
            </w:r>
          </w:p>
          <w:p w14:paraId="30634614">
            <w:pPr>
              <w:rPr>
                <w:rFonts w:ascii="宋体" w:hAnsi="宋体"/>
              </w:rPr>
            </w:pPr>
            <w:r>
              <w:rPr>
                <w:rFonts w:hint="eastAsia" w:ascii="宋体" w:hAnsi="宋体"/>
              </w:rPr>
              <w:t>10.支持连接物联网云平台（基于SHA256、PRF、HMAC-SHA256、HKDF、ECDSA、ECDH、AES算法加密密文通信)。</w:t>
            </w:r>
          </w:p>
          <w:p w14:paraId="6A3594BF">
            <w:pPr>
              <w:rPr>
                <w:rFonts w:ascii="宋体" w:hAnsi="宋体"/>
              </w:rPr>
            </w:pPr>
          </w:p>
          <w:p w14:paraId="75D9A4D1">
            <w:pPr>
              <w:rPr>
                <w:rFonts w:ascii="宋体" w:hAnsi="宋体"/>
              </w:rPr>
            </w:pPr>
            <w:r>
              <w:rPr>
                <w:rFonts w:hint="eastAsia" w:ascii="宋体" w:hAnsi="宋体"/>
              </w:rPr>
              <w:t>物联网应用开发终端</w:t>
            </w:r>
          </w:p>
          <w:p w14:paraId="526EB90C">
            <w:pPr>
              <w:rPr>
                <w:rFonts w:ascii="宋体" w:hAnsi="宋体"/>
              </w:rPr>
            </w:pPr>
            <w:r>
              <w:rPr>
                <w:rFonts w:hint="eastAsia" w:ascii="宋体" w:hAnsi="宋体"/>
              </w:rPr>
              <w:t>1.接口要求：≥1路RS485信号接口，1个以太网口，1个USBOTG接口，1路USBHOST接口，2路RS232调试串口（包含调试及通讯功能）；</w:t>
            </w:r>
          </w:p>
          <w:p w14:paraId="71E95752">
            <w:pPr>
              <w:rPr>
                <w:rFonts w:ascii="宋体" w:hAnsi="宋体"/>
              </w:rPr>
            </w:pPr>
            <w:r>
              <w:rPr>
                <w:rFonts w:hint="eastAsia" w:ascii="宋体" w:hAnsi="宋体"/>
              </w:rPr>
              <w:t>2.至少支持WiFi、串口、RJ45、蓝牙多种数据传输方式。</w:t>
            </w:r>
          </w:p>
          <w:p w14:paraId="206C1997">
            <w:pPr>
              <w:rPr>
                <w:rFonts w:ascii="宋体" w:hAnsi="宋体"/>
              </w:rPr>
            </w:pPr>
          </w:p>
          <w:p w14:paraId="7519C854">
            <w:pPr>
              <w:rPr>
                <w:rFonts w:ascii="宋体" w:hAnsi="宋体"/>
              </w:rPr>
            </w:pPr>
            <w:r>
              <w:rPr>
                <w:rFonts w:hint="eastAsia" w:ascii="宋体" w:hAnsi="宋体"/>
              </w:rPr>
              <w:t>激光对射模组</w:t>
            </w:r>
          </w:p>
          <w:p w14:paraId="7FA0F7E7">
            <w:pPr>
              <w:rPr>
                <w:rFonts w:ascii="宋体" w:hAnsi="宋体"/>
              </w:rPr>
            </w:pPr>
            <w:r>
              <w:rPr>
                <w:rFonts w:hint="eastAsia" w:ascii="宋体" w:hAnsi="宋体"/>
              </w:rPr>
              <w:t>1.工作电源：直流6～36V范围内可用；</w:t>
            </w:r>
          </w:p>
          <w:p w14:paraId="13A49055">
            <w:pPr>
              <w:rPr>
                <w:rFonts w:ascii="宋体" w:hAnsi="宋体"/>
              </w:rPr>
            </w:pPr>
            <w:r>
              <w:rPr>
                <w:rFonts w:hint="eastAsia" w:ascii="宋体" w:hAnsi="宋体"/>
              </w:rPr>
              <w:t>2.响应时间：＜3ms；</w:t>
            </w:r>
          </w:p>
          <w:p w14:paraId="5F28E4B3">
            <w:pPr>
              <w:rPr>
                <w:rFonts w:ascii="宋体" w:hAnsi="宋体"/>
              </w:rPr>
            </w:pPr>
            <w:r>
              <w:rPr>
                <w:rFonts w:hint="eastAsia" w:ascii="宋体" w:hAnsi="宋体"/>
              </w:rPr>
              <w:t>3.检测物体：任何不透明的物体；</w:t>
            </w:r>
          </w:p>
          <w:p w14:paraId="6A6F0319">
            <w:pPr>
              <w:rPr>
                <w:rFonts w:ascii="宋体" w:hAnsi="宋体"/>
              </w:rPr>
            </w:pPr>
            <w:r>
              <w:rPr>
                <w:rFonts w:hint="eastAsia" w:ascii="宋体" w:hAnsi="宋体"/>
              </w:rPr>
              <w:t>4.输出电流：≤200mA。</w:t>
            </w:r>
          </w:p>
          <w:p w14:paraId="5104B03E">
            <w:pPr>
              <w:rPr>
                <w:rFonts w:ascii="宋体" w:hAnsi="宋体"/>
                <w:highlight w:val="none"/>
              </w:rPr>
            </w:pPr>
          </w:p>
          <w:p w14:paraId="17299AE1">
            <w:pPr>
              <w:rPr>
                <w:rFonts w:ascii="宋体" w:hAnsi="宋体"/>
                <w:highlight w:val="none"/>
              </w:rPr>
            </w:pPr>
            <w:r>
              <w:rPr>
                <w:rFonts w:hint="eastAsia" w:ascii="宋体" w:hAnsi="宋体"/>
                <w:highlight w:val="none"/>
              </w:rPr>
              <w:t>显示</w:t>
            </w:r>
            <w:r>
              <w:rPr>
                <w:rFonts w:hint="eastAsia" w:ascii="宋体" w:hAnsi="宋体"/>
                <w:highlight w:val="none"/>
                <w:lang w:val="en-US" w:eastAsia="zh-CN"/>
              </w:rPr>
              <w:t>说明</w:t>
            </w:r>
          </w:p>
          <w:p w14:paraId="50EF41CD">
            <w:pPr>
              <w:rPr>
                <w:rFonts w:ascii="宋体" w:hAnsi="宋体"/>
              </w:rPr>
            </w:pPr>
            <w:r>
              <w:rPr>
                <w:rFonts w:hint="eastAsia" w:ascii="宋体" w:hAnsi="宋体"/>
              </w:rPr>
              <w:t>1.显示颜色：单红色；</w:t>
            </w:r>
          </w:p>
          <w:p w14:paraId="00F7D5B1">
            <w:pPr>
              <w:rPr>
                <w:rFonts w:ascii="宋体" w:hAnsi="宋体"/>
              </w:rPr>
            </w:pPr>
            <w:r>
              <w:rPr>
                <w:rFonts w:hint="eastAsia" w:ascii="宋体" w:hAnsi="宋体"/>
              </w:rPr>
              <w:t>2.综合屏分辨率：长≥120点、高≥60点；</w:t>
            </w:r>
          </w:p>
          <w:p w14:paraId="64C0E034">
            <w:pPr>
              <w:rPr>
                <w:rFonts w:ascii="宋体" w:hAnsi="宋体"/>
              </w:rPr>
            </w:pPr>
            <w:r>
              <w:rPr>
                <w:rFonts w:hint="eastAsia" w:ascii="宋体" w:hAnsi="宋体"/>
              </w:rPr>
              <w:t>3.接口通讯：RS485。</w:t>
            </w:r>
          </w:p>
          <w:p w14:paraId="3398883F">
            <w:pPr>
              <w:rPr>
                <w:rFonts w:ascii="宋体" w:hAnsi="宋体"/>
              </w:rPr>
            </w:pPr>
          </w:p>
          <w:p w14:paraId="78775617">
            <w:pPr>
              <w:rPr>
                <w:rFonts w:ascii="宋体" w:hAnsi="宋体"/>
              </w:rPr>
            </w:pPr>
            <w:r>
              <w:rPr>
                <w:rFonts w:hint="eastAsia" w:ascii="宋体" w:hAnsi="宋体"/>
              </w:rPr>
              <w:t>高频读写器</w:t>
            </w:r>
          </w:p>
          <w:p w14:paraId="559A8933">
            <w:pPr>
              <w:rPr>
                <w:rFonts w:ascii="宋体" w:hAnsi="宋体"/>
              </w:rPr>
            </w:pPr>
            <w:r>
              <w:rPr>
                <w:rFonts w:hint="eastAsia" w:ascii="宋体" w:hAnsi="宋体"/>
              </w:rPr>
              <w:t>1.支持卡：支持符合ISO14443TypeA/B的非接触卡；</w:t>
            </w:r>
          </w:p>
          <w:p w14:paraId="2B07628B">
            <w:pPr>
              <w:rPr>
                <w:rFonts w:ascii="宋体" w:hAnsi="宋体"/>
              </w:rPr>
            </w:pPr>
            <w:r>
              <w:rPr>
                <w:rFonts w:hint="eastAsia" w:ascii="宋体" w:hAnsi="宋体"/>
              </w:rPr>
              <w:t>2.可给卡提供电流：0～130mA；</w:t>
            </w:r>
          </w:p>
          <w:p w14:paraId="69CE8461">
            <w:pPr>
              <w:rPr>
                <w:rFonts w:ascii="宋体" w:hAnsi="宋体"/>
              </w:rPr>
            </w:pPr>
            <w:r>
              <w:rPr>
                <w:rFonts w:hint="eastAsia" w:ascii="宋体" w:hAnsi="宋体"/>
              </w:rPr>
              <w:t>3.与PC通讯类型：USB接口。</w:t>
            </w:r>
          </w:p>
          <w:p w14:paraId="779B8C6D">
            <w:pPr>
              <w:rPr>
                <w:rFonts w:ascii="宋体" w:hAnsi="宋体"/>
              </w:rPr>
            </w:pPr>
          </w:p>
          <w:p w14:paraId="40F89DE3">
            <w:pPr>
              <w:rPr>
                <w:rFonts w:hint="eastAsia" w:ascii="宋体" w:hAnsi="宋体"/>
                <w:lang w:eastAsia="zh-CN"/>
              </w:rPr>
            </w:pPr>
            <w:r>
              <w:rPr>
                <w:rFonts w:hint="eastAsia" w:ascii="宋体" w:hAnsi="宋体"/>
              </w:rPr>
              <w:t>打印</w:t>
            </w:r>
            <w:r>
              <w:rPr>
                <w:rFonts w:hint="eastAsia" w:ascii="宋体" w:hAnsi="宋体"/>
                <w:lang w:val="en-US" w:eastAsia="zh-CN"/>
              </w:rPr>
              <w:t>说明</w:t>
            </w:r>
          </w:p>
          <w:p w14:paraId="7BCD2BFE">
            <w:pPr>
              <w:rPr>
                <w:rFonts w:ascii="宋体" w:hAnsi="宋体"/>
              </w:rPr>
            </w:pPr>
            <w:r>
              <w:rPr>
                <w:rFonts w:hint="eastAsia" w:ascii="宋体" w:hAnsi="宋体"/>
              </w:rPr>
              <w:t>1.打印方法：热敏点行打印；</w:t>
            </w:r>
          </w:p>
          <w:p w14:paraId="3B78E009">
            <w:pPr>
              <w:rPr>
                <w:rFonts w:ascii="宋体" w:hAnsi="宋体"/>
              </w:rPr>
            </w:pPr>
            <w:r>
              <w:rPr>
                <w:rFonts w:hint="eastAsia" w:ascii="宋体" w:hAnsi="宋体"/>
              </w:rPr>
              <w:t>2.打印纸类型：热敏纸，外径最大60mm内径最小30mm；</w:t>
            </w:r>
          </w:p>
          <w:p w14:paraId="0EEE9784">
            <w:pPr>
              <w:rPr>
                <w:rFonts w:ascii="宋体" w:hAnsi="宋体"/>
              </w:rPr>
            </w:pPr>
            <w:r>
              <w:rPr>
                <w:rFonts w:hint="eastAsia" w:ascii="宋体" w:hAnsi="宋体"/>
              </w:rPr>
              <w:t>3.字符打印控制：支持ANK字符集，图标一,二级汉字库。</w:t>
            </w:r>
          </w:p>
          <w:p w14:paraId="2FECA9E3">
            <w:pPr>
              <w:rPr>
                <w:rFonts w:ascii="宋体" w:hAnsi="宋体"/>
              </w:rPr>
            </w:pPr>
          </w:p>
          <w:p w14:paraId="0E41038E">
            <w:pPr>
              <w:rPr>
                <w:rFonts w:ascii="宋体" w:hAnsi="宋体"/>
              </w:rPr>
            </w:pPr>
            <w:r>
              <w:rPr>
                <w:rFonts w:hint="eastAsia" w:ascii="宋体" w:hAnsi="宋体"/>
              </w:rPr>
              <w:t>UHF桌面发卡器</w:t>
            </w:r>
          </w:p>
          <w:p w14:paraId="5DEC639E">
            <w:pPr>
              <w:rPr>
                <w:rFonts w:ascii="宋体" w:hAnsi="宋体"/>
              </w:rPr>
            </w:pPr>
            <w:r>
              <w:rPr>
                <w:rFonts w:hint="eastAsia" w:ascii="宋体" w:hAnsi="宋体"/>
              </w:rPr>
              <w:t>1.工作频率：应支持频率范围920～925MHz，跳频250KHz；</w:t>
            </w:r>
          </w:p>
          <w:p w14:paraId="3439A81C">
            <w:pPr>
              <w:rPr>
                <w:rFonts w:ascii="宋体" w:hAnsi="宋体"/>
              </w:rPr>
            </w:pPr>
            <w:r>
              <w:rPr>
                <w:rFonts w:hint="eastAsia" w:ascii="宋体" w:hAnsi="宋体"/>
              </w:rPr>
              <w:t>2.支持协议：EPCGEN2/ISO18000-6C；</w:t>
            </w:r>
          </w:p>
          <w:p w14:paraId="6D4E6FA1">
            <w:pPr>
              <w:rPr>
                <w:rFonts w:ascii="宋体" w:hAnsi="宋体"/>
              </w:rPr>
            </w:pPr>
            <w:r>
              <w:rPr>
                <w:rFonts w:hint="eastAsia" w:ascii="宋体" w:hAnsi="宋体"/>
              </w:rPr>
              <w:t>3.接口模式：USB。</w:t>
            </w:r>
          </w:p>
          <w:p w14:paraId="48F4DB55">
            <w:pPr>
              <w:rPr>
                <w:rFonts w:ascii="宋体" w:hAnsi="宋体"/>
              </w:rPr>
            </w:pPr>
          </w:p>
          <w:p w14:paraId="709314FB">
            <w:pPr>
              <w:rPr>
                <w:rFonts w:ascii="宋体" w:hAnsi="宋体"/>
              </w:rPr>
            </w:pPr>
            <w:r>
              <w:rPr>
                <w:rFonts w:hint="eastAsia" w:ascii="宋体" w:hAnsi="宋体"/>
              </w:rPr>
              <w:t>串口服务器</w:t>
            </w:r>
          </w:p>
          <w:p w14:paraId="35B13545">
            <w:pPr>
              <w:rPr>
                <w:rFonts w:ascii="宋体" w:hAnsi="宋体"/>
              </w:rPr>
            </w:pPr>
            <w:r>
              <w:rPr>
                <w:rFonts w:hint="eastAsia" w:ascii="宋体" w:hAnsi="宋体"/>
              </w:rPr>
              <w:t>1.RS-232接口;≥4个，RS-485接口：≥2个；</w:t>
            </w:r>
          </w:p>
          <w:p w14:paraId="7D39C5AA">
            <w:pPr>
              <w:rPr>
                <w:rFonts w:ascii="宋体" w:hAnsi="宋体"/>
              </w:rPr>
            </w:pPr>
            <w:r>
              <w:rPr>
                <w:rFonts w:hint="eastAsia" w:ascii="宋体" w:hAnsi="宋体"/>
              </w:rPr>
              <w:t>2.应支持ICMP，IP，TCP，UDP，DNS，DHCP，Telnet，HTTP协议；</w:t>
            </w:r>
          </w:p>
          <w:p w14:paraId="62669699">
            <w:pPr>
              <w:rPr>
                <w:rFonts w:ascii="宋体" w:hAnsi="宋体"/>
              </w:rPr>
            </w:pPr>
            <w:r>
              <w:rPr>
                <w:rFonts w:hint="eastAsia" w:ascii="宋体" w:hAnsi="宋体"/>
              </w:rPr>
              <w:t>3.应支持通过Web网络浏览器、Telnet、Console控制台进行配置。</w:t>
            </w:r>
          </w:p>
          <w:p w14:paraId="20DB72B4">
            <w:pPr>
              <w:rPr>
                <w:rFonts w:ascii="宋体" w:hAnsi="宋体"/>
              </w:rPr>
            </w:pPr>
          </w:p>
          <w:p w14:paraId="23BB6840">
            <w:pPr>
              <w:rPr>
                <w:rFonts w:ascii="宋体" w:hAnsi="宋体"/>
              </w:rPr>
            </w:pPr>
            <w:r>
              <w:rPr>
                <w:rFonts w:hint="eastAsia" w:ascii="宋体" w:hAnsi="宋体"/>
              </w:rPr>
              <w:t>温湿度传感器</w:t>
            </w:r>
          </w:p>
          <w:p w14:paraId="7C874430">
            <w:pPr>
              <w:rPr>
                <w:rFonts w:ascii="宋体" w:hAnsi="宋体"/>
              </w:rPr>
            </w:pPr>
            <w:r>
              <w:rPr>
                <w:rFonts w:hint="eastAsia" w:ascii="宋体" w:hAnsi="宋体"/>
              </w:rPr>
              <w:t>1.供电：24VDC；</w:t>
            </w:r>
          </w:p>
          <w:p w14:paraId="0476EB08">
            <w:pPr>
              <w:rPr>
                <w:rFonts w:ascii="宋体" w:hAnsi="宋体"/>
              </w:rPr>
            </w:pPr>
            <w:r>
              <w:rPr>
                <w:rFonts w:hint="eastAsia" w:ascii="宋体" w:hAnsi="宋体"/>
              </w:rPr>
              <w:t>2.准确度：温度：≤0.5度湿度：≤±3%RH；</w:t>
            </w:r>
          </w:p>
          <w:p w14:paraId="463754DF">
            <w:pPr>
              <w:rPr>
                <w:rFonts w:ascii="宋体" w:hAnsi="宋体"/>
              </w:rPr>
            </w:pPr>
            <w:r>
              <w:rPr>
                <w:rFonts w:hint="eastAsia" w:ascii="宋体" w:hAnsi="宋体"/>
              </w:rPr>
              <w:t>3.量程：温度量程：-10～60度湿度量程：0～100%RH。</w:t>
            </w:r>
          </w:p>
          <w:p w14:paraId="2B0C2986">
            <w:pPr>
              <w:rPr>
                <w:rFonts w:ascii="宋体" w:hAnsi="宋体"/>
              </w:rPr>
            </w:pPr>
          </w:p>
          <w:p w14:paraId="43939579">
            <w:pPr>
              <w:rPr>
                <w:rFonts w:ascii="宋体" w:hAnsi="宋体"/>
              </w:rPr>
            </w:pPr>
            <w:r>
              <w:rPr>
                <w:rFonts w:hint="eastAsia" w:ascii="宋体" w:hAnsi="宋体"/>
              </w:rPr>
              <w:t>二氧化碳变送器（485型）</w:t>
            </w:r>
          </w:p>
          <w:p w14:paraId="45AB9D61">
            <w:pPr>
              <w:rPr>
                <w:rFonts w:ascii="宋体" w:hAnsi="宋体"/>
              </w:rPr>
            </w:pPr>
            <w:r>
              <w:rPr>
                <w:rFonts w:hint="eastAsia" w:ascii="宋体" w:hAnsi="宋体"/>
              </w:rPr>
              <w:t>1.供电电压：DC7～24V；</w:t>
            </w:r>
          </w:p>
          <w:p w14:paraId="0E1A55D4">
            <w:pPr>
              <w:rPr>
                <w:rFonts w:ascii="宋体" w:hAnsi="宋体"/>
              </w:rPr>
            </w:pPr>
            <w:r>
              <w:rPr>
                <w:rFonts w:hint="eastAsia" w:ascii="宋体" w:hAnsi="宋体"/>
              </w:rPr>
              <w:t>2.测量范围：0～5000ppm；</w:t>
            </w:r>
          </w:p>
          <w:p w14:paraId="5B04AE69">
            <w:pPr>
              <w:rPr>
                <w:rFonts w:ascii="宋体" w:hAnsi="宋体"/>
              </w:rPr>
            </w:pPr>
            <w:r>
              <w:rPr>
                <w:rFonts w:hint="eastAsia" w:ascii="宋体" w:hAnsi="宋体"/>
              </w:rPr>
              <w:t>3.信号输出：RS485；</w:t>
            </w:r>
          </w:p>
          <w:p w14:paraId="4665CC24">
            <w:pPr>
              <w:rPr>
                <w:rFonts w:ascii="宋体" w:hAnsi="宋体"/>
              </w:rPr>
            </w:pPr>
            <w:r>
              <w:rPr>
                <w:rFonts w:hint="eastAsia" w:ascii="宋体" w:hAnsi="宋体"/>
              </w:rPr>
              <w:t>4.通信协议：ModbusRTU。</w:t>
            </w:r>
          </w:p>
          <w:p w14:paraId="561765AD">
            <w:pPr>
              <w:rPr>
                <w:rFonts w:ascii="宋体" w:hAnsi="宋体"/>
              </w:rPr>
            </w:pPr>
          </w:p>
          <w:p w14:paraId="6E43A396">
            <w:pPr>
              <w:rPr>
                <w:rFonts w:ascii="宋体" w:hAnsi="宋体"/>
              </w:rPr>
            </w:pPr>
            <w:r>
              <w:rPr>
                <w:rFonts w:hint="eastAsia" w:ascii="宋体" w:hAnsi="宋体"/>
              </w:rPr>
              <w:t>光照度传感器</w:t>
            </w:r>
          </w:p>
          <w:p w14:paraId="1EA97C64">
            <w:pPr>
              <w:rPr>
                <w:rFonts w:ascii="宋体" w:hAnsi="宋体"/>
              </w:rPr>
            </w:pPr>
            <w:r>
              <w:rPr>
                <w:rFonts w:hint="eastAsia" w:ascii="宋体" w:hAnsi="宋体"/>
              </w:rPr>
              <w:t>1.供电电压：DC24V；</w:t>
            </w:r>
          </w:p>
          <w:p w14:paraId="281C6E66">
            <w:pPr>
              <w:rPr>
                <w:rFonts w:ascii="宋体" w:hAnsi="宋体"/>
              </w:rPr>
            </w:pPr>
            <w:r>
              <w:rPr>
                <w:rFonts w:hint="eastAsia" w:ascii="宋体" w:hAnsi="宋体"/>
              </w:rPr>
              <w:t>2.测量范围：0～2wlux；</w:t>
            </w:r>
          </w:p>
          <w:p w14:paraId="48BC0DCD">
            <w:pPr>
              <w:rPr>
                <w:rFonts w:ascii="宋体" w:hAnsi="宋体"/>
              </w:rPr>
            </w:pPr>
            <w:r>
              <w:rPr>
                <w:rFonts w:hint="eastAsia" w:ascii="宋体" w:hAnsi="宋体"/>
              </w:rPr>
              <w:t>3.输出形式：4mA～20mA，三线制。</w:t>
            </w:r>
          </w:p>
          <w:p w14:paraId="1468D360">
            <w:pPr>
              <w:rPr>
                <w:rFonts w:ascii="宋体" w:hAnsi="宋体"/>
              </w:rPr>
            </w:pPr>
          </w:p>
          <w:p w14:paraId="502F6AC8">
            <w:pPr>
              <w:rPr>
                <w:rFonts w:ascii="宋体" w:hAnsi="宋体"/>
              </w:rPr>
            </w:pPr>
            <w:r>
              <w:rPr>
                <w:rFonts w:hint="eastAsia" w:ascii="宋体" w:hAnsi="宋体"/>
              </w:rPr>
              <w:t>ZIGBEE智能节点盒</w:t>
            </w:r>
          </w:p>
          <w:p w14:paraId="2B4A5299">
            <w:pPr>
              <w:rPr>
                <w:rFonts w:ascii="宋体" w:hAnsi="宋体"/>
              </w:rPr>
            </w:pPr>
            <w:r>
              <w:rPr>
                <w:rFonts w:hint="eastAsia" w:ascii="宋体" w:hAnsi="宋体"/>
              </w:rPr>
              <w:t>1.电池容量：≥1000mAh；</w:t>
            </w:r>
          </w:p>
          <w:p w14:paraId="3C13D7F3">
            <w:pPr>
              <w:rPr>
                <w:rFonts w:ascii="宋体" w:hAnsi="宋体"/>
              </w:rPr>
            </w:pPr>
            <w:r>
              <w:rPr>
                <w:rFonts w:hint="eastAsia" w:ascii="宋体" w:hAnsi="宋体"/>
              </w:rPr>
              <w:t>2.输入电压：DC5V；</w:t>
            </w:r>
          </w:p>
          <w:p w14:paraId="280F2EF2">
            <w:pPr>
              <w:rPr>
                <w:rFonts w:ascii="宋体" w:hAnsi="宋体"/>
              </w:rPr>
            </w:pPr>
            <w:r>
              <w:rPr>
                <w:rFonts w:hint="eastAsia" w:ascii="宋体" w:hAnsi="宋体"/>
              </w:rPr>
              <w:t>3.无线频率：2.4GHz；</w:t>
            </w:r>
          </w:p>
          <w:p w14:paraId="233C2146">
            <w:pPr>
              <w:rPr>
                <w:rFonts w:ascii="宋体" w:hAnsi="宋体"/>
              </w:rPr>
            </w:pPr>
            <w:r>
              <w:rPr>
                <w:rFonts w:hint="eastAsia" w:ascii="宋体" w:hAnsi="宋体"/>
              </w:rPr>
              <w:t>4.指示灯：应具备电源、充电、连接、通讯指示灯；</w:t>
            </w:r>
          </w:p>
          <w:p w14:paraId="24BEDA7A">
            <w:pPr>
              <w:rPr>
                <w:rFonts w:ascii="宋体" w:hAnsi="宋体"/>
              </w:rPr>
            </w:pPr>
            <w:r>
              <w:rPr>
                <w:rFonts w:hint="eastAsia" w:ascii="宋体" w:hAnsi="宋体"/>
              </w:rPr>
              <w:t>5.功能键：可通过功能键实现设备入网退网，以及ZigBee网络建立；</w:t>
            </w:r>
          </w:p>
          <w:p w14:paraId="18548943">
            <w:pPr>
              <w:rPr>
                <w:rFonts w:ascii="宋体" w:hAnsi="宋体"/>
              </w:rPr>
            </w:pPr>
            <w:r>
              <w:rPr>
                <w:rFonts w:hint="eastAsia" w:ascii="宋体" w:hAnsi="宋体"/>
              </w:rPr>
              <w:t>6.带扩展接口，可以连接传感器小模块。</w:t>
            </w:r>
          </w:p>
          <w:p w14:paraId="0B9011F0">
            <w:pPr>
              <w:rPr>
                <w:rFonts w:ascii="宋体" w:hAnsi="宋体"/>
              </w:rPr>
            </w:pPr>
          </w:p>
          <w:p w14:paraId="30F26A41">
            <w:pPr>
              <w:rPr>
                <w:rFonts w:ascii="宋体" w:hAnsi="宋体"/>
              </w:rPr>
            </w:pPr>
            <w:r>
              <w:rPr>
                <w:rFonts w:hint="eastAsia" w:ascii="宋体" w:hAnsi="宋体"/>
              </w:rPr>
              <w:t>ZigBee协调器（ZigBee3.0）</w:t>
            </w:r>
          </w:p>
          <w:p w14:paraId="1490166F">
            <w:pPr>
              <w:rPr>
                <w:rFonts w:ascii="宋体" w:hAnsi="宋体"/>
              </w:rPr>
            </w:pPr>
            <w:r>
              <w:rPr>
                <w:rFonts w:hint="eastAsia" w:ascii="宋体" w:hAnsi="宋体"/>
              </w:rPr>
              <w:t>1.采用32Bit处理器，主频≥48MHz；</w:t>
            </w:r>
          </w:p>
          <w:p w14:paraId="0FCE0341">
            <w:pPr>
              <w:rPr>
                <w:rFonts w:ascii="宋体" w:hAnsi="宋体"/>
              </w:rPr>
            </w:pPr>
            <w:r>
              <w:rPr>
                <w:rFonts w:hint="eastAsia" w:ascii="宋体" w:hAnsi="宋体"/>
              </w:rPr>
              <w:t>2.支持1MBytes片上可编程Flash；</w:t>
            </w:r>
          </w:p>
          <w:p w14:paraId="278964A1">
            <w:pPr>
              <w:rPr>
                <w:rFonts w:ascii="宋体" w:hAnsi="宋体"/>
              </w:rPr>
            </w:pPr>
            <w:r>
              <w:rPr>
                <w:rFonts w:hint="eastAsia" w:ascii="宋体" w:hAnsi="宋体"/>
              </w:rPr>
              <w:t>3.支持内置硬件AES加密单元；</w:t>
            </w:r>
          </w:p>
          <w:p w14:paraId="3E2D1B44">
            <w:pPr>
              <w:rPr>
                <w:rFonts w:ascii="宋体" w:hAnsi="宋体"/>
              </w:rPr>
            </w:pPr>
            <w:r>
              <w:rPr>
                <w:rFonts w:hint="eastAsia" w:ascii="宋体" w:hAnsi="宋体"/>
              </w:rPr>
              <w:t>4.发射功率≥8dBm，接收灵敏度≤-90dBm；</w:t>
            </w:r>
          </w:p>
          <w:p w14:paraId="577661DB">
            <w:pPr>
              <w:rPr>
                <w:rFonts w:ascii="宋体" w:hAnsi="宋体"/>
              </w:rPr>
            </w:pPr>
            <w:r>
              <w:rPr>
                <w:rFonts w:hint="eastAsia" w:ascii="宋体" w:hAnsi="宋体"/>
              </w:rPr>
              <w:t>5.带有FEM，支持≥20dBm输出；</w:t>
            </w:r>
          </w:p>
          <w:p w14:paraId="00573B02">
            <w:pPr>
              <w:rPr>
                <w:rFonts w:ascii="宋体" w:hAnsi="宋体"/>
              </w:rPr>
            </w:pPr>
            <w:r>
              <w:rPr>
                <w:rFonts w:hint="eastAsia" w:ascii="宋体" w:hAnsi="宋体"/>
              </w:rPr>
              <w:t>6.支持低功耗蓝牙5.0；</w:t>
            </w:r>
          </w:p>
          <w:p w14:paraId="6525D55C">
            <w:pPr>
              <w:rPr>
                <w:rFonts w:ascii="宋体" w:hAnsi="宋体"/>
              </w:rPr>
            </w:pPr>
            <w:r>
              <w:rPr>
                <w:rFonts w:hint="eastAsia" w:ascii="宋体" w:hAnsi="宋体"/>
              </w:rPr>
              <w:t>7.支持ZigBee3.0通信协议。</w:t>
            </w:r>
          </w:p>
          <w:p w14:paraId="5266EC4F">
            <w:pPr>
              <w:rPr>
                <w:rFonts w:ascii="宋体" w:hAnsi="宋体"/>
              </w:rPr>
            </w:pPr>
            <w:r>
              <w:rPr>
                <w:rFonts w:hint="eastAsia" w:ascii="宋体" w:hAnsi="宋体"/>
              </w:rPr>
              <w:t>8.应具备1路RS485接口，且配备开关用于控制RS485接口的接通和断开；</w:t>
            </w:r>
          </w:p>
          <w:p w14:paraId="32F22DF1">
            <w:pPr>
              <w:rPr>
                <w:rFonts w:ascii="宋体" w:hAnsi="宋体"/>
              </w:rPr>
            </w:pPr>
            <w:r>
              <w:rPr>
                <w:rFonts w:hint="eastAsia" w:ascii="宋体" w:hAnsi="宋体"/>
              </w:rPr>
              <w:t>9.应具备1个复位键用于状态恢复、1个功能键用于启用组网功能（提供实物照片并标注）。</w:t>
            </w:r>
          </w:p>
          <w:p w14:paraId="6B7DFF70">
            <w:pPr>
              <w:rPr>
                <w:rFonts w:ascii="宋体" w:hAnsi="宋体"/>
              </w:rPr>
            </w:pPr>
          </w:p>
          <w:p w14:paraId="4F1F5C61">
            <w:pPr>
              <w:rPr>
                <w:rFonts w:ascii="宋体" w:hAnsi="宋体"/>
              </w:rPr>
            </w:pPr>
            <w:r>
              <w:rPr>
                <w:rFonts w:hint="eastAsia" w:ascii="宋体" w:hAnsi="宋体"/>
              </w:rPr>
              <w:t>温湿度光照传感器模块</w:t>
            </w:r>
          </w:p>
          <w:p w14:paraId="3AD42B1C">
            <w:pPr>
              <w:rPr>
                <w:rFonts w:ascii="宋体" w:hAnsi="宋体"/>
              </w:rPr>
            </w:pPr>
            <w:r>
              <w:rPr>
                <w:rFonts w:hint="eastAsia" w:ascii="宋体" w:hAnsi="宋体"/>
              </w:rPr>
              <w:t>1.工作电压：DC3.3V；</w:t>
            </w:r>
          </w:p>
          <w:p w14:paraId="35AD2D16">
            <w:pPr>
              <w:rPr>
                <w:rFonts w:ascii="宋体" w:hAnsi="宋体"/>
              </w:rPr>
            </w:pPr>
            <w:r>
              <w:rPr>
                <w:rFonts w:hint="eastAsia" w:ascii="宋体" w:hAnsi="宋体"/>
              </w:rPr>
              <w:t>2.电容式传感器测量相对湿度，带隙传感器测量温度；</w:t>
            </w:r>
          </w:p>
          <w:p w14:paraId="687D48C9">
            <w:pPr>
              <w:rPr>
                <w:rFonts w:ascii="宋体" w:hAnsi="宋体"/>
              </w:rPr>
            </w:pPr>
            <w:r>
              <w:rPr>
                <w:rFonts w:hint="eastAsia" w:ascii="宋体" w:hAnsi="宋体"/>
              </w:rPr>
              <w:t>3.默认测量分辨率为温度14位、湿度12位，可通过给状态寄存器发送命令将其降低为温度12位、湿度8位；</w:t>
            </w:r>
          </w:p>
          <w:p w14:paraId="00F34F83">
            <w:pPr>
              <w:rPr>
                <w:rFonts w:ascii="宋体" w:hAnsi="宋体"/>
              </w:rPr>
            </w:pPr>
            <w:r>
              <w:rPr>
                <w:rFonts w:hint="eastAsia" w:ascii="宋体" w:hAnsi="宋体"/>
              </w:rPr>
              <w:t>4.湿度测量范围：0～100%RH，温度测量范围：-40～+123.8℃；</w:t>
            </w:r>
          </w:p>
          <w:p w14:paraId="3A2F3637">
            <w:pPr>
              <w:rPr>
                <w:rFonts w:ascii="宋体" w:hAnsi="宋体"/>
              </w:rPr>
            </w:pPr>
            <w:r>
              <w:rPr>
                <w:rFonts w:hint="eastAsia" w:ascii="宋体" w:hAnsi="宋体"/>
              </w:rPr>
              <w:t>5.湿度测量精度：±3.0%RH，温度测量精度：±0.4℃；</w:t>
            </w:r>
          </w:p>
          <w:p w14:paraId="45FCA304">
            <w:pPr>
              <w:rPr>
                <w:rFonts w:ascii="宋体" w:hAnsi="宋体"/>
              </w:rPr>
            </w:pPr>
            <w:r>
              <w:rPr>
                <w:rFonts w:hint="eastAsia" w:ascii="宋体" w:hAnsi="宋体"/>
              </w:rPr>
              <w:t>6.全量程标定；</w:t>
            </w:r>
          </w:p>
          <w:p w14:paraId="70569787">
            <w:pPr>
              <w:rPr>
                <w:rFonts w:ascii="宋体" w:hAnsi="宋体"/>
              </w:rPr>
            </w:pPr>
            <w:r>
              <w:rPr>
                <w:rFonts w:hint="eastAsia" w:ascii="宋体" w:hAnsi="宋体"/>
              </w:rPr>
              <w:t>7.两线串行通信接口；</w:t>
            </w:r>
          </w:p>
          <w:p w14:paraId="693AE418">
            <w:pPr>
              <w:rPr>
                <w:rFonts w:ascii="宋体" w:hAnsi="宋体"/>
              </w:rPr>
            </w:pPr>
            <w:r>
              <w:rPr>
                <w:rFonts w:hint="eastAsia" w:ascii="宋体" w:hAnsi="宋体"/>
              </w:rPr>
              <w:t>8.暗电流：≤0.2μA；</w:t>
            </w:r>
          </w:p>
          <w:p w14:paraId="1BAFD3D7">
            <w:pPr>
              <w:rPr>
                <w:rFonts w:ascii="宋体" w:hAnsi="宋体"/>
              </w:rPr>
            </w:pPr>
            <w:r>
              <w:rPr>
                <w:rFonts w:hint="eastAsia" w:ascii="宋体" w:hAnsi="宋体"/>
              </w:rPr>
              <w:t>9.亮电流：≤40μA(Vdd=5V,10Lux,Rss=1kΩ)；</w:t>
            </w:r>
          </w:p>
          <w:p w14:paraId="137D6EEE">
            <w:pPr>
              <w:rPr>
                <w:rFonts w:ascii="宋体" w:hAnsi="宋体"/>
              </w:rPr>
            </w:pPr>
            <w:r>
              <w:rPr>
                <w:rFonts w:hint="eastAsia" w:ascii="宋体" w:hAnsi="宋体"/>
              </w:rPr>
              <w:t>10.感光光谱：880～1050nm；</w:t>
            </w:r>
          </w:p>
          <w:p w14:paraId="0650BBBE">
            <w:pPr>
              <w:rPr>
                <w:rFonts w:ascii="宋体" w:hAnsi="宋体"/>
              </w:rPr>
            </w:pPr>
            <w:r>
              <w:rPr>
                <w:rFonts w:hint="eastAsia" w:ascii="宋体" w:hAnsi="宋体"/>
              </w:rPr>
              <w:t>11.最大功耗:50mW，正向电流≤30μA。</w:t>
            </w:r>
          </w:p>
          <w:p w14:paraId="48699206">
            <w:pPr>
              <w:rPr>
                <w:rFonts w:ascii="宋体" w:hAnsi="宋体"/>
              </w:rPr>
            </w:pPr>
          </w:p>
          <w:p w14:paraId="1D78967E">
            <w:pPr>
              <w:rPr>
                <w:rFonts w:ascii="宋体" w:hAnsi="宋体"/>
              </w:rPr>
            </w:pPr>
            <w:r>
              <w:rPr>
                <w:rFonts w:hint="eastAsia" w:ascii="宋体" w:hAnsi="宋体"/>
              </w:rPr>
              <w:t>人体感应传感器模块</w:t>
            </w:r>
          </w:p>
          <w:p w14:paraId="3E74DE41">
            <w:pPr>
              <w:rPr>
                <w:rFonts w:ascii="宋体" w:hAnsi="宋体"/>
              </w:rPr>
            </w:pPr>
            <w:r>
              <w:rPr>
                <w:rFonts w:hint="eastAsia" w:ascii="宋体" w:hAnsi="宋体"/>
              </w:rPr>
              <w:t>1.工作电压：支持宽电压直流供电，范围：DC10V～20V；</w:t>
            </w:r>
          </w:p>
          <w:p w14:paraId="5F65DEFA">
            <w:pPr>
              <w:rPr>
                <w:rFonts w:ascii="宋体" w:hAnsi="宋体"/>
              </w:rPr>
            </w:pPr>
            <w:r>
              <w:rPr>
                <w:rFonts w:hint="eastAsia" w:ascii="宋体" w:hAnsi="宋体"/>
              </w:rPr>
              <w:t>2.静态功耗：≤65μA；</w:t>
            </w:r>
          </w:p>
          <w:p w14:paraId="025C186E">
            <w:pPr>
              <w:rPr>
                <w:rFonts w:ascii="宋体" w:hAnsi="宋体"/>
              </w:rPr>
            </w:pPr>
            <w:r>
              <w:rPr>
                <w:rFonts w:hint="eastAsia" w:ascii="宋体" w:hAnsi="宋体"/>
              </w:rPr>
              <w:t>3.电平输出：高3.3V，低0V；</w:t>
            </w:r>
          </w:p>
          <w:p w14:paraId="6B265371">
            <w:pPr>
              <w:rPr>
                <w:rFonts w:ascii="宋体" w:hAnsi="宋体"/>
              </w:rPr>
            </w:pPr>
            <w:r>
              <w:rPr>
                <w:rFonts w:hint="eastAsia" w:ascii="宋体" w:hAnsi="宋体"/>
              </w:rPr>
              <w:t>4.延迟时间：可调（0.3秒～10分钟）；</w:t>
            </w:r>
          </w:p>
          <w:p w14:paraId="6ABC04B1">
            <w:pPr>
              <w:rPr>
                <w:rFonts w:ascii="宋体" w:hAnsi="宋体"/>
              </w:rPr>
            </w:pPr>
            <w:r>
              <w:rPr>
                <w:rFonts w:hint="eastAsia" w:ascii="宋体" w:hAnsi="宋体"/>
              </w:rPr>
              <w:t>5.封锁时间：≤0.2秒；</w:t>
            </w:r>
          </w:p>
          <w:p w14:paraId="2FC733FE">
            <w:pPr>
              <w:rPr>
                <w:rFonts w:ascii="宋体" w:hAnsi="宋体"/>
              </w:rPr>
            </w:pPr>
            <w:r>
              <w:rPr>
                <w:rFonts w:hint="eastAsia" w:ascii="宋体" w:hAnsi="宋体"/>
              </w:rPr>
              <w:t>6.感应范围：120度锥角，7米以内；</w:t>
            </w:r>
          </w:p>
          <w:p w14:paraId="22113B8C">
            <w:pPr>
              <w:rPr>
                <w:rFonts w:ascii="宋体" w:hAnsi="宋体"/>
              </w:rPr>
            </w:pPr>
            <w:r>
              <w:rPr>
                <w:rFonts w:hint="eastAsia" w:ascii="宋体" w:hAnsi="宋体"/>
              </w:rPr>
              <w:t>7.工作温度：-15℃～70℃。</w:t>
            </w:r>
          </w:p>
          <w:p w14:paraId="170CDAC9">
            <w:pPr>
              <w:rPr>
                <w:rFonts w:ascii="宋体" w:hAnsi="宋体"/>
              </w:rPr>
            </w:pPr>
          </w:p>
          <w:p w14:paraId="1666893A">
            <w:pPr>
              <w:rPr>
                <w:rFonts w:ascii="宋体" w:hAnsi="宋体"/>
              </w:rPr>
            </w:pPr>
            <w:r>
              <w:rPr>
                <w:rFonts w:hint="eastAsia" w:ascii="宋体" w:hAnsi="宋体"/>
              </w:rPr>
              <w:t>火焰传感器模块</w:t>
            </w:r>
          </w:p>
          <w:p w14:paraId="6008267B">
            <w:pPr>
              <w:rPr>
                <w:rFonts w:ascii="宋体" w:hAnsi="宋体"/>
              </w:rPr>
            </w:pPr>
            <w:r>
              <w:rPr>
                <w:rFonts w:hint="eastAsia" w:ascii="宋体" w:hAnsi="宋体"/>
              </w:rPr>
              <w:t>火焰传感器应支持探测火焰发出的波段范围为700～1100nm的短波近红外线(SW-NIR)。</w:t>
            </w:r>
          </w:p>
          <w:p w14:paraId="6808B8C0">
            <w:pPr>
              <w:rPr>
                <w:rFonts w:ascii="宋体" w:hAnsi="宋体"/>
              </w:rPr>
            </w:pPr>
            <w:r>
              <w:rPr>
                <w:rFonts w:hint="eastAsia" w:ascii="宋体" w:hAnsi="宋体"/>
              </w:rPr>
              <w:t>1.波段范围：700～1100nm；</w:t>
            </w:r>
          </w:p>
          <w:p w14:paraId="790A5500">
            <w:pPr>
              <w:rPr>
                <w:rFonts w:ascii="宋体" w:hAnsi="宋体"/>
              </w:rPr>
            </w:pPr>
            <w:r>
              <w:rPr>
                <w:rFonts w:hint="eastAsia" w:ascii="宋体" w:hAnsi="宋体"/>
              </w:rPr>
              <w:t>2.探测距离：≥1.5m；</w:t>
            </w:r>
          </w:p>
          <w:p w14:paraId="1B7C03C3">
            <w:pPr>
              <w:rPr>
                <w:rFonts w:ascii="宋体" w:hAnsi="宋体"/>
              </w:rPr>
            </w:pPr>
            <w:r>
              <w:rPr>
                <w:rFonts w:hint="eastAsia" w:ascii="宋体" w:hAnsi="宋体"/>
              </w:rPr>
              <w:t>3.供电电压：DC3V～5.5V。</w:t>
            </w:r>
          </w:p>
          <w:p w14:paraId="4F9FED12">
            <w:pPr>
              <w:rPr>
                <w:rFonts w:ascii="宋体" w:hAnsi="宋体"/>
              </w:rPr>
            </w:pPr>
          </w:p>
          <w:p w14:paraId="19162FA1">
            <w:pPr>
              <w:rPr>
                <w:rFonts w:ascii="宋体" w:hAnsi="宋体"/>
              </w:rPr>
            </w:pPr>
            <w:r>
              <w:rPr>
                <w:rFonts w:hint="eastAsia" w:ascii="宋体" w:hAnsi="宋体"/>
              </w:rPr>
              <w:t>开关量烟感探测器</w:t>
            </w:r>
          </w:p>
          <w:p w14:paraId="2E6E39E0">
            <w:pPr>
              <w:rPr>
                <w:rFonts w:ascii="宋体" w:hAnsi="宋体"/>
              </w:rPr>
            </w:pPr>
            <w:r>
              <w:rPr>
                <w:rFonts w:hint="eastAsia" w:ascii="宋体" w:hAnsi="宋体"/>
              </w:rPr>
              <w:t>1.报警声音：≥85dB；</w:t>
            </w:r>
          </w:p>
          <w:p w14:paraId="3F67B58C">
            <w:pPr>
              <w:rPr>
                <w:rFonts w:ascii="宋体" w:hAnsi="宋体"/>
              </w:rPr>
            </w:pPr>
            <w:r>
              <w:rPr>
                <w:rFonts w:hint="eastAsia" w:ascii="宋体" w:hAnsi="宋体"/>
              </w:rPr>
              <w:t>2.供电电源：DC9V～28V。</w:t>
            </w:r>
          </w:p>
          <w:p w14:paraId="55FCFFDB">
            <w:pPr>
              <w:rPr>
                <w:rFonts w:ascii="宋体" w:hAnsi="宋体"/>
              </w:rPr>
            </w:pPr>
          </w:p>
          <w:p w14:paraId="681C184A">
            <w:pPr>
              <w:rPr>
                <w:rFonts w:ascii="宋体" w:hAnsi="宋体"/>
              </w:rPr>
            </w:pPr>
            <w:r>
              <w:rPr>
                <w:rFonts w:hint="eastAsia" w:ascii="宋体" w:hAnsi="宋体"/>
              </w:rPr>
              <w:t>风扇</w:t>
            </w:r>
          </w:p>
          <w:p w14:paraId="4EB8591D">
            <w:pPr>
              <w:rPr>
                <w:rFonts w:ascii="宋体" w:hAnsi="宋体"/>
              </w:rPr>
            </w:pPr>
            <w:r>
              <w:rPr>
                <w:rFonts w:hint="eastAsia" w:ascii="宋体" w:hAnsi="宋体"/>
              </w:rPr>
              <w:t>1.工作电压：DC24V；</w:t>
            </w:r>
          </w:p>
          <w:p w14:paraId="2CD5457F">
            <w:pPr>
              <w:rPr>
                <w:rFonts w:ascii="宋体" w:hAnsi="宋体"/>
              </w:rPr>
            </w:pPr>
            <w:r>
              <w:rPr>
                <w:rFonts w:hint="eastAsia" w:ascii="宋体" w:hAnsi="宋体"/>
              </w:rPr>
              <w:t>2.转速(RPM)：3000～4000。</w:t>
            </w:r>
          </w:p>
          <w:p w14:paraId="303F258C">
            <w:pPr>
              <w:rPr>
                <w:rFonts w:ascii="宋体" w:hAnsi="宋体"/>
              </w:rPr>
            </w:pPr>
          </w:p>
          <w:p w14:paraId="08FF9D34">
            <w:pPr>
              <w:rPr>
                <w:rFonts w:ascii="宋体" w:hAnsi="宋体"/>
              </w:rPr>
            </w:pPr>
            <w:r>
              <w:rPr>
                <w:rFonts w:hint="eastAsia" w:ascii="宋体" w:hAnsi="宋体"/>
              </w:rPr>
              <w:t>IoT网络数据采集器</w:t>
            </w:r>
          </w:p>
          <w:p w14:paraId="20C155AF">
            <w:pPr>
              <w:rPr>
                <w:rFonts w:ascii="宋体" w:hAnsi="宋体"/>
              </w:rPr>
            </w:pPr>
            <w:r>
              <w:rPr>
                <w:rFonts w:hint="eastAsia" w:ascii="宋体" w:hAnsi="宋体"/>
              </w:rPr>
              <w:t>支持连接Ethernet网络和WiFi网络使用，可采集≥3路模拟电流量输入信号，并有≥8路DI和≥8路DO用于采集或输出数字信号</w:t>
            </w:r>
            <w:bookmarkStart w:id="322" w:name="OLE_LINK4"/>
            <w:r>
              <w:rPr>
                <w:rFonts w:hint="eastAsia" w:ascii="宋体" w:hAnsi="宋体"/>
                <w:bCs/>
              </w:rPr>
              <w:t>（需提供佐证截图，并标注）</w:t>
            </w:r>
            <w:r>
              <w:rPr>
                <w:rFonts w:hint="eastAsia" w:ascii="宋体" w:hAnsi="宋体"/>
              </w:rPr>
              <w:t>。</w:t>
            </w:r>
          </w:p>
          <w:bookmarkEnd w:id="322"/>
          <w:p w14:paraId="7D2729D4">
            <w:pPr>
              <w:rPr>
                <w:rFonts w:ascii="宋体" w:hAnsi="宋体"/>
              </w:rPr>
            </w:pPr>
            <w:r>
              <w:rPr>
                <w:rFonts w:hint="eastAsia" w:ascii="宋体" w:hAnsi="宋体"/>
              </w:rPr>
              <w:t>1.CPU：芯体位宽≥32位，主频≥108MHz；</w:t>
            </w:r>
          </w:p>
          <w:p w14:paraId="485348D5">
            <w:pPr>
              <w:rPr>
                <w:rFonts w:ascii="宋体" w:hAnsi="宋体"/>
              </w:rPr>
            </w:pPr>
            <w:r>
              <w:rPr>
                <w:rFonts w:hint="eastAsia" w:ascii="宋体" w:hAnsi="宋体"/>
              </w:rPr>
              <w:t>2.无线功能：配有WiFi模组；</w:t>
            </w:r>
          </w:p>
          <w:p w14:paraId="67CD3D43">
            <w:pPr>
              <w:rPr>
                <w:rFonts w:ascii="宋体" w:hAnsi="宋体"/>
              </w:rPr>
            </w:pPr>
            <w:r>
              <w:rPr>
                <w:rFonts w:hint="eastAsia" w:ascii="宋体" w:hAnsi="宋体"/>
              </w:rPr>
              <w:t>3.应至少包含接口类型：</w:t>
            </w:r>
          </w:p>
          <w:p w14:paraId="01AB1166">
            <w:pPr>
              <w:rPr>
                <w:rFonts w:ascii="宋体" w:hAnsi="宋体"/>
              </w:rPr>
            </w:pPr>
            <w:r>
              <w:rPr>
                <w:rFonts w:hint="eastAsia" w:ascii="宋体" w:hAnsi="宋体"/>
              </w:rPr>
              <w:t>（1）RS485接口，1个；</w:t>
            </w:r>
          </w:p>
          <w:p w14:paraId="0B458C22">
            <w:pPr>
              <w:rPr>
                <w:rFonts w:ascii="宋体" w:hAnsi="宋体"/>
              </w:rPr>
            </w:pPr>
            <w:r>
              <w:rPr>
                <w:rFonts w:hint="eastAsia" w:ascii="宋体" w:hAnsi="宋体"/>
              </w:rPr>
              <w:t>（2）以太网10/100Mbps，RJ451个；</w:t>
            </w:r>
          </w:p>
          <w:p w14:paraId="1FDC8B45">
            <w:pPr>
              <w:rPr>
                <w:rFonts w:ascii="宋体" w:hAnsi="宋体"/>
              </w:rPr>
            </w:pPr>
            <w:r>
              <w:rPr>
                <w:rFonts w:hint="eastAsia" w:ascii="宋体" w:hAnsi="宋体"/>
              </w:rPr>
              <w:t>（3）电源接口，5-36VDC1个；</w:t>
            </w:r>
          </w:p>
          <w:p w14:paraId="15C94D26">
            <w:pPr>
              <w:rPr>
                <w:rFonts w:ascii="宋体" w:hAnsi="宋体"/>
              </w:rPr>
            </w:pPr>
            <w:r>
              <w:rPr>
                <w:rFonts w:hint="eastAsia" w:ascii="宋体" w:hAnsi="宋体"/>
              </w:rPr>
              <w:t>（4）DI接口（最高24V）≥8个；</w:t>
            </w:r>
          </w:p>
          <w:p w14:paraId="7E5445F4">
            <w:pPr>
              <w:rPr>
                <w:rFonts w:ascii="宋体" w:hAnsi="宋体"/>
              </w:rPr>
            </w:pPr>
            <w:r>
              <w:rPr>
                <w:rFonts w:hint="eastAsia" w:ascii="宋体" w:hAnsi="宋体"/>
              </w:rPr>
              <w:t>（5）DO接口（最高24V）≥8个；</w:t>
            </w:r>
          </w:p>
          <w:p w14:paraId="375B2731">
            <w:pPr>
              <w:rPr>
                <w:rFonts w:ascii="宋体" w:hAnsi="宋体"/>
              </w:rPr>
            </w:pPr>
            <w:r>
              <w:rPr>
                <w:rFonts w:hint="eastAsia" w:ascii="宋体" w:hAnsi="宋体"/>
              </w:rPr>
              <w:t>（6）ADC接口3组电流型（最大20mA）或者6个电压型（最高2.5V）；</w:t>
            </w:r>
          </w:p>
          <w:p w14:paraId="1E9CCDA0">
            <w:pPr>
              <w:rPr>
                <w:rFonts w:ascii="宋体" w:hAnsi="宋体"/>
              </w:rPr>
            </w:pPr>
            <w:r>
              <w:rPr>
                <w:rFonts w:hint="eastAsia" w:ascii="宋体" w:hAnsi="宋体"/>
              </w:rPr>
              <w:t>（7）LED，18个；</w:t>
            </w:r>
          </w:p>
          <w:p w14:paraId="61D62913">
            <w:pPr>
              <w:rPr>
                <w:rFonts w:ascii="宋体" w:hAnsi="宋体"/>
              </w:rPr>
            </w:pPr>
            <w:r>
              <w:rPr>
                <w:rFonts w:hint="eastAsia" w:ascii="宋体" w:hAnsi="宋体"/>
              </w:rPr>
              <w:t>（8）WiFi天线SMA接口1个；</w:t>
            </w:r>
          </w:p>
          <w:p w14:paraId="2AAC4857">
            <w:pPr>
              <w:rPr>
                <w:rFonts w:ascii="宋体" w:hAnsi="宋体"/>
              </w:rPr>
            </w:pPr>
            <w:r>
              <w:rPr>
                <w:rFonts w:hint="eastAsia" w:ascii="宋体" w:hAnsi="宋体"/>
              </w:rPr>
              <w:t>（9）恢复设置按键1个。</w:t>
            </w:r>
          </w:p>
          <w:p w14:paraId="4299AB02">
            <w:pPr>
              <w:rPr>
                <w:rFonts w:ascii="宋体" w:hAnsi="宋体"/>
              </w:rPr>
            </w:pPr>
          </w:p>
          <w:p w14:paraId="2AB5A65B">
            <w:pPr>
              <w:rPr>
                <w:rFonts w:ascii="宋体" w:hAnsi="宋体"/>
              </w:rPr>
            </w:pPr>
            <w:r>
              <w:rPr>
                <w:rFonts w:hint="eastAsia" w:ascii="宋体" w:hAnsi="宋体"/>
              </w:rPr>
              <w:t>四输入模拟量通讯模块</w:t>
            </w:r>
          </w:p>
          <w:p w14:paraId="092DE5CD">
            <w:pPr>
              <w:rPr>
                <w:rFonts w:ascii="宋体" w:hAnsi="宋体"/>
              </w:rPr>
            </w:pPr>
            <w:r>
              <w:rPr>
                <w:rFonts w:hint="eastAsia" w:ascii="宋体" w:hAnsi="宋体"/>
              </w:rPr>
              <w:t>1.端口数量：≥4个；</w:t>
            </w:r>
          </w:p>
          <w:p w14:paraId="2A51A7C1">
            <w:pPr>
              <w:rPr>
                <w:rFonts w:ascii="宋体" w:hAnsi="宋体"/>
              </w:rPr>
            </w:pPr>
            <w:r>
              <w:rPr>
                <w:rFonts w:hint="eastAsia" w:ascii="宋体" w:hAnsi="宋体"/>
              </w:rPr>
              <w:t>2.信号输入类型：4～20mA模拟输入。</w:t>
            </w:r>
          </w:p>
          <w:p w14:paraId="37318DD6">
            <w:pPr>
              <w:rPr>
                <w:rFonts w:ascii="宋体" w:hAnsi="宋体"/>
              </w:rPr>
            </w:pPr>
          </w:p>
          <w:p w14:paraId="1DAE1182">
            <w:pPr>
              <w:rPr>
                <w:rFonts w:ascii="宋体" w:hAnsi="宋体"/>
              </w:rPr>
            </w:pPr>
            <w:r>
              <w:rPr>
                <w:rFonts w:hint="eastAsia" w:ascii="宋体" w:hAnsi="宋体"/>
              </w:rPr>
              <w:t>风速传感器</w:t>
            </w:r>
          </w:p>
          <w:p w14:paraId="54A4E2A3">
            <w:pPr>
              <w:rPr>
                <w:rFonts w:ascii="宋体" w:hAnsi="宋体"/>
              </w:rPr>
            </w:pPr>
            <w:r>
              <w:rPr>
                <w:rFonts w:hint="eastAsia" w:ascii="宋体" w:hAnsi="宋体"/>
              </w:rPr>
              <w:t>1.供电电压：12～24VDC；</w:t>
            </w:r>
          </w:p>
          <w:p w14:paraId="2B5A8406">
            <w:pPr>
              <w:rPr>
                <w:rFonts w:ascii="宋体" w:hAnsi="宋体"/>
              </w:rPr>
            </w:pPr>
            <w:r>
              <w:rPr>
                <w:rFonts w:hint="eastAsia" w:ascii="宋体" w:hAnsi="宋体"/>
              </w:rPr>
              <w:t>2.量程：0～30m/s；</w:t>
            </w:r>
          </w:p>
          <w:p w14:paraId="703F9B41">
            <w:pPr>
              <w:rPr>
                <w:rFonts w:ascii="宋体" w:hAnsi="宋体"/>
              </w:rPr>
            </w:pPr>
            <w:r>
              <w:rPr>
                <w:rFonts w:hint="eastAsia" w:ascii="宋体" w:hAnsi="宋体"/>
              </w:rPr>
              <w:t>3.输出信号：4～20mA。</w:t>
            </w:r>
          </w:p>
          <w:p w14:paraId="0374DF35">
            <w:pPr>
              <w:rPr>
                <w:rFonts w:ascii="宋体" w:hAnsi="宋体"/>
              </w:rPr>
            </w:pPr>
          </w:p>
          <w:p w14:paraId="3C456699">
            <w:pPr>
              <w:rPr>
                <w:rFonts w:ascii="宋体" w:hAnsi="宋体"/>
              </w:rPr>
            </w:pPr>
            <w:r>
              <w:rPr>
                <w:rFonts w:hint="eastAsia" w:ascii="宋体" w:hAnsi="宋体"/>
              </w:rPr>
              <w:t>空气质量传感器模块</w:t>
            </w:r>
          </w:p>
          <w:p w14:paraId="7D76177D">
            <w:pPr>
              <w:rPr>
                <w:rFonts w:ascii="宋体" w:hAnsi="宋体"/>
              </w:rPr>
            </w:pPr>
            <w:r>
              <w:rPr>
                <w:rFonts w:hint="eastAsia" w:ascii="宋体" w:hAnsi="宋体"/>
              </w:rPr>
              <w:t>1.空气质量传感器可测量范围：1～30ppm；</w:t>
            </w:r>
          </w:p>
          <w:p w14:paraId="7E64651D">
            <w:pPr>
              <w:rPr>
                <w:rFonts w:ascii="宋体" w:hAnsi="宋体"/>
              </w:rPr>
            </w:pPr>
            <w:r>
              <w:rPr>
                <w:rFonts w:hint="eastAsia" w:ascii="宋体" w:hAnsi="宋体"/>
              </w:rPr>
              <w:t>2.灵敏度：0.15～0.5（10ppmH2阻值/空气中阻值）；</w:t>
            </w:r>
          </w:p>
          <w:p w14:paraId="5DE64A9A">
            <w:pPr>
              <w:rPr>
                <w:rFonts w:ascii="宋体" w:hAnsi="宋体"/>
              </w:rPr>
            </w:pPr>
            <w:r>
              <w:rPr>
                <w:rFonts w:hint="eastAsia" w:ascii="宋体" w:hAnsi="宋体"/>
              </w:rPr>
              <w:t>3.空气质量传感器输出信号：可变电阻值。</w:t>
            </w:r>
          </w:p>
          <w:p w14:paraId="1CCCDA6C">
            <w:pPr>
              <w:rPr>
                <w:rFonts w:ascii="宋体" w:hAnsi="宋体"/>
              </w:rPr>
            </w:pPr>
          </w:p>
          <w:p w14:paraId="18DE75E0">
            <w:pPr>
              <w:rPr>
                <w:rFonts w:ascii="宋体" w:hAnsi="宋体"/>
              </w:rPr>
            </w:pPr>
            <w:r>
              <w:rPr>
                <w:rFonts w:hint="eastAsia" w:ascii="宋体" w:hAnsi="宋体"/>
              </w:rPr>
              <w:t>可燃气体传感器模块</w:t>
            </w:r>
          </w:p>
          <w:p w14:paraId="55106B82">
            <w:pPr>
              <w:rPr>
                <w:rFonts w:ascii="宋体" w:hAnsi="宋体"/>
              </w:rPr>
            </w:pPr>
            <w:r>
              <w:rPr>
                <w:rFonts w:hint="eastAsia" w:ascii="宋体" w:hAnsi="宋体"/>
              </w:rPr>
              <w:t>1.工作电压：DC3V～5.5V；</w:t>
            </w:r>
          </w:p>
          <w:p w14:paraId="5C287E53">
            <w:pPr>
              <w:rPr>
                <w:rFonts w:ascii="宋体" w:hAnsi="宋体"/>
              </w:rPr>
            </w:pPr>
            <w:r>
              <w:rPr>
                <w:rFonts w:hint="eastAsia" w:ascii="宋体" w:hAnsi="宋体"/>
              </w:rPr>
              <w:t>2.测量范围：500～10,000ppm</w:t>
            </w:r>
          </w:p>
          <w:p w14:paraId="78FFD4BC">
            <w:pPr>
              <w:rPr>
                <w:rFonts w:ascii="宋体" w:hAnsi="宋体"/>
              </w:rPr>
            </w:pPr>
          </w:p>
          <w:p w14:paraId="36B5582D">
            <w:pPr>
              <w:rPr>
                <w:rFonts w:ascii="宋体" w:hAnsi="宋体"/>
              </w:rPr>
            </w:pPr>
            <w:r>
              <w:rPr>
                <w:rFonts w:hint="eastAsia" w:ascii="宋体" w:hAnsi="宋体"/>
              </w:rPr>
              <w:t>微波感应开关</w:t>
            </w:r>
          </w:p>
          <w:p w14:paraId="008DB37C">
            <w:pPr>
              <w:rPr>
                <w:rFonts w:ascii="宋体" w:hAnsi="宋体"/>
              </w:rPr>
            </w:pPr>
            <w:r>
              <w:rPr>
                <w:rFonts w:hint="eastAsia" w:ascii="宋体" w:hAnsi="宋体"/>
              </w:rPr>
              <w:t>1.工作电压：DC24V；</w:t>
            </w:r>
          </w:p>
          <w:p w14:paraId="068A1BB6">
            <w:pPr>
              <w:rPr>
                <w:rFonts w:ascii="宋体" w:hAnsi="宋体"/>
              </w:rPr>
            </w:pPr>
            <w:r>
              <w:rPr>
                <w:rFonts w:hint="eastAsia" w:ascii="宋体" w:hAnsi="宋体"/>
              </w:rPr>
              <w:t>2.感应方式：主动式；</w:t>
            </w:r>
          </w:p>
          <w:p w14:paraId="3DAF534A">
            <w:pPr>
              <w:rPr>
                <w:rFonts w:ascii="宋体" w:hAnsi="宋体"/>
              </w:rPr>
            </w:pPr>
            <w:r>
              <w:rPr>
                <w:rFonts w:hint="eastAsia" w:ascii="宋体" w:hAnsi="宋体"/>
              </w:rPr>
              <w:t>3.输出方式：继电器。</w:t>
            </w:r>
          </w:p>
          <w:p w14:paraId="7918E3D3">
            <w:pPr>
              <w:rPr>
                <w:rFonts w:ascii="宋体" w:hAnsi="宋体"/>
              </w:rPr>
            </w:pPr>
          </w:p>
          <w:p w14:paraId="75A46656">
            <w:pPr>
              <w:rPr>
                <w:rFonts w:ascii="宋体" w:hAnsi="宋体"/>
              </w:rPr>
            </w:pPr>
            <w:r>
              <w:rPr>
                <w:rFonts w:hint="eastAsia" w:ascii="宋体" w:hAnsi="宋体"/>
              </w:rPr>
              <w:t>无线路由器</w:t>
            </w:r>
          </w:p>
          <w:p w14:paraId="2AB39070">
            <w:pPr>
              <w:rPr>
                <w:rFonts w:ascii="宋体" w:hAnsi="宋体"/>
              </w:rPr>
            </w:pPr>
            <w:r>
              <w:rPr>
                <w:rFonts w:hint="eastAsia" w:ascii="宋体" w:hAnsi="宋体"/>
              </w:rPr>
              <w:t>1.网络标准：IEEE802.11a，IEEE802.11b，IEEE802.11g；</w:t>
            </w:r>
          </w:p>
          <w:p w14:paraId="543AC4A4">
            <w:pPr>
              <w:rPr>
                <w:rFonts w:ascii="宋体" w:hAnsi="宋体"/>
              </w:rPr>
            </w:pPr>
            <w:r>
              <w:rPr>
                <w:rFonts w:hint="eastAsia" w:ascii="宋体" w:hAnsi="宋体"/>
              </w:rPr>
              <w:t>2.无线速率：2.4GHz频段：300Mbps；5GHz频段：867Mbps；</w:t>
            </w:r>
          </w:p>
          <w:p w14:paraId="5C475E1D">
            <w:pPr>
              <w:rPr>
                <w:rFonts w:ascii="宋体" w:hAnsi="宋体"/>
              </w:rPr>
            </w:pPr>
            <w:r>
              <w:rPr>
                <w:rFonts w:hint="eastAsia" w:ascii="宋体" w:hAnsi="宋体"/>
              </w:rPr>
              <w:t>3.接口数量：≥3个10/100M自适应LAN口、支持自动翻转（AutoMDI/MDIX）和1个10/100M自适应WAN口，支持自动翻转（AutoMDI/MDIX）。</w:t>
            </w:r>
          </w:p>
          <w:p w14:paraId="171FA88E">
            <w:pPr>
              <w:rPr>
                <w:rFonts w:ascii="宋体" w:hAnsi="宋体"/>
              </w:rPr>
            </w:pPr>
          </w:p>
          <w:p w14:paraId="031DF6DF">
            <w:pPr>
              <w:rPr>
                <w:rFonts w:ascii="宋体" w:hAnsi="宋体"/>
              </w:rPr>
            </w:pPr>
            <w:r>
              <w:rPr>
                <w:rFonts w:hint="eastAsia" w:ascii="宋体" w:hAnsi="宋体"/>
              </w:rPr>
              <w:t>实训配件包</w:t>
            </w:r>
          </w:p>
          <w:p w14:paraId="0B993C51">
            <w:pPr>
              <w:rPr>
                <w:rFonts w:ascii="宋体" w:hAnsi="宋体"/>
              </w:rPr>
            </w:pPr>
            <w:r>
              <w:rPr>
                <w:rFonts w:hint="eastAsia" w:ascii="宋体" w:hAnsi="宋体"/>
              </w:rPr>
              <w:t>1.物联网工具包：包含一字螺丝刀、十字螺丝刀、剥线钳、电工钳各；</w:t>
            </w:r>
          </w:p>
          <w:p w14:paraId="3B4541BD">
            <w:pPr>
              <w:rPr>
                <w:rFonts w:ascii="宋体" w:hAnsi="宋体"/>
              </w:rPr>
            </w:pPr>
            <w:r>
              <w:rPr>
                <w:rFonts w:hint="eastAsia" w:ascii="宋体" w:hAnsi="宋体"/>
              </w:rPr>
              <w:t>2.耗材包：包含各种电线、网线、螺丝、螺母、扎线带、电工胶布。</w:t>
            </w:r>
          </w:p>
          <w:p w14:paraId="5A49B9C8">
            <w:pPr>
              <w:rPr>
                <w:rFonts w:ascii="宋体" w:hAnsi="宋体"/>
              </w:rPr>
            </w:pPr>
          </w:p>
          <w:p w14:paraId="4A384B4A">
            <w:pPr>
              <w:rPr>
                <w:rFonts w:ascii="宋体" w:hAnsi="宋体"/>
              </w:rPr>
            </w:pPr>
            <w:r>
              <w:rPr>
                <w:rFonts w:hint="eastAsia" w:ascii="宋体" w:hAnsi="宋体"/>
              </w:rPr>
              <w:t>NB-IOT模块</w:t>
            </w:r>
          </w:p>
          <w:p w14:paraId="08A8BDAB">
            <w:pPr>
              <w:rPr>
                <w:rFonts w:ascii="宋体" w:hAnsi="宋体"/>
              </w:rPr>
            </w:pPr>
            <w:r>
              <w:rPr>
                <w:rFonts w:hint="eastAsia" w:ascii="宋体" w:hAnsi="宋体"/>
              </w:rPr>
              <w:t>1.内置不低于Cortex-M3(32位），主频支持32kHz到32MHz，64KFLASH,16KRAM,4KEEPROM,支持ADC（12位）24个通道；</w:t>
            </w:r>
          </w:p>
          <w:p w14:paraId="51A39CBF">
            <w:pPr>
              <w:rPr>
                <w:rFonts w:ascii="宋体" w:hAnsi="宋体"/>
              </w:rPr>
            </w:pPr>
            <w:r>
              <w:rPr>
                <w:rFonts w:hint="eastAsia" w:ascii="宋体" w:hAnsi="宋体"/>
              </w:rPr>
              <w:t>2.支持频段B8(900MHz),B5(850MHz)；</w:t>
            </w:r>
          </w:p>
          <w:p w14:paraId="4A21579B">
            <w:pPr>
              <w:rPr>
                <w:rFonts w:ascii="宋体" w:hAnsi="宋体"/>
              </w:rPr>
            </w:pPr>
            <w:r>
              <w:rPr>
                <w:rFonts w:hint="eastAsia" w:ascii="宋体" w:hAnsi="宋体"/>
              </w:rPr>
              <w:t>3.支持AT指令：3GPPTR45.820和其它AT扩展指令；</w:t>
            </w:r>
          </w:p>
          <w:p w14:paraId="2BE78881">
            <w:pPr>
              <w:rPr>
                <w:rFonts w:ascii="宋体" w:hAnsi="宋体"/>
              </w:rPr>
            </w:pPr>
            <w:r>
              <w:rPr>
                <w:rFonts w:hint="eastAsia" w:ascii="宋体" w:hAnsi="宋体"/>
              </w:rPr>
              <w:t>4.下载方式支持UART；</w:t>
            </w:r>
          </w:p>
          <w:p w14:paraId="4168127F">
            <w:pPr>
              <w:rPr>
                <w:rFonts w:ascii="宋体" w:hAnsi="宋体"/>
              </w:rPr>
            </w:pPr>
            <w:r>
              <w:rPr>
                <w:rFonts w:hint="eastAsia" w:ascii="宋体" w:hAnsi="宋体"/>
              </w:rPr>
              <w:t>5.支持OLED液晶：分辨率≥128*64；</w:t>
            </w:r>
          </w:p>
          <w:p w14:paraId="4AABF0E9">
            <w:pPr>
              <w:rPr>
                <w:rFonts w:ascii="宋体" w:hAnsi="宋体"/>
              </w:rPr>
            </w:pPr>
            <w:r>
              <w:rPr>
                <w:rFonts w:hint="eastAsia" w:ascii="宋体" w:hAnsi="宋体"/>
              </w:rPr>
              <w:t>6.支持SWD调试接口；</w:t>
            </w:r>
          </w:p>
          <w:p w14:paraId="5861D28C">
            <w:pPr>
              <w:rPr>
                <w:rFonts w:ascii="宋体" w:hAnsi="宋体"/>
              </w:rPr>
            </w:pPr>
            <w:r>
              <w:rPr>
                <w:rFonts w:hint="eastAsia" w:ascii="宋体" w:hAnsi="宋体"/>
              </w:rPr>
              <w:t>7.支持传感器扩展接口。</w:t>
            </w:r>
          </w:p>
          <w:p w14:paraId="5F1AF045">
            <w:pPr>
              <w:rPr>
                <w:rFonts w:ascii="宋体" w:hAnsi="宋体"/>
              </w:rPr>
            </w:pPr>
          </w:p>
          <w:p w14:paraId="06479688">
            <w:pPr>
              <w:rPr>
                <w:rFonts w:ascii="宋体" w:hAnsi="宋体"/>
              </w:rPr>
            </w:pPr>
            <w:r>
              <w:rPr>
                <w:rFonts w:hint="eastAsia" w:ascii="宋体" w:hAnsi="宋体"/>
              </w:rPr>
              <w:t>LORA模块</w:t>
            </w:r>
          </w:p>
          <w:p w14:paraId="53F3CE89">
            <w:pPr>
              <w:rPr>
                <w:rFonts w:ascii="宋体" w:hAnsi="宋体"/>
              </w:rPr>
            </w:pPr>
            <w:r>
              <w:rPr>
                <w:rFonts w:hint="eastAsia" w:ascii="宋体" w:hAnsi="宋体"/>
              </w:rPr>
              <w:t>1.模块工作电压：3.3V，5V；</w:t>
            </w:r>
          </w:p>
          <w:p w14:paraId="5E2EE05F">
            <w:pPr>
              <w:rPr>
                <w:rFonts w:ascii="宋体" w:hAnsi="宋体"/>
              </w:rPr>
            </w:pPr>
            <w:r>
              <w:rPr>
                <w:rFonts w:hint="eastAsia" w:ascii="宋体" w:hAnsi="宋体"/>
              </w:rPr>
              <w:t>2.无线工作频段：401-510MHz；</w:t>
            </w:r>
          </w:p>
          <w:p w14:paraId="548AAAAA">
            <w:pPr>
              <w:rPr>
                <w:rFonts w:ascii="宋体" w:hAnsi="宋体"/>
              </w:rPr>
            </w:pPr>
            <w:r>
              <w:rPr>
                <w:rFonts w:hint="eastAsia" w:ascii="宋体" w:hAnsi="宋体"/>
              </w:rPr>
              <w:t>3.无线发射功率：Max.19±1dBm，接收灵敏度：-136±1dBm(@250bps)；</w:t>
            </w:r>
          </w:p>
          <w:p w14:paraId="1F507150">
            <w:pPr>
              <w:rPr>
                <w:rFonts w:ascii="宋体" w:hAnsi="宋体"/>
              </w:rPr>
            </w:pPr>
            <w:r>
              <w:rPr>
                <w:rFonts w:hint="eastAsia" w:ascii="宋体" w:hAnsi="宋体"/>
              </w:rPr>
              <w:t>4.采用LoRa调制方式，同时兼容并支持FSK,GFSK,OOK传统调制方式；</w:t>
            </w:r>
          </w:p>
          <w:p w14:paraId="5BED8920">
            <w:pPr>
              <w:rPr>
                <w:rFonts w:ascii="宋体" w:hAnsi="宋体"/>
              </w:rPr>
            </w:pPr>
            <w:r>
              <w:rPr>
                <w:rFonts w:hint="eastAsia" w:ascii="宋体" w:hAnsi="宋体"/>
              </w:rPr>
              <w:t>5.支持硬件跳频（FHSS）；</w:t>
            </w:r>
          </w:p>
          <w:p w14:paraId="71ECDF8A">
            <w:pPr>
              <w:rPr>
                <w:rFonts w:ascii="宋体" w:hAnsi="宋体"/>
              </w:rPr>
            </w:pPr>
            <w:r>
              <w:rPr>
                <w:rFonts w:hint="eastAsia" w:ascii="宋体" w:hAnsi="宋体"/>
              </w:rPr>
              <w:t>6.与MCU的通讯接口须为SPI；</w:t>
            </w:r>
          </w:p>
          <w:p w14:paraId="1C4C1B91">
            <w:pPr>
              <w:rPr>
                <w:rFonts w:ascii="宋体" w:hAnsi="宋体"/>
              </w:rPr>
            </w:pPr>
            <w:r>
              <w:rPr>
                <w:rFonts w:hint="eastAsia" w:ascii="宋体" w:hAnsi="宋体"/>
              </w:rPr>
              <w:t>7.板载性能不低于M3核微处理器，主频最高32MHz，1.25DMIPS/MHz，64KbytesFlash，32KbytesRAM，4KbytesDataEEPROM，SWD调试接口，UART程序下载；</w:t>
            </w:r>
          </w:p>
          <w:p w14:paraId="433D4465">
            <w:pPr>
              <w:rPr>
                <w:rFonts w:ascii="宋体" w:hAnsi="宋体"/>
              </w:rPr>
            </w:pPr>
            <w:r>
              <w:rPr>
                <w:rFonts w:hint="eastAsia" w:ascii="宋体" w:hAnsi="宋体"/>
              </w:rPr>
              <w:t>8.须支持SPI/I2C接口的OLED屏；</w:t>
            </w:r>
          </w:p>
          <w:p w14:paraId="4111BC9D">
            <w:pPr>
              <w:rPr>
                <w:rFonts w:ascii="宋体" w:hAnsi="宋体"/>
              </w:rPr>
            </w:pPr>
            <w:r>
              <w:rPr>
                <w:rFonts w:hint="eastAsia" w:ascii="宋体" w:hAnsi="宋体"/>
              </w:rPr>
              <w:t>9.须带扩展接口，可以连接各种实验箱传感器小模块；</w:t>
            </w:r>
          </w:p>
          <w:p w14:paraId="1290CC82">
            <w:pPr>
              <w:rPr>
                <w:rFonts w:ascii="宋体" w:hAnsi="宋体"/>
              </w:rPr>
            </w:pPr>
            <w:r>
              <w:rPr>
                <w:rFonts w:hint="eastAsia" w:ascii="宋体" w:hAnsi="宋体"/>
              </w:rPr>
              <w:t>10.支持全速USB2.0接口。</w:t>
            </w:r>
          </w:p>
          <w:p w14:paraId="6ECA8545">
            <w:pPr>
              <w:rPr>
                <w:rFonts w:ascii="宋体" w:hAnsi="宋体"/>
              </w:rPr>
            </w:pPr>
          </w:p>
          <w:p w14:paraId="4745C550">
            <w:pPr>
              <w:rPr>
                <w:rFonts w:ascii="宋体" w:hAnsi="宋体"/>
              </w:rPr>
            </w:pPr>
            <w:r>
              <w:rPr>
                <w:rFonts w:hint="eastAsia" w:ascii="宋体" w:hAnsi="宋体"/>
              </w:rPr>
              <w:t>多功能底座</w:t>
            </w:r>
          </w:p>
          <w:p w14:paraId="6D4E52A6">
            <w:pPr>
              <w:rPr>
                <w:rFonts w:ascii="宋体" w:hAnsi="宋体"/>
              </w:rPr>
            </w:pPr>
            <w:r>
              <w:rPr>
                <w:rFonts w:hint="eastAsia" w:ascii="宋体" w:hAnsi="宋体"/>
              </w:rPr>
              <w:t>1.</w:t>
            </w:r>
            <w:r>
              <w:rPr>
                <w:rFonts w:hint="eastAsia" w:ascii="宋体" w:hAnsi="宋体" w:cs="宋体"/>
                <w:color w:val="000000" w:themeColor="text1"/>
                <w14:textFill>
                  <w14:solidFill>
                    <w14:schemeClr w14:val="tx1"/>
                  </w14:solidFill>
                </w14:textFill>
              </w:rPr>
              <w:t>★</w:t>
            </w:r>
            <w:r>
              <w:rPr>
                <w:rFonts w:hint="eastAsia" w:ascii="宋体" w:hAnsi="宋体"/>
              </w:rPr>
              <w:t>支持USB供电，采用USB-B型母口；内置不低于1000mAh可充电锂电池，其接入状态可通过滑动开关切换，并带有充电管理功能，电池充电状态通过指示灯提示；</w:t>
            </w:r>
          </w:p>
          <w:p w14:paraId="6A5EC6DD">
            <w:pPr>
              <w:rPr>
                <w:rFonts w:ascii="宋体" w:hAnsi="宋体"/>
              </w:rPr>
            </w:pPr>
            <w:r>
              <w:rPr>
                <w:rFonts w:hint="eastAsia" w:ascii="宋体" w:hAnsi="宋体"/>
              </w:rPr>
              <w:t>2.</w:t>
            </w:r>
            <w:r>
              <w:rPr>
                <w:rFonts w:hint="eastAsia" w:ascii="宋体" w:hAnsi="宋体" w:cs="宋体"/>
                <w:color w:val="000000" w:themeColor="text1"/>
                <w14:textFill>
                  <w14:solidFill>
                    <w14:schemeClr w14:val="tx1"/>
                  </w14:solidFill>
                </w14:textFill>
              </w:rPr>
              <w:t>★</w:t>
            </w:r>
            <w:r>
              <w:rPr>
                <w:rFonts w:hint="eastAsia" w:ascii="宋体" w:hAnsi="宋体"/>
              </w:rPr>
              <w:t>具备至少一个RS-485接口，可将NB-IOT、LoRa的实验模块连接到其它带有RS-485通信接口的设备；</w:t>
            </w:r>
          </w:p>
          <w:p w14:paraId="0DEE91DF">
            <w:pPr>
              <w:rPr>
                <w:rFonts w:ascii="宋体" w:hAnsi="宋体"/>
              </w:rPr>
            </w:pPr>
            <w:r>
              <w:rPr>
                <w:rFonts w:hint="eastAsia" w:ascii="宋体" w:hAnsi="宋体"/>
              </w:rPr>
              <w:t>3.内置UART-USB2.0转换电路，实现实验模块与PC机的数据通信。</w:t>
            </w:r>
          </w:p>
          <w:p w14:paraId="0ACCDA0F">
            <w:pPr>
              <w:rPr>
                <w:rFonts w:ascii="宋体" w:hAnsi="宋体"/>
              </w:rPr>
            </w:pPr>
          </w:p>
          <w:p w14:paraId="4887F871">
            <w:pPr>
              <w:rPr>
                <w:rFonts w:ascii="宋体" w:hAnsi="宋体"/>
              </w:rPr>
            </w:pPr>
            <w:r>
              <w:rPr>
                <w:rFonts w:hint="eastAsia" w:ascii="宋体" w:hAnsi="宋体"/>
              </w:rPr>
              <w:t>可定义传感器（支持LoRa通讯）</w:t>
            </w:r>
          </w:p>
          <w:p w14:paraId="3654D4B9">
            <w:pPr>
              <w:rPr>
                <w:rFonts w:ascii="宋体" w:hAnsi="宋体"/>
              </w:rPr>
            </w:pPr>
            <w:r>
              <w:rPr>
                <w:rFonts w:hint="eastAsia" w:ascii="宋体" w:hAnsi="宋体"/>
              </w:rPr>
              <w:t>1.支持通过服务下发的方式，对传感器类型、连接方式、传输协议和生成数据进行自定义。</w:t>
            </w:r>
          </w:p>
          <w:p w14:paraId="5591AE31">
            <w:pPr>
              <w:rPr>
                <w:rFonts w:ascii="宋体" w:hAnsi="宋体"/>
              </w:rPr>
            </w:pPr>
            <w:r>
              <w:rPr>
                <w:rFonts w:hint="eastAsia" w:ascii="宋体" w:hAnsi="宋体"/>
              </w:rPr>
              <w:t>2.自定义传感器模拟出的传感器数据并通过网关传输到云平台。</w:t>
            </w:r>
          </w:p>
          <w:p w14:paraId="75039C02">
            <w:pPr>
              <w:rPr>
                <w:rFonts w:ascii="宋体" w:hAnsi="宋体"/>
              </w:rPr>
            </w:pPr>
            <w:r>
              <w:rPr>
                <w:rFonts w:hint="eastAsia" w:ascii="宋体" w:hAnsi="宋体"/>
              </w:rPr>
              <w:t>3.工作电压：DC12V</w:t>
            </w:r>
          </w:p>
          <w:p w14:paraId="1EA2855D">
            <w:pPr>
              <w:rPr>
                <w:rFonts w:ascii="宋体" w:hAnsi="宋体"/>
              </w:rPr>
            </w:pPr>
            <w:r>
              <w:rPr>
                <w:rFonts w:hint="eastAsia" w:ascii="宋体" w:hAnsi="宋体"/>
              </w:rPr>
              <w:t>4.通讯协议：支持WiFi、LoRa、RS485通讯</w:t>
            </w:r>
          </w:p>
          <w:p w14:paraId="277EB9FB">
            <w:pPr>
              <w:rPr>
                <w:rFonts w:ascii="宋体" w:hAnsi="宋体"/>
              </w:rPr>
            </w:pPr>
            <w:r>
              <w:rPr>
                <w:rFonts w:hint="eastAsia" w:ascii="宋体" w:hAnsi="宋体"/>
              </w:rPr>
              <w:t>（1）LoRa技术参数：工作频段：401～510MHz(禁用频点416MHz、448MHz、450MHz、480MHz、485MHz)；无线发射功率：Max.19±1dBm，接收灵敏度：-136±1dBm(@250bps)；通信距离：≥5km；通信速率：OOK调制时1.2～32.738kbps，LoRa调制时0.2～37.5kbps；采用LoRa调制方式，兼容并支持传统调制方式，支持硬件跳频（FHSS）；</w:t>
            </w:r>
          </w:p>
          <w:p w14:paraId="582FBF89">
            <w:pPr>
              <w:rPr>
                <w:rFonts w:ascii="宋体" w:hAnsi="宋体"/>
              </w:rPr>
            </w:pPr>
            <w:r>
              <w:rPr>
                <w:rFonts w:hint="eastAsia" w:ascii="宋体" w:hAnsi="宋体"/>
              </w:rPr>
              <w:t>（2）WiFi技术参数：兼容IEEE802.11b/g/n协议，内置完整TCP/IP协议栈；WiFi@2.4GHz，支持WPA/WPA2安全模式；支持TCP、UDP、HTTP、FTP；支持Station/SoftAP/SoftAP+Station无线网络模式；</w:t>
            </w:r>
          </w:p>
          <w:p w14:paraId="1F1343B4">
            <w:pPr>
              <w:rPr>
                <w:rFonts w:ascii="宋体" w:hAnsi="宋体"/>
              </w:rPr>
            </w:pPr>
            <w:r>
              <w:rPr>
                <w:rFonts w:hint="eastAsia" w:ascii="宋体" w:hAnsi="宋体"/>
              </w:rPr>
              <w:t>5.输出接口：具备1路12-bit电流源输出，输出电流范围可编程设置为4～20mA、0～20mA或者0～24mA，输出温漂±3ppm/℃；具备1路12-bitDAC输出，采样率最高3.2Msps，输出电压不大于3.3V；具备1路脉冲输出（3.3V逻辑电平，非隔离）；</w:t>
            </w:r>
          </w:p>
          <w:p w14:paraId="313B3A7D">
            <w:pPr>
              <w:rPr>
                <w:rFonts w:ascii="宋体" w:hAnsi="宋体"/>
              </w:rPr>
            </w:pPr>
            <w:r>
              <w:rPr>
                <w:rFonts w:hint="eastAsia" w:ascii="宋体" w:hAnsi="宋体"/>
              </w:rPr>
              <w:t>6.外型尺寸（长*宽*高）不超过：90*70*60MM（含天线）。</w:t>
            </w:r>
          </w:p>
          <w:p w14:paraId="66EDF4DF">
            <w:pPr>
              <w:rPr>
                <w:rFonts w:ascii="宋体" w:hAnsi="宋体"/>
              </w:rPr>
            </w:pPr>
          </w:p>
          <w:p w14:paraId="416528AC">
            <w:pPr>
              <w:rPr>
                <w:rFonts w:ascii="宋体" w:hAnsi="宋体"/>
              </w:rPr>
            </w:pPr>
            <w:r>
              <w:rPr>
                <w:rFonts w:hint="eastAsia" w:ascii="宋体" w:hAnsi="宋体"/>
              </w:rPr>
              <w:t>可定义传感器（支持模拟输出）</w:t>
            </w:r>
          </w:p>
          <w:p w14:paraId="7C16BA96">
            <w:pPr>
              <w:rPr>
                <w:rFonts w:ascii="宋体" w:hAnsi="宋体"/>
              </w:rPr>
            </w:pPr>
            <w:r>
              <w:rPr>
                <w:rFonts w:hint="eastAsia" w:ascii="宋体" w:hAnsi="宋体"/>
              </w:rPr>
              <w:t>1.支持通过服务下发的方式，对传感器类型、连接方式、传输协议和生成数据进行自定义。</w:t>
            </w:r>
          </w:p>
          <w:p w14:paraId="7DF3F2A9">
            <w:pPr>
              <w:rPr>
                <w:rFonts w:ascii="宋体" w:hAnsi="宋体"/>
              </w:rPr>
            </w:pPr>
            <w:r>
              <w:rPr>
                <w:rFonts w:hint="eastAsia" w:ascii="宋体" w:hAnsi="宋体"/>
              </w:rPr>
              <w:t>2.▲可定义传感器可模拟出多种传感器数据并输出模拟信号。</w:t>
            </w:r>
            <w:bookmarkStart w:id="323" w:name="OLE_LINK13"/>
            <w:r>
              <w:rPr>
                <w:rFonts w:hint="eastAsia" w:ascii="宋体" w:hAnsi="宋体"/>
              </w:rPr>
              <w:t>（提供演示视频及截图证明）</w:t>
            </w:r>
          </w:p>
          <w:bookmarkEnd w:id="323"/>
          <w:p w14:paraId="29F9EA43">
            <w:pPr>
              <w:rPr>
                <w:rFonts w:ascii="宋体" w:hAnsi="宋体"/>
              </w:rPr>
            </w:pPr>
            <w:r>
              <w:rPr>
                <w:rFonts w:hint="eastAsia" w:ascii="宋体" w:hAnsi="宋体"/>
              </w:rPr>
              <w:t>3.工作电压：DC12V</w:t>
            </w:r>
          </w:p>
          <w:p w14:paraId="06C702F0">
            <w:pPr>
              <w:rPr>
                <w:rFonts w:ascii="宋体" w:hAnsi="宋体"/>
              </w:rPr>
            </w:pPr>
            <w:r>
              <w:rPr>
                <w:rFonts w:hint="eastAsia" w:ascii="宋体" w:hAnsi="宋体"/>
              </w:rPr>
              <w:t>4.通讯协议：支持WiFi、RS485通讯</w:t>
            </w:r>
          </w:p>
          <w:p w14:paraId="1349382B">
            <w:pPr>
              <w:rPr>
                <w:rFonts w:ascii="宋体" w:hAnsi="宋体"/>
              </w:rPr>
            </w:pPr>
            <w:r>
              <w:rPr>
                <w:rFonts w:hint="eastAsia" w:ascii="宋体" w:hAnsi="宋体"/>
              </w:rPr>
              <w:t>（1）WiFi技术参数：兼容IEEE802.11b/g/n协议，内置完整TCP/IP协议栈；WiFi@2.4GHz，支持WPA/WPA2安全模式；支持TCP、UDP、HTTP、FTP；支持Station/SoftAP/SoftAP+Station无线网络模式；</w:t>
            </w:r>
          </w:p>
          <w:p w14:paraId="2371ADFD">
            <w:pPr>
              <w:rPr>
                <w:rFonts w:ascii="宋体" w:hAnsi="宋体"/>
              </w:rPr>
            </w:pPr>
            <w:r>
              <w:rPr>
                <w:rFonts w:hint="eastAsia" w:ascii="宋体" w:hAnsi="宋体"/>
              </w:rPr>
              <w:t>5.输出接口：具备1路12-bit电流源输出，输出电流范围可编程设置为4～20mA、0～20mA或者0～24mA，输出温漂±3ppm/℃；具备1路12-bitDAC输出，采样率最高3.2Msps，输出电压不大于3.3V；具备1路脉冲输出（3.3V逻辑电平，非隔离）；</w:t>
            </w:r>
          </w:p>
          <w:p w14:paraId="13341C91">
            <w:pPr>
              <w:rPr>
                <w:rFonts w:ascii="宋体" w:hAnsi="宋体"/>
              </w:rPr>
            </w:pPr>
            <w:r>
              <w:rPr>
                <w:rFonts w:hint="eastAsia" w:ascii="宋体" w:hAnsi="宋体"/>
              </w:rPr>
              <w:t>6.外型尺寸（长*宽*高）不超过：90*70*60MM（含天线）。</w:t>
            </w:r>
          </w:p>
          <w:p w14:paraId="23519066">
            <w:pPr>
              <w:rPr>
                <w:rFonts w:ascii="宋体" w:hAnsi="宋体"/>
              </w:rPr>
            </w:pPr>
          </w:p>
          <w:p w14:paraId="25C15749">
            <w:pPr>
              <w:rPr>
                <w:rFonts w:ascii="宋体" w:hAnsi="宋体"/>
              </w:rPr>
            </w:pPr>
            <w:r>
              <w:rPr>
                <w:rFonts w:hint="eastAsia" w:ascii="宋体" w:hAnsi="宋体"/>
              </w:rPr>
              <w:t>LoRa网关</w:t>
            </w:r>
          </w:p>
          <w:p w14:paraId="28CF71C1">
            <w:pPr>
              <w:rPr>
                <w:rFonts w:ascii="宋体" w:hAnsi="宋体"/>
              </w:rPr>
            </w:pPr>
            <w:r>
              <w:rPr>
                <w:rFonts w:hint="eastAsia" w:ascii="宋体" w:hAnsi="宋体"/>
              </w:rPr>
              <w:t>1.工作电压：DC5V</w:t>
            </w:r>
          </w:p>
          <w:p w14:paraId="00A5628F">
            <w:pPr>
              <w:rPr>
                <w:rFonts w:ascii="宋体" w:hAnsi="宋体"/>
              </w:rPr>
            </w:pPr>
            <w:r>
              <w:rPr>
                <w:rFonts w:hint="eastAsia" w:ascii="宋体" w:hAnsi="宋体"/>
              </w:rPr>
              <w:t>2.通讯协议：支持LoRa、WiFi、以太网通讯</w:t>
            </w:r>
          </w:p>
          <w:p w14:paraId="2563D45C">
            <w:pPr>
              <w:rPr>
                <w:rFonts w:ascii="宋体" w:hAnsi="宋体"/>
              </w:rPr>
            </w:pPr>
            <w:r>
              <w:rPr>
                <w:rFonts w:hint="eastAsia" w:ascii="宋体" w:hAnsi="宋体"/>
              </w:rPr>
              <w:t>（1）WiFi技术参数：兼容IEEE802.11b/g/n协议，内置完整TCP/IP协议栈；WiFi@2.4GHz，支持WPA/WPA2安全模式；支持TCP、UDP、HTTP、FTP；支持Station/SoftAP/SoftAP+Station无线网络模式；</w:t>
            </w:r>
          </w:p>
          <w:p w14:paraId="43B2A7BF">
            <w:pPr>
              <w:rPr>
                <w:rFonts w:ascii="宋体" w:hAnsi="宋体"/>
              </w:rPr>
            </w:pPr>
            <w:r>
              <w:rPr>
                <w:rFonts w:hint="eastAsia" w:ascii="宋体" w:hAnsi="宋体"/>
              </w:rPr>
              <w:t>（2）LoRa技术参数：工作频段：410～441MHz；支持多种调制模式，LoRa/FSK/GFSK/MSK/GMSK/OOK；无线发射功率：约30dBm（最大功率约1W），接收灵敏度：约-148dBm；通信距离：≥10km（测试环境下）；空中速率：LoRa模式下0.018k～37.5kbps，FSK模式下支持≥300kbps；</w:t>
            </w:r>
          </w:p>
          <w:p w14:paraId="4848BF1B">
            <w:pPr>
              <w:rPr>
                <w:rFonts w:ascii="宋体" w:hAnsi="宋体"/>
              </w:rPr>
            </w:pPr>
            <w:r>
              <w:rPr>
                <w:rFonts w:hint="eastAsia" w:ascii="宋体" w:hAnsi="宋体"/>
              </w:rPr>
              <w:t>（3）以太网技术参数：集成硬件TCP/IP协议栈，支持TCP、IPv4、ARP、ICMP、IGMP以及PPPoE协议；内嵌10/100Mbps以太网数据链路层和物理层；支持自动协商（全双工/半双工模式）；支持8个独立的端口（Socket）同时连接。</w:t>
            </w:r>
          </w:p>
          <w:p w14:paraId="00BFBCD9">
            <w:pPr>
              <w:rPr>
                <w:rFonts w:ascii="宋体" w:hAnsi="宋体"/>
              </w:rPr>
            </w:pPr>
          </w:p>
          <w:p w14:paraId="0414C460">
            <w:pPr>
              <w:rPr>
                <w:rFonts w:ascii="宋体" w:hAnsi="宋体"/>
              </w:rPr>
            </w:pPr>
            <w:r>
              <w:rPr>
                <w:rFonts w:hint="eastAsia" w:ascii="宋体" w:hAnsi="宋体"/>
              </w:rPr>
              <w:t>UHF射频读写器</w:t>
            </w:r>
          </w:p>
          <w:p w14:paraId="2549983F">
            <w:pPr>
              <w:rPr>
                <w:rFonts w:ascii="宋体" w:hAnsi="宋体"/>
              </w:rPr>
            </w:pPr>
            <w:r>
              <w:rPr>
                <w:rFonts w:hint="eastAsia" w:ascii="宋体" w:hAnsi="宋体"/>
              </w:rPr>
              <w:t>1.充分支持符合ISO18000-6B标准的电子标签；</w:t>
            </w:r>
          </w:p>
          <w:p w14:paraId="035218DA">
            <w:pPr>
              <w:rPr>
                <w:rFonts w:ascii="宋体" w:hAnsi="宋体"/>
              </w:rPr>
            </w:pPr>
            <w:r>
              <w:rPr>
                <w:rFonts w:hint="eastAsia" w:ascii="宋体" w:hAnsi="宋体"/>
              </w:rPr>
              <w:t>2.工作频率：902～928MHz；</w:t>
            </w:r>
          </w:p>
          <w:p w14:paraId="3EC5F7BF">
            <w:pPr>
              <w:rPr>
                <w:rFonts w:ascii="宋体" w:hAnsi="宋体"/>
              </w:rPr>
            </w:pPr>
            <w:r>
              <w:rPr>
                <w:rFonts w:hint="eastAsia" w:ascii="宋体" w:hAnsi="宋体"/>
              </w:rPr>
              <w:t>3.支持RS232用户接口。</w:t>
            </w:r>
          </w:p>
          <w:p w14:paraId="15C53FE1">
            <w:pPr>
              <w:rPr>
                <w:rFonts w:ascii="宋体" w:hAnsi="宋体"/>
              </w:rPr>
            </w:pPr>
          </w:p>
          <w:p w14:paraId="44A31435">
            <w:pPr>
              <w:rPr>
                <w:rFonts w:ascii="宋体" w:hAnsi="宋体"/>
              </w:rPr>
            </w:pPr>
            <w:r>
              <w:rPr>
                <w:rFonts w:hint="eastAsia" w:ascii="宋体" w:hAnsi="宋体"/>
              </w:rPr>
              <w:t>二维码扫描枪</w:t>
            </w:r>
          </w:p>
          <w:p w14:paraId="281BE57D">
            <w:pPr>
              <w:rPr>
                <w:rFonts w:ascii="宋体" w:hAnsi="宋体"/>
              </w:rPr>
            </w:pPr>
            <w:r>
              <w:rPr>
                <w:rFonts w:hint="eastAsia" w:ascii="宋体" w:hAnsi="宋体"/>
              </w:rPr>
              <w:t>1.工作电压：DC5V；</w:t>
            </w:r>
          </w:p>
          <w:p w14:paraId="5D7BADF1">
            <w:pPr>
              <w:rPr>
                <w:rFonts w:ascii="宋体" w:hAnsi="宋体"/>
              </w:rPr>
            </w:pPr>
            <w:r>
              <w:rPr>
                <w:rFonts w:hint="eastAsia" w:ascii="宋体" w:hAnsi="宋体"/>
              </w:rPr>
              <w:t>2.识读码制：应至少支持PDF417,QRCode,DataMatrix码制；</w:t>
            </w:r>
          </w:p>
          <w:p w14:paraId="3FB676CB">
            <w:pPr>
              <w:rPr>
                <w:rFonts w:ascii="宋体" w:hAnsi="宋体"/>
              </w:rPr>
            </w:pPr>
            <w:r>
              <w:rPr>
                <w:rFonts w:hint="eastAsia" w:ascii="宋体" w:hAnsi="宋体"/>
              </w:rPr>
              <w:t>3.通讯接口：USB。</w:t>
            </w:r>
          </w:p>
          <w:p w14:paraId="09326F84">
            <w:pPr>
              <w:rPr>
                <w:rFonts w:ascii="宋体" w:hAnsi="宋体"/>
              </w:rPr>
            </w:pPr>
          </w:p>
          <w:p w14:paraId="739C753D">
            <w:pPr>
              <w:rPr>
                <w:rFonts w:ascii="宋体" w:hAnsi="宋体"/>
              </w:rPr>
            </w:pPr>
            <w:r>
              <w:rPr>
                <w:rFonts w:hint="eastAsia" w:ascii="宋体" w:hAnsi="宋体"/>
              </w:rPr>
              <w:t>低频读写器</w:t>
            </w:r>
          </w:p>
          <w:p w14:paraId="17525FD0">
            <w:pPr>
              <w:rPr>
                <w:rFonts w:ascii="宋体" w:hAnsi="宋体"/>
              </w:rPr>
            </w:pPr>
            <w:r>
              <w:rPr>
                <w:rFonts w:hint="eastAsia" w:ascii="宋体" w:hAnsi="宋体"/>
              </w:rPr>
              <w:t>1.感应距离：1cm～15cm；</w:t>
            </w:r>
          </w:p>
          <w:p w14:paraId="4C7D906F">
            <w:pPr>
              <w:rPr>
                <w:rFonts w:ascii="宋体" w:hAnsi="宋体"/>
              </w:rPr>
            </w:pPr>
            <w:r>
              <w:rPr>
                <w:rFonts w:hint="eastAsia" w:ascii="宋体" w:hAnsi="宋体"/>
              </w:rPr>
              <w:t>2.输出数据：十位十进制数字；</w:t>
            </w:r>
          </w:p>
          <w:p w14:paraId="411AC8AC">
            <w:pPr>
              <w:rPr>
                <w:rFonts w:ascii="宋体" w:hAnsi="宋体"/>
              </w:rPr>
            </w:pPr>
            <w:r>
              <w:rPr>
                <w:rFonts w:hint="eastAsia" w:ascii="宋体" w:hAnsi="宋体"/>
              </w:rPr>
              <w:t>3.接口类型：USB。</w:t>
            </w:r>
          </w:p>
          <w:p w14:paraId="27A549E0">
            <w:pPr>
              <w:rPr>
                <w:rFonts w:ascii="宋体" w:hAnsi="宋体"/>
              </w:rPr>
            </w:pPr>
          </w:p>
          <w:p w14:paraId="27255C95">
            <w:pPr>
              <w:rPr>
                <w:rFonts w:ascii="宋体" w:hAnsi="宋体"/>
              </w:rPr>
            </w:pPr>
            <w:r>
              <w:rPr>
                <w:rFonts w:hint="eastAsia" w:ascii="宋体" w:hAnsi="宋体"/>
              </w:rPr>
              <w:t>RGB调光控制器</w:t>
            </w:r>
          </w:p>
          <w:p w14:paraId="1E23C345">
            <w:pPr>
              <w:rPr>
                <w:rFonts w:ascii="宋体" w:hAnsi="宋体"/>
              </w:rPr>
            </w:pPr>
            <w:r>
              <w:rPr>
                <w:rFonts w:hint="eastAsia" w:ascii="宋体" w:hAnsi="宋体"/>
              </w:rPr>
              <w:t>1.工作电压：DC7～30V；</w:t>
            </w:r>
          </w:p>
          <w:p w14:paraId="62AD9039">
            <w:pPr>
              <w:rPr>
                <w:rFonts w:ascii="宋体" w:hAnsi="宋体"/>
              </w:rPr>
            </w:pPr>
            <w:r>
              <w:rPr>
                <w:rFonts w:hint="eastAsia" w:ascii="宋体" w:hAnsi="宋体"/>
              </w:rPr>
              <w:t>2.数据接口：RS485；</w:t>
            </w:r>
          </w:p>
          <w:p w14:paraId="7B02EC0F">
            <w:pPr>
              <w:rPr>
                <w:rFonts w:ascii="宋体" w:hAnsi="宋体"/>
              </w:rPr>
            </w:pPr>
            <w:r>
              <w:rPr>
                <w:rFonts w:hint="eastAsia" w:ascii="宋体" w:hAnsi="宋体"/>
              </w:rPr>
              <w:t>3.输出频率：0.01Hz-10KHz可调；</w:t>
            </w:r>
          </w:p>
          <w:p w14:paraId="4C2DBA7B">
            <w:pPr>
              <w:rPr>
                <w:rFonts w:ascii="宋体" w:hAnsi="宋体"/>
              </w:rPr>
            </w:pPr>
            <w:r>
              <w:rPr>
                <w:rFonts w:hint="eastAsia" w:ascii="宋体" w:hAnsi="宋体"/>
              </w:rPr>
              <w:t>4.PWM占空比：0～255/0～10000。</w:t>
            </w:r>
          </w:p>
          <w:p w14:paraId="187074D7">
            <w:pPr>
              <w:rPr>
                <w:rFonts w:ascii="宋体" w:hAnsi="宋体"/>
              </w:rPr>
            </w:pPr>
          </w:p>
          <w:p w14:paraId="47BE329F">
            <w:pPr>
              <w:rPr>
                <w:rFonts w:ascii="宋体" w:hAnsi="宋体"/>
              </w:rPr>
            </w:pPr>
            <w:r>
              <w:rPr>
                <w:rFonts w:hint="eastAsia" w:ascii="宋体" w:hAnsi="宋体"/>
              </w:rPr>
              <w:t>RGB灯条</w:t>
            </w:r>
          </w:p>
          <w:p w14:paraId="1B72186B">
            <w:pPr>
              <w:rPr>
                <w:rFonts w:ascii="宋体" w:hAnsi="宋体"/>
              </w:rPr>
            </w:pPr>
            <w:r>
              <w:rPr>
                <w:rFonts w:hint="eastAsia" w:ascii="宋体" w:hAnsi="宋体"/>
              </w:rPr>
              <w:t>1.工作电压：DC24V；</w:t>
            </w:r>
          </w:p>
          <w:p w14:paraId="3FD15DAA">
            <w:pPr>
              <w:rPr>
                <w:rFonts w:ascii="宋体" w:hAnsi="宋体"/>
              </w:rPr>
            </w:pPr>
            <w:r>
              <w:rPr>
                <w:rFonts w:hint="eastAsia" w:ascii="宋体" w:hAnsi="宋体"/>
              </w:rPr>
              <w:t>2.颜色：应至少支持红、绿、蓝3种颜色。</w:t>
            </w:r>
          </w:p>
          <w:p w14:paraId="57E3C8E8">
            <w:pPr>
              <w:rPr>
                <w:rFonts w:ascii="宋体" w:hAnsi="宋体"/>
              </w:rPr>
            </w:pPr>
          </w:p>
          <w:p w14:paraId="3F17685E">
            <w:pPr>
              <w:rPr>
                <w:rFonts w:ascii="宋体" w:hAnsi="宋体"/>
              </w:rPr>
            </w:pPr>
            <w:r>
              <w:rPr>
                <w:rFonts w:hint="eastAsia" w:ascii="宋体" w:hAnsi="宋体"/>
              </w:rPr>
              <w:t>USBHUB</w:t>
            </w:r>
          </w:p>
          <w:p w14:paraId="13EBE49B">
            <w:pPr>
              <w:rPr>
                <w:rFonts w:ascii="宋体" w:hAnsi="宋体"/>
              </w:rPr>
            </w:pPr>
            <w:r>
              <w:rPr>
                <w:rFonts w:hint="eastAsia" w:ascii="宋体" w:hAnsi="宋体"/>
              </w:rPr>
              <w:t>1.输出接口：≥4个USB3.0；</w:t>
            </w:r>
          </w:p>
          <w:p w14:paraId="20F3FD98">
            <w:pPr>
              <w:rPr>
                <w:rFonts w:ascii="宋体" w:hAnsi="宋体"/>
              </w:rPr>
            </w:pPr>
            <w:r>
              <w:rPr>
                <w:rFonts w:hint="eastAsia" w:ascii="宋体" w:hAnsi="宋体"/>
              </w:rPr>
              <w:t>2.输入接口制式采用MicroUSB3.0；</w:t>
            </w:r>
          </w:p>
          <w:p w14:paraId="0EF37C65">
            <w:pPr>
              <w:rPr>
                <w:rFonts w:ascii="宋体" w:hAnsi="宋体"/>
              </w:rPr>
            </w:pPr>
            <w:r>
              <w:rPr>
                <w:rFonts w:hint="eastAsia" w:ascii="宋体" w:hAnsi="宋体"/>
              </w:rPr>
              <w:t>3.采用MicroUSB供电方式。</w:t>
            </w:r>
          </w:p>
          <w:p w14:paraId="6BC7422B">
            <w:pPr>
              <w:rPr>
                <w:rFonts w:ascii="宋体" w:hAnsi="宋体"/>
              </w:rPr>
            </w:pPr>
          </w:p>
          <w:p w14:paraId="5CF8A533">
            <w:pPr>
              <w:rPr>
                <w:rFonts w:ascii="宋体" w:hAnsi="宋体"/>
              </w:rPr>
            </w:pPr>
            <w:r>
              <w:rPr>
                <w:rFonts w:hint="eastAsia" w:ascii="宋体" w:hAnsi="宋体"/>
              </w:rPr>
              <w:t>网络摄像机</w:t>
            </w:r>
          </w:p>
          <w:p w14:paraId="492DE595">
            <w:pPr>
              <w:rPr>
                <w:rFonts w:ascii="宋体" w:hAnsi="宋体"/>
              </w:rPr>
            </w:pPr>
            <w:r>
              <w:rPr>
                <w:rFonts w:hint="eastAsia" w:ascii="宋体" w:hAnsi="宋体"/>
              </w:rPr>
              <w:t>1.传感器类型：≥1/3.2英寸CMOS；</w:t>
            </w:r>
          </w:p>
          <w:p w14:paraId="60CBEF96">
            <w:pPr>
              <w:rPr>
                <w:rFonts w:ascii="宋体" w:hAnsi="宋体"/>
              </w:rPr>
            </w:pPr>
            <w:r>
              <w:rPr>
                <w:rFonts w:hint="eastAsia" w:ascii="宋体" w:hAnsi="宋体"/>
              </w:rPr>
              <w:t>2.最大图像尺⼨：≥1920*1080；</w:t>
            </w:r>
          </w:p>
          <w:p w14:paraId="18C911DA">
            <w:pPr>
              <w:rPr>
                <w:rFonts w:ascii="宋体" w:hAnsi="宋体"/>
              </w:rPr>
            </w:pPr>
            <w:r>
              <w:rPr>
                <w:rFonts w:hint="eastAsia" w:ascii="宋体" w:hAnsi="宋体"/>
              </w:rPr>
              <w:t>3.至少支持协议：TCP/IP，HTTP，DHCP，DNS，802.11n，802.11g；</w:t>
            </w:r>
          </w:p>
          <w:p w14:paraId="6C0CB5E6">
            <w:pPr>
              <w:rPr>
                <w:rFonts w:ascii="宋体" w:hAnsi="宋体"/>
              </w:rPr>
            </w:pPr>
            <w:r>
              <w:rPr>
                <w:rFonts w:hint="eastAsia" w:ascii="宋体" w:hAnsi="宋体"/>
              </w:rPr>
              <w:t>4.电源：直流DC供电。</w:t>
            </w:r>
          </w:p>
          <w:p w14:paraId="66045811">
            <w:pPr>
              <w:rPr>
                <w:rFonts w:ascii="宋体" w:hAnsi="宋体"/>
              </w:rPr>
            </w:pPr>
          </w:p>
          <w:p w14:paraId="2601D906">
            <w:pPr>
              <w:rPr>
                <w:rFonts w:ascii="宋体" w:hAnsi="宋体"/>
              </w:rPr>
            </w:pPr>
            <w:r>
              <w:rPr>
                <w:rFonts w:hint="eastAsia" w:ascii="宋体" w:hAnsi="宋体"/>
              </w:rPr>
              <w:t>光照噪声变送器</w:t>
            </w:r>
          </w:p>
          <w:p w14:paraId="04E9FB9D">
            <w:pPr>
              <w:rPr>
                <w:rFonts w:ascii="宋体" w:hAnsi="宋体"/>
              </w:rPr>
            </w:pPr>
            <w:r>
              <w:rPr>
                <w:rFonts w:hint="eastAsia" w:ascii="宋体" w:hAnsi="宋体"/>
              </w:rPr>
              <w:t>1.直流供电：5～30VDC；</w:t>
            </w:r>
          </w:p>
          <w:p w14:paraId="13351BE0">
            <w:pPr>
              <w:rPr>
                <w:rFonts w:ascii="宋体" w:hAnsi="宋体"/>
              </w:rPr>
            </w:pPr>
            <w:r>
              <w:rPr>
                <w:rFonts w:hint="eastAsia" w:ascii="宋体" w:hAnsi="宋体"/>
              </w:rPr>
              <w:t>2.输出信号：支持4～20mA、RS485信号输出；</w:t>
            </w:r>
          </w:p>
          <w:p w14:paraId="29F7C909">
            <w:pPr>
              <w:rPr>
                <w:rFonts w:ascii="宋体" w:hAnsi="宋体"/>
              </w:rPr>
            </w:pPr>
            <w:r>
              <w:rPr>
                <w:rFonts w:hint="eastAsia" w:ascii="宋体" w:hAnsi="宋体"/>
              </w:rPr>
              <w:t>3.测量范围：噪声20dB～120dB，光照0～65535Lux（4～20mA）、0～10万Lux（RS485）。</w:t>
            </w:r>
          </w:p>
          <w:p w14:paraId="7B03F89E">
            <w:pPr>
              <w:rPr>
                <w:rFonts w:ascii="宋体" w:hAnsi="宋体"/>
              </w:rPr>
            </w:pPr>
          </w:p>
          <w:p w14:paraId="6E6335B0">
            <w:pPr>
              <w:rPr>
                <w:rFonts w:ascii="宋体" w:hAnsi="宋体"/>
              </w:rPr>
            </w:pPr>
            <w:r>
              <w:rPr>
                <w:rFonts w:hint="eastAsia" w:ascii="宋体" w:hAnsi="宋体"/>
              </w:rPr>
              <w:t>多层警示灯</w:t>
            </w:r>
          </w:p>
          <w:p w14:paraId="0FA6A227">
            <w:pPr>
              <w:rPr>
                <w:rFonts w:ascii="宋体" w:hAnsi="宋体"/>
              </w:rPr>
            </w:pPr>
            <w:r>
              <w:rPr>
                <w:rFonts w:hint="eastAsia" w:ascii="宋体" w:hAnsi="宋体"/>
              </w:rPr>
              <w:t>1.工作电源：DC24V；</w:t>
            </w:r>
          </w:p>
          <w:p w14:paraId="1FF9190F">
            <w:pPr>
              <w:rPr>
                <w:rFonts w:ascii="宋体" w:hAnsi="宋体"/>
              </w:rPr>
            </w:pPr>
            <w:r>
              <w:rPr>
                <w:rFonts w:hint="eastAsia" w:ascii="宋体" w:hAnsi="宋体"/>
              </w:rPr>
              <w:t>2.红、绿、黄三色LED灯。</w:t>
            </w:r>
          </w:p>
          <w:p w14:paraId="01FDAD17">
            <w:pPr>
              <w:rPr>
                <w:rFonts w:ascii="宋体" w:hAnsi="宋体"/>
              </w:rPr>
            </w:pPr>
          </w:p>
          <w:p w14:paraId="1F483A14">
            <w:pPr>
              <w:rPr>
                <w:rFonts w:ascii="宋体" w:hAnsi="宋体"/>
              </w:rPr>
            </w:pPr>
            <w:r>
              <w:rPr>
                <w:rFonts w:hint="eastAsia" w:ascii="宋体" w:hAnsi="宋体"/>
              </w:rPr>
              <w:t>直流电动推杆</w:t>
            </w:r>
          </w:p>
          <w:p w14:paraId="6EEEAF50">
            <w:pPr>
              <w:rPr>
                <w:rFonts w:ascii="宋体" w:hAnsi="宋体"/>
              </w:rPr>
            </w:pPr>
            <w:r>
              <w:rPr>
                <w:rFonts w:hint="eastAsia" w:ascii="宋体" w:hAnsi="宋体"/>
              </w:rPr>
              <w:t>1.工作电源：DC24V；</w:t>
            </w:r>
          </w:p>
          <w:p w14:paraId="1D87AFC1">
            <w:pPr>
              <w:rPr>
                <w:rFonts w:ascii="宋体" w:hAnsi="宋体"/>
              </w:rPr>
            </w:pPr>
            <w:r>
              <w:rPr>
                <w:rFonts w:hint="eastAsia" w:ascii="宋体" w:hAnsi="宋体"/>
              </w:rPr>
              <w:t>2.工作行程：≥200MM；</w:t>
            </w:r>
          </w:p>
          <w:p w14:paraId="44E45806">
            <w:pPr>
              <w:rPr>
                <w:rFonts w:ascii="宋体" w:hAnsi="宋体"/>
              </w:rPr>
            </w:pPr>
            <w:r>
              <w:rPr>
                <w:rFonts w:hint="eastAsia" w:ascii="宋体" w:hAnsi="宋体"/>
              </w:rPr>
              <w:t>3.工作速度：≥20MM/S；</w:t>
            </w:r>
          </w:p>
          <w:p w14:paraId="73E45C3A">
            <w:pPr>
              <w:rPr>
                <w:rFonts w:ascii="宋体" w:hAnsi="宋体"/>
              </w:rPr>
            </w:pPr>
            <w:r>
              <w:rPr>
                <w:rFonts w:hint="eastAsia" w:ascii="宋体" w:hAnsi="宋体"/>
              </w:rPr>
              <w:t>4.最大推力：500N。</w:t>
            </w:r>
          </w:p>
          <w:p w14:paraId="1E8EBB3D">
            <w:pPr>
              <w:rPr>
                <w:rFonts w:ascii="宋体" w:hAnsi="宋体"/>
              </w:rPr>
            </w:pPr>
          </w:p>
          <w:p w14:paraId="636FAEB3">
            <w:pPr>
              <w:rPr>
                <w:rFonts w:ascii="宋体" w:hAnsi="宋体"/>
              </w:rPr>
            </w:pPr>
            <w:r>
              <w:rPr>
                <w:rFonts w:hint="eastAsia" w:ascii="宋体" w:hAnsi="宋体"/>
              </w:rPr>
              <w:t>超声波传感器（485型）</w:t>
            </w:r>
          </w:p>
          <w:p w14:paraId="4039274A">
            <w:pPr>
              <w:rPr>
                <w:rFonts w:ascii="宋体" w:hAnsi="宋体"/>
              </w:rPr>
            </w:pPr>
            <w:r>
              <w:rPr>
                <w:rFonts w:hint="eastAsia" w:ascii="宋体" w:hAnsi="宋体"/>
              </w:rPr>
              <w:t>1.工作电压：DC5V～24V；</w:t>
            </w:r>
          </w:p>
          <w:p w14:paraId="7227B176">
            <w:pPr>
              <w:rPr>
                <w:rFonts w:ascii="宋体" w:hAnsi="宋体"/>
              </w:rPr>
            </w:pPr>
            <w:r>
              <w:rPr>
                <w:rFonts w:hint="eastAsia" w:ascii="宋体" w:hAnsi="宋体"/>
              </w:rPr>
              <w:t>2.平面物体量程：范围5～400cm；</w:t>
            </w:r>
          </w:p>
          <w:p w14:paraId="4EC98E8F">
            <w:pPr>
              <w:rPr>
                <w:rFonts w:ascii="宋体" w:hAnsi="宋体"/>
              </w:rPr>
            </w:pPr>
            <w:r>
              <w:rPr>
                <w:rFonts w:hint="eastAsia" w:ascii="宋体" w:hAnsi="宋体"/>
              </w:rPr>
              <w:t>3.输出方式：RS485</w:t>
            </w:r>
          </w:p>
          <w:p w14:paraId="42C2BF51">
            <w:pPr>
              <w:rPr>
                <w:rFonts w:ascii="宋体" w:hAnsi="宋体"/>
              </w:rPr>
            </w:pPr>
          </w:p>
          <w:p w14:paraId="6EAF8534">
            <w:pPr>
              <w:rPr>
                <w:rFonts w:ascii="宋体" w:hAnsi="宋体"/>
              </w:rPr>
            </w:pPr>
            <w:r>
              <w:rPr>
                <w:rFonts w:hint="eastAsia" w:ascii="宋体" w:hAnsi="宋体"/>
              </w:rPr>
              <w:t>行程开关</w:t>
            </w:r>
          </w:p>
          <w:p w14:paraId="357CECE6">
            <w:pPr>
              <w:rPr>
                <w:rFonts w:ascii="宋体" w:hAnsi="宋体"/>
              </w:rPr>
            </w:pPr>
            <w:r>
              <w:rPr>
                <w:rFonts w:hint="eastAsia" w:ascii="宋体" w:hAnsi="宋体"/>
              </w:rPr>
              <w:t>直动式自复位，应至少支持1对常开、1对常闭触头。</w:t>
            </w:r>
          </w:p>
          <w:p w14:paraId="43B800C0">
            <w:pPr>
              <w:rPr>
                <w:rFonts w:ascii="宋体" w:hAnsi="宋体"/>
              </w:rPr>
            </w:pPr>
          </w:p>
          <w:p w14:paraId="4963F1CC">
            <w:pPr>
              <w:rPr>
                <w:rFonts w:ascii="宋体" w:hAnsi="宋体"/>
              </w:rPr>
            </w:pPr>
            <w:r>
              <w:rPr>
                <w:rFonts w:hint="eastAsia" w:ascii="宋体" w:hAnsi="宋体"/>
              </w:rPr>
              <w:t>接近开关</w:t>
            </w:r>
          </w:p>
          <w:p w14:paraId="304C33E5">
            <w:pPr>
              <w:rPr>
                <w:rFonts w:ascii="宋体" w:hAnsi="宋体"/>
              </w:rPr>
            </w:pPr>
            <w:r>
              <w:rPr>
                <w:rFonts w:hint="eastAsia" w:ascii="宋体" w:hAnsi="宋体"/>
              </w:rPr>
              <w:t>1.检测距离：≤3mm；</w:t>
            </w:r>
          </w:p>
          <w:p w14:paraId="5143AF78">
            <w:pPr>
              <w:rPr>
                <w:rFonts w:ascii="宋体" w:hAnsi="宋体"/>
              </w:rPr>
            </w:pPr>
            <w:r>
              <w:rPr>
                <w:rFonts w:hint="eastAsia" w:ascii="宋体" w:hAnsi="宋体"/>
              </w:rPr>
              <w:t>2.电感式；</w:t>
            </w:r>
          </w:p>
          <w:p w14:paraId="38D112C4">
            <w:pPr>
              <w:rPr>
                <w:rFonts w:ascii="宋体" w:hAnsi="宋体"/>
              </w:rPr>
            </w:pPr>
            <w:r>
              <w:rPr>
                <w:rFonts w:hint="eastAsia" w:ascii="宋体" w:hAnsi="宋体"/>
              </w:rPr>
              <w:t>3.工作电压：DC6～36V。</w:t>
            </w:r>
          </w:p>
          <w:p w14:paraId="776D8E26">
            <w:pPr>
              <w:rPr>
                <w:rFonts w:ascii="宋体" w:hAnsi="宋体"/>
              </w:rPr>
            </w:pPr>
          </w:p>
          <w:p w14:paraId="58766575">
            <w:pPr>
              <w:rPr>
                <w:rFonts w:ascii="宋体" w:hAnsi="宋体"/>
              </w:rPr>
            </w:pPr>
            <w:r>
              <w:rPr>
                <w:rFonts w:hint="eastAsia" w:ascii="宋体" w:hAnsi="宋体"/>
              </w:rPr>
              <w:t>限位开关</w:t>
            </w:r>
          </w:p>
          <w:p w14:paraId="3332B240">
            <w:pPr>
              <w:rPr>
                <w:rFonts w:ascii="宋体" w:hAnsi="宋体"/>
              </w:rPr>
            </w:pPr>
            <w:r>
              <w:rPr>
                <w:rFonts w:hint="eastAsia" w:ascii="宋体" w:hAnsi="宋体"/>
              </w:rPr>
              <w:t>应至少支持1对常开、1对常闭触头。</w:t>
            </w:r>
          </w:p>
          <w:p w14:paraId="343681D0">
            <w:pPr>
              <w:rPr>
                <w:rFonts w:ascii="宋体" w:hAnsi="宋体"/>
              </w:rPr>
            </w:pPr>
          </w:p>
          <w:p w14:paraId="365C8B78">
            <w:pPr>
              <w:rPr>
                <w:rFonts w:ascii="宋体" w:hAnsi="宋体"/>
              </w:rPr>
            </w:pPr>
            <w:r>
              <w:rPr>
                <w:rFonts w:hint="eastAsia" w:ascii="宋体" w:hAnsi="宋体"/>
              </w:rPr>
              <w:t>二输入模拟量通讯模块</w:t>
            </w:r>
          </w:p>
          <w:p w14:paraId="6DA14BA9">
            <w:pPr>
              <w:rPr>
                <w:rFonts w:ascii="宋体" w:hAnsi="宋体"/>
              </w:rPr>
            </w:pPr>
            <w:r>
              <w:rPr>
                <w:rFonts w:hint="eastAsia" w:ascii="宋体" w:hAnsi="宋体"/>
              </w:rPr>
              <w:t>1.端口数量：≥2个；</w:t>
            </w:r>
          </w:p>
          <w:p w14:paraId="3E6145CA">
            <w:pPr>
              <w:rPr>
                <w:rFonts w:ascii="宋体" w:hAnsi="宋体"/>
              </w:rPr>
            </w:pPr>
            <w:r>
              <w:rPr>
                <w:rFonts w:hint="eastAsia" w:ascii="宋体" w:hAnsi="宋体"/>
              </w:rPr>
              <w:t>2.端口类型：模拟输入；</w:t>
            </w:r>
          </w:p>
          <w:p w14:paraId="081095DD">
            <w:pPr>
              <w:rPr>
                <w:rFonts w:ascii="宋体" w:hAnsi="宋体"/>
              </w:rPr>
            </w:pPr>
            <w:r>
              <w:rPr>
                <w:rFonts w:hint="eastAsia" w:ascii="宋体" w:hAnsi="宋体"/>
              </w:rPr>
              <w:t>3.端口电流：4～20mA。</w:t>
            </w:r>
          </w:p>
          <w:p w14:paraId="715BF6A2">
            <w:pPr>
              <w:rPr>
                <w:rFonts w:ascii="宋体" w:hAnsi="宋体"/>
              </w:rPr>
            </w:pPr>
          </w:p>
          <w:p w14:paraId="374B3316">
            <w:pPr>
              <w:rPr>
                <w:rFonts w:ascii="宋体" w:hAnsi="宋体"/>
              </w:rPr>
            </w:pPr>
            <w:r>
              <w:rPr>
                <w:rFonts w:hint="eastAsia" w:ascii="宋体" w:hAnsi="宋体"/>
              </w:rPr>
              <w:t>交换机</w:t>
            </w:r>
          </w:p>
          <w:p w14:paraId="5365E625">
            <w:pPr>
              <w:rPr>
                <w:rFonts w:ascii="宋体" w:hAnsi="宋体"/>
              </w:rPr>
            </w:pPr>
            <w:r>
              <w:rPr>
                <w:rFonts w:hint="eastAsia" w:ascii="宋体" w:hAnsi="宋体"/>
              </w:rPr>
              <w:t>1.接口数量：≥8个10/100MAutoMDI-MDIXRJ45接口；</w:t>
            </w:r>
          </w:p>
          <w:p w14:paraId="4662AABB">
            <w:pPr>
              <w:rPr>
                <w:rFonts w:ascii="宋体" w:hAnsi="宋体"/>
              </w:rPr>
            </w:pPr>
            <w:r>
              <w:rPr>
                <w:rFonts w:hint="eastAsia" w:ascii="宋体" w:hAnsi="宋体"/>
              </w:rPr>
              <w:t>2.通信标准：至少支持IEEE802.3、IEEE802.3u、IEEE802.3x协议；</w:t>
            </w:r>
          </w:p>
          <w:p w14:paraId="32C14604">
            <w:pPr>
              <w:rPr>
                <w:rFonts w:ascii="宋体" w:hAnsi="宋体"/>
              </w:rPr>
            </w:pPr>
            <w:r>
              <w:rPr>
                <w:rFonts w:hint="eastAsia" w:ascii="宋体" w:hAnsi="宋体"/>
              </w:rPr>
              <w:t>3.数据速率：至少支持10/100M。</w:t>
            </w:r>
          </w:p>
          <w:p w14:paraId="254766F2">
            <w:pPr>
              <w:rPr>
                <w:rFonts w:ascii="宋体" w:hAnsi="宋体"/>
              </w:rPr>
            </w:pPr>
          </w:p>
          <w:p w14:paraId="1CCC85F2">
            <w:pPr>
              <w:rPr>
                <w:rFonts w:ascii="宋体" w:hAnsi="宋体"/>
              </w:rPr>
            </w:pPr>
            <w:r>
              <w:rPr>
                <w:rFonts w:hint="eastAsia" w:ascii="宋体" w:hAnsi="宋体"/>
              </w:rPr>
              <w:t>北斗定位模块</w:t>
            </w:r>
          </w:p>
          <w:p w14:paraId="08DF4B54">
            <w:pPr>
              <w:rPr>
                <w:rFonts w:ascii="宋体" w:hAnsi="宋体"/>
              </w:rPr>
            </w:pPr>
            <w:r>
              <w:rPr>
                <w:rFonts w:hint="eastAsia" w:ascii="宋体" w:hAnsi="宋体"/>
              </w:rPr>
              <w:t>1.支持北斗定位系统；</w:t>
            </w:r>
          </w:p>
          <w:p w14:paraId="0EE9FE5D">
            <w:pPr>
              <w:rPr>
                <w:rFonts w:ascii="宋体" w:hAnsi="宋体"/>
              </w:rPr>
            </w:pPr>
            <w:r>
              <w:rPr>
                <w:rFonts w:hint="eastAsia" w:ascii="宋体" w:hAnsi="宋体"/>
              </w:rPr>
              <w:t>2.RS485串口：≥1个；</w:t>
            </w:r>
          </w:p>
          <w:p w14:paraId="6A3CA705">
            <w:pPr>
              <w:rPr>
                <w:rFonts w:ascii="宋体" w:hAnsi="宋体"/>
              </w:rPr>
            </w:pPr>
            <w:r>
              <w:rPr>
                <w:rFonts w:hint="eastAsia" w:ascii="宋体" w:hAnsi="宋体"/>
              </w:rPr>
              <w:t>3.工作电源：5～28VDC。</w:t>
            </w:r>
          </w:p>
          <w:p w14:paraId="436D3AAC">
            <w:pPr>
              <w:rPr>
                <w:rFonts w:ascii="宋体" w:hAnsi="宋体"/>
              </w:rPr>
            </w:pPr>
          </w:p>
          <w:p w14:paraId="1E9E7FC1">
            <w:pPr>
              <w:rPr>
                <w:rFonts w:ascii="宋体" w:hAnsi="宋体"/>
              </w:rPr>
            </w:pPr>
            <w:r>
              <w:rPr>
                <w:rFonts w:hint="eastAsia" w:ascii="宋体" w:hAnsi="宋体"/>
              </w:rPr>
              <w:t>双联继电器</w:t>
            </w:r>
          </w:p>
          <w:p w14:paraId="7A53E63C">
            <w:pPr>
              <w:rPr>
                <w:rFonts w:ascii="宋体" w:hAnsi="宋体"/>
              </w:rPr>
            </w:pPr>
            <w:r>
              <w:rPr>
                <w:rFonts w:hint="eastAsia" w:ascii="宋体" w:hAnsi="宋体"/>
              </w:rPr>
              <w:t>1.支持双通道继电器驱动和输出控制；</w:t>
            </w:r>
          </w:p>
          <w:p w14:paraId="5F3D5724">
            <w:pPr>
              <w:rPr>
                <w:rFonts w:ascii="宋体" w:hAnsi="宋体"/>
              </w:rPr>
            </w:pPr>
            <w:r>
              <w:rPr>
                <w:rFonts w:hint="eastAsia" w:ascii="宋体" w:hAnsi="宋体"/>
              </w:rPr>
              <w:t>2.每路继电器模块可独立输出控制；</w:t>
            </w:r>
          </w:p>
          <w:p w14:paraId="30274944">
            <w:pPr>
              <w:rPr>
                <w:rFonts w:ascii="宋体" w:hAnsi="宋体"/>
              </w:rPr>
            </w:pPr>
            <w:r>
              <w:rPr>
                <w:rFonts w:hint="eastAsia" w:ascii="宋体" w:hAnsi="宋体"/>
              </w:rPr>
              <w:t>3.继电器模块线圈的驱动电压DC5V；</w:t>
            </w:r>
          </w:p>
          <w:p w14:paraId="36B5022F">
            <w:pPr>
              <w:rPr>
                <w:rFonts w:ascii="宋体" w:hAnsi="宋体"/>
              </w:rPr>
            </w:pPr>
            <w:r>
              <w:rPr>
                <w:rFonts w:hint="eastAsia" w:ascii="宋体" w:hAnsi="宋体"/>
              </w:rPr>
              <w:t>4.输入兼容TTL、CMOS类型的逻辑电平；</w:t>
            </w:r>
          </w:p>
          <w:p w14:paraId="1C9DD7A3">
            <w:pPr>
              <w:rPr>
                <w:rFonts w:ascii="宋体" w:hAnsi="宋体"/>
              </w:rPr>
            </w:pPr>
            <w:r>
              <w:rPr>
                <w:rFonts w:hint="eastAsia" w:ascii="宋体" w:hAnsi="宋体"/>
              </w:rPr>
              <w:t>5.驱动芯片的输出端带有钳位二极管。</w:t>
            </w:r>
          </w:p>
          <w:p w14:paraId="1C1059D5">
            <w:pPr>
              <w:rPr>
                <w:rFonts w:ascii="宋体" w:hAnsi="宋体"/>
              </w:rPr>
            </w:pPr>
          </w:p>
          <w:p w14:paraId="076D8FF9">
            <w:pPr>
              <w:rPr>
                <w:rFonts w:ascii="宋体" w:hAnsi="宋体"/>
              </w:rPr>
            </w:pPr>
            <w:r>
              <w:rPr>
                <w:rFonts w:hint="eastAsia" w:ascii="宋体" w:hAnsi="宋体"/>
              </w:rPr>
              <w:t>百叶箱传感器</w:t>
            </w:r>
          </w:p>
          <w:p w14:paraId="143812BB">
            <w:pPr>
              <w:rPr>
                <w:rFonts w:ascii="宋体" w:hAnsi="宋体"/>
              </w:rPr>
            </w:pPr>
            <w:r>
              <w:rPr>
                <w:rFonts w:hint="eastAsia" w:ascii="宋体" w:hAnsi="宋体"/>
              </w:rPr>
              <w:t>1.工作电压：DC10～30V；</w:t>
            </w:r>
          </w:p>
          <w:p w14:paraId="48C7FFAF">
            <w:pPr>
              <w:rPr>
                <w:rFonts w:ascii="宋体" w:hAnsi="宋体"/>
              </w:rPr>
            </w:pPr>
            <w:r>
              <w:rPr>
                <w:rFonts w:hint="eastAsia" w:ascii="宋体" w:hAnsi="宋体"/>
              </w:rPr>
              <w:t>2.温度量程：-40℃～+120℃，精度±0.5℃；</w:t>
            </w:r>
          </w:p>
          <w:p w14:paraId="3BB2E591">
            <w:pPr>
              <w:rPr>
                <w:rFonts w:ascii="宋体" w:hAnsi="宋体"/>
              </w:rPr>
            </w:pPr>
            <w:r>
              <w:rPr>
                <w:rFonts w:hint="eastAsia" w:ascii="宋体" w:hAnsi="宋体"/>
              </w:rPr>
              <w:t>3.湿度量程：0%RH～100%RH，精度±3%RH（60%，25°）；</w:t>
            </w:r>
          </w:p>
          <w:p w14:paraId="29AD9E46">
            <w:pPr>
              <w:rPr>
                <w:rFonts w:ascii="宋体" w:hAnsi="宋体"/>
              </w:rPr>
            </w:pPr>
            <w:r>
              <w:rPr>
                <w:rFonts w:hint="eastAsia" w:ascii="宋体" w:hAnsi="宋体"/>
              </w:rPr>
              <w:t>4.输出信号：RS485输出。</w:t>
            </w:r>
          </w:p>
          <w:p w14:paraId="54615470">
            <w:pPr>
              <w:rPr>
                <w:rFonts w:ascii="宋体" w:hAnsi="宋体"/>
              </w:rPr>
            </w:pPr>
          </w:p>
          <w:p w14:paraId="58E4A7E2">
            <w:pPr>
              <w:rPr>
                <w:rFonts w:ascii="宋体" w:hAnsi="宋体"/>
              </w:rPr>
            </w:pPr>
            <w:r>
              <w:rPr>
                <w:rFonts w:hint="eastAsia" w:ascii="宋体" w:hAnsi="宋体"/>
              </w:rPr>
              <w:t>485型电机调速器</w:t>
            </w:r>
          </w:p>
          <w:p w14:paraId="373669E2">
            <w:pPr>
              <w:rPr>
                <w:rFonts w:ascii="宋体" w:hAnsi="宋体"/>
              </w:rPr>
            </w:pPr>
            <w:r>
              <w:rPr>
                <w:rFonts w:hint="eastAsia" w:ascii="宋体" w:hAnsi="宋体"/>
              </w:rPr>
              <w:t>1.工作电压：DC8V～24V；</w:t>
            </w:r>
          </w:p>
          <w:p w14:paraId="3E8C9C68">
            <w:pPr>
              <w:rPr>
                <w:rFonts w:ascii="宋体" w:hAnsi="宋体"/>
              </w:rPr>
            </w:pPr>
            <w:r>
              <w:rPr>
                <w:rFonts w:hint="eastAsia" w:ascii="宋体" w:hAnsi="宋体"/>
              </w:rPr>
              <w:t>2.支持两路电机接口；</w:t>
            </w:r>
          </w:p>
          <w:p w14:paraId="6A6B033F">
            <w:pPr>
              <w:rPr>
                <w:rFonts w:ascii="宋体" w:hAnsi="宋体"/>
              </w:rPr>
            </w:pPr>
            <w:r>
              <w:rPr>
                <w:rFonts w:hint="eastAsia" w:ascii="宋体" w:hAnsi="宋体"/>
              </w:rPr>
              <w:t>3.控制方式：支持modbusRTU协议；</w:t>
            </w:r>
          </w:p>
          <w:p w14:paraId="77777D6A">
            <w:pPr>
              <w:rPr>
                <w:rFonts w:ascii="宋体" w:hAnsi="宋体"/>
              </w:rPr>
            </w:pPr>
            <w:r>
              <w:rPr>
                <w:rFonts w:hint="eastAsia" w:ascii="宋体" w:hAnsi="宋体"/>
              </w:rPr>
              <w:t>4.控制参数：方向、速度、停止、刹车。</w:t>
            </w:r>
          </w:p>
          <w:p w14:paraId="38510773">
            <w:pPr>
              <w:rPr>
                <w:rFonts w:ascii="宋体" w:hAnsi="宋体"/>
              </w:rPr>
            </w:pPr>
          </w:p>
          <w:p w14:paraId="68FB7DF9">
            <w:pPr>
              <w:rPr>
                <w:rFonts w:ascii="宋体" w:hAnsi="宋体"/>
              </w:rPr>
            </w:pPr>
            <w:r>
              <w:rPr>
                <w:rFonts w:hint="eastAsia" w:ascii="宋体" w:hAnsi="宋体"/>
              </w:rPr>
              <w:t>行程开关（单轮式）</w:t>
            </w:r>
          </w:p>
          <w:p w14:paraId="0E409AF6">
            <w:pPr>
              <w:rPr>
                <w:rFonts w:ascii="宋体" w:hAnsi="宋体"/>
              </w:rPr>
            </w:pPr>
            <w:r>
              <w:rPr>
                <w:rFonts w:hint="eastAsia" w:ascii="宋体" w:hAnsi="宋体"/>
              </w:rPr>
              <w:t>应至少支持1对常开、1对常闭触头。</w:t>
            </w:r>
          </w:p>
          <w:p w14:paraId="5C4EFEE5">
            <w:pPr>
              <w:rPr>
                <w:rFonts w:ascii="宋体" w:hAnsi="宋体"/>
              </w:rPr>
            </w:pPr>
          </w:p>
          <w:p w14:paraId="144FFBA5">
            <w:pPr>
              <w:rPr>
                <w:rFonts w:ascii="宋体" w:hAnsi="宋体"/>
              </w:rPr>
            </w:pPr>
            <w:r>
              <w:rPr>
                <w:rFonts w:hint="eastAsia" w:ascii="宋体" w:hAnsi="宋体"/>
              </w:rPr>
              <w:t>多合一传感器</w:t>
            </w:r>
          </w:p>
          <w:p w14:paraId="6DA30D9C">
            <w:pPr>
              <w:rPr>
                <w:rFonts w:ascii="宋体" w:hAnsi="宋体"/>
              </w:rPr>
            </w:pPr>
            <w:r>
              <w:rPr>
                <w:rFonts w:hint="eastAsia" w:ascii="宋体" w:hAnsi="宋体"/>
              </w:rPr>
              <w:t>该传感器包含不少于3种数据采集功能。</w:t>
            </w:r>
          </w:p>
          <w:p w14:paraId="14701FCE">
            <w:pPr>
              <w:rPr>
                <w:rFonts w:ascii="宋体" w:hAnsi="宋体"/>
              </w:rPr>
            </w:pPr>
            <w:r>
              <w:rPr>
                <w:rFonts w:hint="eastAsia" w:ascii="宋体" w:hAnsi="宋体"/>
              </w:rPr>
              <w:t>1.人体红外传感器：直流供电：12～30VDC；输出信号：RS485；</w:t>
            </w:r>
          </w:p>
          <w:p w14:paraId="4131DF0C">
            <w:pPr>
              <w:rPr>
                <w:rFonts w:ascii="宋体" w:hAnsi="宋体"/>
              </w:rPr>
            </w:pPr>
            <w:r>
              <w:rPr>
                <w:rFonts w:hint="eastAsia" w:ascii="宋体" w:hAnsi="宋体"/>
              </w:rPr>
              <w:t>响应时间：≤2S；测量范围：感应距离≥5米（感应角度范围内）；工作温度：-15～+70℃；</w:t>
            </w:r>
          </w:p>
          <w:p w14:paraId="3AEAAC2D">
            <w:pPr>
              <w:rPr>
                <w:rFonts w:ascii="宋体" w:hAnsi="宋体"/>
              </w:rPr>
            </w:pPr>
            <w:r>
              <w:rPr>
                <w:rFonts w:hint="eastAsia" w:ascii="宋体" w:hAnsi="宋体"/>
              </w:rPr>
              <w:t>2.PM2.5传感器：直流供电：12～30VDC；输出信号：RS485；响应时间：≤2S；检测精度：0～100μg/m³：±15μg/m³；101～1000μg/m³：±15%读数；工作温度：－10～60℃；</w:t>
            </w:r>
          </w:p>
          <w:p w14:paraId="0A6BCEF9">
            <w:pPr>
              <w:rPr>
                <w:rFonts w:ascii="宋体" w:hAnsi="宋体"/>
              </w:rPr>
            </w:pPr>
            <w:r>
              <w:rPr>
                <w:rFonts w:hint="eastAsia" w:ascii="宋体" w:hAnsi="宋体"/>
              </w:rPr>
              <w:t>3.温湿度传感器：直流供电：12～30VDC；输出信号：RS485；湿度测量范围：0～100%RH；温度测量范围：-40～+125℃；湿度测量精度：±2.0%RH；温度测量精度：±0.2℃（0～90℃时的典型值）；湿度漂移：≤0.25%RH；温度漂移：≤0.03℃；湿度响应时间：≥8s；温度响应时间：≤2s。</w:t>
            </w:r>
          </w:p>
          <w:p w14:paraId="51D26271">
            <w:pPr>
              <w:rPr>
                <w:rFonts w:ascii="宋体" w:hAnsi="宋体"/>
              </w:rPr>
            </w:pPr>
          </w:p>
          <w:p w14:paraId="301333F7">
            <w:pPr>
              <w:rPr>
                <w:rFonts w:ascii="宋体" w:hAnsi="宋体"/>
              </w:rPr>
            </w:pPr>
            <w:r>
              <w:rPr>
                <w:rFonts w:hint="eastAsia" w:ascii="宋体" w:hAnsi="宋体"/>
              </w:rPr>
              <w:t>4G通讯终端</w:t>
            </w:r>
            <w:r>
              <w:rPr>
                <w:rFonts w:hint="eastAsia" w:ascii="宋体" w:hAnsi="宋体"/>
                <w:bCs/>
              </w:rPr>
              <w:t>（需提供佐证截图，并标注）</w:t>
            </w:r>
          </w:p>
          <w:p w14:paraId="348EC44C">
            <w:pPr>
              <w:rPr>
                <w:rFonts w:ascii="宋体" w:hAnsi="宋体"/>
              </w:rPr>
            </w:pPr>
            <w:r>
              <w:rPr>
                <w:rFonts w:hint="eastAsia" w:ascii="宋体" w:hAnsi="宋体"/>
              </w:rPr>
              <w:t>1.CPU：主频≥560MHz；</w:t>
            </w:r>
          </w:p>
          <w:p w14:paraId="276CDEB4">
            <w:pPr>
              <w:rPr>
                <w:rFonts w:ascii="宋体" w:hAnsi="宋体"/>
              </w:rPr>
            </w:pPr>
            <w:r>
              <w:rPr>
                <w:rFonts w:hint="eastAsia" w:ascii="宋体" w:hAnsi="宋体"/>
              </w:rPr>
              <w:t>2.无线功能：带有WLAN接口，符合IEEE802.11n（2*2）协议并向下兼容802.11b、802.11g协议以及带有LTE4G模组；</w:t>
            </w:r>
          </w:p>
          <w:p w14:paraId="632EAA3E">
            <w:pPr>
              <w:rPr>
                <w:rFonts w:ascii="宋体" w:hAnsi="宋体"/>
              </w:rPr>
            </w:pPr>
            <w:r>
              <w:rPr>
                <w:rFonts w:hint="eastAsia" w:ascii="宋体" w:hAnsi="宋体"/>
              </w:rPr>
              <w:t>3.接口类型：RS4851个；具备符合IEEE802.3标准的以太网10/100Mbps，RJ45WAN口1个；以太网10/100Mbps，RJ45LAN口1个；12VDC直流供电；DI接口（最高24V）≥2个；DO接口（最高24V）≥2个；≥两组10bitADC接口电流型（最大20mA），支持一键恢复出厂设置；支持4GSIM卡槽。</w:t>
            </w:r>
          </w:p>
          <w:p w14:paraId="095E61DF">
            <w:pPr>
              <w:rPr>
                <w:rFonts w:ascii="宋体" w:hAnsi="宋体"/>
              </w:rPr>
            </w:pPr>
          </w:p>
          <w:p w14:paraId="4247C59D">
            <w:pPr>
              <w:rPr>
                <w:rFonts w:ascii="宋体" w:hAnsi="宋体"/>
              </w:rPr>
            </w:pPr>
            <w:r>
              <w:rPr>
                <w:rFonts w:hint="eastAsia" w:ascii="宋体" w:hAnsi="宋体"/>
              </w:rPr>
              <w:t>ZigBee智能节点盒（I/O）</w:t>
            </w:r>
          </w:p>
          <w:p w14:paraId="692948C4">
            <w:pPr>
              <w:rPr>
                <w:rFonts w:ascii="宋体" w:hAnsi="宋体"/>
              </w:rPr>
            </w:pPr>
            <w:r>
              <w:rPr>
                <w:rFonts w:hint="eastAsia" w:ascii="宋体" w:hAnsi="宋体"/>
              </w:rPr>
              <w:t>1.主芯片：采用片上系统SOC，Flash≥256K，有USB控制器；</w:t>
            </w:r>
          </w:p>
          <w:p w14:paraId="438521E5">
            <w:pPr>
              <w:rPr>
                <w:rFonts w:ascii="宋体" w:hAnsi="宋体"/>
              </w:rPr>
            </w:pPr>
            <w:r>
              <w:rPr>
                <w:rFonts w:hint="eastAsia" w:ascii="宋体" w:hAnsi="宋体"/>
              </w:rPr>
              <w:t>2.串行通信：波特率115200baud，8个数据位，无校验位，1个停止位；</w:t>
            </w:r>
          </w:p>
          <w:p w14:paraId="2DA10769">
            <w:pPr>
              <w:rPr>
                <w:rFonts w:ascii="宋体" w:hAnsi="宋体"/>
              </w:rPr>
            </w:pPr>
            <w:r>
              <w:rPr>
                <w:rFonts w:hint="eastAsia" w:ascii="宋体" w:hAnsi="宋体"/>
              </w:rPr>
              <w:t>3.无线频率：2.4GHz；</w:t>
            </w:r>
          </w:p>
          <w:p w14:paraId="1F5E260A">
            <w:pPr>
              <w:rPr>
                <w:rFonts w:ascii="宋体" w:hAnsi="宋体"/>
              </w:rPr>
            </w:pPr>
            <w:r>
              <w:rPr>
                <w:rFonts w:hint="eastAsia" w:ascii="宋体" w:hAnsi="宋体"/>
              </w:rPr>
              <w:t>4.无线协议：ZigBee2007/PRO；</w:t>
            </w:r>
          </w:p>
          <w:p w14:paraId="60A775B0">
            <w:pPr>
              <w:rPr>
                <w:rFonts w:ascii="宋体" w:hAnsi="宋体"/>
              </w:rPr>
            </w:pPr>
            <w:r>
              <w:rPr>
                <w:rFonts w:hint="eastAsia" w:ascii="宋体" w:hAnsi="宋体"/>
              </w:rPr>
              <w:t>5.传输距离：</w:t>
            </w:r>
            <w:r>
              <w:rPr>
                <w:lang w:bidi="ar"/>
              </w:rPr>
              <w:t>无遮挡情况下不低于8米</w:t>
            </w:r>
            <w:r>
              <w:rPr>
                <w:rFonts w:hint="eastAsia" w:ascii="宋体" w:hAnsi="宋体"/>
              </w:rPr>
              <w:t>；</w:t>
            </w:r>
          </w:p>
          <w:p w14:paraId="33E45A78">
            <w:pPr>
              <w:rPr>
                <w:rFonts w:ascii="宋体" w:hAnsi="宋体"/>
              </w:rPr>
            </w:pPr>
            <w:r>
              <w:rPr>
                <w:rFonts w:hint="eastAsia" w:ascii="宋体" w:hAnsi="宋体"/>
              </w:rPr>
              <w:t>6.接收灵敏度：-96DBm。</w:t>
            </w:r>
          </w:p>
          <w:p w14:paraId="52444DCD">
            <w:pPr>
              <w:rPr>
                <w:rFonts w:ascii="宋体" w:hAnsi="宋体"/>
              </w:rPr>
            </w:pPr>
          </w:p>
          <w:p w14:paraId="5BE14C18">
            <w:pPr>
              <w:rPr>
                <w:rFonts w:ascii="宋体" w:hAnsi="宋体"/>
              </w:rPr>
            </w:pPr>
            <w:r>
              <w:rPr>
                <w:rFonts w:hint="eastAsia" w:ascii="宋体" w:hAnsi="宋体"/>
              </w:rPr>
              <w:t>UWB定位解算终端</w:t>
            </w:r>
          </w:p>
          <w:p w14:paraId="5BEDBED4">
            <w:pPr>
              <w:rPr>
                <w:rFonts w:ascii="宋体" w:hAnsi="宋体"/>
              </w:rPr>
            </w:pPr>
            <w:r>
              <w:rPr>
                <w:rFonts w:hint="eastAsia" w:ascii="宋体" w:hAnsi="宋体"/>
              </w:rPr>
              <w:t>1.CPU：核心数不低于双核，主频≥880MHz；</w:t>
            </w:r>
          </w:p>
          <w:p w14:paraId="75447903">
            <w:pPr>
              <w:rPr>
                <w:rFonts w:ascii="宋体" w:hAnsi="宋体"/>
              </w:rPr>
            </w:pPr>
            <w:r>
              <w:rPr>
                <w:rFonts w:hint="eastAsia" w:ascii="宋体" w:hAnsi="宋体"/>
              </w:rPr>
              <w:t>2.无线功能：需带有WLAN接口，符合IEEE802.11a/b/g/n/ac/ax协议，在2.4GHz频带支持20/40MHz频宽和5G的20/40/80MHz的带宽，支持2.4g/5.8GHz频段，数据速率≥573+1201Mbps，支持STA/AP两种工作模式内置TCP/IP协议栈；</w:t>
            </w:r>
          </w:p>
          <w:p w14:paraId="77DE0CB0">
            <w:pPr>
              <w:rPr>
                <w:rFonts w:ascii="宋体" w:hAnsi="宋体"/>
              </w:rPr>
            </w:pPr>
            <w:r>
              <w:rPr>
                <w:rFonts w:hint="eastAsia" w:ascii="宋体" w:hAnsi="宋体"/>
              </w:rPr>
              <w:t>3.接口类型：支持RS485接口；支持以太网10/100/1000Mbps，RJ45以太网口WAN口，支持以太网10/100/1000Mbps，RJ45以太网口LAN口；配置TF卡槽；支持一键恢复出厂设置；支持双层LED。</w:t>
            </w:r>
          </w:p>
          <w:p w14:paraId="1A555FE8">
            <w:pPr>
              <w:rPr>
                <w:rFonts w:ascii="宋体" w:hAnsi="宋体"/>
              </w:rPr>
            </w:pPr>
          </w:p>
          <w:p w14:paraId="4D4EA70E">
            <w:pPr>
              <w:rPr>
                <w:rFonts w:ascii="宋体" w:hAnsi="宋体"/>
              </w:rPr>
            </w:pPr>
            <w:r>
              <w:rPr>
                <w:rFonts w:hint="eastAsia" w:ascii="宋体" w:hAnsi="宋体"/>
              </w:rPr>
              <w:t>UWBTAG</w:t>
            </w:r>
          </w:p>
          <w:p w14:paraId="0961D9FF">
            <w:pPr>
              <w:rPr>
                <w:rFonts w:ascii="宋体" w:hAnsi="宋体"/>
              </w:rPr>
            </w:pPr>
            <w:r>
              <w:rPr>
                <w:rFonts w:hint="eastAsia" w:ascii="宋体" w:hAnsi="宋体"/>
              </w:rPr>
              <w:t>1.CPU：性能不低于M3主控芯片；</w:t>
            </w:r>
          </w:p>
          <w:p w14:paraId="2CD2D8CF">
            <w:pPr>
              <w:rPr>
                <w:rFonts w:ascii="宋体" w:hAnsi="宋体"/>
              </w:rPr>
            </w:pPr>
            <w:r>
              <w:rPr>
                <w:rFonts w:hint="eastAsia" w:ascii="宋体" w:hAnsi="宋体"/>
              </w:rPr>
              <w:t>2.无线功能：带有超宽带（UWB）收发器模组，可以用于双向测距或TDOA定位系统中，定位精度≥10厘米，并支持≥6.8Mbps的数据速率，符合IEEE802.15.4-4011UWB标准，支持3.5GHz至6.5GHz的4个信道，数据速率110kbps，850kbps，6.8Mbps；</w:t>
            </w:r>
          </w:p>
          <w:p w14:paraId="174424ED">
            <w:pPr>
              <w:rPr>
                <w:rFonts w:ascii="宋体" w:hAnsi="宋体"/>
              </w:rPr>
            </w:pPr>
            <w:r>
              <w:rPr>
                <w:rFonts w:hint="eastAsia" w:ascii="宋体" w:hAnsi="宋体"/>
              </w:rPr>
              <w:t>3.接口、LED灯功能：</w:t>
            </w:r>
          </w:p>
          <w:p w14:paraId="0FE99B67">
            <w:pPr>
              <w:rPr>
                <w:rFonts w:ascii="宋体" w:hAnsi="宋体"/>
              </w:rPr>
            </w:pPr>
            <w:r>
              <w:rPr>
                <w:rFonts w:hint="eastAsia" w:ascii="宋体" w:hAnsi="宋体"/>
              </w:rPr>
              <w:t>（1）支持MiniUSB接口（支持DC5V输入，SWD调试）；</w:t>
            </w:r>
          </w:p>
          <w:p w14:paraId="084C8B3B">
            <w:pPr>
              <w:rPr>
                <w:rFonts w:ascii="宋体" w:hAnsi="宋体"/>
              </w:rPr>
            </w:pPr>
            <w:r>
              <w:rPr>
                <w:rFonts w:hint="eastAsia" w:ascii="宋体" w:hAnsi="宋体"/>
              </w:rPr>
              <w:t>（2）带有≥1000mAh锂电池（支持USB口充电）；</w:t>
            </w:r>
          </w:p>
          <w:p w14:paraId="00950263">
            <w:pPr>
              <w:rPr>
                <w:rFonts w:ascii="宋体" w:hAnsi="宋体"/>
              </w:rPr>
            </w:pPr>
            <w:r>
              <w:rPr>
                <w:rFonts w:hint="eastAsia" w:ascii="宋体" w:hAnsi="宋体"/>
              </w:rPr>
              <w:t>（3）带有低功耗睡眠模式，并支持通过唤醒按钮唤醒；</w:t>
            </w:r>
          </w:p>
          <w:p w14:paraId="5DB42039">
            <w:pPr>
              <w:rPr>
                <w:rFonts w:ascii="宋体" w:hAnsi="宋体"/>
              </w:rPr>
            </w:pPr>
            <w:r>
              <w:rPr>
                <w:rFonts w:hint="eastAsia" w:ascii="宋体" w:hAnsi="宋体"/>
              </w:rPr>
              <w:t>（4）带有蜂鸣器，应至少支持进入工作状态、进入休眠状态两种鸣叫模式；</w:t>
            </w:r>
          </w:p>
          <w:p w14:paraId="42C1B17A">
            <w:pPr>
              <w:rPr>
                <w:rFonts w:ascii="宋体" w:hAnsi="宋体"/>
              </w:rPr>
            </w:pPr>
            <w:r>
              <w:rPr>
                <w:rFonts w:hint="eastAsia" w:ascii="宋体" w:hAnsi="宋体"/>
              </w:rPr>
              <w:t>（5）带硬件开关，支持关闭电源节电；</w:t>
            </w:r>
          </w:p>
          <w:p w14:paraId="35502552">
            <w:pPr>
              <w:rPr>
                <w:rFonts w:ascii="宋体" w:hAnsi="宋体"/>
              </w:rPr>
            </w:pPr>
            <w:r>
              <w:rPr>
                <w:rFonts w:hint="eastAsia" w:ascii="宋体" w:hAnsi="宋体"/>
              </w:rPr>
              <w:t>（6）带有LED指示灯，应至少支持运行模式、低电提醒两种状态显示。</w:t>
            </w:r>
          </w:p>
          <w:p w14:paraId="0D407B85">
            <w:pPr>
              <w:rPr>
                <w:rFonts w:ascii="宋体" w:hAnsi="宋体"/>
              </w:rPr>
            </w:pPr>
          </w:p>
          <w:p w14:paraId="510EEBF9">
            <w:pPr>
              <w:rPr>
                <w:rFonts w:ascii="宋体" w:hAnsi="宋体"/>
              </w:rPr>
            </w:pPr>
            <w:r>
              <w:rPr>
                <w:rFonts w:hint="eastAsia" w:ascii="宋体" w:hAnsi="宋体"/>
              </w:rPr>
              <w:t>UWB高精度定位模块</w:t>
            </w:r>
            <w:r>
              <w:rPr>
                <w:rFonts w:hint="eastAsia" w:ascii="宋体" w:hAnsi="宋体"/>
                <w:bCs/>
              </w:rPr>
              <w:t>（需提供佐证截图，并标注）</w:t>
            </w:r>
          </w:p>
          <w:p w14:paraId="67219D1D">
            <w:pPr>
              <w:rPr>
                <w:rFonts w:ascii="宋体" w:hAnsi="宋体"/>
              </w:rPr>
            </w:pPr>
            <w:r>
              <w:rPr>
                <w:rFonts w:hint="eastAsia" w:ascii="宋体" w:hAnsi="宋体"/>
              </w:rPr>
              <w:t>1.CPU：性能不低于M3主控芯片；</w:t>
            </w:r>
          </w:p>
          <w:p w14:paraId="46AA9B86">
            <w:pPr>
              <w:rPr>
                <w:rFonts w:ascii="宋体" w:hAnsi="宋体"/>
              </w:rPr>
            </w:pPr>
            <w:r>
              <w:rPr>
                <w:rFonts w:hint="eastAsia" w:ascii="宋体" w:hAnsi="宋体"/>
              </w:rPr>
              <w:t>2.无线功能：带有超宽带（UWB）收发器模组，可以用于双向测距或TDOA定位系统中，定位精度可达到10厘米，并支持高达6.8Mbps的数据速率，符合IEEE802.15.4-4011UWB标准，支持3.5GHz至6.5GHz的4个信道，数据速率110kbps，850kbps，6.8Mbps；</w:t>
            </w:r>
          </w:p>
          <w:p w14:paraId="3FDAE738">
            <w:pPr>
              <w:rPr>
                <w:rFonts w:ascii="宋体" w:hAnsi="宋体"/>
              </w:rPr>
            </w:pPr>
            <w:r>
              <w:rPr>
                <w:rFonts w:hint="eastAsia" w:ascii="宋体" w:hAnsi="宋体"/>
              </w:rPr>
              <w:t>接口类型：RS485接口，1个；支持MiniUSB接口（支持DC5V输入，USB）；带有信号扩展插座；支持串口TTL插座；支持JTAG调试接口。</w:t>
            </w:r>
          </w:p>
          <w:p w14:paraId="63B9420A">
            <w:pPr>
              <w:rPr>
                <w:rFonts w:ascii="宋体" w:hAnsi="宋体"/>
              </w:rPr>
            </w:pPr>
          </w:p>
          <w:p w14:paraId="27F8FFBB">
            <w:pPr>
              <w:rPr>
                <w:rFonts w:ascii="宋体" w:hAnsi="宋体"/>
              </w:rPr>
            </w:pPr>
            <w:r>
              <w:rPr>
                <w:rFonts w:hint="eastAsia" w:ascii="宋体" w:hAnsi="宋体"/>
              </w:rPr>
              <w:t>串口终端</w:t>
            </w:r>
          </w:p>
          <w:p w14:paraId="610116D9">
            <w:pPr>
              <w:rPr>
                <w:rFonts w:ascii="宋体" w:hAnsi="宋体"/>
              </w:rPr>
            </w:pPr>
            <w:r>
              <w:rPr>
                <w:rFonts w:hint="eastAsia" w:ascii="宋体" w:hAnsi="宋体"/>
              </w:rPr>
              <w:t>1.工作电压：DC5～36V；</w:t>
            </w:r>
          </w:p>
          <w:p w14:paraId="5F38050E">
            <w:pPr>
              <w:rPr>
                <w:rFonts w:ascii="宋体" w:hAnsi="宋体"/>
              </w:rPr>
            </w:pPr>
            <w:r>
              <w:rPr>
                <w:rFonts w:hint="eastAsia" w:ascii="宋体" w:hAnsi="宋体"/>
              </w:rPr>
              <w:t>2.网口规格：支持RJ45、10/100Mbps、交叉直连自适应；</w:t>
            </w:r>
          </w:p>
          <w:p w14:paraId="1E2FCD1A">
            <w:pPr>
              <w:rPr>
                <w:rFonts w:ascii="宋体" w:hAnsi="宋体"/>
              </w:rPr>
            </w:pPr>
            <w:r>
              <w:rPr>
                <w:rFonts w:hint="eastAsia" w:ascii="宋体" w:hAnsi="宋体"/>
              </w:rPr>
              <w:t>3.网络协议：至少支持IP、TCP、UDP、DHCP、DNS、HTTP、Websocket网络协议。</w:t>
            </w:r>
          </w:p>
          <w:p w14:paraId="7D46400A">
            <w:pPr>
              <w:rPr>
                <w:rFonts w:ascii="宋体" w:hAnsi="宋体"/>
              </w:rPr>
            </w:pPr>
          </w:p>
          <w:p w14:paraId="0F6D91CF">
            <w:pPr>
              <w:rPr>
                <w:rFonts w:ascii="宋体" w:hAnsi="宋体"/>
              </w:rPr>
            </w:pPr>
            <w:r>
              <w:rPr>
                <w:rFonts w:hint="eastAsia" w:ascii="宋体" w:hAnsi="宋体"/>
              </w:rPr>
              <w:t>联动控制器</w:t>
            </w:r>
          </w:p>
          <w:p w14:paraId="6073914E">
            <w:pPr>
              <w:rPr>
                <w:rFonts w:ascii="宋体" w:hAnsi="宋体"/>
              </w:rPr>
            </w:pPr>
            <w:r>
              <w:rPr>
                <w:rFonts w:hint="eastAsia" w:ascii="宋体" w:hAnsi="宋体"/>
              </w:rPr>
              <w:t>1.至少支持4路隔离开关量输入和4路继电器输出，</w:t>
            </w:r>
          </w:p>
          <w:p w14:paraId="619AD513">
            <w:pPr>
              <w:rPr>
                <w:rFonts w:ascii="宋体" w:hAnsi="宋体"/>
              </w:rPr>
            </w:pPr>
            <w:r>
              <w:rPr>
                <w:rFonts w:hint="eastAsia" w:ascii="宋体" w:hAnsi="宋体"/>
              </w:rPr>
              <w:t>2.工作电压：DC7～30V；</w:t>
            </w:r>
          </w:p>
          <w:p w14:paraId="5ADAC6D8">
            <w:pPr>
              <w:rPr>
                <w:rFonts w:ascii="宋体" w:hAnsi="宋体"/>
              </w:rPr>
            </w:pPr>
            <w:r>
              <w:rPr>
                <w:rFonts w:hint="eastAsia" w:ascii="宋体" w:hAnsi="宋体"/>
              </w:rPr>
              <w:t>3.数据接口：RS485。</w:t>
            </w:r>
          </w:p>
          <w:p w14:paraId="40CD2F0F">
            <w:pPr>
              <w:rPr>
                <w:rFonts w:ascii="宋体" w:hAnsi="宋体"/>
              </w:rPr>
            </w:pPr>
          </w:p>
          <w:p w14:paraId="468EBEDE">
            <w:pPr>
              <w:rPr>
                <w:rFonts w:ascii="宋体" w:hAnsi="宋体"/>
              </w:rPr>
            </w:pPr>
            <w:r>
              <w:rPr>
                <w:rFonts w:hint="eastAsia" w:ascii="宋体" w:hAnsi="宋体"/>
              </w:rPr>
              <w:t>水浸传感器</w:t>
            </w:r>
          </w:p>
          <w:p w14:paraId="6BF22613">
            <w:pPr>
              <w:rPr>
                <w:rFonts w:ascii="宋体" w:hAnsi="宋体"/>
              </w:rPr>
            </w:pPr>
            <w:r>
              <w:rPr>
                <w:rFonts w:hint="eastAsia" w:ascii="宋体" w:hAnsi="宋体"/>
              </w:rPr>
              <w:t>1.供电：DC10～30V；</w:t>
            </w:r>
          </w:p>
          <w:p w14:paraId="4E4767FF">
            <w:pPr>
              <w:rPr>
                <w:rFonts w:ascii="宋体" w:hAnsi="宋体"/>
              </w:rPr>
            </w:pPr>
            <w:r>
              <w:rPr>
                <w:rFonts w:hint="eastAsia" w:ascii="宋体" w:hAnsi="宋体"/>
              </w:rPr>
              <w:t>2.输出信号：继电器输出：常开触点；RS485输出：ModBus-RTU协议。</w:t>
            </w:r>
          </w:p>
          <w:p w14:paraId="23C26198">
            <w:pPr>
              <w:rPr>
                <w:rFonts w:ascii="宋体" w:hAnsi="宋体"/>
              </w:rPr>
            </w:pPr>
          </w:p>
          <w:p w14:paraId="3BFF3B91">
            <w:pPr>
              <w:rPr>
                <w:rFonts w:ascii="宋体" w:hAnsi="宋体"/>
              </w:rPr>
            </w:pPr>
            <w:r>
              <w:rPr>
                <w:rFonts w:hint="eastAsia" w:ascii="宋体" w:hAnsi="宋体"/>
              </w:rPr>
              <w:t>安全光幕传感器</w:t>
            </w:r>
          </w:p>
          <w:p w14:paraId="6E052465">
            <w:pPr>
              <w:rPr>
                <w:rFonts w:ascii="宋体" w:hAnsi="宋体"/>
              </w:rPr>
            </w:pPr>
            <w:r>
              <w:rPr>
                <w:rFonts w:hint="eastAsia" w:ascii="宋体" w:hAnsi="宋体"/>
              </w:rPr>
              <w:t>1.光轴间距：≥30mm；</w:t>
            </w:r>
          </w:p>
          <w:p w14:paraId="6B9A20CA">
            <w:pPr>
              <w:rPr>
                <w:rFonts w:ascii="宋体" w:hAnsi="宋体"/>
              </w:rPr>
            </w:pPr>
            <w:r>
              <w:rPr>
                <w:rFonts w:hint="eastAsia" w:ascii="宋体" w:hAnsi="宋体"/>
              </w:rPr>
              <w:t>2.工作电压：DC12～24V；</w:t>
            </w:r>
          </w:p>
          <w:p w14:paraId="6E5C6513">
            <w:pPr>
              <w:rPr>
                <w:rFonts w:ascii="宋体" w:hAnsi="宋体"/>
              </w:rPr>
            </w:pPr>
            <w:r>
              <w:rPr>
                <w:rFonts w:hint="eastAsia" w:ascii="宋体" w:hAnsi="宋体"/>
              </w:rPr>
              <w:t>3.输出信号：继电器。</w:t>
            </w:r>
          </w:p>
          <w:p w14:paraId="60CE5BEA">
            <w:pPr>
              <w:rPr>
                <w:rFonts w:ascii="宋体" w:hAnsi="宋体"/>
              </w:rPr>
            </w:pPr>
          </w:p>
          <w:p w14:paraId="2C37AC1B">
            <w:pPr>
              <w:rPr>
                <w:rFonts w:ascii="宋体" w:hAnsi="宋体"/>
              </w:rPr>
            </w:pPr>
            <w:r>
              <w:rPr>
                <w:rFonts w:hint="eastAsia" w:ascii="宋体" w:hAnsi="宋体"/>
              </w:rPr>
              <w:t>火焰探测器</w:t>
            </w:r>
          </w:p>
          <w:p w14:paraId="0CF15266">
            <w:pPr>
              <w:rPr>
                <w:rFonts w:ascii="宋体" w:hAnsi="宋体"/>
              </w:rPr>
            </w:pPr>
            <w:r>
              <w:rPr>
                <w:rFonts w:hint="eastAsia" w:ascii="宋体" w:hAnsi="宋体"/>
              </w:rPr>
              <w:t>1.工作电压：额定工作电压：DC24V，工作电压范围：DC12V～30V；</w:t>
            </w:r>
          </w:p>
          <w:p w14:paraId="77F55B6D">
            <w:pPr>
              <w:rPr>
                <w:rFonts w:ascii="宋体" w:hAnsi="宋体"/>
              </w:rPr>
            </w:pPr>
            <w:r>
              <w:rPr>
                <w:rFonts w:hint="eastAsia" w:ascii="宋体" w:hAnsi="宋体"/>
              </w:rPr>
              <w:t>2.输出容量：无源常开或常闭；</w:t>
            </w:r>
          </w:p>
          <w:p w14:paraId="20DBAAC8">
            <w:pPr>
              <w:rPr>
                <w:rFonts w:ascii="宋体" w:hAnsi="宋体"/>
              </w:rPr>
            </w:pPr>
            <w:r>
              <w:rPr>
                <w:rFonts w:hint="eastAsia" w:ascii="宋体" w:hAnsi="宋体"/>
              </w:rPr>
              <w:t>3.输出控制方式：自锁(LOCK)和非自锁(UNLOCK)可设置。</w:t>
            </w:r>
          </w:p>
          <w:p w14:paraId="26094B71">
            <w:pPr>
              <w:rPr>
                <w:rFonts w:ascii="宋体" w:hAnsi="宋体"/>
              </w:rPr>
            </w:pPr>
          </w:p>
          <w:p w14:paraId="78F3A54C">
            <w:pPr>
              <w:rPr>
                <w:rFonts w:ascii="宋体" w:hAnsi="宋体"/>
              </w:rPr>
            </w:pPr>
            <w:r>
              <w:rPr>
                <w:rFonts w:hint="eastAsia" w:ascii="宋体" w:hAnsi="宋体"/>
              </w:rPr>
              <w:t>电动锁头</w:t>
            </w:r>
          </w:p>
          <w:p w14:paraId="7FD5C988">
            <w:pPr>
              <w:rPr>
                <w:rFonts w:ascii="宋体" w:hAnsi="宋体"/>
              </w:rPr>
            </w:pPr>
            <w:r>
              <w:rPr>
                <w:rFonts w:hint="eastAsia" w:ascii="宋体" w:hAnsi="宋体"/>
              </w:rPr>
              <w:t>1.供电：DC12V；</w:t>
            </w:r>
          </w:p>
          <w:p w14:paraId="0FF09952">
            <w:pPr>
              <w:rPr>
                <w:rFonts w:ascii="宋体" w:hAnsi="宋体"/>
              </w:rPr>
            </w:pPr>
            <w:r>
              <w:rPr>
                <w:rFonts w:hint="eastAsia" w:ascii="宋体" w:hAnsi="宋体"/>
              </w:rPr>
              <w:t>2.工作方式：通电解锁，断电弹出。</w:t>
            </w:r>
          </w:p>
          <w:p w14:paraId="00B2BB64">
            <w:pPr>
              <w:rPr>
                <w:rFonts w:ascii="宋体" w:hAnsi="宋体"/>
              </w:rPr>
            </w:pPr>
          </w:p>
          <w:p w14:paraId="31CF9CFA">
            <w:pPr>
              <w:rPr>
                <w:rFonts w:ascii="宋体" w:hAnsi="宋体"/>
              </w:rPr>
            </w:pPr>
            <w:r>
              <w:rPr>
                <w:rFonts w:hint="eastAsia" w:ascii="宋体" w:hAnsi="宋体"/>
              </w:rPr>
              <w:t>频闪指示灯（红）</w:t>
            </w:r>
          </w:p>
          <w:p w14:paraId="7F3C08CC">
            <w:pPr>
              <w:rPr>
                <w:rFonts w:ascii="宋体" w:hAnsi="宋体"/>
              </w:rPr>
            </w:pPr>
            <w:r>
              <w:rPr>
                <w:rFonts w:hint="eastAsia" w:ascii="宋体" w:hAnsi="宋体"/>
              </w:rPr>
              <w:t>1.工作电压：DC12V；</w:t>
            </w:r>
          </w:p>
          <w:p w14:paraId="16D9F539">
            <w:pPr>
              <w:rPr>
                <w:rFonts w:ascii="宋体" w:hAnsi="宋体"/>
              </w:rPr>
            </w:pPr>
            <w:r>
              <w:rPr>
                <w:rFonts w:hint="eastAsia" w:ascii="宋体" w:hAnsi="宋体"/>
              </w:rPr>
              <w:t>2.规格：红色频闪；</w:t>
            </w:r>
          </w:p>
          <w:p w14:paraId="78896C03">
            <w:pPr>
              <w:rPr>
                <w:rFonts w:ascii="宋体" w:hAnsi="宋体"/>
              </w:rPr>
            </w:pPr>
            <w:r>
              <w:rPr>
                <w:rFonts w:hint="eastAsia" w:ascii="宋体" w:hAnsi="宋体"/>
              </w:rPr>
              <w:t>3.闪光：90～130次/min。</w:t>
            </w:r>
          </w:p>
          <w:p w14:paraId="5A7B158A">
            <w:pPr>
              <w:rPr>
                <w:rFonts w:ascii="宋体" w:hAnsi="宋体"/>
              </w:rPr>
            </w:pPr>
          </w:p>
          <w:p w14:paraId="5F0F5B04">
            <w:pPr>
              <w:rPr>
                <w:rFonts w:ascii="宋体" w:hAnsi="宋体"/>
              </w:rPr>
            </w:pPr>
            <w:r>
              <w:rPr>
                <w:rFonts w:hint="eastAsia" w:ascii="宋体" w:hAnsi="宋体"/>
              </w:rPr>
              <w:t>USB转串口线</w:t>
            </w:r>
          </w:p>
          <w:p w14:paraId="5CC67D32">
            <w:pPr>
              <w:rPr>
                <w:rFonts w:ascii="宋体" w:hAnsi="宋体"/>
              </w:rPr>
            </w:pPr>
            <w:r>
              <w:rPr>
                <w:rFonts w:hint="eastAsia" w:ascii="宋体" w:hAnsi="宋体"/>
              </w:rPr>
              <w:t>1.通用USB/RS232转换器，无需外加电源，兼容USB、RS232标准；</w:t>
            </w:r>
          </w:p>
          <w:p w14:paraId="01D928D4">
            <w:pPr>
              <w:rPr>
                <w:rFonts w:ascii="宋体" w:hAnsi="宋体"/>
              </w:rPr>
            </w:pPr>
            <w:r>
              <w:rPr>
                <w:rFonts w:hint="eastAsia" w:ascii="宋体" w:hAnsi="宋体"/>
              </w:rPr>
              <w:t>2.接口形式：USB端A类接口公头，DB9公头。</w:t>
            </w:r>
          </w:p>
          <w:p w14:paraId="2119E358">
            <w:pPr>
              <w:rPr>
                <w:rFonts w:ascii="宋体" w:hAnsi="宋体"/>
              </w:rPr>
            </w:pPr>
          </w:p>
          <w:p w14:paraId="2B9E29E3">
            <w:pPr>
              <w:rPr>
                <w:rFonts w:ascii="宋体" w:hAnsi="宋体"/>
              </w:rPr>
            </w:pPr>
            <w:r>
              <w:rPr>
                <w:rFonts w:hint="eastAsia" w:ascii="宋体" w:hAnsi="宋体"/>
              </w:rPr>
              <w:t>RS-232转RS-485的无源转换器</w:t>
            </w:r>
          </w:p>
          <w:p w14:paraId="131643FF">
            <w:pPr>
              <w:rPr>
                <w:rFonts w:ascii="宋体" w:hAnsi="宋体"/>
              </w:rPr>
            </w:pPr>
            <w:r>
              <w:rPr>
                <w:rFonts w:hint="eastAsia" w:ascii="宋体" w:hAnsi="宋体"/>
              </w:rPr>
              <w:t>1.接口特性：接口兼容EIA/TIA的RS-232C、RS485标准；</w:t>
            </w:r>
          </w:p>
          <w:p w14:paraId="4A27374D">
            <w:pPr>
              <w:rPr>
                <w:rFonts w:ascii="宋体" w:hAnsi="宋体"/>
              </w:rPr>
            </w:pPr>
            <w:r>
              <w:rPr>
                <w:rFonts w:hint="eastAsia" w:ascii="宋体" w:hAnsi="宋体"/>
              </w:rPr>
              <w:t>2.电气接口：RS-232端DB9孔型连接器，RS-485端DB9针型连接器，配接线柱。</w:t>
            </w:r>
          </w:p>
          <w:p w14:paraId="683289A1">
            <w:pPr>
              <w:rPr>
                <w:rFonts w:ascii="宋体" w:hAnsi="宋体"/>
              </w:rPr>
            </w:pPr>
          </w:p>
          <w:p w14:paraId="11483F9A">
            <w:pPr>
              <w:rPr>
                <w:rFonts w:ascii="宋体" w:hAnsi="宋体"/>
              </w:rPr>
            </w:pPr>
            <w:r>
              <w:rPr>
                <w:rFonts w:hint="eastAsia" w:ascii="宋体" w:hAnsi="宋体"/>
              </w:rPr>
              <w:t>U盘</w:t>
            </w:r>
          </w:p>
          <w:p w14:paraId="7A379105">
            <w:pPr>
              <w:rPr>
                <w:rFonts w:ascii="宋体" w:hAnsi="宋体"/>
              </w:rPr>
            </w:pPr>
            <w:r>
              <w:rPr>
                <w:rFonts w:hint="eastAsia" w:ascii="宋体" w:hAnsi="宋体"/>
              </w:rPr>
              <w:t>1.内存：≥16G；</w:t>
            </w:r>
          </w:p>
          <w:p w14:paraId="5E6C4311">
            <w:pPr>
              <w:rPr>
                <w:rFonts w:ascii="宋体" w:hAnsi="宋体"/>
              </w:rPr>
            </w:pPr>
            <w:r>
              <w:rPr>
                <w:rFonts w:hint="eastAsia" w:ascii="宋体" w:hAnsi="宋体"/>
              </w:rPr>
              <w:t>2.接口：支持USB3.0。</w:t>
            </w:r>
          </w:p>
          <w:p w14:paraId="35459C51">
            <w:pPr>
              <w:rPr>
                <w:rFonts w:ascii="宋体" w:hAnsi="宋体"/>
              </w:rPr>
            </w:pPr>
          </w:p>
          <w:p w14:paraId="48FC3A9D">
            <w:pPr>
              <w:rPr>
                <w:rFonts w:ascii="宋体" w:hAnsi="宋体"/>
              </w:rPr>
            </w:pPr>
            <w:r>
              <w:rPr>
                <w:rFonts w:hint="eastAsia" w:ascii="宋体" w:hAnsi="宋体"/>
              </w:rPr>
              <w:t>频闪指示灯（黄）</w:t>
            </w:r>
          </w:p>
          <w:p w14:paraId="4536E327">
            <w:pPr>
              <w:rPr>
                <w:rFonts w:ascii="宋体" w:hAnsi="宋体"/>
              </w:rPr>
            </w:pPr>
            <w:r>
              <w:rPr>
                <w:rFonts w:hint="eastAsia" w:ascii="宋体" w:hAnsi="宋体"/>
              </w:rPr>
              <w:t>1.工作电压：DC12V；</w:t>
            </w:r>
          </w:p>
          <w:p w14:paraId="7F1222E7">
            <w:pPr>
              <w:rPr>
                <w:rFonts w:ascii="宋体" w:hAnsi="宋体"/>
              </w:rPr>
            </w:pPr>
            <w:r>
              <w:rPr>
                <w:rFonts w:hint="eastAsia" w:ascii="宋体" w:hAnsi="宋体"/>
              </w:rPr>
              <w:t>2.规格：黄色频闪。</w:t>
            </w:r>
          </w:p>
          <w:p w14:paraId="2847EB1A">
            <w:pPr>
              <w:rPr>
                <w:rFonts w:ascii="宋体" w:hAnsi="宋体"/>
              </w:rPr>
            </w:pPr>
          </w:p>
          <w:p w14:paraId="158AED38">
            <w:pPr>
              <w:rPr>
                <w:rFonts w:ascii="宋体" w:hAnsi="宋体"/>
              </w:rPr>
            </w:pPr>
            <w:r>
              <w:rPr>
                <w:rFonts w:hint="eastAsia" w:ascii="宋体" w:hAnsi="宋体"/>
              </w:rPr>
              <w:t>常亮指示灯（白）</w:t>
            </w:r>
          </w:p>
          <w:p w14:paraId="31F96692">
            <w:pPr>
              <w:rPr>
                <w:rFonts w:ascii="宋体" w:hAnsi="宋体"/>
              </w:rPr>
            </w:pPr>
            <w:r>
              <w:rPr>
                <w:rFonts w:hint="eastAsia" w:ascii="宋体" w:hAnsi="宋体"/>
              </w:rPr>
              <w:t>1.工作电压：DC12V；</w:t>
            </w:r>
          </w:p>
          <w:p w14:paraId="652C0591">
            <w:pPr>
              <w:rPr>
                <w:rFonts w:ascii="宋体" w:hAnsi="宋体"/>
              </w:rPr>
            </w:pPr>
            <w:r>
              <w:rPr>
                <w:rFonts w:hint="eastAsia" w:ascii="宋体" w:hAnsi="宋体"/>
              </w:rPr>
              <w:t>2.规格：白色常亮。</w:t>
            </w:r>
          </w:p>
          <w:p w14:paraId="7E207165">
            <w:pPr>
              <w:rPr>
                <w:rFonts w:ascii="宋体" w:hAnsi="宋体"/>
              </w:rPr>
            </w:pPr>
          </w:p>
          <w:p w14:paraId="5CE063EC">
            <w:pPr>
              <w:rPr>
                <w:rFonts w:ascii="宋体" w:hAnsi="宋体"/>
              </w:rPr>
            </w:pPr>
            <w:r>
              <w:rPr>
                <w:rFonts w:hint="eastAsia" w:ascii="宋体" w:hAnsi="宋体"/>
              </w:rPr>
              <w:t>常亮指示灯（绿）</w:t>
            </w:r>
          </w:p>
          <w:p w14:paraId="56653627">
            <w:pPr>
              <w:rPr>
                <w:rFonts w:ascii="宋体" w:hAnsi="宋体"/>
              </w:rPr>
            </w:pPr>
            <w:r>
              <w:rPr>
                <w:rFonts w:hint="eastAsia" w:ascii="宋体" w:hAnsi="宋体"/>
              </w:rPr>
              <w:t>1.工作电压：DC12V；</w:t>
            </w:r>
          </w:p>
          <w:p w14:paraId="1AA350FB">
            <w:pPr>
              <w:rPr>
                <w:rFonts w:ascii="宋体" w:hAnsi="宋体"/>
              </w:rPr>
            </w:pPr>
            <w:r>
              <w:rPr>
                <w:rFonts w:hint="eastAsia" w:ascii="宋体" w:hAnsi="宋体"/>
              </w:rPr>
              <w:t>2.规格：绿色常亮。</w:t>
            </w:r>
          </w:p>
          <w:p w14:paraId="795DD1FA">
            <w:pPr>
              <w:rPr>
                <w:rFonts w:ascii="宋体" w:hAnsi="宋体"/>
              </w:rPr>
            </w:pPr>
          </w:p>
          <w:p w14:paraId="22BE0B8F">
            <w:pPr>
              <w:rPr>
                <w:rFonts w:ascii="宋体" w:hAnsi="宋体"/>
              </w:rPr>
            </w:pPr>
            <w:r>
              <w:rPr>
                <w:rFonts w:hint="eastAsia" w:ascii="宋体" w:hAnsi="宋体"/>
              </w:rPr>
              <w:t>转动指示灯（红）</w:t>
            </w:r>
          </w:p>
          <w:p w14:paraId="69F27F8F">
            <w:pPr>
              <w:rPr>
                <w:rFonts w:ascii="宋体" w:hAnsi="宋体"/>
              </w:rPr>
            </w:pPr>
            <w:r>
              <w:rPr>
                <w:rFonts w:hint="eastAsia" w:ascii="宋体" w:hAnsi="宋体"/>
              </w:rPr>
              <w:t>1.工作电压：DC12V；</w:t>
            </w:r>
          </w:p>
          <w:p w14:paraId="1C5AFC49">
            <w:pPr>
              <w:rPr>
                <w:rFonts w:ascii="宋体" w:hAnsi="宋体"/>
              </w:rPr>
            </w:pPr>
            <w:r>
              <w:rPr>
                <w:rFonts w:hint="eastAsia" w:ascii="宋体" w:hAnsi="宋体"/>
              </w:rPr>
              <w:t>2.规格：红色旋转。</w:t>
            </w:r>
          </w:p>
          <w:p w14:paraId="48EAC746">
            <w:pPr>
              <w:rPr>
                <w:rFonts w:ascii="宋体" w:hAnsi="宋体"/>
              </w:rPr>
            </w:pPr>
          </w:p>
          <w:p w14:paraId="55BAC236">
            <w:pPr>
              <w:rPr>
                <w:rFonts w:ascii="宋体" w:hAnsi="宋体"/>
              </w:rPr>
            </w:pPr>
            <w:r>
              <w:rPr>
                <w:rFonts w:hint="eastAsia" w:ascii="宋体" w:hAnsi="宋体"/>
              </w:rPr>
              <w:t>时间继电器</w:t>
            </w:r>
          </w:p>
          <w:p w14:paraId="7D33B36B">
            <w:pPr>
              <w:rPr>
                <w:rFonts w:ascii="宋体" w:hAnsi="宋体"/>
              </w:rPr>
            </w:pPr>
            <w:r>
              <w:rPr>
                <w:rFonts w:hint="eastAsia" w:ascii="宋体" w:hAnsi="宋体"/>
              </w:rPr>
              <w:t>1.量程范围：0.1s～99h；</w:t>
            </w:r>
          </w:p>
          <w:p w14:paraId="6665ACE6">
            <w:pPr>
              <w:rPr>
                <w:rFonts w:ascii="宋体" w:hAnsi="宋体"/>
              </w:rPr>
            </w:pPr>
            <w:r>
              <w:rPr>
                <w:rFonts w:hint="eastAsia" w:ascii="宋体" w:hAnsi="宋体"/>
              </w:rPr>
              <w:t>2.额定频率：50/60Hz。</w:t>
            </w:r>
          </w:p>
          <w:p w14:paraId="55D4A470">
            <w:pPr>
              <w:rPr>
                <w:rFonts w:ascii="宋体" w:hAnsi="宋体"/>
              </w:rPr>
            </w:pPr>
          </w:p>
          <w:p w14:paraId="49CCDC58">
            <w:pPr>
              <w:rPr>
                <w:rFonts w:ascii="宋体" w:hAnsi="宋体"/>
              </w:rPr>
            </w:pPr>
            <w:r>
              <w:rPr>
                <w:rFonts w:hint="eastAsia" w:ascii="宋体" w:hAnsi="宋体"/>
              </w:rPr>
              <w:t>延时继电器</w:t>
            </w:r>
          </w:p>
          <w:p w14:paraId="67367E88">
            <w:pPr>
              <w:rPr>
                <w:rFonts w:ascii="宋体" w:hAnsi="宋体"/>
              </w:rPr>
            </w:pPr>
            <w:r>
              <w:rPr>
                <w:rFonts w:hint="eastAsia" w:ascii="宋体" w:hAnsi="宋体"/>
              </w:rPr>
              <w:t>1.工作方式：通电延时；</w:t>
            </w:r>
          </w:p>
          <w:p w14:paraId="4F1C9EA2">
            <w:pPr>
              <w:rPr>
                <w:rFonts w:ascii="宋体" w:hAnsi="宋体"/>
              </w:rPr>
            </w:pPr>
            <w:r>
              <w:rPr>
                <w:rFonts w:hint="eastAsia" w:ascii="宋体" w:hAnsi="宋体"/>
              </w:rPr>
              <w:t>2.延时范围：5s～60s/10min/60min/6h；</w:t>
            </w:r>
          </w:p>
          <w:p w14:paraId="02C3B3AC">
            <w:pPr>
              <w:rPr>
                <w:rFonts w:ascii="宋体" w:hAnsi="宋体"/>
              </w:rPr>
            </w:pPr>
            <w:r>
              <w:rPr>
                <w:rFonts w:hint="eastAsia" w:ascii="宋体" w:hAnsi="宋体"/>
              </w:rPr>
              <w:t>3.复位时间：≤1s。</w:t>
            </w:r>
          </w:p>
          <w:p w14:paraId="53EDD221">
            <w:pPr>
              <w:rPr>
                <w:rFonts w:ascii="宋体" w:hAnsi="宋体"/>
              </w:rPr>
            </w:pPr>
          </w:p>
          <w:p w14:paraId="4280E267">
            <w:pPr>
              <w:rPr>
                <w:rFonts w:ascii="宋体" w:hAnsi="宋体"/>
              </w:rPr>
            </w:pPr>
            <w:r>
              <w:rPr>
                <w:rFonts w:hint="eastAsia" w:ascii="宋体" w:hAnsi="宋体"/>
              </w:rPr>
              <w:t>防盗报警控制器</w:t>
            </w:r>
          </w:p>
          <w:p w14:paraId="1658C6EC">
            <w:pPr>
              <w:rPr>
                <w:rFonts w:ascii="宋体" w:hAnsi="宋体"/>
              </w:rPr>
            </w:pPr>
            <w:r>
              <w:rPr>
                <w:rFonts w:hint="eastAsia" w:ascii="宋体" w:hAnsi="宋体"/>
              </w:rPr>
              <w:t>1.应支持本地8路报警输入，支持接入常开或常闭型探测器；支持探测器防拆、防短、防遮挡功能；</w:t>
            </w:r>
          </w:p>
          <w:p w14:paraId="3C3843FA">
            <w:pPr>
              <w:rPr>
                <w:rFonts w:ascii="宋体" w:hAnsi="宋体"/>
              </w:rPr>
            </w:pPr>
            <w:r>
              <w:rPr>
                <w:rFonts w:hint="eastAsia" w:ascii="宋体" w:hAnsi="宋体"/>
              </w:rPr>
              <w:t>2.应支持本地4路报警输出，支持强制开启、强制关闭、自动控制功能，支持报警联动；</w:t>
            </w:r>
          </w:p>
          <w:p w14:paraId="58C076AB">
            <w:pPr>
              <w:rPr>
                <w:rFonts w:ascii="宋体" w:hAnsi="宋体"/>
              </w:rPr>
            </w:pPr>
            <w:r>
              <w:rPr>
                <w:rFonts w:hint="eastAsia" w:ascii="宋体" w:hAnsi="宋体"/>
              </w:rPr>
              <w:t>3.应支持2路RS-485接口，支持最大32路键盘接入，支持打印机接入；</w:t>
            </w:r>
          </w:p>
          <w:p w14:paraId="354DAE0C">
            <w:pPr>
              <w:rPr>
                <w:rFonts w:ascii="宋体" w:hAnsi="宋体"/>
              </w:rPr>
            </w:pPr>
            <w:r>
              <w:rPr>
                <w:rFonts w:hint="eastAsia" w:ascii="宋体" w:hAnsi="宋体"/>
              </w:rPr>
              <w:t>4.应支持双网口。</w:t>
            </w:r>
          </w:p>
          <w:p w14:paraId="2811C97C">
            <w:pPr>
              <w:rPr>
                <w:rFonts w:ascii="宋体" w:hAnsi="宋体"/>
              </w:rPr>
            </w:pPr>
          </w:p>
          <w:p w14:paraId="70FE88A7">
            <w:pPr>
              <w:rPr>
                <w:rFonts w:ascii="宋体" w:hAnsi="宋体"/>
              </w:rPr>
            </w:pPr>
            <w:r>
              <w:rPr>
                <w:rFonts w:hint="eastAsia" w:ascii="宋体" w:hAnsi="宋体"/>
              </w:rPr>
              <w:t>报警键盘</w:t>
            </w:r>
          </w:p>
          <w:p w14:paraId="2F6EC692">
            <w:pPr>
              <w:rPr>
                <w:rFonts w:ascii="宋体" w:hAnsi="宋体"/>
              </w:rPr>
            </w:pPr>
            <w:r>
              <w:rPr>
                <w:rFonts w:hint="eastAsia" w:ascii="宋体" w:hAnsi="宋体"/>
              </w:rPr>
              <w:t>1.配套报警主机使用，应至少具备防区状态、故障、布撤防、网络、通讯5种指示灯；</w:t>
            </w:r>
          </w:p>
          <w:p w14:paraId="330ED312">
            <w:pPr>
              <w:rPr>
                <w:rFonts w:ascii="宋体" w:hAnsi="宋体"/>
              </w:rPr>
            </w:pPr>
            <w:r>
              <w:rPr>
                <w:rFonts w:hint="eastAsia" w:ascii="宋体" w:hAnsi="宋体"/>
              </w:rPr>
              <w:t>2.应支持防区状态、系统故障、程序版本、通信参数查询操作；</w:t>
            </w:r>
          </w:p>
          <w:p w14:paraId="44D31190">
            <w:pPr>
              <w:rPr>
                <w:rFonts w:ascii="宋体" w:hAnsi="宋体"/>
              </w:rPr>
            </w:pPr>
            <w:r>
              <w:rPr>
                <w:rFonts w:hint="eastAsia" w:ascii="宋体" w:hAnsi="宋体"/>
              </w:rPr>
              <w:t>3.应支持本地、遥控器等布撤防方式。</w:t>
            </w:r>
          </w:p>
          <w:p w14:paraId="53F41E99">
            <w:pPr>
              <w:rPr>
                <w:rFonts w:ascii="宋体" w:hAnsi="宋体"/>
              </w:rPr>
            </w:pPr>
          </w:p>
          <w:p w14:paraId="10AB7D33">
            <w:pPr>
              <w:rPr>
                <w:rFonts w:ascii="宋体" w:hAnsi="宋体"/>
              </w:rPr>
            </w:pPr>
            <w:r>
              <w:rPr>
                <w:rFonts w:hint="eastAsia" w:ascii="宋体" w:hAnsi="宋体"/>
              </w:rPr>
              <w:t>紧急按钮</w:t>
            </w:r>
          </w:p>
          <w:p w14:paraId="0561BC0A">
            <w:pPr>
              <w:rPr>
                <w:rFonts w:ascii="宋体" w:hAnsi="宋体"/>
              </w:rPr>
            </w:pPr>
            <w:r>
              <w:rPr>
                <w:rFonts w:hint="eastAsia" w:ascii="宋体" w:hAnsi="宋体"/>
              </w:rPr>
              <w:t>1.应支持常开/常闭的触点模式；</w:t>
            </w:r>
          </w:p>
          <w:p w14:paraId="13DB5F55">
            <w:pPr>
              <w:rPr>
                <w:rFonts w:ascii="宋体" w:hAnsi="宋体"/>
              </w:rPr>
            </w:pPr>
            <w:r>
              <w:rPr>
                <w:rFonts w:hint="eastAsia" w:ascii="宋体" w:hAnsi="宋体"/>
              </w:rPr>
              <w:t>2.应自带配套复位钥匙，通过钥匙复位。</w:t>
            </w:r>
          </w:p>
          <w:p w14:paraId="11CA4C74">
            <w:pPr>
              <w:rPr>
                <w:rFonts w:ascii="宋体" w:hAnsi="宋体"/>
              </w:rPr>
            </w:pPr>
          </w:p>
          <w:p w14:paraId="46346124">
            <w:pPr>
              <w:rPr>
                <w:rFonts w:ascii="宋体" w:hAnsi="宋体"/>
              </w:rPr>
            </w:pPr>
            <w:r>
              <w:rPr>
                <w:rFonts w:hint="eastAsia" w:ascii="宋体" w:hAnsi="宋体"/>
              </w:rPr>
              <w:t>室内智能三鉴入侵探测器</w:t>
            </w:r>
          </w:p>
          <w:p w14:paraId="688EB88D">
            <w:pPr>
              <w:rPr>
                <w:rFonts w:ascii="宋体" w:hAnsi="宋体"/>
              </w:rPr>
            </w:pPr>
            <w:r>
              <w:rPr>
                <w:rFonts w:hint="eastAsia" w:ascii="宋体" w:hAnsi="宋体"/>
              </w:rPr>
              <w:t>1.应支持LEDON/OFF可选，脉冲计数可选；</w:t>
            </w:r>
          </w:p>
          <w:p w14:paraId="5A03B047">
            <w:pPr>
              <w:rPr>
                <w:rFonts w:ascii="宋体" w:hAnsi="宋体"/>
              </w:rPr>
            </w:pPr>
            <w:r>
              <w:rPr>
                <w:rFonts w:hint="eastAsia" w:ascii="宋体" w:hAnsi="宋体"/>
              </w:rPr>
              <w:t>2.应支持报警触发方式AND/OR可选；</w:t>
            </w:r>
          </w:p>
          <w:p w14:paraId="1F0E09D4">
            <w:pPr>
              <w:rPr>
                <w:rFonts w:ascii="宋体" w:hAnsi="宋体"/>
              </w:rPr>
            </w:pPr>
            <w:r>
              <w:rPr>
                <w:rFonts w:hint="eastAsia" w:ascii="宋体" w:hAnsi="宋体"/>
              </w:rPr>
              <w:t>3.应支持报警输出NC/NO可选。</w:t>
            </w:r>
          </w:p>
          <w:p w14:paraId="5CA56427">
            <w:pPr>
              <w:rPr>
                <w:rFonts w:ascii="宋体" w:hAnsi="宋体"/>
              </w:rPr>
            </w:pPr>
          </w:p>
          <w:p w14:paraId="24707D9F">
            <w:pPr>
              <w:rPr>
                <w:rFonts w:ascii="宋体" w:hAnsi="宋体"/>
              </w:rPr>
            </w:pPr>
            <w:r>
              <w:rPr>
                <w:rFonts w:hint="eastAsia" w:ascii="宋体" w:hAnsi="宋体"/>
              </w:rPr>
              <w:t>声光警号</w:t>
            </w:r>
          </w:p>
          <w:p w14:paraId="3332E293">
            <w:pPr>
              <w:rPr>
                <w:rFonts w:ascii="宋体" w:hAnsi="宋体"/>
              </w:rPr>
            </w:pPr>
            <w:r>
              <w:rPr>
                <w:rFonts w:hint="eastAsia" w:ascii="宋体" w:hAnsi="宋体"/>
              </w:rPr>
              <w:t>1.应支持声音、灯光一体式联动报警；</w:t>
            </w:r>
          </w:p>
          <w:p w14:paraId="05410B10">
            <w:pPr>
              <w:rPr>
                <w:rFonts w:ascii="宋体" w:hAnsi="宋体"/>
              </w:rPr>
            </w:pPr>
            <w:r>
              <w:rPr>
                <w:rFonts w:hint="eastAsia" w:ascii="宋体" w:hAnsi="宋体"/>
              </w:rPr>
              <w:t>2.应支持高频次闪灯；</w:t>
            </w:r>
          </w:p>
          <w:p w14:paraId="57DE3B8E">
            <w:pPr>
              <w:rPr>
                <w:rFonts w:ascii="宋体" w:hAnsi="宋体"/>
              </w:rPr>
            </w:pPr>
            <w:r>
              <w:rPr>
                <w:rFonts w:hint="eastAsia" w:ascii="宋体" w:hAnsi="宋体"/>
              </w:rPr>
              <w:t>3.应支持电压9～15VDC，电流≤300mA的环境下工作。</w:t>
            </w:r>
          </w:p>
          <w:p w14:paraId="39D166C8">
            <w:pPr>
              <w:rPr>
                <w:rFonts w:ascii="宋体" w:hAnsi="宋体"/>
              </w:rPr>
            </w:pPr>
          </w:p>
          <w:p w14:paraId="3B62F621">
            <w:pPr>
              <w:rPr>
                <w:rFonts w:ascii="宋体" w:hAnsi="宋体"/>
              </w:rPr>
            </w:pPr>
            <w:r>
              <w:rPr>
                <w:rFonts w:hint="eastAsia" w:ascii="宋体" w:hAnsi="宋体"/>
              </w:rPr>
              <w:t>（二）</w:t>
            </w:r>
            <w:r>
              <w:rPr>
                <w:rFonts w:hint="eastAsia" w:ascii="宋体" w:hAnsi="宋体"/>
              </w:rPr>
              <w:tab/>
            </w:r>
            <w:r>
              <w:rPr>
                <w:rFonts w:hint="eastAsia" w:ascii="宋体" w:hAnsi="宋体"/>
              </w:rPr>
              <w:t>实训工位</w:t>
            </w:r>
          </w:p>
          <w:p w14:paraId="0EACA32F">
            <w:pPr>
              <w:rPr>
                <w:rFonts w:ascii="宋体" w:hAnsi="宋体"/>
              </w:rPr>
            </w:pPr>
            <w:r>
              <w:rPr>
                <w:rFonts w:hint="eastAsia" w:ascii="宋体" w:hAnsi="宋体"/>
              </w:rPr>
              <w:t>物联网实训工位</w:t>
            </w:r>
          </w:p>
          <w:p w14:paraId="20816029">
            <w:pPr>
              <w:rPr>
                <w:rFonts w:ascii="宋体" w:hAnsi="宋体"/>
              </w:rPr>
            </w:pPr>
            <w:r>
              <w:rPr>
                <w:rFonts w:hint="eastAsia" w:ascii="宋体" w:hAnsi="宋体"/>
              </w:rPr>
              <w:t>1.安全配电箱：应配备安全配电箱，该配电箱应包含漏电保护系统。其中，一路电源输入，两路漏保开关总控，并且应该支持两组供电独立控制，互不干扰；（提供截图证明）</w:t>
            </w:r>
          </w:p>
          <w:p w14:paraId="2ADA6974">
            <w:pPr>
              <w:rPr>
                <w:rFonts w:ascii="宋体" w:hAnsi="宋体"/>
              </w:rPr>
            </w:pPr>
            <w:r>
              <w:rPr>
                <w:rFonts w:hint="eastAsia" w:ascii="宋体" w:hAnsi="宋体"/>
              </w:rPr>
              <w:t>2.供电及接口：工位主体有四个工作面板，每个工作面板上应配备两个或以上强电插座面板和两个或以上弱电航空插座，同时还需配备一个空开和一个弱电开关；外接弱电供电模组应清晰地标识出5V、12V、24V电压值，并且应支持通过串接方式对弱电供电模组数量进行扩展；（提供实物照片并标注）</w:t>
            </w:r>
          </w:p>
          <w:p w14:paraId="04B88973">
            <w:pPr>
              <w:rPr>
                <w:rFonts w:ascii="宋体" w:hAnsi="宋体"/>
              </w:rPr>
            </w:pPr>
            <w:r>
              <w:rPr>
                <w:rFonts w:hint="eastAsia" w:ascii="宋体" w:hAnsi="宋体"/>
              </w:rPr>
              <w:t>3.供电保护系统：强电部分通过空开进行保护。弱电部分应具备短路保护及自恢复功能，在一路供电系统发生短路时，该直流弱电输出线路应自动关停，并在排除短路后自动恢复供电。同时，其他不同电压的直流弱电线路系统应不受影响；</w:t>
            </w:r>
          </w:p>
          <w:p w14:paraId="6CA9D871">
            <w:pPr>
              <w:rPr>
                <w:rFonts w:ascii="宋体" w:hAnsi="宋体"/>
              </w:rPr>
            </w:pPr>
            <w:r>
              <w:rPr>
                <w:rFonts w:hint="eastAsia" w:ascii="宋体" w:hAnsi="宋体"/>
              </w:rPr>
              <w:t>4.工作面板：工位主体需配备四个独立的工作面板，每个面板的可操作面积（宽*高）应不小于67cm*144cm；（提供实物照片并标注）</w:t>
            </w:r>
          </w:p>
          <w:p w14:paraId="680DBA37">
            <w:pPr>
              <w:rPr>
                <w:rFonts w:ascii="宋体" w:hAnsi="宋体"/>
              </w:rPr>
            </w:pPr>
            <w:r>
              <w:rPr>
                <w:rFonts w:hint="eastAsia" w:ascii="宋体" w:hAnsi="宋体"/>
              </w:rPr>
              <w:t>5.收纳层：工位主体中央应设计有不少于3个设备收纳层，每个收纳层收纳空间（长*宽*高）不小于76cm*77cm*49cm；每个收纳层两侧应配备柜门，并采用门吸座设计；（提供实物照片并标注）</w:t>
            </w:r>
          </w:p>
          <w:p w14:paraId="28E2AF19">
            <w:pPr>
              <w:rPr>
                <w:rFonts w:ascii="宋体" w:hAnsi="宋体"/>
              </w:rPr>
            </w:pPr>
            <w:r>
              <w:rPr>
                <w:rFonts w:hint="eastAsia" w:ascii="宋体" w:hAnsi="宋体"/>
              </w:rPr>
              <w:t>6.折叠门：工位需配备双面可操作折叠门，每面可操作面积（宽*高）应不小于67cm*144cm；折叠门应支持0°～180°角度调节，常用固定角度为90°和135°，为确保折叠门的稳定性，应通过定位杆和支撑脚的设计来固定门体，以满足不同物联网应用场景的搭建和实训需求；（提供实物照片并标注）</w:t>
            </w:r>
          </w:p>
          <w:p w14:paraId="281DF37C">
            <w:pPr>
              <w:rPr>
                <w:rFonts w:ascii="宋体" w:hAnsi="宋体"/>
              </w:rPr>
            </w:pPr>
            <w:r>
              <w:rPr>
                <w:rFonts w:hint="eastAsia" w:ascii="宋体" w:hAnsi="宋体"/>
              </w:rPr>
              <w:t>7.占地面积：工位最大占地面积（长*宽）：在折叠门收拢时不应大于92cm*92cm，折叠门张开时不应大于205cm*150cm。</w:t>
            </w:r>
          </w:p>
          <w:p w14:paraId="5462E908">
            <w:pPr>
              <w:rPr>
                <w:rFonts w:ascii="宋体" w:hAnsi="宋体"/>
              </w:rPr>
            </w:pPr>
          </w:p>
          <w:p w14:paraId="1C6CE005">
            <w:pPr>
              <w:rPr>
                <w:rFonts w:ascii="宋体" w:hAnsi="宋体"/>
              </w:rPr>
            </w:pPr>
            <w:r>
              <w:rPr>
                <w:rFonts w:hint="eastAsia" w:ascii="宋体" w:hAnsi="宋体"/>
              </w:rPr>
              <w:t>（三）</w:t>
            </w:r>
            <w:r>
              <w:rPr>
                <w:rFonts w:hint="eastAsia" w:ascii="宋体" w:hAnsi="宋体"/>
              </w:rPr>
              <w:tab/>
            </w:r>
            <w:r>
              <w:rPr>
                <w:rFonts w:hint="eastAsia" w:ascii="宋体" w:hAnsi="宋体"/>
              </w:rPr>
              <w:t>软件资源</w:t>
            </w:r>
          </w:p>
          <w:p w14:paraId="68031C46">
            <w:pPr>
              <w:rPr>
                <w:rFonts w:ascii="宋体" w:hAnsi="宋体"/>
              </w:rPr>
            </w:pPr>
            <w:r>
              <w:rPr>
                <w:rFonts w:hint="eastAsia" w:ascii="宋体" w:hAnsi="宋体"/>
              </w:rPr>
              <w:t>智能门店管理系统</w:t>
            </w:r>
          </w:p>
          <w:p w14:paraId="168DBEF9">
            <w:pPr>
              <w:rPr>
                <w:rFonts w:ascii="宋体" w:hAnsi="宋体"/>
              </w:rPr>
            </w:pPr>
            <w:r>
              <w:rPr>
                <w:rFonts w:hint="eastAsia" w:ascii="宋体" w:hAnsi="宋体"/>
              </w:rPr>
              <w:t>模拟智能门店真实应用系统场景，至少包含6项主要功能：</w:t>
            </w:r>
          </w:p>
          <w:p w14:paraId="3FBEA6F8">
            <w:pPr>
              <w:rPr>
                <w:rFonts w:ascii="宋体" w:hAnsi="宋体"/>
              </w:rPr>
            </w:pPr>
            <w:r>
              <w:rPr>
                <w:rFonts w:hint="eastAsia" w:ascii="宋体" w:hAnsi="宋体"/>
              </w:rPr>
              <w:t>1.支持对集团内的员工做新增、编辑、删除的操作，可以搜索某个员工，查看会员到店记录；</w:t>
            </w:r>
          </w:p>
          <w:p w14:paraId="2D694C5F">
            <w:pPr>
              <w:rPr>
                <w:rFonts w:ascii="宋体" w:hAnsi="宋体"/>
              </w:rPr>
            </w:pPr>
            <w:r>
              <w:rPr>
                <w:rFonts w:hint="eastAsia" w:ascii="宋体" w:hAnsi="宋体"/>
              </w:rPr>
              <w:t>2.支持关于会员的新增、编辑、删除的操作，可以搜索会员、查看会员到店记录和会员的账户，以及给会员充值，采集会员面容信息；</w:t>
            </w:r>
          </w:p>
          <w:p w14:paraId="0DD14727">
            <w:pPr>
              <w:rPr>
                <w:rFonts w:ascii="宋体" w:hAnsi="宋体"/>
              </w:rPr>
            </w:pPr>
            <w:r>
              <w:rPr>
                <w:rFonts w:hint="eastAsia" w:ascii="宋体" w:hAnsi="宋体"/>
              </w:rPr>
              <w:t>3.支持商品的新增、编辑、删除、搜索。商品详情的介绍以及打印商品二维码；</w:t>
            </w:r>
          </w:p>
          <w:p w14:paraId="231C351F">
            <w:pPr>
              <w:rPr>
                <w:rFonts w:ascii="宋体" w:hAnsi="宋体"/>
              </w:rPr>
            </w:pPr>
            <w:r>
              <w:rPr>
                <w:rFonts w:hint="eastAsia" w:ascii="宋体" w:hAnsi="宋体"/>
              </w:rPr>
              <w:t>4.支持商品浏览实时数据；商品流量热度汇总表；客户忠诚度、客户平均停留时长、客户意见反馈；客流量区域热度；客流量日均数据图等；</w:t>
            </w:r>
          </w:p>
          <w:p w14:paraId="22C2BBDA">
            <w:pPr>
              <w:rPr>
                <w:rFonts w:ascii="宋体" w:hAnsi="宋体"/>
              </w:rPr>
            </w:pPr>
            <w:r>
              <w:rPr>
                <w:rFonts w:hint="eastAsia" w:ascii="宋体" w:hAnsi="宋体"/>
              </w:rPr>
              <w:t>5.支持新增促销商品、编辑促销商品、删除促销商品、搜索促销商品和推送促销信息；</w:t>
            </w:r>
          </w:p>
          <w:p w14:paraId="59F00A75">
            <w:pPr>
              <w:rPr>
                <w:rFonts w:ascii="宋体" w:hAnsi="宋体"/>
              </w:rPr>
            </w:pPr>
            <w:r>
              <w:rPr>
                <w:rFonts w:hint="eastAsia" w:ascii="宋体" w:hAnsi="宋体"/>
              </w:rPr>
              <w:t>6.支持显示摄像头监控画面；传感器采集设备的传感器数值及历史数据；设备控制；报警信息及功能；</w:t>
            </w:r>
          </w:p>
          <w:p w14:paraId="5D4475F7">
            <w:pPr>
              <w:rPr>
                <w:rFonts w:ascii="宋体" w:hAnsi="宋体"/>
              </w:rPr>
            </w:pPr>
            <w:r>
              <w:rPr>
                <w:rFonts w:hint="eastAsia" w:ascii="宋体" w:hAnsi="宋体"/>
              </w:rPr>
              <w:t>7.▲能够进行人脸识别实验，①调用摄像头来提取面部特征，录入面容ID过程，与会员信息进行绑定。②调用摄像头，识别获取面部信息，与数据库内已有信息进行比对，并作出判断；（提供演示视频及截图证明）</w:t>
            </w:r>
          </w:p>
          <w:p w14:paraId="6F01B449">
            <w:pPr>
              <w:rPr>
                <w:rFonts w:ascii="宋体" w:hAnsi="宋体"/>
              </w:rPr>
            </w:pPr>
            <w:r>
              <w:rPr>
                <w:rFonts w:hint="eastAsia" w:ascii="宋体" w:hAnsi="宋体"/>
              </w:rPr>
              <w:t>8.能够进行数据分析实验，通过记录用户行为数据，分析出用户的购物习惯，当前购物热点等信息，并通过多种图表展现。（提供软件界面截图）</w:t>
            </w:r>
          </w:p>
          <w:p w14:paraId="5A3738D0">
            <w:pPr>
              <w:rPr>
                <w:rFonts w:ascii="宋体" w:hAnsi="宋体"/>
              </w:rPr>
            </w:pPr>
          </w:p>
          <w:p w14:paraId="72E98390">
            <w:pPr>
              <w:rPr>
                <w:rFonts w:ascii="宋体" w:hAnsi="宋体"/>
              </w:rPr>
            </w:pPr>
            <w:r>
              <w:rPr>
                <w:rFonts w:hint="eastAsia" w:ascii="宋体" w:hAnsi="宋体"/>
              </w:rPr>
              <w:t>智能市政</w:t>
            </w:r>
          </w:p>
          <w:p w14:paraId="48762631">
            <w:pPr>
              <w:rPr>
                <w:rFonts w:ascii="宋体" w:hAnsi="宋体"/>
              </w:rPr>
            </w:pPr>
            <w:r>
              <w:rPr>
                <w:rFonts w:hint="eastAsia" w:ascii="宋体" w:hAnsi="宋体"/>
              </w:rPr>
              <w:t>模拟智能市政真实应用系统场景，至少包含6项主要功能：</w:t>
            </w:r>
          </w:p>
          <w:p w14:paraId="48B4DFB4">
            <w:pPr>
              <w:rPr>
                <w:rFonts w:ascii="宋体" w:hAnsi="宋体"/>
              </w:rPr>
            </w:pPr>
            <w:r>
              <w:rPr>
                <w:rFonts w:hint="eastAsia" w:ascii="宋体" w:hAnsi="宋体"/>
              </w:rPr>
              <w:t>1.支持在地图上展示城市的温度，湿度，噪音，可燃气体，PM2.5，一氧化碳，二氧化碳等实时数据参数；</w:t>
            </w:r>
          </w:p>
          <w:p w14:paraId="2D592FB8">
            <w:pPr>
              <w:rPr>
                <w:rFonts w:ascii="宋体" w:hAnsi="宋体"/>
              </w:rPr>
            </w:pPr>
            <w:r>
              <w:rPr>
                <w:rFonts w:hint="eastAsia" w:ascii="宋体" w:hAnsi="宋体"/>
              </w:rPr>
              <w:t>2.支持城市环境实时数据可视化展示；</w:t>
            </w:r>
          </w:p>
          <w:p w14:paraId="0B6E6BF3">
            <w:pPr>
              <w:rPr>
                <w:rFonts w:ascii="宋体" w:hAnsi="宋体"/>
              </w:rPr>
            </w:pPr>
            <w:r>
              <w:rPr>
                <w:rFonts w:hint="eastAsia" w:ascii="宋体" w:hAnsi="宋体"/>
              </w:rPr>
              <w:t>3.支持编辑道路监控信息、展示实时监控信息与监控画面、查询历史监控视频记录；</w:t>
            </w:r>
          </w:p>
          <w:p w14:paraId="2537986E">
            <w:pPr>
              <w:rPr>
                <w:rFonts w:ascii="宋体" w:hAnsi="宋体"/>
              </w:rPr>
            </w:pPr>
            <w:r>
              <w:rPr>
                <w:rFonts w:hint="eastAsia" w:ascii="宋体" w:hAnsi="宋体"/>
              </w:rPr>
              <w:t>4.支持编辑垃圾桶信息、展示实时垃圾桶信息、实时垃圾信息、历史垃圾信息、报警信息等功能；</w:t>
            </w:r>
          </w:p>
          <w:p w14:paraId="20281ABB">
            <w:pPr>
              <w:rPr>
                <w:rFonts w:ascii="宋体" w:hAnsi="宋体"/>
              </w:rPr>
            </w:pPr>
            <w:r>
              <w:rPr>
                <w:rFonts w:hint="eastAsia" w:ascii="宋体" w:hAnsi="宋体"/>
              </w:rPr>
              <w:t>5.支持编辑井盖信息、展示实时井盖信息、历史井盖信息、报警信息、自动或者手动开启井盖风扇等功能；</w:t>
            </w:r>
          </w:p>
          <w:p w14:paraId="5E160E9E">
            <w:pPr>
              <w:rPr>
                <w:rFonts w:ascii="宋体" w:hAnsi="宋体"/>
              </w:rPr>
            </w:pPr>
            <w:r>
              <w:rPr>
                <w:rFonts w:hint="eastAsia" w:ascii="宋体" w:hAnsi="宋体"/>
              </w:rPr>
              <w:t>6.支持编辑水质点信息、展示实时点水质信息、历史水质信息等功能。（提供软件界面或功能截图）</w:t>
            </w:r>
          </w:p>
          <w:p w14:paraId="19992E58">
            <w:pPr>
              <w:rPr>
                <w:rFonts w:ascii="宋体" w:hAnsi="宋体"/>
              </w:rPr>
            </w:pPr>
          </w:p>
          <w:p w14:paraId="49485CD7">
            <w:pPr>
              <w:rPr>
                <w:rFonts w:ascii="宋体" w:hAnsi="宋体"/>
              </w:rPr>
            </w:pPr>
            <w:r>
              <w:rPr>
                <w:rFonts w:hint="eastAsia" w:ascii="宋体" w:hAnsi="宋体"/>
              </w:rPr>
              <w:t>智能工厂</w:t>
            </w:r>
          </w:p>
          <w:p w14:paraId="66C254AD">
            <w:pPr>
              <w:rPr>
                <w:rFonts w:ascii="宋体" w:hAnsi="宋体"/>
              </w:rPr>
            </w:pPr>
            <w:r>
              <w:rPr>
                <w:rFonts w:hint="eastAsia" w:ascii="宋体" w:hAnsi="宋体"/>
              </w:rPr>
              <w:t>1.支持厂区管理，用zigbee设备组网，利用串口服务器通讯，实时采集传感器的值并反馈到界面；</w:t>
            </w:r>
          </w:p>
          <w:p w14:paraId="23FECCD0">
            <w:pPr>
              <w:rPr>
                <w:rFonts w:ascii="宋体" w:hAnsi="宋体"/>
              </w:rPr>
            </w:pPr>
            <w:r>
              <w:rPr>
                <w:rFonts w:hint="eastAsia" w:ascii="宋体" w:hAnsi="宋体"/>
              </w:rPr>
              <w:t>2.支持通过智能生产相关设备模拟生产过程管理。</w:t>
            </w:r>
          </w:p>
          <w:p w14:paraId="1A2F851A">
            <w:pPr>
              <w:rPr>
                <w:rFonts w:ascii="宋体" w:hAnsi="宋体"/>
              </w:rPr>
            </w:pPr>
          </w:p>
          <w:p w14:paraId="6EC9D54C">
            <w:pPr>
              <w:rPr>
                <w:rFonts w:ascii="宋体" w:hAnsi="宋体"/>
              </w:rPr>
            </w:pPr>
            <w:r>
              <w:rPr>
                <w:rFonts w:hint="eastAsia" w:ascii="宋体" w:hAnsi="宋体"/>
              </w:rPr>
              <w:t>物联网中心网关软件</w:t>
            </w:r>
          </w:p>
          <w:p w14:paraId="50E96F9A">
            <w:pPr>
              <w:rPr>
                <w:rFonts w:ascii="宋体" w:hAnsi="宋体"/>
              </w:rPr>
            </w:pPr>
            <w:r>
              <w:rPr>
                <w:rFonts w:hint="eastAsia" w:ascii="宋体" w:hAnsi="宋体"/>
              </w:rPr>
              <w:t>1.</w:t>
            </w:r>
            <w:bookmarkStart w:id="324" w:name="OLE_LINK15"/>
            <w:bookmarkStart w:id="325" w:name="OLE_LINK16"/>
            <w:r>
              <w:rPr>
                <w:rFonts w:hint="eastAsia" w:ascii="宋体" w:hAnsi="宋体"/>
              </w:rPr>
              <w:t>▲</w:t>
            </w:r>
            <w:bookmarkEnd w:id="324"/>
            <w:bookmarkEnd w:id="325"/>
            <w:r>
              <w:rPr>
                <w:rFonts w:hint="eastAsia" w:ascii="宋体" w:hAnsi="宋体"/>
              </w:rPr>
              <w:t>南向支持对接各种支持Modbus总线协议的物联网设备，实现数据采集、设备控制及管理；（提供演示视频及截图证明）</w:t>
            </w:r>
          </w:p>
          <w:p w14:paraId="749F64B8">
            <w:pPr>
              <w:rPr>
                <w:rFonts w:ascii="宋体" w:hAnsi="宋体"/>
              </w:rPr>
            </w:pPr>
            <w:r>
              <w:rPr>
                <w:rFonts w:hint="eastAsia" w:ascii="宋体" w:hAnsi="宋体"/>
              </w:rPr>
              <w:t>2.南向支持对接各种支持CANbus总线协议的物联网设备，实现接收设备自主上报数据并进行管理；（提供截图证明）</w:t>
            </w:r>
          </w:p>
          <w:p w14:paraId="1A6BC1C5">
            <w:pPr>
              <w:rPr>
                <w:rFonts w:ascii="宋体" w:hAnsi="宋体"/>
              </w:rPr>
            </w:pPr>
            <w:r>
              <w:rPr>
                <w:rFonts w:hint="eastAsia" w:ascii="宋体" w:hAnsi="宋体"/>
              </w:rPr>
              <w:t>3.南向支持对接ZigBee、WiFi、LoRa等无线协议，实现各种协议接入的物联网设备的数据采集、设备控制及管理；</w:t>
            </w:r>
          </w:p>
          <w:p w14:paraId="16FB4509">
            <w:pPr>
              <w:rPr>
                <w:rFonts w:ascii="宋体" w:hAnsi="宋体"/>
              </w:rPr>
            </w:pPr>
            <w:r>
              <w:rPr>
                <w:rFonts w:hint="eastAsia" w:ascii="宋体" w:hAnsi="宋体"/>
              </w:rPr>
              <w:t>4.南向支持通过以太网连接串口服务器，采集和控制串口服务器下挂的串口设备；（提供截图证明）</w:t>
            </w:r>
          </w:p>
          <w:p w14:paraId="37B8740B">
            <w:pPr>
              <w:rPr>
                <w:rFonts w:ascii="宋体" w:hAnsi="宋体"/>
              </w:rPr>
            </w:pPr>
            <w:r>
              <w:rPr>
                <w:rFonts w:hint="eastAsia" w:ascii="宋体" w:hAnsi="宋体"/>
              </w:rPr>
              <w:t>5.北向连接物联网云平台及物联网应用，实现数据的北向通信以及指令接收。</w:t>
            </w:r>
          </w:p>
          <w:p w14:paraId="6AD67D4F">
            <w:pPr>
              <w:rPr>
                <w:rFonts w:ascii="宋体" w:hAnsi="宋体"/>
              </w:rPr>
            </w:pPr>
          </w:p>
          <w:p w14:paraId="542E861A">
            <w:pPr>
              <w:rPr>
                <w:rFonts w:ascii="宋体" w:hAnsi="宋体"/>
              </w:rPr>
            </w:pPr>
            <w:r>
              <w:rPr>
                <w:rFonts w:hint="eastAsia" w:ascii="宋体" w:hAnsi="宋体"/>
              </w:rPr>
              <w:t>实训资源</w:t>
            </w:r>
          </w:p>
          <w:p w14:paraId="4A43EB1F">
            <w:pPr>
              <w:rPr>
                <w:rFonts w:ascii="宋体" w:hAnsi="宋体"/>
              </w:rPr>
            </w:pPr>
            <w:r>
              <w:rPr>
                <w:rFonts w:hint="eastAsia" w:ascii="宋体" w:hAnsi="宋体"/>
              </w:rPr>
              <w:t>1.▲须提供至少5个实训案例，实训案例至少包含智慧园区、智慧仓储、智慧运输、智能口罩检测、智慧温室等应用项目；（提供智能口罩检测项目演示视频及截图证明）</w:t>
            </w:r>
          </w:p>
          <w:p w14:paraId="26653A6F">
            <w:pPr>
              <w:rPr>
                <w:rFonts w:ascii="宋体" w:hAnsi="宋体"/>
              </w:rPr>
            </w:pPr>
            <w:r>
              <w:rPr>
                <w:rFonts w:hint="eastAsia" w:ascii="宋体" w:hAnsi="宋体"/>
              </w:rPr>
              <w:t>2.▲须提供实训案例配套实训指导手册资料。（提供相应实训指导手册目录及样章佐证）</w:t>
            </w:r>
          </w:p>
          <w:p w14:paraId="2CD22FF2">
            <w:pPr>
              <w:rPr>
                <w:rFonts w:ascii="宋体" w:hAnsi="宋体"/>
                <w:highlight w:val="yellow"/>
              </w:rPr>
            </w:pPr>
          </w:p>
        </w:tc>
        <w:tc>
          <w:tcPr>
            <w:tcW w:w="0" w:type="auto"/>
            <w:vAlign w:val="center"/>
          </w:tcPr>
          <w:p w14:paraId="5B80894B">
            <w:pPr>
              <w:jc w:val="center"/>
              <w:rPr>
                <w:rFonts w:ascii="宋体" w:hAnsi="宋体"/>
              </w:rPr>
            </w:pPr>
            <w:r>
              <w:rPr>
                <w:rFonts w:hint="eastAsia" w:ascii="宋体" w:hAnsi="宋体"/>
              </w:rPr>
              <w:t>套</w:t>
            </w:r>
          </w:p>
        </w:tc>
        <w:tc>
          <w:tcPr>
            <w:tcW w:w="0" w:type="auto"/>
            <w:vAlign w:val="center"/>
          </w:tcPr>
          <w:p w14:paraId="6F23A377">
            <w:pPr>
              <w:jc w:val="center"/>
              <w:rPr>
                <w:rFonts w:ascii="宋体" w:hAnsi="宋体"/>
              </w:rPr>
            </w:pPr>
            <w:r>
              <w:rPr>
                <w:rFonts w:hint="eastAsia" w:ascii="宋体" w:hAnsi="宋体"/>
              </w:rPr>
              <w:t>4</w:t>
            </w:r>
          </w:p>
        </w:tc>
        <w:tc>
          <w:tcPr>
            <w:tcW w:w="0" w:type="auto"/>
            <w:vAlign w:val="center"/>
          </w:tcPr>
          <w:p w14:paraId="28318C3C">
            <w:pPr>
              <w:jc w:val="center"/>
              <w:rPr>
                <w:rFonts w:ascii="宋体" w:hAnsi="宋体"/>
              </w:rPr>
            </w:pPr>
            <w:r>
              <w:rPr>
                <w:rFonts w:hint="eastAsia" w:ascii="宋体" w:hAnsi="宋体"/>
              </w:rPr>
              <w:t>270000</w:t>
            </w:r>
          </w:p>
        </w:tc>
        <w:tc>
          <w:tcPr>
            <w:tcW w:w="0" w:type="auto"/>
            <w:vAlign w:val="center"/>
          </w:tcPr>
          <w:p w14:paraId="063B640D">
            <w:pPr>
              <w:jc w:val="center"/>
              <w:rPr>
                <w:rFonts w:ascii="宋体" w:hAnsi="宋体"/>
              </w:rPr>
            </w:pPr>
            <w:r>
              <w:rPr>
                <w:rFonts w:hint="eastAsia" w:ascii="宋体" w:hAnsi="宋体"/>
              </w:rPr>
              <w:t>1080000</w:t>
            </w:r>
          </w:p>
        </w:tc>
      </w:tr>
      <w:tr w14:paraId="09649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vAlign w:val="center"/>
          </w:tcPr>
          <w:p w14:paraId="66D66F46">
            <w:pPr>
              <w:jc w:val="center"/>
              <w:rPr>
                <w:rFonts w:ascii="宋体" w:hAnsi="宋体"/>
              </w:rPr>
            </w:pPr>
            <w:r>
              <w:rPr>
                <w:rFonts w:hint="eastAsia" w:ascii="宋体" w:hAnsi="宋体"/>
              </w:rPr>
              <w:t>2</w:t>
            </w:r>
          </w:p>
        </w:tc>
        <w:tc>
          <w:tcPr>
            <w:tcW w:w="0" w:type="auto"/>
            <w:vAlign w:val="center"/>
          </w:tcPr>
          <w:p w14:paraId="19561BE2">
            <w:pPr>
              <w:rPr>
                <w:rFonts w:ascii="宋体" w:hAnsi="宋体"/>
              </w:rPr>
            </w:pPr>
            <w:r>
              <w:rPr>
                <w:rFonts w:hint="eastAsia"/>
                <w:lang w:bidi="ar"/>
              </w:rPr>
              <w:t>物联网全栈实训精品教学资源</w:t>
            </w:r>
          </w:p>
        </w:tc>
        <w:tc>
          <w:tcPr>
            <w:tcW w:w="0" w:type="auto"/>
            <w:vAlign w:val="center"/>
          </w:tcPr>
          <w:p w14:paraId="60FA6E0E">
            <w:pPr>
              <w:pStyle w:val="116"/>
              <w:rPr>
                <w:b/>
                <w:lang w:bidi="ar"/>
              </w:rPr>
            </w:pPr>
            <w:r>
              <w:rPr>
                <w:rFonts w:hint="eastAsia"/>
                <w:b/>
                <w:lang w:bidi="ar"/>
              </w:rPr>
              <w:t>（一）：物联网竞赛真题讲解</w:t>
            </w:r>
          </w:p>
          <w:p w14:paraId="13114A16">
            <w:pPr>
              <w:pStyle w:val="116"/>
              <w:rPr>
                <w:lang w:bidi="ar"/>
              </w:rPr>
            </w:pPr>
            <w:r>
              <w:rPr>
                <w:lang w:bidi="ar"/>
              </w:rPr>
              <w:t>1、结合物联网国赛真题进行详细讲解</w:t>
            </w:r>
          </w:p>
          <w:p w14:paraId="2148F4F9">
            <w:pPr>
              <w:pStyle w:val="116"/>
              <w:rPr>
                <w:lang w:bidi="ar"/>
              </w:rPr>
            </w:pPr>
            <w:r>
              <w:rPr>
                <w:rFonts w:hint="eastAsia"/>
                <w:lang w:bidi="ar"/>
              </w:rPr>
              <w:t>对</w:t>
            </w:r>
            <w:r>
              <w:rPr>
                <w:rFonts w:hint="eastAsia"/>
                <w:lang w:val="en-US" w:bidi="ar"/>
              </w:rPr>
              <w:t>往年</w:t>
            </w:r>
            <w:r>
              <w:rPr>
                <w:lang w:bidi="ar"/>
              </w:rPr>
              <w:t>物联网赛项规程进行分析，并提供全套真题讲解，应包含题目分析、解题思路、注意事项及成果提交等内容。</w:t>
            </w:r>
          </w:p>
          <w:p w14:paraId="2E4F71A1">
            <w:pPr>
              <w:pStyle w:val="116"/>
              <w:rPr>
                <w:lang w:bidi="ar"/>
              </w:rPr>
            </w:pPr>
            <w:r>
              <w:rPr>
                <w:lang w:bidi="ar"/>
              </w:rPr>
              <w:t>2、资源特色</w:t>
            </w:r>
          </w:p>
          <w:p w14:paraId="7FD08303">
            <w:pPr>
              <w:pStyle w:val="116"/>
              <w:rPr>
                <w:lang w:bidi="ar"/>
              </w:rPr>
            </w:pPr>
            <w:r>
              <w:rPr>
                <w:rFonts w:hint="eastAsia"/>
                <w:lang w:bidi="ar"/>
              </w:rPr>
              <w:t>由全国顶尖的优秀指导教师（全国物联网大赛金牌指导教师）针对公开赛题进行赛题解读和考核要点讲解。</w:t>
            </w:r>
          </w:p>
          <w:p w14:paraId="12D9D03C">
            <w:pPr>
              <w:pStyle w:val="116"/>
              <w:rPr>
                <w:lang w:bidi="ar"/>
              </w:rPr>
            </w:pPr>
            <w:r>
              <w:rPr>
                <w:lang w:bidi="ar"/>
              </w:rPr>
              <w:t>3、资源明细</w:t>
            </w:r>
          </w:p>
          <w:p w14:paraId="48EE5BB3">
            <w:pPr>
              <w:pStyle w:val="116"/>
              <w:rPr>
                <w:lang w:bidi="ar"/>
              </w:rPr>
            </w:pPr>
            <w:r>
              <w:rPr>
                <w:rFonts w:hint="eastAsia"/>
                <w:lang w:bidi="ar"/>
              </w:rPr>
              <w:t>包括：不少于</w:t>
            </w:r>
            <w:r>
              <w:rPr>
                <w:lang w:bidi="ar"/>
              </w:rPr>
              <w:t>15个慕课视频（每个视频时长不少于3分钟），不少于20个实操（微课）视频，以及至少1份配套源码。</w:t>
            </w:r>
          </w:p>
          <w:p w14:paraId="28C1A841">
            <w:pPr>
              <w:pStyle w:val="116"/>
              <w:rPr>
                <w:lang w:bidi="ar"/>
              </w:rPr>
            </w:pPr>
          </w:p>
          <w:p w14:paraId="11DB2428">
            <w:pPr>
              <w:pStyle w:val="116"/>
              <w:rPr>
                <w:b/>
                <w:lang w:bidi="ar"/>
              </w:rPr>
            </w:pPr>
            <w:r>
              <w:rPr>
                <w:rFonts w:hint="eastAsia"/>
                <w:b/>
                <w:lang w:bidi="ar"/>
              </w:rPr>
              <w:t>（二）：</w:t>
            </w:r>
            <w:r>
              <w:rPr>
                <w:b/>
                <w:lang w:bidi="ar"/>
              </w:rPr>
              <w:t>AIoT全栈设备安装和配置</w:t>
            </w:r>
          </w:p>
          <w:p w14:paraId="33F879CB">
            <w:pPr>
              <w:pStyle w:val="116"/>
              <w:rPr>
                <w:lang w:bidi="ar"/>
              </w:rPr>
            </w:pPr>
            <w:r>
              <w:rPr>
                <w:lang w:bidi="ar"/>
              </w:rPr>
              <w:t>1、课程大纲</w:t>
            </w:r>
          </w:p>
          <w:p w14:paraId="3F7E7A3D">
            <w:pPr>
              <w:pStyle w:val="116"/>
              <w:rPr>
                <w:lang w:bidi="ar"/>
              </w:rPr>
            </w:pPr>
            <w:r>
              <w:rPr>
                <w:lang w:bidi="ar"/>
              </w:rPr>
              <w:t>1.1、安装与配置专项教程</w:t>
            </w:r>
          </w:p>
          <w:p w14:paraId="7182C8A7">
            <w:pPr>
              <w:pStyle w:val="116"/>
              <w:rPr>
                <w:lang w:bidi="ar"/>
              </w:rPr>
            </w:pPr>
            <w:r>
              <w:rPr>
                <w:rFonts w:hint="eastAsia"/>
                <w:lang w:bidi="ar"/>
              </w:rPr>
              <w:t>包括：竞赛真题分析、优秀指导教师经验分享、学习方法与训练计划、知识点与技能点概览、设备选型、</w:t>
            </w:r>
            <w:r>
              <w:rPr>
                <w:lang w:bidi="ar"/>
              </w:rPr>
              <w:t>485型设备配置、无线传感网配置、局域网搭建与路由器配置、IP网络工具使用、主要感知设备（如UHF射频读写器、综合显示屏、二维码扫描枪、热敏打印机）的调试，及网络终端（如IoT采集器、串口终端、串口服务器、物联网中心网关、4G通讯终端）的配置。</w:t>
            </w:r>
          </w:p>
          <w:p w14:paraId="7C441A51">
            <w:pPr>
              <w:pStyle w:val="116"/>
              <w:rPr>
                <w:lang w:bidi="ar"/>
              </w:rPr>
            </w:pPr>
            <w:r>
              <w:rPr>
                <w:lang w:bidi="ar"/>
              </w:rPr>
              <w:t>1.2、云平台使用专项教程</w:t>
            </w:r>
          </w:p>
          <w:p w14:paraId="38D04E4E">
            <w:pPr>
              <w:pStyle w:val="116"/>
              <w:rPr>
                <w:lang w:bidi="ar"/>
              </w:rPr>
            </w:pPr>
            <w:r>
              <w:rPr>
                <w:rFonts w:hint="eastAsia"/>
                <w:lang w:bidi="ar"/>
              </w:rPr>
              <w:t>包括：竞赛真题分析、云平台项目管理与设备管理、云平台应用管理与发布，以及综合练习题目。</w:t>
            </w:r>
          </w:p>
          <w:p w14:paraId="595007E5">
            <w:pPr>
              <w:pStyle w:val="116"/>
              <w:rPr>
                <w:lang w:bidi="ar"/>
              </w:rPr>
            </w:pPr>
            <w:r>
              <w:rPr>
                <w:lang w:bidi="ar"/>
              </w:rPr>
              <w:t>1.3、系统运行维护专项教程</w:t>
            </w:r>
          </w:p>
          <w:p w14:paraId="4F70AFA2">
            <w:pPr>
              <w:pStyle w:val="116"/>
              <w:rPr>
                <w:lang w:bidi="ar"/>
              </w:rPr>
            </w:pPr>
            <w:r>
              <w:rPr>
                <w:rFonts w:hint="eastAsia"/>
                <w:lang w:bidi="ar"/>
              </w:rPr>
              <w:t>包括：竞赛真题分析、</w:t>
            </w:r>
            <w:r>
              <w:rPr>
                <w:lang w:bidi="ar"/>
              </w:rPr>
              <w:t>VirtualBox安装、ISO虚拟机创建、OVA文件导入与导出、Linux常用命令与配置、远程SSH服务配置与访问、MySQL数据库安装与使用、Windows系统维护与性能优化、SQLServer数据库使用，以及综合练习题目。</w:t>
            </w:r>
          </w:p>
          <w:p w14:paraId="047C2316">
            <w:pPr>
              <w:pStyle w:val="116"/>
              <w:rPr>
                <w:lang w:bidi="ar"/>
              </w:rPr>
            </w:pPr>
            <w:r>
              <w:rPr>
                <w:lang w:bidi="ar"/>
              </w:rPr>
              <w:t>2、资源明细</w:t>
            </w:r>
          </w:p>
          <w:p w14:paraId="2A76C8E1">
            <w:pPr>
              <w:pStyle w:val="116"/>
              <w:rPr>
                <w:lang w:bidi="ar"/>
              </w:rPr>
            </w:pPr>
            <w:r>
              <w:rPr>
                <w:rFonts w:hint="eastAsia"/>
                <w:lang w:bidi="ar"/>
              </w:rPr>
              <w:t>包括：实训手册</w:t>
            </w:r>
            <w:r>
              <w:rPr>
                <w:lang w:bidi="ar"/>
              </w:rPr>
              <w:t>1份≥100页，慕课视频不少于15个（每个视频时长不小于3分钟），实操（微课）视频不少于20个，教学PPT不少于15份。源码和题库至少配套1份。</w:t>
            </w:r>
          </w:p>
          <w:p w14:paraId="32242B64">
            <w:pPr>
              <w:pStyle w:val="116"/>
              <w:rPr>
                <w:lang w:bidi="ar"/>
              </w:rPr>
            </w:pPr>
          </w:p>
          <w:p w14:paraId="7E567013">
            <w:pPr>
              <w:pStyle w:val="116"/>
              <w:rPr>
                <w:b/>
                <w:lang w:bidi="ar"/>
              </w:rPr>
            </w:pPr>
            <w:r>
              <w:rPr>
                <w:rFonts w:hint="eastAsia"/>
                <w:b/>
                <w:lang w:bidi="ar"/>
              </w:rPr>
              <w:t>（三）：</w:t>
            </w:r>
            <w:r>
              <w:rPr>
                <w:b/>
                <w:lang w:bidi="ar"/>
              </w:rPr>
              <w:t>AIoT全栈嵌入式应用开发</w:t>
            </w:r>
          </w:p>
          <w:p w14:paraId="4A47F977">
            <w:pPr>
              <w:pStyle w:val="116"/>
              <w:rPr>
                <w:lang w:bidi="ar"/>
              </w:rPr>
            </w:pPr>
            <w:r>
              <w:rPr>
                <w:lang w:bidi="ar"/>
              </w:rPr>
              <w:t>1、课程大纲</w:t>
            </w:r>
          </w:p>
          <w:p w14:paraId="45D15E2F">
            <w:pPr>
              <w:pStyle w:val="116"/>
              <w:rPr>
                <w:lang w:bidi="ar"/>
              </w:rPr>
            </w:pPr>
            <w:r>
              <w:rPr>
                <w:lang w:bidi="ar"/>
              </w:rPr>
              <w:t>1.1、ZigBee专项教程</w:t>
            </w:r>
          </w:p>
          <w:p w14:paraId="04DE147C">
            <w:pPr>
              <w:pStyle w:val="116"/>
              <w:rPr>
                <w:lang w:bidi="ar"/>
              </w:rPr>
            </w:pPr>
            <w:r>
              <w:rPr>
                <w:rFonts w:hint="eastAsia"/>
                <w:lang w:bidi="ar"/>
              </w:rPr>
              <w:t>包括：竞赛真题分析、</w:t>
            </w:r>
            <w:r>
              <w:rPr>
                <w:lang w:bidi="ar"/>
              </w:rPr>
              <w:t>CC2530入门、开发环境搭建、LED灯实验（包括呼吸灯的实现）、按键事件实验、串口通信实验、传感器数据采集与继电器控制实验、点对点通信实验及综合练习题目。</w:t>
            </w:r>
          </w:p>
          <w:p w14:paraId="2BC4D400">
            <w:pPr>
              <w:pStyle w:val="116"/>
              <w:rPr>
                <w:lang w:bidi="ar"/>
              </w:rPr>
            </w:pPr>
            <w:r>
              <w:rPr>
                <w:lang w:bidi="ar"/>
              </w:rPr>
              <w:t>1.2、LoRa专项教程</w:t>
            </w:r>
          </w:p>
          <w:p w14:paraId="34236209">
            <w:pPr>
              <w:pStyle w:val="116"/>
              <w:rPr>
                <w:lang w:bidi="ar"/>
              </w:rPr>
            </w:pPr>
            <w:r>
              <w:rPr>
                <w:rFonts w:hint="eastAsia"/>
                <w:lang w:bidi="ar"/>
              </w:rPr>
              <w:t>包括：竞赛真题分析、</w:t>
            </w:r>
            <w:r>
              <w:rPr>
                <w:lang w:bidi="ar"/>
              </w:rPr>
              <w:t>LoRa入门、开发环境搭建、LED灯实验、按键事件实验、液晶屏显示实验、传感器数据采集实验、程序逻辑控制实验、屏幕输出控制实验、串口通信实验、LoRa通信实验及综合练习题目。</w:t>
            </w:r>
          </w:p>
          <w:p w14:paraId="30A7613D">
            <w:pPr>
              <w:pStyle w:val="116"/>
              <w:rPr>
                <w:lang w:bidi="ar"/>
              </w:rPr>
            </w:pPr>
            <w:r>
              <w:rPr>
                <w:lang w:bidi="ar"/>
              </w:rPr>
              <w:t>1.3、NB-IOT专项教程</w:t>
            </w:r>
          </w:p>
          <w:p w14:paraId="13CCAF63">
            <w:pPr>
              <w:pStyle w:val="116"/>
              <w:rPr>
                <w:lang w:bidi="ar"/>
              </w:rPr>
            </w:pPr>
            <w:r>
              <w:rPr>
                <w:rFonts w:hint="eastAsia"/>
                <w:lang w:bidi="ar"/>
              </w:rPr>
              <w:t>包括：竞赛真题分析、</w:t>
            </w:r>
            <w:r>
              <w:rPr>
                <w:lang w:bidi="ar"/>
              </w:rPr>
              <w:t>NB-IOT入门、LED灯实验、按键事件实验、液晶屏显示实验、传感器数据采集实验、程序逻辑控制实验、屏幕输出控制实验、串口通信实验及综合练习题目。</w:t>
            </w:r>
          </w:p>
          <w:p w14:paraId="1056F0D4">
            <w:pPr>
              <w:pStyle w:val="116"/>
              <w:rPr>
                <w:lang w:bidi="ar"/>
              </w:rPr>
            </w:pPr>
            <w:r>
              <w:rPr>
                <w:lang w:bidi="ar"/>
              </w:rPr>
              <w:t>2、资源明细</w:t>
            </w:r>
          </w:p>
          <w:p w14:paraId="4DB83A25">
            <w:pPr>
              <w:pStyle w:val="116"/>
              <w:rPr>
                <w:lang w:bidi="ar"/>
              </w:rPr>
            </w:pPr>
            <w:r>
              <w:rPr>
                <w:rFonts w:hint="eastAsia"/>
                <w:lang w:bidi="ar"/>
              </w:rPr>
              <w:t>包括：实训手册</w:t>
            </w:r>
            <w:r>
              <w:rPr>
                <w:lang w:bidi="ar"/>
              </w:rPr>
              <w:t>1册≥100页，慕课视频不少于15个（每个3分钟），实操（微课）视频不少于20个，教学PPT不少于15份。源码和题库至少各配套1份。</w:t>
            </w:r>
          </w:p>
          <w:p w14:paraId="018143AD">
            <w:pPr>
              <w:pStyle w:val="116"/>
              <w:rPr>
                <w:lang w:bidi="ar"/>
              </w:rPr>
            </w:pPr>
          </w:p>
          <w:p w14:paraId="25F5C250">
            <w:pPr>
              <w:pStyle w:val="116"/>
              <w:rPr>
                <w:b/>
                <w:lang w:bidi="ar"/>
              </w:rPr>
            </w:pPr>
            <w:r>
              <w:rPr>
                <w:rFonts w:hint="eastAsia"/>
                <w:b/>
                <w:lang w:bidi="ar"/>
              </w:rPr>
              <w:t>（四）：</w:t>
            </w:r>
            <w:r>
              <w:rPr>
                <w:b/>
                <w:lang w:bidi="ar"/>
              </w:rPr>
              <w:t>AIoT全栈Android应用开发</w:t>
            </w:r>
          </w:p>
          <w:p w14:paraId="35D90DCA">
            <w:pPr>
              <w:pStyle w:val="116"/>
              <w:rPr>
                <w:lang w:bidi="ar"/>
              </w:rPr>
            </w:pPr>
            <w:r>
              <w:rPr>
                <w:lang w:bidi="ar"/>
              </w:rPr>
              <w:t>1、课程大纲</w:t>
            </w:r>
          </w:p>
          <w:p w14:paraId="529D0485">
            <w:pPr>
              <w:pStyle w:val="116"/>
              <w:rPr>
                <w:lang w:bidi="ar"/>
              </w:rPr>
            </w:pPr>
            <w:r>
              <w:rPr>
                <w:lang w:bidi="ar"/>
              </w:rPr>
              <w:t>1.1、森林火灾报警系统专项教程</w:t>
            </w:r>
          </w:p>
          <w:p w14:paraId="4709CC0C">
            <w:pPr>
              <w:pStyle w:val="116"/>
              <w:rPr>
                <w:lang w:bidi="ar"/>
              </w:rPr>
            </w:pPr>
            <w:r>
              <w:rPr>
                <w:rFonts w:hint="eastAsia"/>
                <w:lang w:bidi="ar"/>
              </w:rPr>
              <w:t>包括：物联网云平台接入专项实战、硬件环境搭建、依赖环境生成、</w:t>
            </w:r>
            <w:r>
              <w:rPr>
                <w:lang w:bidi="ar"/>
              </w:rPr>
              <w:t>App页面初始化、云平台API调用、通过云平台读取和显示传感器数据、执行器控制及设备数据采集和控制的实现。</w:t>
            </w:r>
          </w:p>
          <w:p w14:paraId="662F6CAA">
            <w:pPr>
              <w:pStyle w:val="116"/>
              <w:rPr>
                <w:lang w:bidi="ar"/>
              </w:rPr>
            </w:pPr>
            <w:r>
              <w:rPr>
                <w:lang w:bidi="ar"/>
              </w:rPr>
              <w:t>1.2、智能电影院系统</w:t>
            </w:r>
          </w:p>
          <w:p w14:paraId="51D5B9F4">
            <w:pPr>
              <w:pStyle w:val="116"/>
              <w:rPr>
                <w:lang w:bidi="ar"/>
              </w:rPr>
            </w:pPr>
            <w:r>
              <w:rPr>
                <w:rFonts w:hint="eastAsia"/>
                <w:lang w:bidi="ar"/>
              </w:rPr>
              <w:t>包括：使用</w:t>
            </w:r>
            <w:r>
              <w:rPr>
                <w:lang w:bidi="ar"/>
              </w:rPr>
              <w:t>TCP模式接入串口服务器专项实战、硬件环境搭建、依赖环境生成、App页面初始化、串口通信、通过网络连接IOT采集器读取数据和控制设备、综合显示屏输出及读取RFID超高频标签。</w:t>
            </w:r>
          </w:p>
          <w:p w14:paraId="5B030140">
            <w:pPr>
              <w:pStyle w:val="116"/>
              <w:rPr>
                <w:lang w:bidi="ar"/>
              </w:rPr>
            </w:pPr>
            <w:r>
              <w:rPr>
                <w:lang w:bidi="ar"/>
              </w:rPr>
              <w:t>1.3、远程监控应用系统</w:t>
            </w:r>
          </w:p>
          <w:p w14:paraId="6D44F4B3">
            <w:pPr>
              <w:pStyle w:val="116"/>
              <w:rPr>
                <w:lang w:bidi="ar"/>
              </w:rPr>
            </w:pPr>
            <w:r>
              <w:rPr>
                <w:rFonts w:hint="eastAsia"/>
                <w:lang w:bidi="ar"/>
              </w:rPr>
              <w:t>包括：直连设备实现数据采集和控制专项实战、硬件设备环境搭建、依赖环境生成、</w:t>
            </w:r>
            <w:r>
              <w:rPr>
                <w:lang w:bidi="ar"/>
              </w:rPr>
              <w:t>App页面初始化、通过直连联动控制器实现手动控制LED小灯泡、直连485设备读取数据和控制、通过MQTT连接中心网关读取数据和控制设备、监控摄像头显示及云台控制。</w:t>
            </w:r>
          </w:p>
          <w:p w14:paraId="0002641E">
            <w:pPr>
              <w:pStyle w:val="116"/>
              <w:rPr>
                <w:lang w:bidi="ar"/>
              </w:rPr>
            </w:pPr>
            <w:r>
              <w:rPr>
                <w:lang w:bidi="ar"/>
              </w:rPr>
              <w:t>2、资源明细</w:t>
            </w:r>
          </w:p>
          <w:p w14:paraId="229A826B">
            <w:pPr>
              <w:pStyle w:val="116"/>
              <w:rPr>
                <w:lang w:bidi="ar"/>
              </w:rPr>
            </w:pPr>
            <w:r>
              <w:rPr>
                <w:rFonts w:hint="eastAsia"/>
                <w:lang w:bidi="ar"/>
              </w:rPr>
              <w:t>包括：实训手册</w:t>
            </w:r>
            <w:r>
              <w:rPr>
                <w:lang w:bidi="ar"/>
              </w:rPr>
              <w:t>1册≥100页，慕课视频不少于15个（每个3分钟），实操（微课）视频不少于20个，教学PPT不少于15份。源码和题库至少各配套1份。</w:t>
            </w:r>
          </w:p>
          <w:p w14:paraId="5C7C6A08">
            <w:pPr>
              <w:pStyle w:val="116"/>
              <w:rPr>
                <w:lang w:bidi="ar"/>
              </w:rPr>
            </w:pPr>
          </w:p>
          <w:p w14:paraId="64924D69">
            <w:pPr>
              <w:pStyle w:val="116"/>
              <w:rPr>
                <w:b/>
                <w:lang w:bidi="ar"/>
              </w:rPr>
            </w:pPr>
            <w:r>
              <w:rPr>
                <w:rFonts w:hint="eastAsia"/>
                <w:b/>
                <w:lang w:bidi="ar"/>
              </w:rPr>
              <w:t>（五）：</w:t>
            </w:r>
            <w:r>
              <w:rPr>
                <w:b/>
                <w:lang w:bidi="ar"/>
              </w:rPr>
              <w:t>AIoT全栈Python应用开发</w:t>
            </w:r>
          </w:p>
          <w:p w14:paraId="0B23EC11">
            <w:pPr>
              <w:pStyle w:val="116"/>
              <w:rPr>
                <w:lang w:bidi="ar"/>
              </w:rPr>
            </w:pPr>
            <w:r>
              <w:rPr>
                <w:lang w:bidi="ar"/>
              </w:rPr>
              <w:t>1、课程大纲</w:t>
            </w:r>
          </w:p>
          <w:p w14:paraId="5CE4AF87">
            <w:pPr>
              <w:pStyle w:val="116"/>
              <w:rPr>
                <w:lang w:bidi="ar"/>
              </w:rPr>
            </w:pPr>
            <w:r>
              <w:rPr>
                <w:lang w:bidi="ar"/>
              </w:rPr>
              <w:t>Python开发专项教程</w:t>
            </w:r>
          </w:p>
          <w:p w14:paraId="6A7F3CC8">
            <w:pPr>
              <w:pStyle w:val="116"/>
              <w:rPr>
                <w:lang w:bidi="ar"/>
              </w:rPr>
            </w:pPr>
            <w:r>
              <w:rPr>
                <w:rFonts w:hint="eastAsia"/>
                <w:lang w:bidi="ar"/>
              </w:rPr>
              <w:t>包括：竞赛真题分析、</w:t>
            </w:r>
            <w:r>
              <w:rPr>
                <w:lang w:bidi="ar"/>
              </w:rPr>
              <w:t>Python入门、开发环境搭建、WHL包安装、项目创建与HelloWorld输出、PyQt5布局排版与界面设计器使用、PyQt5界面美化与图片资源使用、全栈设备Python包的引用、传感器数据读取与显示及执行器控制。</w:t>
            </w:r>
          </w:p>
          <w:p w14:paraId="7E28B724">
            <w:pPr>
              <w:pStyle w:val="116"/>
              <w:rPr>
                <w:lang w:bidi="ar"/>
              </w:rPr>
            </w:pPr>
            <w:r>
              <w:rPr>
                <w:lang w:bidi="ar"/>
              </w:rPr>
              <w:t>1.1、客厅环境监控系统（物联网云平台接入）</w:t>
            </w:r>
          </w:p>
          <w:p w14:paraId="34ABAD79">
            <w:pPr>
              <w:pStyle w:val="116"/>
              <w:rPr>
                <w:lang w:bidi="ar"/>
              </w:rPr>
            </w:pPr>
            <w:r>
              <w:rPr>
                <w:rFonts w:hint="eastAsia"/>
                <w:lang w:bidi="ar"/>
              </w:rPr>
              <w:t>包括：硬件设备环境搭建、通过网络连接</w:t>
            </w:r>
            <w:r>
              <w:rPr>
                <w:lang w:bidi="ar"/>
              </w:rPr>
              <w:t>IOT采集器读取数据和控制设备、客厅环境监控系统UI布局、云平台API调用、定时器使用、综合显示屏输出及程序发布。</w:t>
            </w:r>
          </w:p>
          <w:p w14:paraId="1FCDA7C6">
            <w:pPr>
              <w:pStyle w:val="116"/>
              <w:rPr>
                <w:lang w:bidi="ar"/>
              </w:rPr>
            </w:pPr>
            <w:r>
              <w:rPr>
                <w:lang w:bidi="ar"/>
              </w:rPr>
              <w:t>1.2、钻井深度监测（串口服务器接入）</w:t>
            </w:r>
          </w:p>
          <w:p w14:paraId="033B421B">
            <w:pPr>
              <w:pStyle w:val="116"/>
              <w:rPr>
                <w:lang w:bidi="ar"/>
              </w:rPr>
            </w:pPr>
            <w:r>
              <w:rPr>
                <w:rFonts w:hint="eastAsia"/>
                <w:lang w:bidi="ar"/>
              </w:rPr>
              <w:t>包括：硬件设备环境搭建、钻井深度监测功能</w:t>
            </w:r>
            <w:r>
              <w:rPr>
                <w:lang w:bidi="ar"/>
              </w:rPr>
              <w:t>UI布局、连接串口服务器数据、定时器使用及数据导出。</w:t>
            </w:r>
          </w:p>
          <w:p w14:paraId="511B233E">
            <w:pPr>
              <w:pStyle w:val="116"/>
              <w:rPr>
                <w:lang w:bidi="ar"/>
              </w:rPr>
            </w:pPr>
            <w:r>
              <w:rPr>
                <w:lang w:bidi="ar"/>
              </w:rPr>
              <w:t>1.3、监控管理系统（调用SDK接入）</w:t>
            </w:r>
          </w:p>
          <w:p w14:paraId="03675056">
            <w:pPr>
              <w:pStyle w:val="116"/>
              <w:rPr>
                <w:lang w:bidi="ar"/>
              </w:rPr>
            </w:pPr>
            <w:r>
              <w:rPr>
                <w:rFonts w:hint="eastAsia"/>
                <w:lang w:bidi="ar"/>
              </w:rPr>
              <w:t>包括：硬件设备环境搭建、监控管理系统</w:t>
            </w:r>
            <w:r>
              <w:rPr>
                <w:lang w:bidi="ar"/>
              </w:rPr>
              <w:t>UI布局、监控摄像头显示与云台控制、监控摄像头视频截图与录制及RFID超高频标签读取。</w:t>
            </w:r>
          </w:p>
          <w:p w14:paraId="73A64F89">
            <w:pPr>
              <w:pStyle w:val="116"/>
              <w:rPr>
                <w:lang w:bidi="ar"/>
              </w:rPr>
            </w:pPr>
            <w:r>
              <w:rPr>
                <w:lang w:bidi="ar"/>
              </w:rPr>
              <w:t>2、资源明细</w:t>
            </w:r>
          </w:p>
          <w:p w14:paraId="15E9ADD1">
            <w:pPr>
              <w:rPr>
                <w:rFonts w:ascii="宋体" w:hAnsi="宋体"/>
              </w:rPr>
            </w:pPr>
            <w:r>
              <w:rPr>
                <w:rFonts w:hint="eastAsia"/>
                <w:lang w:bidi="ar"/>
              </w:rPr>
              <w:t>包括：实训手册</w:t>
            </w:r>
            <w:r>
              <w:rPr>
                <w:lang w:bidi="ar"/>
              </w:rPr>
              <w:t>1册≥100页，慕课视频不少于15个（每个3分钟），实操（微课）视频不少于20个，教学PPT不少于15份。源码和题库至少各配套1份。</w:t>
            </w:r>
          </w:p>
        </w:tc>
        <w:tc>
          <w:tcPr>
            <w:tcW w:w="0" w:type="auto"/>
            <w:vAlign w:val="center"/>
          </w:tcPr>
          <w:p w14:paraId="50A255BC">
            <w:pPr>
              <w:jc w:val="center"/>
              <w:rPr>
                <w:rFonts w:ascii="宋体" w:hAnsi="宋体"/>
              </w:rPr>
            </w:pPr>
            <w:r>
              <w:rPr>
                <w:rFonts w:hint="eastAsia" w:ascii="宋体" w:hAnsi="宋体"/>
              </w:rPr>
              <w:t>套</w:t>
            </w:r>
          </w:p>
        </w:tc>
        <w:tc>
          <w:tcPr>
            <w:tcW w:w="0" w:type="auto"/>
            <w:vAlign w:val="center"/>
          </w:tcPr>
          <w:p w14:paraId="0126B726">
            <w:pPr>
              <w:jc w:val="center"/>
              <w:rPr>
                <w:rFonts w:ascii="宋体" w:hAnsi="宋体"/>
              </w:rPr>
            </w:pPr>
            <w:r>
              <w:rPr>
                <w:rFonts w:hint="eastAsia" w:ascii="宋体" w:hAnsi="宋体"/>
              </w:rPr>
              <w:t>1</w:t>
            </w:r>
          </w:p>
        </w:tc>
        <w:tc>
          <w:tcPr>
            <w:tcW w:w="0" w:type="auto"/>
            <w:vAlign w:val="center"/>
          </w:tcPr>
          <w:p w14:paraId="61A13916">
            <w:pPr>
              <w:jc w:val="center"/>
              <w:rPr>
                <w:rFonts w:ascii="宋体" w:hAnsi="宋体"/>
              </w:rPr>
            </w:pPr>
            <w:r>
              <w:rPr>
                <w:rFonts w:hint="eastAsia" w:ascii="宋体" w:hAnsi="宋体"/>
              </w:rPr>
              <w:t>120000</w:t>
            </w:r>
          </w:p>
        </w:tc>
        <w:tc>
          <w:tcPr>
            <w:tcW w:w="0" w:type="auto"/>
            <w:vAlign w:val="center"/>
          </w:tcPr>
          <w:p w14:paraId="342097BF">
            <w:pPr>
              <w:jc w:val="center"/>
              <w:rPr>
                <w:rFonts w:ascii="宋体" w:hAnsi="宋体"/>
              </w:rPr>
            </w:pPr>
            <w:r>
              <w:rPr>
                <w:rFonts w:hint="eastAsia" w:ascii="宋体" w:hAnsi="宋体"/>
              </w:rPr>
              <w:t>120000</w:t>
            </w:r>
          </w:p>
        </w:tc>
      </w:tr>
      <w:tr w14:paraId="12F7C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14:paraId="3AB8134D">
            <w:pPr>
              <w:jc w:val="center"/>
              <w:rPr>
                <w:rFonts w:ascii="宋体" w:hAnsi="宋体"/>
              </w:rPr>
            </w:pPr>
            <w:r>
              <w:rPr>
                <w:rFonts w:hint="eastAsia" w:ascii="宋体" w:hAnsi="宋体"/>
              </w:rPr>
              <w:t>3</w:t>
            </w:r>
          </w:p>
        </w:tc>
        <w:tc>
          <w:tcPr>
            <w:tcW w:w="0" w:type="auto"/>
            <w:vAlign w:val="center"/>
          </w:tcPr>
          <w:p w14:paraId="1600D9CC">
            <w:pPr>
              <w:rPr>
                <w:rFonts w:ascii="宋体" w:hAnsi="宋体"/>
              </w:rPr>
            </w:pPr>
            <w:r>
              <w:rPr>
                <w:rFonts w:hint="eastAsia"/>
                <w:lang w:bidi="ar"/>
              </w:rPr>
              <w:t>物联网工程实施与运维实训套装</w:t>
            </w:r>
          </w:p>
        </w:tc>
        <w:tc>
          <w:tcPr>
            <w:tcW w:w="0" w:type="auto"/>
            <w:vAlign w:val="center"/>
          </w:tcPr>
          <w:p w14:paraId="287234CE">
            <w:pPr>
              <w:pStyle w:val="116"/>
              <w:rPr>
                <w:lang w:bidi="ar"/>
              </w:rPr>
            </w:pPr>
            <w:r>
              <w:rPr>
                <w:rFonts w:hint="eastAsia"/>
                <w:lang w:bidi="ar"/>
              </w:rPr>
              <w:t>物联网工程实施与运维实训平台</w:t>
            </w:r>
          </w:p>
          <w:p w14:paraId="404FE9BB">
            <w:pPr>
              <w:pStyle w:val="116"/>
              <w:rPr>
                <w:b/>
                <w:lang w:bidi="ar"/>
              </w:rPr>
            </w:pPr>
            <w:r>
              <w:rPr>
                <w:rFonts w:hint="eastAsia"/>
                <w:b/>
                <w:lang w:bidi="ar"/>
              </w:rPr>
              <w:t>（一）</w:t>
            </w:r>
            <w:r>
              <w:rPr>
                <w:b/>
                <w:lang w:bidi="ar"/>
              </w:rPr>
              <w:tab/>
            </w:r>
            <w:r>
              <w:rPr>
                <w:b/>
                <w:lang w:bidi="ar"/>
              </w:rPr>
              <w:t>实训工位</w:t>
            </w:r>
          </w:p>
          <w:p w14:paraId="5E3A9C72">
            <w:pPr>
              <w:pStyle w:val="116"/>
              <w:rPr>
                <w:b/>
                <w:lang w:bidi="ar"/>
              </w:rPr>
            </w:pPr>
            <w:r>
              <w:rPr>
                <w:rFonts w:hint="eastAsia"/>
                <w:b/>
                <w:lang w:bidi="ar"/>
              </w:rPr>
              <w:t>物联网工程实训工位（</w:t>
            </w:r>
            <w:r>
              <w:rPr>
                <w:b/>
                <w:lang w:bidi="ar"/>
              </w:rPr>
              <w:t>1套）</w:t>
            </w:r>
          </w:p>
          <w:p w14:paraId="650F1831">
            <w:pPr>
              <w:pStyle w:val="116"/>
              <w:rPr>
                <w:lang w:bidi="ar"/>
              </w:rPr>
            </w:pPr>
            <w:r>
              <w:rPr>
                <w:lang w:bidi="ar"/>
              </w:rPr>
              <w:t>1.符合人体工程学设计，便于学生对于设备的安装配置等实训操作；</w:t>
            </w:r>
          </w:p>
          <w:p w14:paraId="6EA41964">
            <w:pPr>
              <w:pStyle w:val="116"/>
              <w:rPr>
                <w:lang w:bidi="ar"/>
              </w:rPr>
            </w:pPr>
            <w:r>
              <w:rPr>
                <w:lang w:bidi="ar"/>
              </w:rPr>
              <w:t>2.配备一组网孔板，搭配灵活、可任意更改实训组件增加实训内容，便于功能扩展；(提供实物照片)；</w:t>
            </w:r>
          </w:p>
          <w:p w14:paraId="7CDC5A24">
            <w:pPr>
              <w:pStyle w:val="116"/>
              <w:rPr>
                <w:lang w:bidi="ar"/>
              </w:rPr>
            </w:pPr>
            <w:r>
              <w:rPr>
                <w:lang w:bidi="ar"/>
              </w:rPr>
              <w:t>3.有强弱电供电系统，工位背面配备至少3组强电5孔供电插座，且至少配有5组直流弱电（常用的5V、12V、24V）供电接口，满足工位上各类物联网设备的供电需要(提供实物照片)；</w:t>
            </w:r>
          </w:p>
          <w:p w14:paraId="03762E97">
            <w:pPr>
              <w:pStyle w:val="116"/>
              <w:rPr>
                <w:lang w:bidi="ar"/>
              </w:rPr>
            </w:pPr>
            <w:r>
              <w:rPr>
                <w:lang w:bidi="ar"/>
              </w:rPr>
              <w:t>4.面板支持走线槽安装，方便学生实训布线；</w:t>
            </w:r>
          </w:p>
          <w:p w14:paraId="34E1751B">
            <w:pPr>
              <w:pStyle w:val="116"/>
              <w:rPr>
                <w:lang w:bidi="ar"/>
              </w:rPr>
            </w:pPr>
            <w:r>
              <w:rPr>
                <w:lang w:bidi="ar"/>
              </w:rPr>
              <w:t>5.设计有安全配电箱，带有空气开关及漏电保护系统，一路电源输入、一路开关总控，确保系统使用安全可靠；</w:t>
            </w:r>
          </w:p>
          <w:p w14:paraId="7748567C">
            <w:pPr>
              <w:pStyle w:val="116"/>
              <w:rPr>
                <w:lang w:bidi="ar"/>
              </w:rPr>
            </w:pPr>
            <w:r>
              <w:rPr>
                <w:lang w:bidi="ar"/>
              </w:rPr>
              <w:t>6.配有移动小桌板，便于物联网设备、耗材工具等的摆放。(提供实物照片)；</w:t>
            </w:r>
          </w:p>
          <w:p w14:paraId="0E898E05">
            <w:pPr>
              <w:pStyle w:val="116"/>
              <w:rPr>
                <w:lang w:bidi="ar"/>
              </w:rPr>
            </w:pPr>
            <w:r>
              <w:rPr>
                <w:lang w:bidi="ar"/>
              </w:rPr>
              <w:t>7.外观尺寸（长*宽*高）：不大于1100mm*600mm*1900mm。</w:t>
            </w:r>
          </w:p>
          <w:p w14:paraId="2859875C">
            <w:pPr>
              <w:pStyle w:val="116"/>
              <w:rPr>
                <w:lang w:bidi="ar"/>
              </w:rPr>
            </w:pPr>
            <w:r>
              <w:rPr>
                <w:lang w:bidi="ar"/>
              </w:rPr>
              <w:t>8.面板尺寸（长*高）：不小于580mm*1000mm。</w:t>
            </w:r>
          </w:p>
          <w:p w14:paraId="4F05208C">
            <w:pPr>
              <w:pStyle w:val="116"/>
              <w:rPr>
                <w:lang w:bidi="ar"/>
              </w:rPr>
            </w:pPr>
          </w:p>
          <w:p w14:paraId="75754581">
            <w:pPr>
              <w:pStyle w:val="116"/>
              <w:rPr>
                <w:b/>
                <w:lang w:bidi="ar"/>
              </w:rPr>
            </w:pPr>
            <w:r>
              <w:rPr>
                <w:rFonts w:hint="eastAsia"/>
                <w:b/>
                <w:lang w:bidi="ar"/>
              </w:rPr>
              <w:t>（二）</w:t>
            </w:r>
            <w:r>
              <w:rPr>
                <w:b/>
                <w:lang w:bidi="ar"/>
              </w:rPr>
              <w:tab/>
            </w:r>
            <w:r>
              <w:rPr>
                <w:b/>
                <w:lang w:bidi="ar"/>
              </w:rPr>
              <w:t>硬件资源</w:t>
            </w:r>
          </w:p>
          <w:p w14:paraId="14EA60C0">
            <w:pPr>
              <w:pStyle w:val="116"/>
              <w:rPr>
                <w:b/>
                <w:lang w:bidi="ar"/>
              </w:rPr>
            </w:pPr>
            <w:r>
              <w:rPr>
                <w:rFonts w:hint="eastAsia"/>
                <w:b/>
                <w:lang w:bidi="ar"/>
              </w:rPr>
              <w:t>物联网网关（</w:t>
            </w:r>
            <w:r>
              <w:rPr>
                <w:b/>
                <w:lang w:bidi="ar"/>
              </w:rPr>
              <w:t>1套）</w:t>
            </w:r>
          </w:p>
          <w:p w14:paraId="49B403D4">
            <w:pPr>
              <w:pStyle w:val="116"/>
              <w:rPr>
                <w:lang w:bidi="ar"/>
              </w:rPr>
            </w:pPr>
            <w:r>
              <w:rPr>
                <w:lang w:bidi="ar"/>
              </w:rPr>
              <w:t>1.支持Ubuntu系统；</w:t>
            </w:r>
          </w:p>
          <w:p w14:paraId="22B97CCD">
            <w:pPr>
              <w:pStyle w:val="116"/>
              <w:rPr>
                <w:lang w:bidi="ar"/>
              </w:rPr>
            </w:pPr>
            <w:r>
              <w:rPr>
                <w:lang w:bidi="ar"/>
              </w:rPr>
              <w:t>2.具备1个10/100/1000MbpsRJ45以太网端口；</w:t>
            </w:r>
          </w:p>
          <w:p w14:paraId="3584733D">
            <w:pPr>
              <w:pStyle w:val="116"/>
              <w:rPr>
                <w:lang w:bidi="ar"/>
              </w:rPr>
            </w:pPr>
            <w:r>
              <w:rPr>
                <w:lang w:bidi="ar"/>
              </w:rPr>
              <w:t>3.支持2.4GHzWiFi连接；</w:t>
            </w:r>
          </w:p>
          <w:p w14:paraId="71B6938F">
            <w:pPr>
              <w:pStyle w:val="116"/>
              <w:rPr>
                <w:lang w:bidi="ar"/>
              </w:rPr>
            </w:pPr>
            <w:r>
              <w:rPr>
                <w:lang w:bidi="ar"/>
              </w:rPr>
              <w:t>4.具备1个HDMI；</w:t>
            </w:r>
          </w:p>
          <w:p w14:paraId="6B4A7750">
            <w:pPr>
              <w:pStyle w:val="116"/>
              <w:rPr>
                <w:lang w:val="en-US" w:bidi="ar"/>
              </w:rPr>
            </w:pPr>
            <w:r>
              <w:rPr>
                <w:lang w:val="en-US" w:bidi="ar"/>
              </w:rPr>
              <w:t>5.</w:t>
            </w:r>
            <w:r>
              <w:rPr>
                <w:lang w:bidi="ar"/>
              </w:rPr>
              <w:t>支持</w:t>
            </w:r>
            <w:r>
              <w:rPr>
                <w:lang w:val="en-US" w:bidi="ar"/>
              </w:rPr>
              <w:t>OPENGLES1.1/2.0/3.0,OPENVG1.1,OPENCL,Directx11；</w:t>
            </w:r>
          </w:p>
          <w:p w14:paraId="6E87DAEF">
            <w:pPr>
              <w:pStyle w:val="116"/>
              <w:rPr>
                <w:lang w:bidi="ar"/>
              </w:rPr>
            </w:pPr>
            <w:r>
              <w:rPr>
                <w:lang w:bidi="ar"/>
              </w:rPr>
              <w:t>6.支持4K、H.265硬解码10bits色深、HDMI2.0；</w:t>
            </w:r>
          </w:p>
          <w:p w14:paraId="69F84446">
            <w:pPr>
              <w:pStyle w:val="116"/>
              <w:rPr>
                <w:lang w:bidi="ar"/>
              </w:rPr>
            </w:pPr>
            <w:r>
              <w:rPr>
                <w:lang w:bidi="ar"/>
              </w:rPr>
              <w:t>7.支持1080P多格式视频解码1080P视频编码，支持H.264,VP8和MVC图像增强处理；</w:t>
            </w:r>
          </w:p>
          <w:p w14:paraId="716E76F0">
            <w:pPr>
              <w:pStyle w:val="116"/>
              <w:rPr>
                <w:lang w:bidi="ar"/>
              </w:rPr>
            </w:pPr>
            <w:r>
              <w:rPr>
                <w:lang w:bidi="ar"/>
              </w:rPr>
              <w:t>8.具备硬件安全系统,支持HDCP2.X，支持ATECC608A芯片硬件加密；</w:t>
            </w:r>
          </w:p>
          <w:p w14:paraId="47224243">
            <w:pPr>
              <w:pStyle w:val="116"/>
              <w:rPr>
                <w:lang w:bidi="ar"/>
              </w:rPr>
            </w:pPr>
            <w:r>
              <w:rPr>
                <w:lang w:bidi="ar"/>
              </w:rPr>
              <w:t>9.支持OpenCV机器视觉库、支持TensorFlow；</w:t>
            </w:r>
          </w:p>
          <w:p w14:paraId="0E848EB7">
            <w:pPr>
              <w:pStyle w:val="116"/>
              <w:rPr>
                <w:lang w:bidi="ar"/>
              </w:rPr>
            </w:pPr>
            <w:r>
              <w:rPr>
                <w:lang w:bidi="ar"/>
              </w:rPr>
              <w:t>10.支持连接物联网云平台（基于SHA256、PRF、HMAC-SHA256、HKDF、ECDSA、ECDH、AES算法加密密文通信)。</w:t>
            </w:r>
          </w:p>
          <w:p w14:paraId="52F1B714">
            <w:pPr>
              <w:pStyle w:val="116"/>
              <w:rPr>
                <w:lang w:bidi="ar"/>
              </w:rPr>
            </w:pPr>
          </w:p>
          <w:p w14:paraId="3CFD75DC">
            <w:pPr>
              <w:pStyle w:val="116"/>
              <w:rPr>
                <w:b/>
                <w:lang w:bidi="ar"/>
              </w:rPr>
            </w:pPr>
            <w:r>
              <w:rPr>
                <w:rFonts w:hint="eastAsia"/>
                <w:b/>
                <w:lang w:bidi="ar"/>
              </w:rPr>
              <w:t>串口服务器（</w:t>
            </w:r>
            <w:r>
              <w:rPr>
                <w:b/>
                <w:lang w:bidi="ar"/>
              </w:rPr>
              <w:t>1台）</w:t>
            </w:r>
          </w:p>
          <w:p w14:paraId="643776D2">
            <w:pPr>
              <w:pStyle w:val="116"/>
              <w:rPr>
                <w:lang w:bidi="ar"/>
              </w:rPr>
            </w:pPr>
            <w:r>
              <w:rPr>
                <w:lang w:bidi="ar"/>
              </w:rPr>
              <w:t>1.RS-232接口</w:t>
            </w:r>
            <w:r>
              <w:rPr>
                <w:rFonts w:hint="eastAsia"/>
                <w:lang w:bidi="ar"/>
              </w:rPr>
              <w:t>：</w:t>
            </w:r>
            <w:r>
              <w:rPr>
                <w:rFonts w:hint="eastAsia"/>
                <w:lang w:val="en-US"/>
              </w:rPr>
              <w:t>≥</w:t>
            </w:r>
            <w:r>
              <w:rPr>
                <w:lang w:bidi="ar"/>
              </w:rPr>
              <w:t>于4个，RS-485接口</w:t>
            </w:r>
            <w:r>
              <w:rPr>
                <w:rFonts w:hint="eastAsia"/>
                <w:lang w:bidi="ar"/>
              </w:rPr>
              <w:t>：</w:t>
            </w:r>
            <w:r>
              <w:rPr>
                <w:rFonts w:hint="eastAsia"/>
                <w:lang w:val="en-US"/>
              </w:rPr>
              <w:t>≥</w:t>
            </w:r>
            <w:r>
              <w:rPr>
                <w:lang w:bidi="ar"/>
              </w:rPr>
              <w:t>2个，</w:t>
            </w:r>
          </w:p>
          <w:p w14:paraId="40910695">
            <w:pPr>
              <w:pStyle w:val="116"/>
              <w:rPr>
                <w:lang w:bidi="ar"/>
              </w:rPr>
            </w:pPr>
            <w:r>
              <w:rPr>
                <w:lang w:bidi="ar"/>
              </w:rPr>
              <w:t>2.应支持ICMP，IP，TCP，UDP，DNS，DHCP，Telnet，HTTP协议；</w:t>
            </w:r>
          </w:p>
          <w:p w14:paraId="45D6F236">
            <w:pPr>
              <w:pStyle w:val="116"/>
              <w:rPr>
                <w:lang w:bidi="ar"/>
              </w:rPr>
            </w:pPr>
            <w:r>
              <w:rPr>
                <w:lang w:bidi="ar"/>
              </w:rPr>
              <w:t>3.应支持通过Web网络浏览器、Telnet、Console控制台进行配置。</w:t>
            </w:r>
          </w:p>
          <w:p w14:paraId="643D4C1F">
            <w:pPr>
              <w:pStyle w:val="116"/>
              <w:rPr>
                <w:lang w:bidi="ar"/>
              </w:rPr>
            </w:pPr>
          </w:p>
          <w:p w14:paraId="571366D6">
            <w:pPr>
              <w:pStyle w:val="116"/>
              <w:rPr>
                <w:b/>
                <w:lang w:bidi="ar"/>
              </w:rPr>
            </w:pPr>
            <w:r>
              <w:rPr>
                <w:b/>
                <w:lang w:bidi="ar"/>
              </w:rPr>
              <w:t>8口交换机（1台）</w:t>
            </w:r>
          </w:p>
          <w:p w14:paraId="5DF5D50F">
            <w:pPr>
              <w:pStyle w:val="116"/>
              <w:rPr>
                <w:lang w:bidi="ar"/>
              </w:rPr>
            </w:pPr>
            <w:r>
              <w:rPr>
                <w:lang w:bidi="ar"/>
              </w:rPr>
              <w:t>1.接口数量：≥8个10/100MAutoMDI-MDIXRJ45接口；</w:t>
            </w:r>
          </w:p>
          <w:p w14:paraId="3C4EDA35">
            <w:pPr>
              <w:pStyle w:val="116"/>
              <w:rPr>
                <w:lang w:bidi="ar"/>
              </w:rPr>
            </w:pPr>
            <w:r>
              <w:rPr>
                <w:lang w:bidi="ar"/>
              </w:rPr>
              <w:t>2.通信标准：至少支持IEEE802.3、IEEE802.3u、IEEE802.3x协议；</w:t>
            </w:r>
          </w:p>
          <w:p w14:paraId="38CD1B96">
            <w:pPr>
              <w:pStyle w:val="116"/>
              <w:rPr>
                <w:lang w:bidi="ar"/>
              </w:rPr>
            </w:pPr>
            <w:r>
              <w:rPr>
                <w:lang w:bidi="ar"/>
              </w:rPr>
              <w:t>3.数据速率：至少支持10/100M。</w:t>
            </w:r>
          </w:p>
          <w:p w14:paraId="5081EAFF">
            <w:pPr>
              <w:pStyle w:val="116"/>
              <w:rPr>
                <w:lang w:bidi="ar"/>
              </w:rPr>
            </w:pPr>
          </w:p>
          <w:p w14:paraId="66137532">
            <w:pPr>
              <w:pStyle w:val="116"/>
              <w:rPr>
                <w:b/>
                <w:lang w:bidi="ar"/>
              </w:rPr>
            </w:pPr>
            <w:r>
              <w:rPr>
                <w:rFonts w:hint="eastAsia"/>
                <w:b/>
                <w:lang w:bidi="ar"/>
              </w:rPr>
              <w:t>无线路由器（</w:t>
            </w:r>
            <w:r>
              <w:rPr>
                <w:b/>
                <w:lang w:bidi="ar"/>
              </w:rPr>
              <w:t>1台）</w:t>
            </w:r>
          </w:p>
          <w:p w14:paraId="27624DCB">
            <w:pPr>
              <w:pStyle w:val="116"/>
              <w:rPr>
                <w:lang w:bidi="ar"/>
              </w:rPr>
            </w:pPr>
            <w:r>
              <w:rPr>
                <w:lang w:bidi="ar"/>
              </w:rPr>
              <w:t>1.网络标准：IEEE802.11a，IEEE802.11b，IEEE802.11g；</w:t>
            </w:r>
          </w:p>
          <w:p w14:paraId="326EDF8D">
            <w:pPr>
              <w:pStyle w:val="116"/>
              <w:rPr>
                <w:lang w:bidi="ar"/>
              </w:rPr>
            </w:pPr>
            <w:r>
              <w:rPr>
                <w:lang w:bidi="ar"/>
              </w:rPr>
              <w:t>2.无线速率：2.4GHz频段：300Mbps；5GHz频段：867Mbps；</w:t>
            </w:r>
          </w:p>
          <w:p w14:paraId="549E1D54">
            <w:pPr>
              <w:pStyle w:val="116"/>
              <w:rPr>
                <w:lang w:bidi="ar"/>
              </w:rPr>
            </w:pPr>
            <w:r>
              <w:rPr>
                <w:lang w:bidi="ar"/>
              </w:rPr>
              <w:t>3.接口数量：</w:t>
            </w:r>
            <w:r>
              <w:rPr>
                <w:rFonts w:hint="eastAsia"/>
                <w:lang w:val="en-US"/>
              </w:rPr>
              <w:t>≥</w:t>
            </w:r>
            <w:r>
              <w:rPr>
                <w:lang w:bidi="ar"/>
              </w:rPr>
              <w:t>3个10/100M自适应LAN口、支持自动翻转（AutoMDI/MDIX）和1个10/100M自适应WAN口，支持自动翻转（AutoMDI/MDIX）。</w:t>
            </w:r>
          </w:p>
          <w:p w14:paraId="1D763FC7">
            <w:pPr>
              <w:pStyle w:val="116"/>
              <w:rPr>
                <w:lang w:bidi="ar"/>
              </w:rPr>
            </w:pPr>
          </w:p>
          <w:p w14:paraId="4BEF8ACC">
            <w:pPr>
              <w:pStyle w:val="116"/>
              <w:rPr>
                <w:b/>
                <w:lang w:bidi="ar"/>
              </w:rPr>
            </w:pPr>
            <w:r>
              <w:rPr>
                <w:rFonts w:hint="eastAsia"/>
                <w:b/>
                <w:lang w:bidi="ar"/>
              </w:rPr>
              <w:t>二维码扫描枪（</w:t>
            </w:r>
            <w:r>
              <w:rPr>
                <w:b/>
                <w:lang w:bidi="ar"/>
              </w:rPr>
              <w:t>1个）</w:t>
            </w:r>
          </w:p>
          <w:p w14:paraId="0300EB31">
            <w:pPr>
              <w:pStyle w:val="116"/>
              <w:rPr>
                <w:lang w:bidi="ar"/>
              </w:rPr>
            </w:pPr>
            <w:r>
              <w:rPr>
                <w:lang w:bidi="ar"/>
              </w:rPr>
              <w:t>1.工作电压：DC5V；</w:t>
            </w:r>
          </w:p>
          <w:p w14:paraId="3F32A290">
            <w:pPr>
              <w:pStyle w:val="116"/>
              <w:rPr>
                <w:lang w:bidi="ar"/>
              </w:rPr>
            </w:pPr>
            <w:r>
              <w:rPr>
                <w:lang w:bidi="ar"/>
              </w:rPr>
              <w:t>2.识读码制：应至少支持PDF417,QRCode,DataMatrix码制；</w:t>
            </w:r>
          </w:p>
          <w:p w14:paraId="4B81FDFD">
            <w:pPr>
              <w:pStyle w:val="116"/>
              <w:rPr>
                <w:lang w:bidi="ar"/>
              </w:rPr>
            </w:pPr>
            <w:r>
              <w:rPr>
                <w:lang w:bidi="ar"/>
              </w:rPr>
              <w:t>3.通讯接口：USB。</w:t>
            </w:r>
          </w:p>
          <w:p w14:paraId="73B8BF92">
            <w:pPr>
              <w:pStyle w:val="116"/>
              <w:rPr>
                <w:lang w:bidi="ar"/>
              </w:rPr>
            </w:pPr>
          </w:p>
          <w:p w14:paraId="7E9B49AF">
            <w:pPr>
              <w:pStyle w:val="116"/>
              <w:rPr>
                <w:lang w:bidi="ar"/>
              </w:rPr>
            </w:pPr>
            <w:r>
              <w:rPr>
                <w:b/>
                <w:lang w:bidi="ar"/>
              </w:rPr>
              <w:t>UHF桌面发卡器（1套）</w:t>
            </w:r>
          </w:p>
          <w:p w14:paraId="5DB52444">
            <w:pPr>
              <w:pStyle w:val="116"/>
              <w:rPr>
                <w:lang w:bidi="ar"/>
              </w:rPr>
            </w:pPr>
            <w:r>
              <w:rPr>
                <w:lang w:bidi="ar"/>
              </w:rPr>
              <w:t>1.工作频率：应支持频率范围920～925MHz，跳频250KHz；</w:t>
            </w:r>
          </w:p>
          <w:p w14:paraId="70587BC6">
            <w:pPr>
              <w:pStyle w:val="116"/>
              <w:rPr>
                <w:lang w:bidi="ar"/>
              </w:rPr>
            </w:pPr>
            <w:r>
              <w:rPr>
                <w:lang w:bidi="ar"/>
              </w:rPr>
              <w:t>2.支持协议：EPCGEN2/ISO18000-6C；</w:t>
            </w:r>
          </w:p>
          <w:p w14:paraId="2637222B">
            <w:pPr>
              <w:pStyle w:val="116"/>
              <w:rPr>
                <w:lang w:bidi="ar"/>
              </w:rPr>
            </w:pPr>
            <w:r>
              <w:rPr>
                <w:lang w:bidi="ar"/>
              </w:rPr>
              <w:t>3.接口模式：USB。</w:t>
            </w:r>
          </w:p>
          <w:p w14:paraId="682E0A8A">
            <w:pPr>
              <w:pStyle w:val="116"/>
              <w:rPr>
                <w:lang w:bidi="ar"/>
              </w:rPr>
            </w:pPr>
          </w:p>
          <w:p w14:paraId="5822A303">
            <w:pPr>
              <w:pStyle w:val="116"/>
              <w:rPr>
                <w:b/>
                <w:lang w:bidi="ar"/>
              </w:rPr>
            </w:pPr>
            <w:r>
              <w:rPr>
                <w:b/>
                <w:lang w:bidi="ar"/>
              </w:rPr>
              <w:t>LoRa数据传输单元（3台）</w:t>
            </w:r>
          </w:p>
          <w:p w14:paraId="58422B2E">
            <w:pPr>
              <w:pStyle w:val="116"/>
              <w:rPr>
                <w:lang w:bidi="ar"/>
              </w:rPr>
            </w:pPr>
            <w:r>
              <w:rPr>
                <w:lang w:bidi="ar"/>
              </w:rPr>
              <w:t>1.支持RS485串口数据通过LoRa通信方式透明传输；</w:t>
            </w:r>
          </w:p>
          <w:p w14:paraId="7F59B1E7">
            <w:pPr>
              <w:pStyle w:val="116"/>
              <w:rPr>
                <w:lang w:bidi="ar"/>
              </w:rPr>
            </w:pPr>
            <w:r>
              <w:rPr>
                <w:lang w:bidi="ar"/>
              </w:rPr>
              <w:t>2.工作电压：DC12V@1A；</w:t>
            </w:r>
          </w:p>
          <w:p w14:paraId="2371D5FE">
            <w:pPr>
              <w:pStyle w:val="116"/>
              <w:rPr>
                <w:lang w:bidi="ar"/>
              </w:rPr>
            </w:pPr>
            <w:r>
              <w:rPr>
                <w:lang w:bidi="ar"/>
              </w:rPr>
              <w:t>3.通讯协议：支持WiFi、LoRa、RS485通讯；</w:t>
            </w:r>
          </w:p>
          <w:p w14:paraId="7DFD9658">
            <w:pPr>
              <w:pStyle w:val="116"/>
              <w:rPr>
                <w:lang w:bidi="ar"/>
              </w:rPr>
            </w:pPr>
            <w:r>
              <w:rPr>
                <w:lang w:bidi="ar"/>
              </w:rPr>
              <w:t>LoRa技术参数：</w:t>
            </w:r>
          </w:p>
          <w:p w14:paraId="696AFBC9">
            <w:pPr>
              <w:pStyle w:val="116"/>
              <w:rPr>
                <w:lang w:bidi="ar"/>
              </w:rPr>
            </w:pPr>
            <w:r>
              <w:rPr>
                <w:lang w:bidi="ar"/>
              </w:rPr>
              <w:t>1)</w:t>
            </w:r>
            <w:r>
              <w:rPr>
                <w:lang w:bidi="ar"/>
              </w:rPr>
              <w:tab/>
            </w:r>
            <w:r>
              <w:rPr>
                <w:lang w:bidi="ar"/>
              </w:rPr>
              <w:t>工作频段：401-510MHz(禁用频点416MHz、448MHz、450MHz、480MHz、485MHz)；</w:t>
            </w:r>
          </w:p>
          <w:p w14:paraId="0618D791">
            <w:pPr>
              <w:pStyle w:val="116"/>
              <w:rPr>
                <w:lang w:bidi="ar"/>
              </w:rPr>
            </w:pPr>
            <w:r>
              <w:rPr>
                <w:lang w:bidi="ar"/>
              </w:rPr>
              <w:t>2)</w:t>
            </w:r>
            <w:r>
              <w:rPr>
                <w:lang w:bidi="ar"/>
              </w:rPr>
              <w:tab/>
            </w:r>
            <w:r>
              <w:rPr>
                <w:lang w:bidi="ar"/>
              </w:rPr>
              <w:t>无线发射功率：Max.19±1dBm，接收灵敏度：-136±1dBm(@250bps)；</w:t>
            </w:r>
          </w:p>
          <w:p w14:paraId="1B9FFF2F">
            <w:pPr>
              <w:pStyle w:val="116"/>
              <w:rPr>
                <w:lang w:bidi="ar"/>
              </w:rPr>
            </w:pPr>
            <w:r>
              <w:rPr>
                <w:lang w:bidi="ar"/>
              </w:rPr>
              <w:t>3)</w:t>
            </w:r>
            <w:r>
              <w:rPr>
                <w:lang w:bidi="ar"/>
              </w:rPr>
              <w:tab/>
            </w:r>
            <w:r>
              <w:rPr>
                <w:lang w:bidi="ar"/>
              </w:rPr>
              <w:t>通信距离：可达5km@250bps（测试环境下）；</w:t>
            </w:r>
          </w:p>
          <w:p w14:paraId="01410D91">
            <w:pPr>
              <w:pStyle w:val="116"/>
              <w:rPr>
                <w:lang w:bidi="ar"/>
              </w:rPr>
            </w:pPr>
            <w:r>
              <w:rPr>
                <w:lang w:bidi="ar"/>
              </w:rPr>
              <w:t>4)</w:t>
            </w:r>
            <w:r>
              <w:rPr>
                <w:lang w:bidi="ar"/>
              </w:rPr>
              <w:tab/>
            </w:r>
            <w:r>
              <w:rPr>
                <w:lang w:bidi="ar"/>
              </w:rPr>
              <w:t>通信速率：OOK调制时1.2~32.738kbps，LoRa调制时0.2~37.5kbps；</w:t>
            </w:r>
          </w:p>
          <w:p w14:paraId="12931258">
            <w:pPr>
              <w:pStyle w:val="116"/>
              <w:rPr>
                <w:lang w:bidi="ar"/>
              </w:rPr>
            </w:pPr>
            <w:r>
              <w:rPr>
                <w:lang w:bidi="ar"/>
              </w:rPr>
              <w:t>5)</w:t>
            </w:r>
            <w:r>
              <w:rPr>
                <w:lang w:bidi="ar"/>
              </w:rPr>
              <w:tab/>
            </w:r>
            <w:r>
              <w:rPr>
                <w:lang w:bidi="ar"/>
              </w:rPr>
              <w:t>采用LoRa调制方式，兼容并支持传统调制方式，支持硬件跳频（FHSS）；</w:t>
            </w:r>
          </w:p>
          <w:p w14:paraId="662D79E7">
            <w:pPr>
              <w:pStyle w:val="116"/>
              <w:rPr>
                <w:lang w:bidi="ar"/>
              </w:rPr>
            </w:pPr>
            <w:r>
              <w:rPr>
                <w:lang w:bidi="ar"/>
              </w:rPr>
              <w:t>WiFi技术参数：</w:t>
            </w:r>
          </w:p>
          <w:p w14:paraId="3098DC46">
            <w:pPr>
              <w:pStyle w:val="116"/>
              <w:rPr>
                <w:lang w:bidi="ar"/>
              </w:rPr>
            </w:pPr>
            <w:r>
              <w:rPr>
                <w:lang w:bidi="ar"/>
              </w:rPr>
              <w:t>1)</w:t>
            </w:r>
            <w:r>
              <w:rPr>
                <w:lang w:bidi="ar"/>
              </w:rPr>
              <w:tab/>
            </w:r>
            <w:r>
              <w:rPr>
                <w:lang w:bidi="ar"/>
              </w:rPr>
              <w:t>兼容IEEE802.11b/g/n协议，内置完整TCP/IP协议栈；</w:t>
            </w:r>
          </w:p>
          <w:p w14:paraId="64CEEDE3">
            <w:pPr>
              <w:pStyle w:val="116"/>
              <w:rPr>
                <w:lang w:bidi="ar"/>
              </w:rPr>
            </w:pPr>
            <w:r>
              <w:rPr>
                <w:lang w:bidi="ar"/>
              </w:rPr>
              <w:t>2)</w:t>
            </w:r>
            <w:r>
              <w:rPr>
                <w:lang w:bidi="ar"/>
              </w:rPr>
              <w:tab/>
            </w:r>
            <w:r>
              <w:rPr>
                <w:lang w:bidi="ar"/>
              </w:rPr>
              <w:t>WiFi@2.4GHz，支持WPA/WPA2安全模式；</w:t>
            </w:r>
          </w:p>
          <w:p w14:paraId="750D689D">
            <w:pPr>
              <w:pStyle w:val="116"/>
              <w:rPr>
                <w:lang w:bidi="ar"/>
              </w:rPr>
            </w:pPr>
            <w:r>
              <w:rPr>
                <w:lang w:bidi="ar"/>
              </w:rPr>
              <w:t>3)</w:t>
            </w:r>
            <w:r>
              <w:rPr>
                <w:lang w:bidi="ar"/>
              </w:rPr>
              <w:tab/>
            </w:r>
            <w:r>
              <w:rPr>
                <w:lang w:bidi="ar"/>
              </w:rPr>
              <w:t>支持TCP、UDP、HTTP、FTP；</w:t>
            </w:r>
          </w:p>
          <w:p w14:paraId="25C2C780">
            <w:pPr>
              <w:pStyle w:val="116"/>
              <w:rPr>
                <w:lang w:bidi="ar"/>
              </w:rPr>
            </w:pPr>
            <w:r>
              <w:rPr>
                <w:lang w:bidi="ar"/>
              </w:rPr>
              <w:t>4)</w:t>
            </w:r>
            <w:r>
              <w:rPr>
                <w:lang w:bidi="ar"/>
              </w:rPr>
              <w:tab/>
            </w:r>
            <w:r>
              <w:rPr>
                <w:lang w:bidi="ar"/>
              </w:rPr>
              <w:t>支持Station/SoftAP/SoftAP+Station无线网络模式；</w:t>
            </w:r>
          </w:p>
          <w:p w14:paraId="1F144489">
            <w:pPr>
              <w:pStyle w:val="116"/>
              <w:rPr>
                <w:lang w:bidi="ar"/>
              </w:rPr>
            </w:pPr>
            <w:r>
              <w:rPr>
                <w:lang w:bidi="ar"/>
              </w:rPr>
              <w:t>4.输出：</w:t>
            </w:r>
          </w:p>
          <w:p w14:paraId="30C59A6D">
            <w:pPr>
              <w:pStyle w:val="116"/>
              <w:rPr>
                <w:lang w:bidi="ar"/>
              </w:rPr>
            </w:pPr>
            <w:r>
              <w:rPr>
                <w:lang w:bidi="ar"/>
              </w:rPr>
              <w:t>1)</w:t>
            </w:r>
            <w:r>
              <w:rPr>
                <w:lang w:bidi="ar"/>
              </w:rPr>
              <w:tab/>
            </w:r>
            <w:r>
              <w:rPr>
                <w:lang w:bidi="ar"/>
              </w:rPr>
              <w:t>具备1路12-bit电流源输出，输出电流范围可编程设置为4-20mA、0-20mA或者0-24mA，输出温漂±3ppm/℃；</w:t>
            </w:r>
          </w:p>
          <w:p w14:paraId="0D708271">
            <w:pPr>
              <w:pStyle w:val="116"/>
              <w:rPr>
                <w:lang w:bidi="ar"/>
              </w:rPr>
            </w:pPr>
            <w:r>
              <w:rPr>
                <w:lang w:bidi="ar"/>
              </w:rPr>
              <w:t>2)</w:t>
            </w:r>
            <w:r>
              <w:rPr>
                <w:lang w:bidi="ar"/>
              </w:rPr>
              <w:tab/>
            </w:r>
            <w:r>
              <w:rPr>
                <w:lang w:bidi="ar"/>
              </w:rPr>
              <w:t>具备1路12-bitDAC输出，采样率最高3.2Msps，输出电压不大于3.3V；</w:t>
            </w:r>
          </w:p>
          <w:p w14:paraId="2C8E1CD4">
            <w:pPr>
              <w:pStyle w:val="116"/>
              <w:rPr>
                <w:lang w:bidi="ar"/>
              </w:rPr>
            </w:pPr>
            <w:r>
              <w:rPr>
                <w:lang w:bidi="ar"/>
              </w:rPr>
              <w:t>3)</w:t>
            </w:r>
            <w:r>
              <w:rPr>
                <w:lang w:bidi="ar"/>
              </w:rPr>
              <w:tab/>
            </w:r>
            <w:r>
              <w:rPr>
                <w:lang w:bidi="ar"/>
              </w:rPr>
              <w:t>具备1路脉冲输出（3.3V逻辑电平，非隔离）。</w:t>
            </w:r>
          </w:p>
          <w:p w14:paraId="4A21A34F">
            <w:pPr>
              <w:pStyle w:val="116"/>
              <w:rPr>
                <w:lang w:bidi="ar"/>
              </w:rPr>
            </w:pPr>
          </w:p>
          <w:p w14:paraId="29E7E97A">
            <w:pPr>
              <w:pStyle w:val="116"/>
              <w:rPr>
                <w:b/>
                <w:lang w:bidi="ar"/>
              </w:rPr>
            </w:pPr>
            <w:r>
              <w:rPr>
                <w:b/>
                <w:lang w:bidi="ar"/>
              </w:rPr>
              <w:t>NB-IoT可编程数传控制器（1套）</w:t>
            </w:r>
          </w:p>
          <w:p w14:paraId="3458CC2F">
            <w:pPr>
              <w:pStyle w:val="116"/>
              <w:rPr>
                <w:lang w:bidi="ar"/>
              </w:rPr>
            </w:pPr>
            <w:r>
              <w:rPr>
                <w:lang w:bidi="ar"/>
              </w:rPr>
              <w:t>1.支持通过RS485接口采集设备数据；</w:t>
            </w:r>
          </w:p>
          <w:p w14:paraId="3B1C2120">
            <w:pPr>
              <w:pStyle w:val="116"/>
              <w:rPr>
                <w:lang w:bidi="ar"/>
              </w:rPr>
            </w:pPr>
            <w:r>
              <w:rPr>
                <w:lang w:bidi="ar"/>
              </w:rPr>
              <w:t>2.支持通过NB-IoT低功耗无线广域网与云端通信；</w:t>
            </w:r>
          </w:p>
          <w:p w14:paraId="20696A3F">
            <w:pPr>
              <w:pStyle w:val="116"/>
              <w:rPr>
                <w:lang w:bidi="ar"/>
              </w:rPr>
            </w:pPr>
            <w:r>
              <w:rPr>
                <w:lang w:bidi="ar"/>
              </w:rPr>
              <w:t>3.支持Modbus、CoAP协议；</w:t>
            </w:r>
          </w:p>
          <w:p w14:paraId="29A86969">
            <w:pPr>
              <w:pStyle w:val="116"/>
              <w:rPr>
                <w:lang w:bidi="ar"/>
              </w:rPr>
            </w:pPr>
            <w:r>
              <w:rPr>
                <w:lang w:bidi="ar"/>
              </w:rPr>
              <w:t>4.工作电压：DC6～28V；</w:t>
            </w:r>
          </w:p>
          <w:p w14:paraId="54FE9C17">
            <w:pPr>
              <w:pStyle w:val="116"/>
              <w:rPr>
                <w:lang w:bidi="ar"/>
              </w:rPr>
            </w:pPr>
            <w:r>
              <w:rPr>
                <w:lang w:bidi="ar"/>
              </w:rPr>
              <w:t>5.RS485接口</w:t>
            </w:r>
            <w:r>
              <w:rPr>
                <w:rFonts w:hint="eastAsia"/>
                <w:lang w:bidi="ar"/>
              </w:rPr>
              <w:t>：</w:t>
            </w:r>
            <w:r>
              <w:rPr>
                <w:rFonts w:hint="eastAsia"/>
                <w:lang w:val="en-US"/>
              </w:rPr>
              <w:t>≥1个</w:t>
            </w:r>
            <w:r>
              <w:rPr>
                <w:lang w:bidi="ar"/>
              </w:rPr>
              <w:t>。</w:t>
            </w:r>
          </w:p>
          <w:p w14:paraId="634D8E44">
            <w:pPr>
              <w:pStyle w:val="116"/>
              <w:rPr>
                <w:lang w:bidi="ar"/>
              </w:rPr>
            </w:pPr>
          </w:p>
          <w:p w14:paraId="30CDE48F">
            <w:pPr>
              <w:pStyle w:val="116"/>
              <w:rPr>
                <w:lang w:bidi="ar"/>
              </w:rPr>
            </w:pPr>
            <w:r>
              <w:rPr>
                <w:b/>
                <w:lang w:bidi="ar"/>
              </w:rPr>
              <w:t>ZigBee智能节点盒（I/O）（3个）</w:t>
            </w:r>
          </w:p>
          <w:p w14:paraId="7F673B86">
            <w:pPr>
              <w:pStyle w:val="116"/>
              <w:rPr>
                <w:lang w:bidi="ar"/>
              </w:rPr>
            </w:pPr>
            <w:r>
              <w:rPr>
                <w:lang w:bidi="ar"/>
              </w:rPr>
              <w:t>1.主芯片：采用片上系统SOC，Flash≥256K，有USB控制器；</w:t>
            </w:r>
          </w:p>
          <w:p w14:paraId="69E6324C">
            <w:pPr>
              <w:pStyle w:val="116"/>
              <w:rPr>
                <w:lang w:bidi="ar"/>
              </w:rPr>
            </w:pPr>
            <w:r>
              <w:rPr>
                <w:lang w:bidi="ar"/>
              </w:rPr>
              <w:t>2.串行通信：波特率115200baud，8个数据位，无校验位，1个停止位；</w:t>
            </w:r>
          </w:p>
          <w:p w14:paraId="1D2E0F69">
            <w:pPr>
              <w:pStyle w:val="116"/>
              <w:rPr>
                <w:lang w:bidi="ar"/>
              </w:rPr>
            </w:pPr>
            <w:r>
              <w:rPr>
                <w:lang w:bidi="ar"/>
              </w:rPr>
              <w:t>3.无线频率：2.4GHz；</w:t>
            </w:r>
          </w:p>
          <w:p w14:paraId="21137C43">
            <w:pPr>
              <w:pStyle w:val="116"/>
              <w:rPr>
                <w:lang w:bidi="ar"/>
              </w:rPr>
            </w:pPr>
            <w:r>
              <w:rPr>
                <w:lang w:bidi="ar"/>
              </w:rPr>
              <w:t>4.无线传输协议：ZigBee2007/PRO；</w:t>
            </w:r>
          </w:p>
          <w:p w14:paraId="40C610BA">
            <w:pPr>
              <w:pStyle w:val="116"/>
              <w:rPr>
                <w:lang w:bidi="ar"/>
              </w:rPr>
            </w:pPr>
            <w:r>
              <w:rPr>
                <w:lang w:bidi="ar"/>
              </w:rPr>
              <w:t>5.传输距离：无遮挡情况下不低于8米；</w:t>
            </w:r>
          </w:p>
          <w:p w14:paraId="6F903448">
            <w:pPr>
              <w:pStyle w:val="116"/>
              <w:rPr>
                <w:lang w:bidi="ar"/>
              </w:rPr>
            </w:pPr>
            <w:r>
              <w:rPr>
                <w:lang w:bidi="ar"/>
              </w:rPr>
              <w:t>6.接受灵敏度：-96DBm。</w:t>
            </w:r>
          </w:p>
          <w:p w14:paraId="2B3C6E8F">
            <w:pPr>
              <w:pStyle w:val="116"/>
              <w:rPr>
                <w:b/>
                <w:lang w:bidi="ar"/>
              </w:rPr>
            </w:pPr>
          </w:p>
          <w:p w14:paraId="7B0093DE">
            <w:pPr>
              <w:pStyle w:val="116"/>
              <w:rPr>
                <w:b/>
                <w:lang w:bidi="ar"/>
              </w:rPr>
            </w:pPr>
            <w:r>
              <w:rPr>
                <w:b/>
                <w:lang w:bidi="ar"/>
              </w:rPr>
              <w:t>RS485设备（数字量输入）（1个）</w:t>
            </w:r>
          </w:p>
          <w:p w14:paraId="12797E0A">
            <w:pPr>
              <w:pStyle w:val="116"/>
              <w:rPr>
                <w:lang w:bidi="ar"/>
              </w:rPr>
            </w:pPr>
            <w:r>
              <w:rPr>
                <w:lang w:bidi="ar"/>
              </w:rPr>
              <w:t>1.支持7路数字量信号输入：</w:t>
            </w:r>
          </w:p>
          <w:p w14:paraId="3BEC9345">
            <w:pPr>
              <w:pStyle w:val="116"/>
              <w:rPr>
                <w:lang w:bidi="ar"/>
              </w:rPr>
            </w:pPr>
            <w:r>
              <w:rPr>
                <w:lang w:bidi="ar"/>
              </w:rPr>
              <w:t>1)</w:t>
            </w:r>
            <w:r>
              <w:rPr>
                <w:lang w:bidi="ar"/>
              </w:rPr>
              <w:tab/>
            </w:r>
            <w:r>
              <w:rPr>
                <w:lang w:bidi="ar"/>
              </w:rPr>
              <w:t>干接点（逻辑低电平：接地，逻辑高电平：断开）；</w:t>
            </w:r>
          </w:p>
          <w:p w14:paraId="06E8E844">
            <w:pPr>
              <w:pStyle w:val="116"/>
              <w:rPr>
                <w:lang w:bidi="ar"/>
              </w:rPr>
            </w:pPr>
            <w:r>
              <w:rPr>
                <w:lang w:bidi="ar"/>
              </w:rPr>
              <w:t>2)</w:t>
            </w:r>
            <w:r>
              <w:rPr>
                <w:lang w:bidi="ar"/>
              </w:rPr>
              <w:tab/>
            </w:r>
            <w:r>
              <w:rPr>
                <w:lang w:bidi="ar"/>
              </w:rPr>
              <w:t>湿接点（逻辑低电平：0～3.5V，逻辑高电平：10～30V）；</w:t>
            </w:r>
          </w:p>
          <w:p w14:paraId="59C8C156">
            <w:pPr>
              <w:pStyle w:val="116"/>
              <w:rPr>
                <w:lang w:bidi="ar"/>
              </w:rPr>
            </w:pPr>
            <w:r>
              <w:rPr>
                <w:lang w:bidi="ar"/>
              </w:rPr>
              <w:t>3)</w:t>
            </w:r>
            <w:r>
              <w:rPr>
                <w:lang w:bidi="ar"/>
              </w:rPr>
              <w:tab/>
            </w:r>
            <w:r>
              <w:rPr>
                <w:lang w:bidi="ar"/>
              </w:rPr>
              <w:t>支持3KHz计数器和频率输入；</w:t>
            </w:r>
          </w:p>
          <w:p w14:paraId="37CF9A4B">
            <w:pPr>
              <w:pStyle w:val="116"/>
              <w:rPr>
                <w:lang w:bidi="ar"/>
              </w:rPr>
            </w:pPr>
            <w:r>
              <w:rPr>
                <w:lang w:bidi="ar"/>
              </w:rPr>
              <w:t>4)</w:t>
            </w:r>
            <w:r>
              <w:rPr>
                <w:lang w:bidi="ar"/>
              </w:rPr>
              <w:tab/>
            </w:r>
            <w:r>
              <w:rPr>
                <w:lang w:bidi="ar"/>
              </w:rPr>
              <w:t>过电压保护：±40VDC；</w:t>
            </w:r>
          </w:p>
          <w:p w14:paraId="4217D98E">
            <w:pPr>
              <w:pStyle w:val="116"/>
              <w:rPr>
                <w:lang w:bidi="ar"/>
              </w:rPr>
            </w:pPr>
            <w:r>
              <w:rPr>
                <w:lang w:bidi="ar"/>
              </w:rPr>
              <w:t>2.支持8路数字量信号输出：</w:t>
            </w:r>
          </w:p>
          <w:p w14:paraId="44A48A06">
            <w:pPr>
              <w:pStyle w:val="116"/>
              <w:rPr>
                <w:lang w:bidi="ar"/>
              </w:rPr>
            </w:pPr>
            <w:r>
              <w:rPr>
                <w:lang w:bidi="ar"/>
              </w:rPr>
              <w:t>1)</w:t>
            </w:r>
            <w:r>
              <w:rPr>
                <w:lang w:bidi="ar"/>
              </w:rPr>
              <w:tab/>
            </w:r>
            <w:r>
              <w:rPr>
                <w:lang w:bidi="ar"/>
              </w:rPr>
              <w:t>集电极开路最大负载不低于40V，3A；</w:t>
            </w:r>
          </w:p>
          <w:p w14:paraId="66923ABC">
            <w:pPr>
              <w:pStyle w:val="116"/>
              <w:rPr>
                <w:lang w:bidi="ar"/>
              </w:rPr>
            </w:pPr>
            <w:r>
              <w:rPr>
                <w:lang w:bidi="ar"/>
              </w:rPr>
              <w:t>2)</w:t>
            </w:r>
            <w:r>
              <w:rPr>
                <w:lang w:bidi="ar"/>
              </w:rPr>
              <w:tab/>
            </w:r>
            <w:r>
              <w:rPr>
                <w:lang w:bidi="ar"/>
              </w:rPr>
              <w:t>支持5KHz脉冲输出；</w:t>
            </w:r>
          </w:p>
          <w:p w14:paraId="37DBB6B5">
            <w:pPr>
              <w:pStyle w:val="116"/>
              <w:rPr>
                <w:lang w:bidi="ar"/>
              </w:rPr>
            </w:pPr>
            <w:r>
              <w:rPr>
                <w:lang w:bidi="ar"/>
              </w:rPr>
              <w:t>3)</w:t>
            </w:r>
            <w:r>
              <w:rPr>
                <w:lang w:bidi="ar"/>
              </w:rPr>
              <w:tab/>
            </w:r>
            <w:r>
              <w:rPr>
                <w:lang w:bidi="ar"/>
              </w:rPr>
              <w:t>支持高至低和低至高延时输出（PWM-OUT功能）；</w:t>
            </w:r>
          </w:p>
          <w:p w14:paraId="4BD0D5B0">
            <w:pPr>
              <w:pStyle w:val="116"/>
              <w:rPr>
                <w:lang w:bidi="ar"/>
              </w:rPr>
            </w:pPr>
            <w:r>
              <w:rPr>
                <w:lang w:bidi="ar"/>
              </w:rPr>
              <w:t>3.隔离电压：3000VDC；</w:t>
            </w:r>
          </w:p>
          <w:p w14:paraId="749599AE">
            <w:pPr>
              <w:pStyle w:val="116"/>
              <w:rPr>
                <w:lang w:bidi="ar"/>
              </w:rPr>
            </w:pPr>
            <w:r>
              <w:rPr>
                <w:lang w:bidi="ar"/>
              </w:rPr>
              <w:t>4.1KV浪涌保护电压输入；</w:t>
            </w:r>
          </w:p>
          <w:p w14:paraId="7F6079DC">
            <w:pPr>
              <w:pStyle w:val="116"/>
              <w:rPr>
                <w:lang w:bidi="ar"/>
              </w:rPr>
            </w:pPr>
            <w:r>
              <w:rPr>
                <w:lang w:bidi="ar"/>
              </w:rPr>
              <w:t>5.4KVEFT和8KVESD保护。</w:t>
            </w:r>
          </w:p>
          <w:p w14:paraId="171E7220">
            <w:pPr>
              <w:pStyle w:val="116"/>
              <w:rPr>
                <w:lang w:bidi="ar"/>
              </w:rPr>
            </w:pPr>
          </w:p>
          <w:p w14:paraId="0496CD9A">
            <w:pPr>
              <w:pStyle w:val="116"/>
              <w:rPr>
                <w:b/>
                <w:lang w:bidi="ar"/>
              </w:rPr>
            </w:pPr>
            <w:r>
              <w:rPr>
                <w:b/>
                <w:lang w:bidi="ar"/>
              </w:rPr>
              <w:t>CAN转以太网数据传输单元（1套）</w:t>
            </w:r>
          </w:p>
          <w:p w14:paraId="749C2077">
            <w:pPr>
              <w:pStyle w:val="116"/>
              <w:rPr>
                <w:lang w:bidi="ar"/>
              </w:rPr>
            </w:pPr>
            <w:r>
              <w:rPr>
                <w:lang w:bidi="ar"/>
              </w:rPr>
              <w:t>1.用于实现CANbus和以太网的互联互通；</w:t>
            </w:r>
          </w:p>
          <w:p w14:paraId="30CD64DD">
            <w:pPr>
              <w:pStyle w:val="116"/>
              <w:rPr>
                <w:lang w:bidi="ar"/>
              </w:rPr>
            </w:pPr>
            <w:r>
              <w:rPr>
                <w:lang w:bidi="ar"/>
              </w:rPr>
              <w:t>2.支持1路以太网接口；</w:t>
            </w:r>
          </w:p>
          <w:p w14:paraId="13DA7E24">
            <w:pPr>
              <w:pStyle w:val="116"/>
              <w:rPr>
                <w:lang w:bidi="ar"/>
              </w:rPr>
            </w:pPr>
            <w:r>
              <w:rPr>
                <w:lang w:bidi="ar"/>
              </w:rPr>
              <w:t>3.支持至少1路CAN接口；</w:t>
            </w:r>
          </w:p>
          <w:p w14:paraId="42576D2A">
            <w:pPr>
              <w:pStyle w:val="116"/>
              <w:rPr>
                <w:lang w:bidi="ar"/>
              </w:rPr>
            </w:pPr>
            <w:r>
              <w:rPr>
                <w:lang w:bidi="ar"/>
              </w:rPr>
              <w:t>4.支持网络协议：IP、TCP/UDP、ARP、ICMP、IPV4；</w:t>
            </w:r>
          </w:p>
          <w:p w14:paraId="7FAC45B1">
            <w:pPr>
              <w:pStyle w:val="116"/>
              <w:rPr>
                <w:lang w:bidi="ar"/>
              </w:rPr>
            </w:pPr>
            <w:r>
              <w:rPr>
                <w:lang w:bidi="ar"/>
              </w:rPr>
              <w:t>5.支持简单透传方式：TCPServer、TCPClient、UDPServer、UDPClient；</w:t>
            </w:r>
          </w:p>
          <w:p w14:paraId="3770BA97">
            <w:pPr>
              <w:pStyle w:val="116"/>
              <w:rPr>
                <w:lang w:bidi="ar"/>
              </w:rPr>
            </w:pPr>
            <w:r>
              <w:rPr>
                <w:lang w:bidi="ar"/>
              </w:rPr>
              <w:t>6.在TCPServer模式下至少支持5路TCP连接；</w:t>
            </w:r>
          </w:p>
          <w:p w14:paraId="55B8E603">
            <w:pPr>
              <w:pStyle w:val="116"/>
              <w:rPr>
                <w:lang w:bidi="ar"/>
              </w:rPr>
            </w:pPr>
            <w:r>
              <w:rPr>
                <w:lang w:bidi="ar"/>
              </w:rPr>
              <w:t>7.CAN发送波特率：6Kbps-1000Kbps区间，大于14个波特率可选；</w:t>
            </w:r>
          </w:p>
          <w:p w14:paraId="4C630FCF">
            <w:pPr>
              <w:pStyle w:val="116"/>
              <w:rPr>
                <w:lang w:bidi="ar"/>
              </w:rPr>
            </w:pPr>
            <w:r>
              <w:rPr>
                <w:lang w:bidi="ar"/>
              </w:rPr>
              <w:t>8.支持通过Web配置参数；</w:t>
            </w:r>
          </w:p>
          <w:p w14:paraId="659EF264">
            <w:pPr>
              <w:pStyle w:val="116"/>
              <w:rPr>
                <w:lang w:bidi="ar"/>
              </w:rPr>
            </w:pPr>
            <w:r>
              <w:rPr>
                <w:lang w:bidi="ar"/>
              </w:rPr>
              <w:t>9.工作电流不大于100mA@12v；</w:t>
            </w:r>
          </w:p>
          <w:p w14:paraId="574A91CF">
            <w:pPr>
              <w:pStyle w:val="116"/>
              <w:rPr>
                <w:lang w:bidi="ar"/>
              </w:rPr>
            </w:pPr>
            <w:r>
              <w:rPr>
                <w:lang w:bidi="ar"/>
              </w:rPr>
              <w:t>10.电源电压：8V～28V，DC。</w:t>
            </w:r>
          </w:p>
          <w:p w14:paraId="020FAAEB">
            <w:pPr>
              <w:pStyle w:val="116"/>
              <w:rPr>
                <w:lang w:bidi="ar"/>
              </w:rPr>
            </w:pPr>
          </w:p>
          <w:p w14:paraId="2BAB4703">
            <w:pPr>
              <w:pStyle w:val="116"/>
              <w:rPr>
                <w:lang w:bidi="ar"/>
              </w:rPr>
            </w:pPr>
            <w:r>
              <w:rPr>
                <w:rFonts w:hint="eastAsia"/>
                <w:b/>
                <w:lang w:bidi="ar"/>
              </w:rPr>
              <w:t>智能人脸识别摄像机（</w:t>
            </w:r>
            <w:r>
              <w:rPr>
                <w:b/>
                <w:lang w:bidi="ar"/>
              </w:rPr>
              <w:t>1台）</w:t>
            </w:r>
          </w:p>
          <w:p w14:paraId="49D0F7B5">
            <w:pPr>
              <w:pStyle w:val="116"/>
              <w:rPr>
                <w:lang w:bidi="ar"/>
              </w:rPr>
            </w:pPr>
            <w:r>
              <w:rPr>
                <w:lang w:bidi="ar"/>
              </w:rPr>
              <w:t>1.图像传感器：1/2.7"，CMOS；</w:t>
            </w:r>
          </w:p>
          <w:p w14:paraId="02C9CF7C">
            <w:pPr>
              <w:pStyle w:val="116"/>
              <w:rPr>
                <w:lang w:bidi="ar"/>
              </w:rPr>
            </w:pPr>
            <w:r>
              <w:rPr>
                <w:lang w:bidi="ar"/>
              </w:rPr>
              <w:t>2.信噪比：≥52db；</w:t>
            </w:r>
          </w:p>
          <w:p w14:paraId="72EF4101">
            <w:pPr>
              <w:pStyle w:val="116"/>
              <w:rPr>
                <w:lang w:bidi="ar"/>
              </w:rPr>
            </w:pPr>
            <w:r>
              <w:rPr>
                <w:lang w:bidi="ar"/>
              </w:rPr>
              <w:t>3.支持视频编码格式：H.265/H.264/MJPEG；</w:t>
            </w:r>
          </w:p>
          <w:p w14:paraId="37857C5E">
            <w:pPr>
              <w:pStyle w:val="116"/>
              <w:rPr>
                <w:lang w:bidi="ar"/>
              </w:rPr>
            </w:pPr>
            <w:r>
              <w:rPr>
                <w:lang w:bidi="ar"/>
              </w:rPr>
              <w:t>4.支持视频码率：16Kbps～8Mbps；</w:t>
            </w:r>
          </w:p>
          <w:p w14:paraId="0C679582">
            <w:pPr>
              <w:pStyle w:val="116"/>
              <w:rPr>
                <w:lang w:bidi="ar"/>
              </w:rPr>
            </w:pPr>
            <w:r>
              <w:rPr>
                <w:lang w:bidi="ar"/>
              </w:rPr>
              <w:t>5.人脸识别：支持人脸检测；支持跟踪；支持优选；支持抓拍；支持上报最优的人脸抓图；支持人脸增强，人脸曝光；支持人脸属性提取；</w:t>
            </w:r>
          </w:p>
          <w:p w14:paraId="547EC2EB">
            <w:pPr>
              <w:pStyle w:val="116"/>
              <w:rPr>
                <w:lang w:bidi="ar"/>
              </w:rPr>
            </w:pPr>
            <w:r>
              <w:rPr>
                <w:lang w:bidi="ar"/>
              </w:rPr>
              <w:t>6.支持接口协议：ONVIF（ProfileS&amp;ProfileG&amp;ProfileT）；</w:t>
            </w:r>
          </w:p>
          <w:p w14:paraId="73379A15">
            <w:pPr>
              <w:pStyle w:val="116"/>
              <w:rPr>
                <w:lang w:bidi="ar"/>
              </w:rPr>
            </w:pPr>
            <w:r>
              <w:rPr>
                <w:lang w:bidi="ar"/>
              </w:rPr>
              <w:t>7.具备至少1个网络接口：RJ45，10/100Mbps。</w:t>
            </w:r>
          </w:p>
          <w:p w14:paraId="294E08E3">
            <w:pPr>
              <w:pStyle w:val="116"/>
              <w:rPr>
                <w:lang w:bidi="ar"/>
              </w:rPr>
            </w:pPr>
          </w:p>
          <w:p w14:paraId="131284F7">
            <w:pPr>
              <w:pStyle w:val="116"/>
              <w:rPr>
                <w:b/>
                <w:lang w:bidi="ar"/>
              </w:rPr>
            </w:pPr>
            <w:r>
              <w:rPr>
                <w:rFonts w:hint="eastAsia"/>
                <w:b/>
                <w:lang w:bidi="ar"/>
              </w:rPr>
              <w:t>远程控制器（</w:t>
            </w:r>
            <w:r>
              <w:rPr>
                <w:b/>
                <w:lang w:bidi="ar"/>
              </w:rPr>
              <w:t>1个）</w:t>
            </w:r>
          </w:p>
          <w:p w14:paraId="68E1622D">
            <w:pPr>
              <w:pStyle w:val="116"/>
              <w:rPr>
                <w:lang w:bidi="ar"/>
              </w:rPr>
            </w:pPr>
            <w:r>
              <w:rPr>
                <w:lang w:bidi="ar"/>
              </w:rPr>
              <w:t>1.支持2.4GHzWiFi无线通信；</w:t>
            </w:r>
          </w:p>
          <w:p w14:paraId="5DE58EC0">
            <w:pPr>
              <w:pStyle w:val="116"/>
              <w:rPr>
                <w:lang w:bidi="ar"/>
              </w:rPr>
            </w:pPr>
            <w:r>
              <w:rPr>
                <w:lang w:bidi="ar"/>
              </w:rPr>
              <w:t>2.支持RS485通讯接口；</w:t>
            </w:r>
          </w:p>
          <w:p w14:paraId="1615B0C4">
            <w:pPr>
              <w:pStyle w:val="116"/>
              <w:rPr>
                <w:lang w:bidi="ar"/>
              </w:rPr>
            </w:pPr>
            <w:r>
              <w:rPr>
                <w:lang w:bidi="ar"/>
              </w:rPr>
              <w:t>3.支持标准ModbusRTU/TCP协议；</w:t>
            </w:r>
          </w:p>
          <w:p w14:paraId="0948CEDE">
            <w:pPr>
              <w:pStyle w:val="116"/>
              <w:rPr>
                <w:lang w:bidi="ar"/>
              </w:rPr>
            </w:pPr>
            <w:r>
              <w:rPr>
                <w:lang w:bidi="ar"/>
              </w:rPr>
              <w:t>4.至少具备2路模拟量输入；</w:t>
            </w:r>
          </w:p>
          <w:p w14:paraId="7277D531">
            <w:pPr>
              <w:pStyle w:val="116"/>
              <w:rPr>
                <w:lang w:bidi="ar"/>
              </w:rPr>
            </w:pPr>
            <w:r>
              <w:rPr>
                <w:lang w:bidi="ar"/>
              </w:rPr>
              <w:t>5.至少具备2路数字量输入；</w:t>
            </w:r>
          </w:p>
          <w:p w14:paraId="499E7B27">
            <w:pPr>
              <w:pStyle w:val="116"/>
              <w:rPr>
                <w:lang w:bidi="ar"/>
              </w:rPr>
            </w:pPr>
            <w:r>
              <w:rPr>
                <w:lang w:bidi="ar"/>
              </w:rPr>
              <w:t>6.至少具备2路继电器输出。</w:t>
            </w:r>
          </w:p>
          <w:p w14:paraId="30ACBAFB">
            <w:pPr>
              <w:pStyle w:val="116"/>
              <w:rPr>
                <w:lang w:bidi="ar"/>
              </w:rPr>
            </w:pPr>
          </w:p>
          <w:p w14:paraId="44DF97B5">
            <w:pPr>
              <w:pStyle w:val="116"/>
              <w:rPr>
                <w:b/>
                <w:lang w:bidi="ar"/>
              </w:rPr>
            </w:pPr>
            <w:r>
              <w:rPr>
                <w:rFonts w:hint="eastAsia"/>
                <w:b/>
                <w:lang w:bidi="ar"/>
              </w:rPr>
              <w:t>直流信号隔离变换器（</w:t>
            </w:r>
            <w:r>
              <w:rPr>
                <w:b/>
                <w:lang w:bidi="ar"/>
              </w:rPr>
              <w:t>1个）</w:t>
            </w:r>
          </w:p>
          <w:p w14:paraId="3525B67F">
            <w:pPr>
              <w:pStyle w:val="116"/>
              <w:rPr>
                <w:lang w:bidi="ar"/>
              </w:rPr>
            </w:pPr>
            <w:r>
              <w:rPr>
                <w:lang w:bidi="ar"/>
              </w:rPr>
              <w:t>1.工作电压：DC24V；</w:t>
            </w:r>
          </w:p>
          <w:p w14:paraId="4D7296D2">
            <w:pPr>
              <w:pStyle w:val="116"/>
              <w:rPr>
                <w:lang w:bidi="ar"/>
              </w:rPr>
            </w:pPr>
            <w:r>
              <w:rPr>
                <w:lang w:bidi="ar"/>
              </w:rPr>
              <w:t>2.支持直流电压输入转成电流信号输出。</w:t>
            </w:r>
          </w:p>
          <w:p w14:paraId="6010E6D8">
            <w:pPr>
              <w:pStyle w:val="116"/>
              <w:rPr>
                <w:lang w:bidi="ar"/>
              </w:rPr>
            </w:pPr>
          </w:p>
          <w:p w14:paraId="28E235B5">
            <w:pPr>
              <w:pStyle w:val="116"/>
              <w:rPr>
                <w:b/>
                <w:lang w:bidi="ar"/>
              </w:rPr>
            </w:pPr>
            <w:r>
              <w:rPr>
                <w:rFonts w:hint="eastAsia"/>
                <w:b/>
                <w:lang w:bidi="ar"/>
              </w:rPr>
              <w:t>三色报警灯（</w:t>
            </w:r>
            <w:r>
              <w:rPr>
                <w:b/>
                <w:lang w:bidi="ar"/>
              </w:rPr>
              <w:t>1个）</w:t>
            </w:r>
          </w:p>
          <w:p w14:paraId="2A2D9E46">
            <w:pPr>
              <w:pStyle w:val="116"/>
              <w:rPr>
                <w:lang w:bidi="ar"/>
              </w:rPr>
            </w:pPr>
            <w:r>
              <w:rPr>
                <w:lang w:bidi="ar"/>
              </w:rPr>
              <w:t>1.支持红、绿、黄三色LED灯；</w:t>
            </w:r>
          </w:p>
          <w:p w14:paraId="7671A9AB">
            <w:pPr>
              <w:pStyle w:val="116"/>
              <w:rPr>
                <w:lang w:bidi="ar"/>
              </w:rPr>
            </w:pPr>
            <w:r>
              <w:rPr>
                <w:lang w:bidi="ar"/>
              </w:rPr>
              <w:t>2.工作电压：DC24V。</w:t>
            </w:r>
          </w:p>
          <w:p w14:paraId="65F99C31">
            <w:pPr>
              <w:pStyle w:val="116"/>
              <w:rPr>
                <w:lang w:bidi="ar"/>
              </w:rPr>
            </w:pPr>
          </w:p>
          <w:p w14:paraId="6AED3141">
            <w:pPr>
              <w:pStyle w:val="116"/>
              <w:rPr>
                <w:lang w:bidi="ar"/>
              </w:rPr>
            </w:pPr>
            <w:r>
              <w:rPr>
                <w:b/>
                <w:lang w:bidi="ar"/>
              </w:rPr>
              <w:t>DC转DC模块（1个）</w:t>
            </w:r>
          </w:p>
          <w:p w14:paraId="68CE6A6B">
            <w:pPr>
              <w:pStyle w:val="116"/>
              <w:rPr>
                <w:lang w:bidi="ar"/>
              </w:rPr>
            </w:pPr>
            <w:r>
              <w:rPr>
                <w:lang w:bidi="ar"/>
              </w:rPr>
              <w:t>1.输入信号：DC0-24V；</w:t>
            </w:r>
          </w:p>
          <w:p w14:paraId="67BA88B3">
            <w:pPr>
              <w:pStyle w:val="116"/>
              <w:rPr>
                <w:lang w:bidi="ar"/>
              </w:rPr>
            </w:pPr>
            <w:r>
              <w:rPr>
                <w:lang w:bidi="ar"/>
              </w:rPr>
              <w:t>2.输出信号：DC0-5V；</w:t>
            </w:r>
          </w:p>
          <w:p w14:paraId="26885655">
            <w:pPr>
              <w:pStyle w:val="116"/>
              <w:rPr>
                <w:lang w:bidi="ar"/>
              </w:rPr>
            </w:pPr>
            <w:r>
              <w:rPr>
                <w:lang w:bidi="ar"/>
              </w:rPr>
              <w:t>3.工作电压：DC24V。</w:t>
            </w:r>
          </w:p>
          <w:p w14:paraId="0A9BB8DD">
            <w:pPr>
              <w:pStyle w:val="116"/>
              <w:rPr>
                <w:lang w:bidi="ar"/>
              </w:rPr>
            </w:pPr>
          </w:p>
          <w:p w14:paraId="507C3DC0">
            <w:pPr>
              <w:pStyle w:val="116"/>
              <w:rPr>
                <w:b/>
                <w:lang w:bidi="ar"/>
              </w:rPr>
            </w:pPr>
            <w:r>
              <w:rPr>
                <w:rFonts w:hint="eastAsia"/>
                <w:b/>
                <w:lang w:bidi="ar"/>
              </w:rPr>
              <w:t>接口转换器（</w:t>
            </w:r>
            <w:r>
              <w:rPr>
                <w:b/>
                <w:lang w:bidi="ar"/>
              </w:rPr>
              <w:t>2个）</w:t>
            </w:r>
          </w:p>
          <w:p w14:paraId="2A733867">
            <w:pPr>
              <w:pStyle w:val="116"/>
              <w:rPr>
                <w:lang w:bidi="ar"/>
              </w:rPr>
            </w:pPr>
            <w:r>
              <w:rPr>
                <w:lang w:bidi="ar"/>
              </w:rPr>
              <w:t>1.接口特性：接口兼容EIA/TIA的RS-232C、RS485标准；</w:t>
            </w:r>
          </w:p>
          <w:p w14:paraId="6E874F57">
            <w:pPr>
              <w:pStyle w:val="116"/>
              <w:rPr>
                <w:lang w:bidi="ar"/>
              </w:rPr>
            </w:pPr>
            <w:r>
              <w:rPr>
                <w:lang w:bidi="ar"/>
              </w:rPr>
              <w:t>2.电气接口：RS-232端DB9孔型连接器，RS-485端DB9针型连接器。</w:t>
            </w:r>
          </w:p>
          <w:p w14:paraId="3735207D">
            <w:pPr>
              <w:pStyle w:val="116"/>
              <w:rPr>
                <w:lang w:bidi="ar"/>
              </w:rPr>
            </w:pPr>
          </w:p>
          <w:p w14:paraId="7CF159E9">
            <w:pPr>
              <w:pStyle w:val="116"/>
              <w:rPr>
                <w:b/>
                <w:lang w:bidi="ar"/>
              </w:rPr>
            </w:pPr>
            <w:r>
              <w:rPr>
                <w:rFonts w:hint="eastAsia"/>
                <w:b/>
                <w:lang w:bidi="ar"/>
              </w:rPr>
              <w:t>无线网卡（</w:t>
            </w:r>
            <w:r>
              <w:rPr>
                <w:b/>
                <w:lang w:bidi="ar"/>
              </w:rPr>
              <w:t>1个）</w:t>
            </w:r>
          </w:p>
          <w:p w14:paraId="4A3D769C">
            <w:pPr>
              <w:pStyle w:val="116"/>
              <w:rPr>
                <w:lang w:bidi="ar"/>
              </w:rPr>
            </w:pPr>
            <w:r>
              <w:rPr>
                <w:lang w:bidi="ar"/>
              </w:rPr>
              <w:t>1.接口：USB；</w:t>
            </w:r>
          </w:p>
          <w:p w14:paraId="25169FE0">
            <w:pPr>
              <w:pStyle w:val="116"/>
              <w:rPr>
                <w:lang w:bidi="ar"/>
              </w:rPr>
            </w:pPr>
            <w:r>
              <w:rPr>
                <w:lang w:bidi="ar"/>
              </w:rPr>
              <w:t>2.天线：内置智能天线；</w:t>
            </w:r>
          </w:p>
          <w:p w14:paraId="2F93228A">
            <w:pPr>
              <w:pStyle w:val="116"/>
              <w:rPr>
                <w:lang w:bidi="ar"/>
              </w:rPr>
            </w:pPr>
            <w:r>
              <w:rPr>
                <w:lang w:bidi="ar"/>
              </w:rPr>
              <w:t>3.遵循标准：IEEE802.11b、IEEE802.11g、IEEE802.11n；</w:t>
            </w:r>
          </w:p>
          <w:p w14:paraId="00401C18">
            <w:pPr>
              <w:pStyle w:val="116"/>
              <w:rPr>
                <w:lang w:bidi="ar"/>
              </w:rPr>
            </w:pPr>
            <w:r>
              <w:rPr>
                <w:lang w:bidi="ar"/>
              </w:rPr>
              <w:t>4.频率范围：2.4～2.4835GHz。</w:t>
            </w:r>
          </w:p>
          <w:p w14:paraId="347810DE">
            <w:pPr>
              <w:pStyle w:val="116"/>
              <w:rPr>
                <w:lang w:bidi="ar"/>
              </w:rPr>
            </w:pPr>
          </w:p>
          <w:p w14:paraId="0561C7D5">
            <w:pPr>
              <w:pStyle w:val="116"/>
              <w:rPr>
                <w:b/>
                <w:lang w:bidi="ar"/>
              </w:rPr>
            </w:pPr>
            <w:r>
              <w:rPr>
                <w:rFonts w:hint="eastAsia"/>
                <w:b/>
                <w:lang w:bidi="ar"/>
              </w:rPr>
              <w:t>继电器（</w:t>
            </w:r>
            <w:r>
              <w:rPr>
                <w:b/>
                <w:lang w:bidi="ar"/>
              </w:rPr>
              <w:t>7个）</w:t>
            </w:r>
          </w:p>
          <w:p w14:paraId="205FD826">
            <w:pPr>
              <w:pStyle w:val="116"/>
              <w:rPr>
                <w:lang w:bidi="ar"/>
              </w:rPr>
            </w:pPr>
            <w:r>
              <w:rPr>
                <w:lang w:bidi="ar"/>
              </w:rPr>
              <w:t>1.触点负载：10A，250V，AC/30V，DC；</w:t>
            </w:r>
          </w:p>
          <w:p w14:paraId="530D96F9">
            <w:pPr>
              <w:pStyle w:val="116"/>
              <w:rPr>
                <w:lang w:bidi="ar"/>
              </w:rPr>
            </w:pPr>
            <w:r>
              <w:rPr>
                <w:lang w:bidi="ar"/>
              </w:rPr>
              <w:t>2.线圈电压：DC24V；</w:t>
            </w:r>
          </w:p>
          <w:p w14:paraId="35FD1819">
            <w:pPr>
              <w:pStyle w:val="116"/>
              <w:rPr>
                <w:lang w:bidi="ar"/>
              </w:rPr>
            </w:pPr>
            <w:r>
              <w:rPr>
                <w:lang w:bidi="ar"/>
              </w:rPr>
              <w:t>3.带发光二极管。</w:t>
            </w:r>
          </w:p>
          <w:p w14:paraId="329ABA03">
            <w:pPr>
              <w:pStyle w:val="116"/>
              <w:rPr>
                <w:lang w:bidi="ar"/>
              </w:rPr>
            </w:pPr>
          </w:p>
          <w:p w14:paraId="35357659">
            <w:pPr>
              <w:pStyle w:val="116"/>
              <w:rPr>
                <w:b/>
                <w:lang w:bidi="ar"/>
              </w:rPr>
            </w:pPr>
            <w:r>
              <w:rPr>
                <w:rFonts w:hint="eastAsia"/>
                <w:b/>
                <w:lang w:bidi="ar"/>
              </w:rPr>
              <w:t>光照度变送器（</w:t>
            </w:r>
            <w:r>
              <w:rPr>
                <w:b/>
                <w:lang w:bidi="ar"/>
              </w:rPr>
              <w:t>1个）</w:t>
            </w:r>
          </w:p>
          <w:p w14:paraId="4FFDAD9D">
            <w:pPr>
              <w:pStyle w:val="116"/>
              <w:rPr>
                <w:lang w:bidi="ar"/>
              </w:rPr>
            </w:pPr>
            <w:r>
              <w:rPr>
                <w:lang w:bidi="ar"/>
              </w:rPr>
              <w:t>1.测量范围：0～20wlux；</w:t>
            </w:r>
          </w:p>
          <w:p w14:paraId="71076029">
            <w:pPr>
              <w:pStyle w:val="116"/>
              <w:rPr>
                <w:lang w:bidi="ar"/>
              </w:rPr>
            </w:pPr>
            <w:r>
              <w:rPr>
                <w:lang w:bidi="ar"/>
              </w:rPr>
              <w:t>2.输出方式：RS485输出；</w:t>
            </w:r>
          </w:p>
          <w:p w14:paraId="78DDDFB8">
            <w:pPr>
              <w:pStyle w:val="116"/>
              <w:rPr>
                <w:lang w:bidi="ar"/>
              </w:rPr>
            </w:pPr>
            <w:r>
              <w:rPr>
                <w:lang w:bidi="ar"/>
              </w:rPr>
              <w:t>3.响应时间：≤90s；</w:t>
            </w:r>
          </w:p>
          <w:p w14:paraId="11D36BC4">
            <w:pPr>
              <w:pStyle w:val="116"/>
              <w:rPr>
                <w:lang w:bidi="ar"/>
              </w:rPr>
            </w:pPr>
            <w:r>
              <w:rPr>
                <w:lang w:bidi="ar"/>
              </w:rPr>
              <w:t>4.供电电压：DC7～24V。</w:t>
            </w:r>
          </w:p>
          <w:p w14:paraId="46386D37">
            <w:pPr>
              <w:pStyle w:val="116"/>
              <w:rPr>
                <w:lang w:bidi="ar"/>
              </w:rPr>
            </w:pPr>
          </w:p>
          <w:p w14:paraId="5AE4222D">
            <w:pPr>
              <w:pStyle w:val="116"/>
              <w:rPr>
                <w:b/>
                <w:lang w:bidi="ar"/>
              </w:rPr>
            </w:pPr>
            <w:r>
              <w:rPr>
                <w:rFonts w:hint="eastAsia"/>
                <w:b/>
                <w:lang w:bidi="ar"/>
              </w:rPr>
              <w:t>二氧化碳变送器（</w:t>
            </w:r>
            <w:r>
              <w:rPr>
                <w:b/>
                <w:lang w:bidi="ar"/>
              </w:rPr>
              <w:t>1个）</w:t>
            </w:r>
          </w:p>
          <w:p w14:paraId="2A247EC6">
            <w:pPr>
              <w:pStyle w:val="116"/>
              <w:rPr>
                <w:lang w:bidi="ar"/>
              </w:rPr>
            </w:pPr>
            <w:r>
              <w:rPr>
                <w:lang w:bidi="ar"/>
              </w:rPr>
              <w:t>1.测量范围：0～5000ppm；</w:t>
            </w:r>
          </w:p>
          <w:p w14:paraId="7913F17A">
            <w:pPr>
              <w:pStyle w:val="116"/>
              <w:rPr>
                <w:lang w:bidi="ar"/>
              </w:rPr>
            </w:pPr>
            <w:r>
              <w:rPr>
                <w:lang w:bidi="ar"/>
              </w:rPr>
              <w:t>2.输出方式：RS485输出；</w:t>
            </w:r>
          </w:p>
          <w:p w14:paraId="5657C917">
            <w:pPr>
              <w:pStyle w:val="116"/>
              <w:rPr>
                <w:lang w:bidi="ar"/>
              </w:rPr>
            </w:pPr>
            <w:r>
              <w:rPr>
                <w:lang w:bidi="ar"/>
              </w:rPr>
              <w:t>3.响应时间：≤90s；</w:t>
            </w:r>
          </w:p>
          <w:p w14:paraId="1BC01D73">
            <w:pPr>
              <w:pStyle w:val="116"/>
              <w:rPr>
                <w:lang w:bidi="ar"/>
              </w:rPr>
            </w:pPr>
            <w:r>
              <w:rPr>
                <w:lang w:bidi="ar"/>
              </w:rPr>
              <w:t>4.供电电压：DC7～24V。</w:t>
            </w:r>
          </w:p>
          <w:p w14:paraId="73A40E6F">
            <w:pPr>
              <w:pStyle w:val="116"/>
              <w:rPr>
                <w:lang w:bidi="ar"/>
              </w:rPr>
            </w:pPr>
          </w:p>
          <w:p w14:paraId="499751F2">
            <w:pPr>
              <w:pStyle w:val="116"/>
              <w:rPr>
                <w:b/>
                <w:lang w:bidi="ar"/>
              </w:rPr>
            </w:pPr>
            <w:r>
              <w:rPr>
                <w:rFonts w:hint="eastAsia"/>
                <w:b/>
                <w:lang w:bidi="ar"/>
              </w:rPr>
              <w:t>温湿度变送器（</w:t>
            </w:r>
            <w:r>
              <w:rPr>
                <w:b/>
                <w:lang w:bidi="ar"/>
              </w:rPr>
              <w:t>1个）</w:t>
            </w:r>
          </w:p>
          <w:p w14:paraId="04733989">
            <w:pPr>
              <w:pStyle w:val="116"/>
              <w:rPr>
                <w:lang w:bidi="ar"/>
              </w:rPr>
            </w:pPr>
            <w:r>
              <w:rPr>
                <w:lang w:bidi="ar"/>
              </w:rPr>
              <w:t>1.直流供电：12V～24VDC；</w:t>
            </w:r>
          </w:p>
          <w:p w14:paraId="3B9938F0">
            <w:pPr>
              <w:pStyle w:val="116"/>
              <w:rPr>
                <w:lang w:bidi="ar"/>
              </w:rPr>
            </w:pPr>
            <w:r>
              <w:rPr>
                <w:lang w:bidi="ar"/>
              </w:rPr>
              <w:t>2.功耗不高于0.5W；</w:t>
            </w:r>
          </w:p>
          <w:p w14:paraId="02C76AB1">
            <w:pPr>
              <w:pStyle w:val="116"/>
              <w:rPr>
                <w:lang w:bidi="ar"/>
              </w:rPr>
            </w:pPr>
            <w:r>
              <w:rPr>
                <w:lang w:bidi="ar"/>
              </w:rPr>
              <w:t>3.输出信号：RS485输出。</w:t>
            </w:r>
          </w:p>
          <w:p w14:paraId="7C243D8C">
            <w:pPr>
              <w:pStyle w:val="116"/>
              <w:rPr>
                <w:lang w:bidi="ar"/>
              </w:rPr>
            </w:pPr>
          </w:p>
          <w:p w14:paraId="30BBBFCC">
            <w:pPr>
              <w:pStyle w:val="116"/>
              <w:rPr>
                <w:lang w:bidi="ar"/>
              </w:rPr>
            </w:pPr>
            <w:r>
              <w:rPr>
                <w:rFonts w:hint="eastAsia"/>
                <w:b/>
                <w:lang w:bidi="ar"/>
              </w:rPr>
              <w:t>红外对射（</w:t>
            </w:r>
            <w:r>
              <w:rPr>
                <w:b/>
                <w:lang w:bidi="ar"/>
              </w:rPr>
              <w:t>1对）</w:t>
            </w:r>
          </w:p>
          <w:p w14:paraId="622A7E08">
            <w:pPr>
              <w:pStyle w:val="116"/>
              <w:rPr>
                <w:lang w:bidi="ar"/>
              </w:rPr>
            </w:pPr>
            <w:r>
              <w:rPr>
                <w:lang w:bidi="ar"/>
              </w:rPr>
              <w:t>1.探测范围</w:t>
            </w:r>
            <w:r>
              <w:rPr>
                <w:rFonts w:hint="eastAsia"/>
                <w:lang w:bidi="ar"/>
              </w:rPr>
              <w:t>：</w:t>
            </w:r>
            <w:r>
              <w:rPr>
                <w:rFonts w:hint="eastAsia"/>
                <w:lang w:val="en-US" w:bidi="ar"/>
              </w:rPr>
              <w:t>≥</w:t>
            </w:r>
            <w:r>
              <w:rPr>
                <w:lang w:bidi="ar"/>
              </w:rPr>
              <w:t>12米</w:t>
            </w:r>
          </w:p>
          <w:p w14:paraId="47352808">
            <w:pPr>
              <w:pStyle w:val="116"/>
              <w:rPr>
                <w:lang w:bidi="ar"/>
              </w:rPr>
            </w:pPr>
            <w:r>
              <w:rPr>
                <w:lang w:bidi="ar"/>
              </w:rPr>
              <w:t>2.工作电压：24V</w:t>
            </w:r>
          </w:p>
          <w:p w14:paraId="0A529D1D">
            <w:pPr>
              <w:pStyle w:val="116"/>
              <w:rPr>
                <w:lang w:bidi="ar"/>
              </w:rPr>
            </w:pPr>
            <w:r>
              <w:rPr>
                <w:lang w:bidi="ar"/>
              </w:rPr>
              <w:t>3.继电器输出支持用跳线设置常开和常闭。</w:t>
            </w:r>
          </w:p>
          <w:p w14:paraId="7A2DCEBE">
            <w:pPr>
              <w:pStyle w:val="116"/>
              <w:rPr>
                <w:lang w:bidi="ar"/>
              </w:rPr>
            </w:pPr>
          </w:p>
          <w:p w14:paraId="5659F808">
            <w:pPr>
              <w:pStyle w:val="116"/>
              <w:rPr>
                <w:b/>
                <w:lang w:bidi="ar"/>
              </w:rPr>
            </w:pPr>
            <w:r>
              <w:rPr>
                <w:rFonts w:hint="eastAsia"/>
                <w:b/>
                <w:lang w:bidi="ar"/>
              </w:rPr>
              <w:t>人体红外开关（</w:t>
            </w:r>
            <w:r>
              <w:rPr>
                <w:b/>
                <w:lang w:bidi="ar"/>
              </w:rPr>
              <w:t>1个）</w:t>
            </w:r>
          </w:p>
          <w:p w14:paraId="17AE3CA3">
            <w:pPr>
              <w:pStyle w:val="116"/>
              <w:rPr>
                <w:lang w:bidi="ar"/>
              </w:rPr>
            </w:pPr>
            <w:r>
              <w:rPr>
                <w:lang w:bidi="ar"/>
              </w:rPr>
              <w:t>1.工作电压：DC24V；</w:t>
            </w:r>
          </w:p>
          <w:p w14:paraId="06566989">
            <w:pPr>
              <w:pStyle w:val="116"/>
              <w:rPr>
                <w:lang w:bidi="ar"/>
              </w:rPr>
            </w:pPr>
            <w:r>
              <w:rPr>
                <w:lang w:bidi="ar"/>
              </w:rPr>
              <w:t>2.输出形式：继电器触发；</w:t>
            </w:r>
          </w:p>
          <w:p w14:paraId="763C1F08">
            <w:pPr>
              <w:pStyle w:val="116"/>
              <w:rPr>
                <w:lang w:bidi="ar"/>
              </w:rPr>
            </w:pPr>
            <w:r>
              <w:rPr>
                <w:lang w:bidi="ar"/>
              </w:rPr>
              <w:t>3.延时时间：时间可调；</w:t>
            </w:r>
          </w:p>
          <w:p w14:paraId="6287EC1B">
            <w:pPr>
              <w:pStyle w:val="116"/>
              <w:rPr>
                <w:lang w:bidi="ar"/>
              </w:rPr>
            </w:pPr>
            <w:r>
              <w:rPr>
                <w:lang w:bidi="ar"/>
              </w:rPr>
              <w:t>4.感应距离：</w:t>
            </w:r>
            <w:r>
              <w:rPr>
                <w:rFonts w:hint="eastAsia"/>
                <w:lang w:val="en-US" w:bidi="ar"/>
              </w:rPr>
              <w:t>大于等于</w:t>
            </w:r>
            <w:r>
              <w:rPr>
                <w:lang w:bidi="ar"/>
              </w:rPr>
              <w:t>5米。</w:t>
            </w:r>
          </w:p>
          <w:p w14:paraId="631EF319">
            <w:pPr>
              <w:pStyle w:val="116"/>
              <w:rPr>
                <w:b/>
                <w:lang w:bidi="ar"/>
              </w:rPr>
            </w:pPr>
          </w:p>
          <w:p w14:paraId="415D1BB1">
            <w:pPr>
              <w:pStyle w:val="116"/>
              <w:rPr>
                <w:b/>
                <w:lang w:bidi="ar"/>
              </w:rPr>
            </w:pPr>
            <w:r>
              <w:rPr>
                <w:rFonts w:hint="eastAsia"/>
                <w:b/>
                <w:lang w:bidi="ar"/>
              </w:rPr>
              <w:t>烟雾探测器（</w:t>
            </w:r>
            <w:r>
              <w:rPr>
                <w:b/>
                <w:lang w:bidi="ar"/>
              </w:rPr>
              <w:t>1个）</w:t>
            </w:r>
          </w:p>
          <w:p w14:paraId="6A18F0DE">
            <w:pPr>
              <w:pStyle w:val="116"/>
              <w:rPr>
                <w:lang w:bidi="ar"/>
              </w:rPr>
            </w:pPr>
            <w:r>
              <w:rPr>
                <w:lang w:bidi="ar"/>
              </w:rPr>
              <w:t>1.报警声音：≥85dB；</w:t>
            </w:r>
          </w:p>
          <w:p w14:paraId="14276AF2">
            <w:pPr>
              <w:pStyle w:val="116"/>
              <w:rPr>
                <w:lang w:bidi="ar"/>
              </w:rPr>
            </w:pPr>
            <w:r>
              <w:rPr>
                <w:lang w:bidi="ar"/>
              </w:rPr>
              <w:t>2.供电电源：DC9V～DC28V；</w:t>
            </w:r>
          </w:p>
          <w:p w14:paraId="4F7F5F6E">
            <w:pPr>
              <w:pStyle w:val="116"/>
              <w:rPr>
                <w:lang w:bidi="ar"/>
              </w:rPr>
            </w:pPr>
          </w:p>
          <w:p w14:paraId="444DFC19">
            <w:pPr>
              <w:pStyle w:val="116"/>
              <w:rPr>
                <w:b/>
                <w:lang w:bidi="ar"/>
              </w:rPr>
            </w:pPr>
            <w:r>
              <w:rPr>
                <w:rFonts w:hint="eastAsia"/>
                <w:b/>
                <w:lang w:bidi="ar"/>
              </w:rPr>
              <w:t>微动开关（</w:t>
            </w:r>
            <w:r>
              <w:rPr>
                <w:b/>
                <w:lang w:bidi="ar"/>
              </w:rPr>
              <w:t>1个）</w:t>
            </w:r>
          </w:p>
          <w:p w14:paraId="632A37AD">
            <w:pPr>
              <w:pStyle w:val="116"/>
              <w:rPr>
                <w:lang w:bidi="ar"/>
              </w:rPr>
            </w:pPr>
            <w:r>
              <w:rPr>
                <w:lang w:bidi="ar"/>
              </w:rPr>
              <w:t>1.最大负载电流</w:t>
            </w:r>
            <w:r>
              <w:rPr>
                <w:rFonts w:hint="eastAsia"/>
                <w:lang w:bidi="ar"/>
              </w:rPr>
              <w:t>：</w:t>
            </w:r>
            <w:r>
              <w:rPr>
                <w:rFonts w:hint="eastAsia"/>
                <w:lang w:val="en-US" w:bidi="ar"/>
              </w:rPr>
              <w:t>≥</w:t>
            </w:r>
            <w:r>
              <w:rPr>
                <w:lang w:bidi="ar"/>
              </w:rPr>
              <w:t>2.5A;</w:t>
            </w:r>
          </w:p>
          <w:p w14:paraId="66356701">
            <w:pPr>
              <w:pStyle w:val="116"/>
              <w:rPr>
                <w:lang w:bidi="ar"/>
              </w:rPr>
            </w:pPr>
            <w:r>
              <w:rPr>
                <w:lang w:bidi="ar"/>
              </w:rPr>
              <w:t>2.最大负载电压</w:t>
            </w:r>
            <w:r>
              <w:rPr>
                <w:rFonts w:hint="eastAsia"/>
                <w:lang w:bidi="ar"/>
              </w:rPr>
              <w:t>：</w:t>
            </w:r>
            <w:r>
              <w:rPr>
                <w:rFonts w:hint="eastAsia"/>
                <w:lang w:val="en-US" w:bidi="ar"/>
              </w:rPr>
              <w:t>＞</w:t>
            </w:r>
            <w:r>
              <w:rPr>
                <w:lang w:bidi="ar"/>
              </w:rPr>
              <w:t>200V（DC）；</w:t>
            </w:r>
          </w:p>
          <w:p w14:paraId="300D3C60">
            <w:pPr>
              <w:pStyle w:val="116"/>
              <w:rPr>
                <w:lang w:bidi="ar"/>
              </w:rPr>
            </w:pPr>
            <w:r>
              <w:rPr>
                <w:lang w:bidi="ar"/>
              </w:rPr>
              <w:t>3.动作力：2-3.8N；</w:t>
            </w:r>
          </w:p>
          <w:p w14:paraId="14338396">
            <w:pPr>
              <w:pStyle w:val="116"/>
              <w:rPr>
                <w:lang w:bidi="ar"/>
              </w:rPr>
            </w:pPr>
            <w:r>
              <w:rPr>
                <w:lang w:bidi="ar"/>
              </w:rPr>
              <w:t>4.复动力：1N。</w:t>
            </w:r>
          </w:p>
          <w:p w14:paraId="6BAE0F3D">
            <w:pPr>
              <w:pStyle w:val="116"/>
              <w:rPr>
                <w:b/>
                <w:lang w:bidi="ar"/>
              </w:rPr>
            </w:pPr>
          </w:p>
          <w:p w14:paraId="4585AD7A">
            <w:pPr>
              <w:pStyle w:val="116"/>
              <w:rPr>
                <w:b/>
                <w:lang w:bidi="ar"/>
              </w:rPr>
            </w:pPr>
            <w:r>
              <w:rPr>
                <w:b/>
                <w:lang w:bidi="ar"/>
              </w:rPr>
              <w:t>CAN总线双轴倾角传感器（1套）</w:t>
            </w:r>
          </w:p>
          <w:p w14:paraId="54357085">
            <w:pPr>
              <w:pStyle w:val="116"/>
              <w:rPr>
                <w:lang w:bidi="ar"/>
              </w:rPr>
            </w:pPr>
            <w:r>
              <w:rPr>
                <w:lang w:bidi="ar"/>
              </w:rPr>
              <w:t>1.供电电压：9-35V；</w:t>
            </w:r>
          </w:p>
          <w:p w14:paraId="2BC7CFCB">
            <w:pPr>
              <w:pStyle w:val="116"/>
              <w:rPr>
                <w:lang w:bidi="ar"/>
              </w:rPr>
            </w:pPr>
            <w:r>
              <w:rPr>
                <w:lang w:bidi="ar"/>
              </w:rPr>
              <w:t>2.量程：±90°；</w:t>
            </w:r>
          </w:p>
          <w:p w14:paraId="25933F48">
            <w:pPr>
              <w:pStyle w:val="116"/>
              <w:rPr>
                <w:lang w:bidi="ar"/>
              </w:rPr>
            </w:pPr>
            <w:r>
              <w:rPr>
                <w:lang w:bidi="ar"/>
              </w:rPr>
              <w:t>3.输出方式：CAN。</w:t>
            </w:r>
          </w:p>
          <w:p w14:paraId="184BFDC3">
            <w:pPr>
              <w:pStyle w:val="116"/>
              <w:rPr>
                <w:lang w:bidi="ar"/>
              </w:rPr>
            </w:pPr>
          </w:p>
          <w:p w14:paraId="721CD1EA">
            <w:pPr>
              <w:pStyle w:val="116"/>
              <w:rPr>
                <w:b/>
                <w:lang w:bidi="ar"/>
              </w:rPr>
            </w:pPr>
            <w:r>
              <w:rPr>
                <w:rFonts w:hint="eastAsia"/>
                <w:b/>
                <w:lang w:bidi="ar"/>
              </w:rPr>
              <w:t>电动推杆（</w:t>
            </w:r>
            <w:r>
              <w:rPr>
                <w:b/>
                <w:lang w:bidi="ar"/>
              </w:rPr>
              <w:t>1个）</w:t>
            </w:r>
          </w:p>
          <w:p w14:paraId="419EB446">
            <w:pPr>
              <w:pStyle w:val="116"/>
              <w:rPr>
                <w:lang w:bidi="ar"/>
              </w:rPr>
            </w:pPr>
            <w:r>
              <w:rPr>
                <w:lang w:bidi="ar"/>
              </w:rPr>
              <w:t>1.工作电源：DC24V；</w:t>
            </w:r>
          </w:p>
          <w:p w14:paraId="6F54F744">
            <w:pPr>
              <w:pStyle w:val="116"/>
              <w:rPr>
                <w:lang w:bidi="ar"/>
              </w:rPr>
            </w:pPr>
            <w:r>
              <w:rPr>
                <w:lang w:bidi="ar"/>
              </w:rPr>
              <w:t>2.工作行程</w:t>
            </w:r>
            <w:r>
              <w:rPr>
                <w:rFonts w:hint="eastAsia"/>
                <w:lang w:bidi="ar"/>
              </w:rPr>
              <w:t>：</w:t>
            </w:r>
            <w:r>
              <w:rPr>
                <w:rFonts w:hint="eastAsia"/>
                <w:lang w:val="en-US" w:bidi="ar"/>
              </w:rPr>
              <w:t>＞</w:t>
            </w:r>
            <w:r>
              <w:rPr>
                <w:lang w:bidi="ar"/>
              </w:rPr>
              <w:t>45mm；</w:t>
            </w:r>
          </w:p>
          <w:p w14:paraId="08C76A42">
            <w:pPr>
              <w:pStyle w:val="116"/>
              <w:rPr>
                <w:lang w:bidi="ar"/>
              </w:rPr>
            </w:pPr>
            <w:r>
              <w:rPr>
                <w:lang w:bidi="ar"/>
              </w:rPr>
              <w:t>3.工作速度</w:t>
            </w:r>
            <w:r>
              <w:rPr>
                <w:rFonts w:hint="eastAsia"/>
                <w:lang w:bidi="ar"/>
              </w:rPr>
              <w:t>：</w:t>
            </w:r>
            <w:r>
              <w:rPr>
                <w:rFonts w:hint="eastAsia"/>
                <w:lang w:val="en-US" w:bidi="ar"/>
              </w:rPr>
              <w:t>＞</w:t>
            </w:r>
            <w:r>
              <w:rPr>
                <w:lang w:bidi="ar"/>
              </w:rPr>
              <w:t>5mm/s；</w:t>
            </w:r>
          </w:p>
          <w:p w14:paraId="1611964E">
            <w:pPr>
              <w:pStyle w:val="116"/>
              <w:rPr>
                <w:lang w:bidi="ar"/>
              </w:rPr>
            </w:pPr>
            <w:r>
              <w:rPr>
                <w:lang w:bidi="ar"/>
              </w:rPr>
              <w:t>4.推力</w:t>
            </w:r>
            <w:r>
              <w:rPr>
                <w:rFonts w:hint="eastAsia"/>
                <w:lang w:bidi="ar"/>
              </w:rPr>
              <w:t>：</w:t>
            </w:r>
            <w:r>
              <w:rPr>
                <w:rFonts w:hint="eastAsia"/>
                <w:lang w:val="en-US" w:bidi="ar"/>
              </w:rPr>
              <w:t>＞</w:t>
            </w:r>
            <w:r>
              <w:rPr>
                <w:lang w:bidi="ar"/>
              </w:rPr>
              <w:t>500N。</w:t>
            </w:r>
          </w:p>
          <w:p w14:paraId="745798CF">
            <w:pPr>
              <w:pStyle w:val="116"/>
              <w:rPr>
                <w:lang w:bidi="ar"/>
              </w:rPr>
            </w:pPr>
          </w:p>
          <w:p w14:paraId="003EDE95">
            <w:pPr>
              <w:pStyle w:val="116"/>
              <w:rPr>
                <w:b/>
                <w:lang w:bidi="ar"/>
              </w:rPr>
            </w:pPr>
            <w:r>
              <w:rPr>
                <w:b/>
                <w:lang w:bidi="ar"/>
              </w:rPr>
              <w:t>RGB灯条（1根）</w:t>
            </w:r>
          </w:p>
          <w:p w14:paraId="21C5B059">
            <w:pPr>
              <w:pStyle w:val="116"/>
              <w:rPr>
                <w:lang w:bidi="ar"/>
              </w:rPr>
            </w:pPr>
            <w:r>
              <w:rPr>
                <w:lang w:bidi="ar"/>
              </w:rPr>
              <w:t>1.工作电压：DC24V；</w:t>
            </w:r>
          </w:p>
          <w:p w14:paraId="2AE51795">
            <w:pPr>
              <w:pStyle w:val="116"/>
              <w:rPr>
                <w:lang w:bidi="ar"/>
              </w:rPr>
            </w:pPr>
            <w:r>
              <w:rPr>
                <w:lang w:bidi="ar"/>
              </w:rPr>
              <w:t>2.工作电流：＜240mA；</w:t>
            </w:r>
          </w:p>
          <w:p w14:paraId="6D6BC846">
            <w:pPr>
              <w:pStyle w:val="116"/>
              <w:rPr>
                <w:lang w:bidi="ar"/>
              </w:rPr>
            </w:pPr>
            <w:r>
              <w:rPr>
                <w:lang w:bidi="ar"/>
              </w:rPr>
              <w:t>3.LED视角</w:t>
            </w:r>
            <w:r>
              <w:rPr>
                <w:rFonts w:hint="eastAsia"/>
                <w:lang w:bidi="ar"/>
              </w:rPr>
              <w:t>：</w:t>
            </w:r>
            <w:r>
              <w:rPr>
                <w:rFonts w:hint="eastAsia"/>
                <w:lang w:val="en-US" w:bidi="ar"/>
              </w:rPr>
              <w:t>＞</w:t>
            </w:r>
            <w:r>
              <w:rPr>
                <w:lang w:bidi="ar"/>
              </w:rPr>
              <w:t>110度；</w:t>
            </w:r>
          </w:p>
          <w:p w14:paraId="7CFCFD0D">
            <w:pPr>
              <w:pStyle w:val="116"/>
              <w:rPr>
                <w:lang w:bidi="ar"/>
              </w:rPr>
            </w:pPr>
            <w:r>
              <w:rPr>
                <w:lang w:bidi="ar"/>
              </w:rPr>
              <w:t>4.颜色：RGB。</w:t>
            </w:r>
          </w:p>
          <w:p w14:paraId="252A8E93">
            <w:pPr>
              <w:pStyle w:val="116"/>
              <w:rPr>
                <w:b/>
                <w:lang w:bidi="ar"/>
              </w:rPr>
            </w:pPr>
          </w:p>
          <w:p w14:paraId="54471891">
            <w:pPr>
              <w:pStyle w:val="116"/>
              <w:rPr>
                <w:b/>
                <w:lang w:bidi="ar"/>
              </w:rPr>
            </w:pPr>
            <w:r>
              <w:rPr>
                <w:rFonts w:hint="eastAsia"/>
                <w:b/>
                <w:lang w:bidi="ar"/>
              </w:rPr>
              <w:t>风扇（</w:t>
            </w:r>
            <w:r>
              <w:rPr>
                <w:b/>
                <w:lang w:bidi="ar"/>
              </w:rPr>
              <w:t>1个）</w:t>
            </w:r>
          </w:p>
          <w:p w14:paraId="64A4F47E">
            <w:pPr>
              <w:pStyle w:val="116"/>
              <w:rPr>
                <w:lang w:bidi="ar"/>
              </w:rPr>
            </w:pPr>
            <w:r>
              <w:rPr>
                <w:lang w:bidi="ar"/>
              </w:rPr>
              <w:t>1.工作电压：DC24V；</w:t>
            </w:r>
          </w:p>
          <w:p w14:paraId="2F1058BE">
            <w:pPr>
              <w:pStyle w:val="116"/>
              <w:rPr>
                <w:lang w:bidi="ar"/>
              </w:rPr>
            </w:pPr>
            <w:r>
              <w:rPr>
                <w:lang w:bidi="ar"/>
              </w:rPr>
              <w:t>2.转速：</w:t>
            </w:r>
            <w:r>
              <w:rPr>
                <w:rFonts w:hint="eastAsia"/>
                <w:lang w:val="en-US" w:bidi="ar"/>
              </w:rPr>
              <w:t>≥</w:t>
            </w:r>
            <w:r>
              <w:rPr>
                <w:lang w:bidi="ar"/>
              </w:rPr>
              <w:t>2500RPM；</w:t>
            </w:r>
          </w:p>
          <w:p w14:paraId="04C5E3DC">
            <w:pPr>
              <w:pStyle w:val="116"/>
              <w:rPr>
                <w:lang w:bidi="ar"/>
              </w:rPr>
            </w:pPr>
            <w:r>
              <w:rPr>
                <w:lang w:bidi="ar"/>
              </w:rPr>
              <w:t>3.风量：24.42～34.18CFM。</w:t>
            </w:r>
          </w:p>
          <w:p w14:paraId="788EBB92">
            <w:pPr>
              <w:pStyle w:val="116"/>
              <w:rPr>
                <w:lang w:bidi="ar"/>
              </w:rPr>
            </w:pPr>
          </w:p>
          <w:p w14:paraId="2AC2CAC6">
            <w:pPr>
              <w:pStyle w:val="116"/>
              <w:rPr>
                <w:b/>
                <w:lang w:bidi="ar"/>
              </w:rPr>
            </w:pPr>
            <w:r>
              <w:rPr>
                <w:rFonts w:hint="eastAsia"/>
                <w:b/>
                <w:lang w:bidi="ar"/>
              </w:rPr>
              <w:t>警示灯（</w:t>
            </w:r>
            <w:r>
              <w:rPr>
                <w:b/>
                <w:lang w:bidi="ar"/>
              </w:rPr>
              <w:t>1个）</w:t>
            </w:r>
          </w:p>
          <w:p w14:paraId="17252EA5">
            <w:pPr>
              <w:pStyle w:val="116"/>
              <w:rPr>
                <w:lang w:bidi="ar"/>
              </w:rPr>
            </w:pPr>
            <w:r>
              <w:rPr>
                <w:lang w:bidi="ar"/>
              </w:rPr>
              <w:t>1.电压：DC24V；</w:t>
            </w:r>
          </w:p>
          <w:p w14:paraId="686CBDF8">
            <w:pPr>
              <w:pStyle w:val="116"/>
              <w:rPr>
                <w:lang w:bidi="ar"/>
              </w:rPr>
            </w:pPr>
            <w:r>
              <w:rPr>
                <w:lang w:bidi="ar"/>
              </w:rPr>
              <w:t>2.电流：0.1A；</w:t>
            </w:r>
          </w:p>
          <w:p w14:paraId="461EF6B7">
            <w:pPr>
              <w:pStyle w:val="116"/>
              <w:rPr>
                <w:lang w:bidi="ar"/>
              </w:rPr>
            </w:pPr>
            <w:r>
              <w:rPr>
                <w:lang w:bidi="ar"/>
              </w:rPr>
              <w:t>3.光源类型：LED</w:t>
            </w:r>
          </w:p>
          <w:p w14:paraId="3C04EB41">
            <w:pPr>
              <w:pStyle w:val="116"/>
              <w:rPr>
                <w:lang w:bidi="ar"/>
              </w:rPr>
            </w:pPr>
            <w:r>
              <w:rPr>
                <w:lang w:bidi="ar"/>
              </w:rPr>
              <w:t>4.材质：PC灯罩ABS底座</w:t>
            </w:r>
          </w:p>
          <w:p w14:paraId="2AC5FFC9">
            <w:pPr>
              <w:pStyle w:val="116"/>
              <w:rPr>
                <w:lang w:bidi="ar"/>
              </w:rPr>
            </w:pPr>
          </w:p>
          <w:p w14:paraId="3C571775">
            <w:pPr>
              <w:pStyle w:val="116"/>
              <w:rPr>
                <w:b/>
                <w:lang w:bidi="ar"/>
              </w:rPr>
            </w:pPr>
            <w:r>
              <w:rPr>
                <w:b/>
                <w:lang w:bidi="ar"/>
              </w:rPr>
              <w:t>ZigBee仿真器（1个）</w:t>
            </w:r>
          </w:p>
          <w:p w14:paraId="1F64A171">
            <w:pPr>
              <w:pStyle w:val="116"/>
              <w:rPr>
                <w:lang w:bidi="ar"/>
              </w:rPr>
            </w:pPr>
            <w:r>
              <w:rPr>
                <w:lang w:bidi="ar"/>
              </w:rPr>
              <w:t>1.支持系统：Windows10/8.1/8/7/XP</w:t>
            </w:r>
          </w:p>
          <w:p w14:paraId="5CAD2015">
            <w:pPr>
              <w:pStyle w:val="116"/>
              <w:rPr>
                <w:lang w:bidi="ar"/>
              </w:rPr>
            </w:pPr>
            <w:r>
              <w:rPr>
                <w:lang w:bidi="ar"/>
              </w:rPr>
              <w:t>2.工作电压：1.2V～3.6V</w:t>
            </w:r>
          </w:p>
          <w:p w14:paraId="42EBCC4E">
            <w:pPr>
              <w:pStyle w:val="116"/>
              <w:rPr>
                <w:lang w:bidi="ar"/>
              </w:rPr>
            </w:pPr>
          </w:p>
          <w:p w14:paraId="7BD7000D">
            <w:pPr>
              <w:pStyle w:val="116"/>
              <w:rPr>
                <w:b/>
                <w:lang w:bidi="ar"/>
              </w:rPr>
            </w:pPr>
            <w:r>
              <w:rPr>
                <w:rFonts w:hint="eastAsia"/>
                <w:b/>
                <w:lang w:bidi="ar"/>
              </w:rPr>
              <w:t>实训配件包（</w:t>
            </w:r>
            <w:r>
              <w:rPr>
                <w:b/>
                <w:lang w:bidi="ar"/>
              </w:rPr>
              <w:t>1套）</w:t>
            </w:r>
          </w:p>
          <w:p w14:paraId="661AC860">
            <w:pPr>
              <w:pStyle w:val="116"/>
              <w:rPr>
                <w:lang w:bidi="ar"/>
              </w:rPr>
            </w:pPr>
            <w:r>
              <w:rPr>
                <w:lang w:bidi="ar"/>
              </w:rPr>
              <w:t>1.物联网工具包：包含一字螺丝刀、十字螺丝刀、剥线钳、电工钳。</w:t>
            </w:r>
          </w:p>
          <w:p w14:paraId="59C23547">
            <w:pPr>
              <w:pStyle w:val="116"/>
              <w:rPr>
                <w:lang w:bidi="ar"/>
              </w:rPr>
            </w:pPr>
            <w:r>
              <w:rPr>
                <w:lang w:bidi="ar"/>
              </w:rPr>
              <w:t>2.耗材包：包含各种电线、网线、螺丝、螺母、扎线带、电工胶布。</w:t>
            </w:r>
          </w:p>
          <w:p w14:paraId="438A8A8C">
            <w:pPr>
              <w:pStyle w:val="116"/>
              <w:rPr>
                <w:b/>
                <w:lang w:bidi="ar"/>
              </w:rPr>
            </w:pPr>
            <w:r>
              <w:rPr>
                <w:rFonts w:hint="eastAsia"/>
                <w:b/>
                <w:lang w:bidi="ar"/>
              </w:rPr>
              <w:t>（三）</w:t>
            </w:r>
            <w:r>
              <w:rPr>
                <w:b/>
                <w:lang w:bidi="ar"/>
              </w:rPr>
              <w:tab/>
            </w:r>
            <w:r>
              <w:rPr>
                <w:b/>
                <w:lang w:bidi="ar"/>
              </w:rPr>
              <w:t>云平台</w:t>
            </w:r>
          </w:p>
          <w:p w14:paraId="775FACC3">
            <w:pPr>
              <w:pStyle w:val="116"/>
              <w:rPr>
                <w:b/>
                <w:lang w:bidi="ar"/>
              </w:rPr>
            </w:pPr>
            <w:r>
              <w:rPr>
                <w:rFonts w:hint="eastAsia"/>
                <w:b/>
                <w:lang w:bidi="ar"/>
              </w:rPr>
              <w:t>物联网云平台（</w:t>
            </w:r>
            <w:r>
              <w:rPr>
                <w:b/>
                <w:lang w:bidi="ar"/>
              </w:rPr>
              <w:t>1套）</w:t>
            </w:r>
          </w:p>
          <w:p w14:paraId="4225D5B6">
            <w:pPr>
              <w:pStyle w:val="116"/>
              <w:rPr>
                <w:lang w:bidi="ar"/>
              </w:rPr>
            </w:pPr>
            <w:r>
              <w:rPr>
                <w:lang w:bidi="ar"/>
              </w:rPr>
              <w:t>1.实现家居情景模式设定管理，灯光照明系统智能控制，家庭环境智能控制，智能化安防报警等功能；（提供</w:t>
            </w:r>
            <w:r>
              <w:rPr>
                <w:rFonts w:hint="eastAsia"/>
                <w:lang w:bidi="ar"/>
              </w:rPr>
              <w:t>截图证明</w:t>
            </w:r>
            <w:r>
              <w:rPr>
                <w:lang w:bidi="ar"/>
              </w:rPr>
              <w:t>）；</w:t>
            </w:r>
          </w:p>
          <w:p w14:paraId="0A1E6139">
            <w:pPr>
              <w:pStyle w:val="116"/>
              <w:rPr>
                <w:lang w:bidi="ar"/>
              </w:rPr>
            </w:pPr>
            <w:r>
              <w:rPr>
                <w:lang w:bidi="ar"/>
              </w:rPr>
              <w:t>2.可在广域网中通过PC、移动智能终端等设备登录此云平台；（提供</w:t>
            </w:r>
            <w:r>
              <w:rPr>
                <w:rFonts w:hint="eastAsia"/>
                <w:lang w:bidi="ar"/>
              </w:rPr>
              <w:t>截图证明</w:t>
            </w:r>
            <w:r>
              <w:rPr>
                <w:lang w:bidi="ar"/>
              </w:rPr>
              <w:t>）；</w:t>
            </w:r>
          </w:p>
          <w:p w14:paraId="2D9DCCF8">
            <w:pPr>
              <w:pStyle w:val="116"/>
              <w:rPr>
                <w:lang w:bidi="ar"/>
              </w:rPr>
            </w:pPr>
            <w:r>
              <w:rPr>
                <w:lang w:bidi="ar"/>
              </w:rPr>
              <w:t>3.具备项目管理功能，提供定制化的项目中心集中管理；；</w:t>
            </w:r>
          </w:p>
          <w:p w14:paraId="0237D485">
            <w:pPr>
              <w:pStyle w:val="116"/>
              <w:rPr>
                <w:lang w:bidi="ar"/>
              </w:rPr>
            </w:pPr>
            <w:r>
              <w:rPr>
                <w:lang w:bidi="ar"/>
              </w:rPr>
              <w:t>4.支持物联网SAAS项目的新建并支持授权API的自动生成功能；</w:t>
            </w:r>
          </w:p>
          <w:p w14:paraId="3E1D191E">
            <w:pPr>
              <w:pStyle w:val="116"/>
              <w:rPr>
                <w:lang w:bidi="ar"/>
              </w:rPr>
            </w:pPr>
            <w:r>
              <w:rPr>
                <w:lang w:bidi="ar"/>
              </w:rPr>
              <w:t>5.支持物联网云网关的配置，支持云网关的设备管理、编辑等功能；（提供</w:t>
            </w:r>
            <w:r>
              <w:rPr>
                <w:rFonts w:hint="eastAsia"/>
                <w:lang w:bidi="ar"/>
              </w:rPr>
              <w:t>截图证明</w:t>
            </w:r>
            <w:r>
              <w:rPr>
                <w:lang w:bidi="ar"/>
              </w:rPr>
              <w:t>）；</w:t>
            </w:r>
          </w:p>
          <w:p w14:paraId="0C1B2297">
            <w:pPr>
              <w:pStyle w:val="116"/>
              <w:rPr>
                <w:lang w:bidi="ar"/>
              </w:rPr>
            </w:pPr>
            <w:r>
              <w:rPr>
                <w:lang w:bidi="ar"/>
              </w:rPr>
              <w:t>6.云平台与物联网项目云网关之间的心跳轮询时间可在3-15S之间灵活设置；；</w:t>
            </w:r>
          </w:p>
          <w:p w14:paraId="28BC928A">
            <w:pPr>
              <w:pStyle w:val="116"/>
              <w:rPr>
                <w:lang w:bidi="ar"/>
              </w:rPr>
            </w:pPr>
            <w:r>
              <w:rPr>
                <w:lang w:bidi="ar"/>
              </w:rPr>
              <w:t>7.兼容行业中常见的物联网功能节点，至少支持数字量Modbus、模拟量Modbus及Zigbee无线传输类型的节点管理；（提供</w:t>
            </w:r>
            <w:r>
              <w:rPr>
                <w:rFonts w:hint="eastAsia"/>
                <w:lang w:bidi="ar"/>
              </w:rPr>
              <w:t>截图证明</w:t>
            </w:r>
            <w:r>
              <w:rPr>
                <w:lang w:bidi="ar"/>
              </w:rPr>
              <w:t>）；</w:t>
            </w:r>
          </w:p>
          <w:p w14:paraId="05E3217B">
            <w:pPr>
              <w:pStyle w:val="116"/>
              <w:rPr>
                <w:lang w:bidi="ar"/>
              </w:rPr>
            </w:pPr>
            <w:r>
              <w:rPr>
                <w:lang w:bidi="ar"/>
              </w:rPr>
              <w:t>8.▲支持至少15种以上常用传感器节点，支持温度、湿度、水温、二氧化碳、光照、风速、大气压力、空气质量、可燃气体、火焰、红外对射传感器等；（提供演示视频</w:t>
            </w:r>
            <w:r>
              <w:rPr>
                <w:rFonts w:hint="eastAsia"/>
                <w:lang w:bidi="ar"/>
              </w:rPr>
              <w:t>及截图证明</w:t>
            </w:r>
            <w:r>
              <w:rPr>
                <w:lang w:bidi="ar"/>
              </w:rPr>
              <w:t>）；</w:t>
            </w:r>
          </w:p>
          <w:p w14:paraId="3FFA8345">
            <w:pPr>
              <w:rPr>
                <w:rFonts w:ascii="宋体" w:hAnsi="宋体"/>
                <w:color w:val="FF0000"/>
              </w:rPr>
            </w:pPr>
            <w:r>
              <w:rPr>
                <w:lang w:bidi="ar"/>
              </w:rPr>
              <w:t>9.支持物联网节点的状态查询并按需控制；（提供</w:t>
            </w:r>
            <w:r>
              <w:rPr>
                <w:rFonts w:hint="eastAsia"/>
                <w:lang w:bidi="ar"/>
              </w:rPr>
              <w:t>截图证明</w:t>
            </w:r>
            <w:r>
              <w:rPr>
                <w:lang w:bidi="ar"/>
              </w:rPr>
              <w:t>）。</w:t>
            </w:r>
          </w:p>
        </w:tc>
        <w:tc>
          <w:tcPr>
            <w:tcW w:w="0" w:type="auto"/>
            <w:vAlign w:val="center"/>
          </w:tcPr>
          <w:p w14:paraId="781F0A68">
            <w:pPr>
              <w:jc w:val="center"/>
              <w:rPr>
                <w:rFonts w:ascii="宋体" w:hAnsi="宋体"/>
              </w:rPr>
            </w:pPr>
            <w:r>
              <w:rPr>
                <w:rFonts w:hint="eastAsia" w:ascii="宋体" w:hAnsi="宋体"/>
              </w:rPr>
              <w:t>套</w:t>
            </w:r>
          </w:p>
        </w:tc>
        <w:tc>
          <w:tcPr>
            <w:tcW w:w="0" w:type="auto"/>
            <w:vAlign w:val="center"/>
          </w:tcPr>
          <w:p w14:paraId="7BA718B7">
            <w:pPr>
              <w:jc w:val="center"/>
              <w:rPr>
                <w:rFonts w:ascii="宋体" w:hAnsi="宋体"/>
              </w:rPr>
            </w:pPr>
            <w:r>
              <w:rPr>
                <w:rFonts w:hint="eastAsia" w:ascii="宋体" w:hAnsi="宋体"/>
              </w:rPr>
              <w:t>4</w:t>
            </w:r>
          </w:p>
        </w:tc>
        <w:tc>
          <w:tcPr>
            <w:tcW w:w="0" w:type="auto"/>
            <w:vAlign w:val="center"/>
          </w:tcPr>
          <w:p w14:paraId="57445C36">
            <w:pPr>
              <w:jc w:val="center"/>
              <w:rPr>
                <w:rFonts w:ascii="宋体" w:hAnsi="宋体"/>
              </w:rPr>
            </w:pPr>
            <w:r>
              <w:rPr>
                <w:rFonts w:hint="eastAsia" w:ascii="宋体" w:hAnsi="宋体"/>
              </w:rPr>
              <w:t>97000</w:t>
            </w:r>
          </w:p>
        </w:tc>
        <w:tc>
          <w:tcPr>
            <w:tcW w:w="0" w:type="auto"/>
            <w:vAlign w:val="center"/>
          </w:tcPr>
          <w:p w14:paraId="650CDE66">
            <w:pPr>
              <w:jc w:val="center"/>
              <w:rPr>
                <w:rFonts w:ascii="宋体" w:hAnsi="宋体"/>
              </w:rPr>
            </w:pPr>
            <w:r>
              <w:rPr>
                <w:rFonts w:hint="eastAsia" w:ascii="宋体" w:hAnsi="宋体"/>
              </w:rPr>
              <w:t>388000</w:t>
            </w:r>
          </w:p>
        </w:tc>
      </w:tr>
      <w:tr w14:paraId="64AEA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14:paraId="130E3A59">
            <w:pPr>
              <w:jc w:val="center"/>
              <w:rPr>
                <w:rFonts w:ascii="宋体" w:hAnsi="宋体"/>
              </w:rPr>
            </w:pPr>
            <w:r>
              <w:rPr>
                <w:rFonts w:hint="eastAsia" w:ascii="宋体" w:hAnsi="宋体"/>
              </w:rPr>
              <w:t>4</w:t>
            </w:r>
          </w:p>
        </w:tc>
        <w:tc>
          <w:tcPr>
            <w:tcW w:w="0" w:type="auto"/>
            <w:vAlign w:val="center"/>
          </w:tcPr>
          <w:p w14:paraId="26949055">
            <w:pPr>
              <w:rPr>
                <w:rFonts w:ascii="宋体" w:hAnsi="宋体"/>
              </w:rPr>
            </w:pPr>
            <w:r>
              <w:rPr>
                <w:rFonts w:hint="eastAsia"/>
                <w:lang w:bidi="ar"/>
              </w:rPr>
              <w:t>《物联网设备装调与维护》教学资源</w:t>
            </w:r>
          </w:p>
        </w:tc>
        <w:tc>
          <w:tcPr>
            <w:tcW w:w="0" w:type="auto"/>
            <w:vAlign w:val="center"/>
          </w:tcPr>
          <w:p w14:paraId="7FFA0E5F">
            <w:pPr>
              <w:pStyle w:val="116"/>
              <w:rPr>
                <w:lang w:bidi="ar"/>
              </w:rPr>
            </w:pPr>
            <w:bookmarkStart w:id="326" w:name="OLE_LINK3"/>
            <w:r>
              <w:rPr>
                <w:lang w:bidi="ar"/>
              </w:rPr>
              <w:t>▲</w:t>
            </w:r>
            <w:r>
              <w:rPr>
                <w:rFonts w:hint="eastAsia"/>
                <w:lang w:bidi="ar"/>
              </w:rPr>
              <w:t>展示《物联网设备装调与维护》教学资源，包括课程标准、教案、教学P</w:t>
            </w:r>
            <w:r>
              <w:rPr>
                <w:lang w:bidi="ar"/>
              </w:rPr>
              <w:t>PT</w:t>
            </w:r>
            <w:r>
              <w:rPr>
                <w:rFonts w:hint="eastAsia"/>
                <w:lang w:bidi="ar"/>
              </w:rPr>
              <w:t>、教学视频、习题等内容（提供平台演示视频及截图证明）</w:t>
            </w:r>
          </w:p>
          <w:p w14:paraId="7A55D218">
            <w:pPr>
              <w:pStyle w:val="116"/>
              <w:rPr>
                <w:lang w:bidi="ar"/>
              </w:rPr>
            </w:pPr>
          </w:p>
          <w:bookmarkEnd w:id="326"/>
          <w:p w14:paraId="4D6D254D">
            <w:pPr>
              <w:pStyle w:val="116"/>
              <w:rPr>
                <w:b/>
                <w:lang w:bidi="ar"/>
              </w:rPr>
            </w:pPr>
            <w:r>
              <w:rPr>
                <w:rFonts w:hint="eastAsia"/>
                <w:b/>
                <w:lang w:bidi="ar"/>
              </w:rPr>
              <w:t>（一）授课教材</w:t>
            </w:r>
            <w:r>
              <w:rPr>
                <w:b/>
                <w:lang w:bidi="ar"/>
              </w:rPr>
              <w:t>1本</w:t>
            </w:r>
          </w:p>
          <w:p w14:paraId="2490DB2A">
            <w:pPr>
              <w:pStyle w:val="116"/>
              <w:rPr>
                <w:lang w:bidi="ar"/>
              </w:rPr>
            </w:pPr>
            <w:r>
              <w:rPr>
                <w:lang w:bidi="ar"/>
              </w:rPr>
              <w:t>1.教材需要以高等职业学校专业的学生就业为导向，以“学生为主体，能力为本位”的指导思想为主体，每个任务都模拟企业真实的物联网项目开发的流程，将教学内容与工作岗位对专业人才的知识要求与技能要求结合起来。</w:t>
            </w:r>
          </w:p>
          <w:p w14:paraId="22BFEE79">
            <w:pPr>
              <w:pStyle w:val="116"/>
              <w:rPr>
                <w:lang w:bidi="ar"/>
              </w:rPr>
            </w:pPr>
            <w:r>
              <w:rPr>
                <w:lang w:bidi="ar"/>
              </w:rPr>
              <w:t>2.教材设计思路充分体现任务引领、实践导向，引入典型项目和产品案例，以项目化教材的组织结构进行编写；至少包含行动教法中的职业能力目标、任务描述与要求、任务实施、任务小结、任务检查与评价等环节。</w:t>
            </w:r>
          </w:p>
          <w:p w14:paraId="50271F16">
            <w:pPr>
              <w:pStyle w:val="116"/>
              <w:rPr>
                <w:lang w:bidi="ar"/>
              </w:rPr>
            </w:pPr>
            <w:r>
              <w:rPr>
                <w:lang w:bidi="ar"/>
              </w:rPr>
              <w:t>3.教材需包含至少6个典型项目，教材内容需要充分体现面向岗位的在职业活动和个人职业生涯发展中所需要的职业能力。</w:t>
            </w:r>
          </w:p>
          <w:p w14:paraId="4B4230FD">
            <w:pPr>
              <w:pStyle w:val="116"/>
              <w:rPr>
                <w:lang w:bidi="ar"/>
              </w:rPr>
            </w:pPr>
          </w:p>
          <w:p w14:paraId="24FC0B92">
            <w:pPr>
              <w:pStyle w:val="116"/>
              <w:rPr>
                <w:b/>
                <w:lang w:bidi="ar"/>
              </w:rPr>
            </w:pPr>
            <w:r>
              <w:rPr>
                <w:rFonts w:hint="eastAsia"/>
                <w:b/>
                <w:lang w:bidi="ar"/>
              </w:rPr>
              <w:t>（二）课程标准</w:t>
            </w:r>
            <w:r>
              <w:rPr>
                <w:b/>
                <w:lang w:bidi="ar"/>
              </w:rPr>
              <w:t>1份</w:t>
            </w:r>
          </w:p>
          <w:p w14:paraId="44985ADC">
            <w:pPr>
              <w:pStyle w:val="116"/>
              <w:rPr>
                <w:lang w:bidi="ar"/>
              </w:rPr>
            </w:pPr>
            <w:r>
              <w:rPr>
                <w:rFonts w:hint="eastAsia"/>
                <w:lang w:bidi="ar"/>
              </w:rPr>
              <w:t>课程标准内容需包含但不限于课程概述、课程设计思路、课程教学目标、课程教学内容、教学实施建议。</w:t>
            </w:r>
          </w:p>
          <w:p w14:paraId="11AE62F6">
            <w:pPr>
              <w:pStyle w:val="116"/>
              <w:rPr>
                <w:lang w:bidi="ar"/>
              </w:rPr>
            </w:pPr>
          </w:p>
          <w:p w14:paraId="43E9E546">
            <w:pPr>
              <w:pStyle w:val="116"/>
              <w:rPr>
                <w:b/>
                <w:lang w:bidi="ar"/>
              </w:rPr>
            </w:pPr>
            <w:r>
              <w:rPr>
                <w:rFonts w:hint="eastAsia"/>
                <w:b/>
                <w:lang w:bidi="ar"/>
              </w:rPr>
              <w:t>（三）教学教案</w:t>
            </w:r>
            <w:r>
              <w:rPr>
                <w:b/>
                <w:lang w:bidi="ar"/>
              </w:rPr>
              <w:t>1套</w:t>
            </w:r>
          </w:p>
          <w:p w14:paraId="7028A93A">
            <w:pPr>
              <w:pStyle w:val="116"/>
              <w:rPr>
                <w:lang w:bidi="ar"/>
              </w:rPr>
            </w:pPr>
            <w:r>
              <w:rPr>
                <w:rFonts w:hint="eastAsia"/>
                <w:lang w:bidi="ar"/>
              </w:rPr>
              <w:t>每个任务要求至少准备一套教案，设计开发不少于</w:t>
            </w:r>
            <w:r>
              <w:rPr>
                <w:lang w:bidi="ar"/>
              </w:rPr>
              <w:t>15份课程教案，内容包含但不限于教学目标、教学重点、教学难点、教法学法、教学手段及资源、学情分析、教学环节等。</w:t>
            </w:r>
          </w:p>
          <w:p w14:paraId="45FC2B35">
            <w:pPr>
              <w:pStyle w:val="116"/>
              <w:rPr>
                <w:lang w:bidi="ar"/>
              </w:rPr>
            </w:pPr>
          </w:p>
          <w:p w14:paraId="27B718A0">
            <w:pPr>
              <w:pStyle w:val="116"/>
              <w:rPr>
                <w:b/>
                <w:lang w:bidi="ar"/>
              </w:rPr>
            </w:pPr>
            <w:r>
              <w:rPr>
                <w:rFonts w:hint="eastAsia"/>
                <w:b/>
                <w:lang w:bidi="ar"/>
              </w:rPr>
              <w:t>（四）教学课件</w:t>
            </w:r>
            <w:r>
              <w:rPr>
                <w:b/>
                <w:lang w:bidi="ar"/>
              </w:rPr>
              <w:t>PPT1套</w:t>
            </w:r>
          </w:p>
          <w:p w14:paraId="138E1E41">
            <w:pPr>
              <w:pStyle w:val="116"/>
              <w:rPr>
                <w:lang w:bidi="ar"/>
              </w:rPr>
            </w:pPr>
            <w:r>
              <w:rPr>
                <w:rFonts w:hint="eastAsia"/>
                <w:lang w:bidi="ar"/>
              </w:rPr>
              <w:t>教学课件要求带有教学设计，设计开发不少于</w:t>
            </w:r>
            <w:r>
              <w:rPr>
                <w:lang w:bidi="ar"/>
              </w:rPr>
              <w:t>15个教学课件、PPT总页数至少200页；教学课件内容贴合实际教学，PPT生动形象，具有带入性。</w:t>
            </w:r>
          </w:p>
          <w:p w14:paraId="7DBEEEB8">
            <w:pPr>
              <w:pStyle w:val="116"/>
              <w:rPr>
                <w:lang w:bidi="ar"/>
              </w:rPr>
            </w:pPr>
            <w:r>
              <w:rPr>
                <w:rFonts w:hint="eastAsia"/>
                <w:lang w:bidi="ar"/>
              </w:rPr>
              <w:t>要求：</w:t>
            </w:r>
          </w:p>
          <w:p w14:paraId="6A3DF949">
            <w:pPr>
              <w:pStyle w:val="116"/>
              <w:rPr>
                <w:lang w:bidi="ar"/>
              </w:rPr>
            </w:pPr>
            <w:r>
              <w:rPr>
                <w:lang w:bidi="ar"/>
              </w:rPr>
              <w:t>1.版式设计独特、新颖、颜色统一。</w:t>
            </w:r>
          </w:p>
          <w:p w14:paraId="0CECAE0D">
            <w:pPr>
              <w:pStyle w:val="116"/>
              <w:rPr>
                <w:lang w:bidi="ar"/>
              </w:rPr>
            </w:pPr>
            <w:r>
              <w:rPr>
                <w:lang w:bidi="ar"/>
              </w:rPr>
              <w:t>2.模板朴素、大方，颜色适宜，便于长时间观看；在模板的适当位置标明课程名称、模块（章或节）序号与模块（章或节）的名称。</w:t>
            </w:r>
          </w:p>
          <w:p w14:paraId="02AB6AD6">
            <w:pPr>
              <w:pStyle w:val="116"/>
              <w:rPr>
                <w:lang w:bidi="ar"/>
              </w:rPr>
            </w:pPr>
            <w:r>
              <w:rPr>
                <w:lang w:bidi="ar"/>
              </w:rPr>
              <w:t>3.多个页面均有的相同元素，如背景、按钮、标题、页码等，可以使用幻灯片母版来实现。</w:t>
            </w:r>
          </w:p>
          <w:p w14:paraId="4246C5E4">
            <w:pPr>
              <w:pStyle w:val="116"/>
              <w:rPr>
                <w:lang w:bidi="ar"/>
              </w:rPr>
            </w:pPr>
          </w:p>
          <w:p w14:paraId="6B34BD43">
            <w:pPr>
              <w:pStyle w:val="116"/>
              <w:rPr>
                <w:b/>
                <w:lang w:bidi="ar"/>
              </w:rPr>
            </w:pPr>
            <w:r>
              <w:rPr>
                <w:rFonts w:hint="eastAsia"/>
                <w:b/>
                <w:lang w:bidi="ar"/>
              </w:rPr>
              <w:t>（五）实操视频</w:t>
            </w:r>
            <w:r>
              <w:rPr>
                <w:b/>
                <w:lang w:bidi="ar"/>
              </w:rPr>
              <w:t>1套</w:t>
            </w:r>
          </w:p>
          <w:p w14:paraId="1C7ED1CB">
            <w:pPr>
              <w:pStyle w:val="116"/>
              <w:rPr>
                <w:lang w:bidi="ar"/>
              </w:rPr>
            </w:pPr>
            <w:r>
              <w:rPr>
                <w:lang w:bidi="ar"/>
              </w:rPr>
              <w:t>1.实操视频要求提供至少50个，主要制作教学实操环节，对实操流程及步骤进行设计、分解。</w:t>
            </w:r>
          </w:p>
          <w:p w14:paraId="09AAB4BE">
            <w:pPr>
              <w:pStyle w:val="116"/>
              <w:rPr>
                <w:lang w:bidi="ar"/>
              </w:rPr>
            </w:pPr>
            <w:r>
              <w:rPr>
                <w:lang w:bidi="ar"/>
              </w:rPr>
              <w:t>2.要求实操视频不少于80秒，输出统一，分辨率1920*1080、高清Mp4格式。</w:t>
            </w:r>
          </w:p>
          <w:p w14:paraId="45C88716">
            <w:pPr>
              <w:pStyle w:val="116"/>
              <w:rPr>
                <w:lang w:bidi="ar"/>
              </w:rPr>
            </w:pPr>
            <w:r>
              <w:rPr>
                <w:lang w:bidi="ar"/>
              </w:rPr>
              <w:t>3.声音和画面要求同步，无交流声或其他杂音等缺陷，无明显失真、放音过冲、过弱。伴音清晰、饱满、圆润，无失真、噪声杂音干扰、音量忽大忽小现象。解说声与现场声无明显比例失调。</w:t>
            </w:r>
          </w:p>
          <w:p w14:paraId="4074E54B">
            <w:pPr>
              <w:pStyle w:val="116"/>
              <w:rPr>
                <w:lang w:bidi="ar"/>
              </w:rPr>
            </w:pPr>
          </w:p>
          <w:p w14:paraId="11F41329">
            <w:pPr>
              <w:pStyle w:val="116"/>
              <w:rPr>
                <w:b/>
                <w:lang w:bidi="ar"/>
              </w:rPr>
            </w:pPr>
            <w:r>
              <w:rPr>
                <w:rFonts w:hint="eastAsia"/>
                <w:b/>
                <w:lang w:bidi="ar"/>
              </w:rPr>
              <w:t>（六）教学工具包</w:t>
            </w:r>
            <w:r>
              <w:rPr>
                <w:b/>
                <w:lang w:bidi="ar"/>
              </w:rPr>
              <w:t>1套</w:t>
            </w:r>
          </w:p>
          <w:p w14:paraId="62975BAD">
            <w:pPr>
              <w:rPr>
                <w:rFonts w:ascii="宋体" w:hAnsi="宋体"/>
              </w:rPr>
            </w:pPr>
            <w:r>
              <w:rPr>
                <w:rFonts w:hint="eastAsia"/>
                <w:lang w:bidi="ar"/>
              </w:rPr>
              <w:t>工具包应当包含《物联网设备装调与维护》课程涉及到的工具软件，方便在课堂教学中使用。</w:t>
            </w:r>
          </w:p>
        </w:tc>
        <w:tc>
          <w:tcPr>
            <w:tcW w:w="0" w:type="auto"/>
            <w:vAlign w:val="center"/>
          </w:tcPr>
          <w:p w14:paraId="1896165B">
            <w:pPr>
              <w:jc w:val="center"/>
              <w:rPr>
                <w:rFonts w:ascii="宋体" w:hAnsi="宋体"/>
              </w:rPr>
            </w:pPr>
            <w:r>
              <w:rPr>
                <w:rFonts w:hint="eastAsia" w:ascii="宋体" w:hAnsi="宋体"/>
              </w:rPr>
              <w:t>套</w:t>
            </w:r>
          </w:p>
        </w:tc>
        <w:tc>
          <w:tcPr>
            <w:tcW w:w="0" w:type="auto"/>
            <w:vAlign w:val="center"/>
          </w:tcPr>
          <w:p w14:paraId="68A7C3FF">
            <w:pPr>
              <w:jc w:val="center"/>
              <w:rPr>
                <w:rFonts w:ascii="宋体" w:hAnsi="宋体"/>
              </w:rPr>
            </w:pPr>
            <w:r>
              <w:rPr>
                <w:rFonts w:hint="eastAsia" w:ascii="宋体" w:hAnsi="宋体"/>
              </w:rPr>
              <w:t>1</w:t>
            </w:r>
          </w:p>
        </w:tc>
        <w:tc>
          <w:tcPr>
            <w:tcW w:w="0" w:type="auto"/>
            <w:vAlign w:val="center"/>
          </w:tcPr>
          <w:p w14:paraId="2EEDBF67">
            <w:pPr>
              <w:jc w:val="center"/>
              <w:rPr>
                <w:rFonts w:ascii="宋体" w:hAnsi="宋体"/>
              </w:rPr>
            </w:pPr>
            <w:r>
              <w:rPr>
                <w:rFonts w:hint="eastAsia" w:ascii="宋体" w:hAnsi="宋体"/>
              </w:rPr>
              <w:t>78000</w:t>
            </w:r>
          </w:p>
        </w:tc>
        <w:tc>
          <w:tcPr>
            <w:tcW w:w="0" w:type="auto"/>
            <w:vAlign w:val="center"/>
          </w:tcPr>
          <w:p w14:paraId="585DA414">
            <w:pPr>
              <w:jc w:val="center"/>
              <w:rPr>
                <w:rFonts w:ascii="宋体" w:hAnsi="宋体"/>
              </w:rPr>
            </w:pPr>
            <w:r>
              <w:rPr>
                <w:rFonts w:hint="eastAsia" w:ascii="宋体" w:hAnsi="宋体"/>
              </w:rPr>
              <w:t>78000</w:t>
            </w:r>
          </w:p>
        </w:tc>
      </w:tr>
      <w:tr w14:paraId="3CAF2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14:paraId="17C0F3FC">
            <w:pPr>
              <w:jc w:val="center"/>
              <w:rPr>
                <w:rFonts w:ascii="宋体" w:hAnsi="宋体"/>
              </w:rPr>
            </w:pPr>
            <w:r>
              <w:rPr>
                <w:rFonts w:hint="eastAsia" w:ascii="宋体" w:hAnsi="宋体"/>
              </w:rPr>
              <w:t>5</w:t>
            </w:r>
          </w:p>
        </w:tc>
        <w:tc>
          <w:tcPr>
            <w:tcW w:w="0" w:type="auto"/>
            <w:vAlign w:val="center"/>
          </w:tcPr>
          <w:p w14:paraId="746BE817">
            <w:pPr>
              <w:rPr>
                <w:rFonts w:ascii="宋体" w:hAnsi="宋体"/>
              </w:rPr>
            </w:pPr>
            <w:r>
              <w:rPr>
                <w:rFonts w:hint="eastAsia"/>
                <w:lang w:bidi="ar"/>
              </w:rPr>
              <w:t>《</w:t>
            </w:r>
            <w:bookmarkStart w:id="327" w:name="OLE_LINK9"/>
            <w:bookmarkStart w:id="328" w:name="OLE_LINK8"/>
            <w:r>
              <w:rPr>
                <w:rFonts w:hint="eastAsia"/>
                <w:lang w:bidi="ar"/>
              </w:rPr>
              <w:t>物联网系统部署与运维</w:t>
            </w:r>
            <w:bookmarkEnd w:id="327"/>
            <w:bookmarkEnd w:id="328"/>
            <w:r>
              <w:rPr>
                <w:rFonts w:hint="eastAsia"/>
                <w:lang w:bidi="ar"/>
              </w:rPr>
              <w:t>》教学资源</w:t>
            </w:r>
          </w:p>
        </w:tc>
        <w:tc>
          <w:tcPr>
            <w:tcW w:w="0" w:type="auto"/>
            <w:vAlign w:val="center"/>
          </w:tcPr>
          <w:p w14:paraId="588157D0">
            <w:pPr>
              <w:pStyle w:val="116"/>
              <w:rPr>
                <w:lang w:bidi="ar"/>
              </w:rPr>
            </w:pPr>
            <w:r>
              <w:rPr>
                <w:lang w:bidi="ar"/>
              </w:rPr>
              <w:t>▲</w:t>
            </w:r>
            <w:r>
              <w:rPr>
                <w:rFonts w:hint="eastAsia"/>
                <w:lang w:bidi="ar"/>
              </w:rPr>
              <w:t>展示《物联网系统部署与运维》教学资源，包括课程标准、教学P</w:t>
            </w:r>
            <w:r>
              <w:rPr>
                <w:lang w:bidi="ar"/>
              </w:rPr>
              <w:t>PT</w:t>
            </w:r>
            <w:r>
              <w:rPr>
                <w:rFonts w:hint="eastAsia"/>
                <w:lang w:bidi="ar"/>
              </w:rPr>
              <w:t>、教学视频、习题等内容（提供平台演示视频及截图证明）</w:t>
            </w:r>
          </w:p>
          <w:p w14:paraId="3EBCA5AE">
            <w:pPr>
              <w:pStyle w:val="116"/>
              <w:rPr>
                <w:lang w:bidi="ar"/>
              </w:rPr>
            </w:pPr>
          </w:p>
          <w:p w14:paraId="13CA12B5">
            <w:pPr>
              <w:pStyle w:val="116"/>
              <w:rPr>
                <w:b/>
                <w:lang w:bidi="ar"/>
              </w:rPr>
            </w:pPr>
            <w:r>
              <w:rPr>
                <w:rFonts w:hint="eastAsia"/>
                <w:b/>
                <w:lang w:bidi="ar"/>
              </w:rPr>
              <w:t>（一）授课教材</w:t>
            </w:r>
            <w:r>
              <w:rPr>
                <w:b/>
                <w:lang w:bidi="ar"/>
              </w:rPr>
              <w:t>1本</w:t>
            </w:r>
          </w:p>
          <w:p w14:paraId="1BDB5F29">
            <w:pPr>
              <w:pStyle w:val="116"/>
              <w:rPr>
                <w:lang w:bidi="ar"/>
              </w:rPr>
            </w:pPr>
            <w:r>
              <w:rPr>
                <w:lang w:bidi="ar"/>
              </w:rPr>
              <w:t>1.教材需要以高等职业学校专业的学生就业为导向，以“学生为主体，能力为本位”的指导思想为主体，每个任务都模拟企业真实的物联网项目开发的流程，将教学内容与工作岗位对专业人才的知识要求与技能要求结合起来。</w:t>
            </w:r>
          </w:p>
          <w:p w14:paraId="38AEFF33">
            <w:pPr>
              <w:pStyle w:val="116"/>
              <w:rPr>
                <w:lang w:bidi="ar"/>
              </w:rPr>
            </w:pPr>
            <w:r>
              <w:rPr>
                <w:lang w:bidi="ar"/>
              </w:rPr>
              <w:t>2.教材设计思路充分体现任务引领、实践导向，引入典型项目和产品案例，以项目化教材的组织结构进行编写；至少包含行动教法中的职业能力目标、任务描述与要求、任务实施、任务小结、任务检查与评价等环节。</w:t>
            </w:r>
          </w:p>
          <w:p w14:paraId="2F722EBE">
            <w:pPr>
              <w:pStyle w:val="116"/>
              <w:rPr>
                <w:lang w:bidi="ar"/>
              </w:rPr>
            </w:pPr>
            <w:r>
              <w:rPr>
                <w:lang w:bidi="ar"/>
              </w:rPr>
              <w:t>3.教材需包含至少6个典型项目，教材内容需要充分体现面向岗位的在职业活动和个人职业生涯发展中所需要的职业能力。</w:t>
            </w:r>
          </w:p>
          <w:p w14:paraId="0931D3A9">
            <w:pPr>
              <w:pStyle w:val="116"/>
              <w:rPr>
                <w:lang w:bidi="ar"/>
              </w:rPr>
            </w:pPr>
          </w:p>
          <w:p w14:paraId="0E7F33DA">
            <w:pPr>
              <w:pStyle w:val="116"/>
              <w:rPr>
                <w:b/>
                <w:lang w:bidi="ar"/>
              </w:rPr>
            </w:pPr>
            <w:r>
              <w:rPr>
                <w:rFonts w:hint="eastAsia"/>
                <w:b/>
                <w:lang w:bidi="ar"/>
              </w:rPr>
              <w:t>（二）课程标准</w:t>
            </w:r>
            <w:r>
              <w:rPr>
                <w:b/>
                <w:lang w:bidi="ar"/>
              </w:rPr>
              <w:t>1份</w:t>
            </w:r>
          </w:p>
          <w:p w14:paraId="521F4EE0">
            <w:pPr>
              <w:pStyle w:val="116"/>
              <w:rPr>
                <w:lang w:bidi="ar"/>
              </w:rPr>
            </w:pPr>
            <w:r>
              <w:rPr>
                <w:rFonts w:hint="eastAsia"/>
                <w:lang w:bidi="ar"/>
              </w:rPr>
              <w:t>课程标准内容需包含但不限于课程概述、课程设计思路、课程教学目标、课程教学内容、教学实施建议。</w:t>
            </w:r>
          </w:p>
          <w:p w14:paraId="46BC3FA2">
            <w:pPr>
              <w:pStyle w:val="116"/>
              <w:rPr>
                <w:lang w:bidi="ar"/>
              </w:rPr>
            </w:pPr>
          </w:p>
          <w:p w14:paraId="63CCE5ED">
            <w:pPr>
              <w:pStyle w:val="116"/>
              <w:rPr>
                <w:b/>
                <w:lang w:bidi="ar"/>
              </w:rPr>
            </w:pPr>
            <w:r>
              <w:rPr>
                <w:rFonts w:hint="eastAsia"/>
                <w:b/>
                <w:lang w:bidi="ar"/>
              </w:rPr>
              <w:t>（三）教学教案</w:t>
            </w:r>
            <w:r>
              <w:rPr>
                <w:b/>
                <w:lang w:bidi="ar"/>
              </w:rPr>
              <w:t>1套</w:t>
            </w:r>
          </w:p>
          <w:p w14:paraId="3757C884">
            <w:pPr>
              <w:pStyle w:val="116"/>
              <w:rPr>
                <w:lang w:bidi="ar"/>
              </w:rPr>
            </w:pPr>
            <w:r>
              <w:rPr>
                <w:rFonts w:hint="eastAsia"/>
                <w:lang w:bidi="ar"/>
              </w:rPr>
              <w:t>每个任务要求至少准备一套教案，设计开发不少于</w:t>
            </w:r>
            <w:r>
              <w:rPr>
                <w:lang w:bidi="ar"/>
              </w:rPr>
              <w:t>16份课程教案，内容包含但不限于教学目标、教学重点、教学难点、教法学法、教学手段及资源、学情分析、教学环节等。</w:t>
            </w:r>
          </w:p>
          <w:p w14:paraId="63896DA3">
            <w:pPr>
              <w:pStyle w:val="116"/>
              <w:rPr>
                <w:lang w:bidi="ar"/>
              </w:rPr>
            </w:pPr>
          </w:p>
          <w:p w14:paraId="6BCB5B6B">
            <w:pPr>
              <w:pStyle w:val="116"/>
              <w:rPr>
                <w:b/>
                <w:lang w:bidi="ar"/>
              </w:rPr>
            </w:pPr>
            <w:r>
              <w:rPr>
                <w:rFonts w:hint="eastAsia"/>
                <w:b/>
                <w:lang w:bidi="ar"/>
              </w:rPr>
              <w:t>（四）教学课件</w:t>
            </w:r>
            <w:r>
              <w:rPr>
                <w:b/>
                <w:lang w:bidi="ar"/>
              </w:rPr>
              <w:t>PPT1套</w:t>
            </w:r>
          </w:p>
          <w:p w14:paraId="161CCF8F">
            <w:pPr>
              <w:pStyle w:val="116"/>
              <w:rPr>
                <w:lang w:bidi="ar"/>
              </w:rPr>
            </w:pPr>
            <w:r>
              <w:rPr>
                <w:rFonts w:hint="eastAsia"/>
                <w:lang w:bidi="ar"/>
              </w:rPr>
              <w:t>教学课件要求带有教学设计，设计开发不少于</w:t>
            </w:r>
            <w:r>
              <w:rPr>
                <w:lang w:bidi="ar"/>
              </w:rPr>
              <w:t>16个教学课件、PPT总页数至少300页；教学课件内容贴合实际教学，PPT生动形象，具有带入性。</w:t>
            </w:r>
          </w:p>
          <w:p w14:paraId="1935D7A0">
            <w:pPr>
              <w:pStyle w:val="116"/>
              <w:rPr>
                <w:lang w:bidi="ar"/>
              </w:rPr>
            </w:pPr>
            <w:r>
              <w:rPr>
                <w:rFonts w:hint="eastAsia"/>
                <w:lang w:bidi="ar"/>
              </w:rPr>
              <w:t>要求：</w:t>
            </w:r>
          </w:p>
          <w:p w14:paraId="2B348479">
            <w:pPr>
              <w:pStyle w:val="116"/>
              <w:rPr>
                <w:lang w:bidi="ar"/>
              </w:rPr>
            </w:pPr>
            <w:r>
              <w:rPr>
                <w:lang w:bidi="ar"/>
              </w:rPr>
              <w:t>1.版式设计独特、新颖、颜色统一。</w:t>
            </w:r>
          </w:p>
          <w:p w14:paraId="22FE3AAD">
            <w:pPr>
              <w:pStyle w:val="116"/>
              <w:rPr>
                <w:lang w:bidi="ar"/>
              </w:rPr>
            </w:pPr>
            <w:r>
              <w:rPr>
                <w:lang w:bidi="ar"/>
              </w:rPr>
              <w:t>2.模板朴素、大方，颜色适宜，便于长时间观看；在模板的适当位置标明课程名称、模块（章或节）序号与模块（章或节）的名称。</w:t>
            </w:r>
          </w:p>
          <w:p w14:paraId="0586A592">
            <w:pPr>
              <w:pStyle w:val="116"/>
              <w:rPr>
                <w:lang w:bidi="ar"/>
              </w:rPr>
            </w:pPr>
            <w:r>
              <w:rPr>
                <w:lang w:bidi="ar"/>
              </w:rPr>
              <w:t>3.多个页面均有的相同元素，如背景、按钮、标题、页码等，可以使用幻灯片母版来实现。</w:t>
            </w:r>
          </w:p>
          <w:p w14:paraId="7E483F27">
            <w:pPr>
              <w:pStyle w:val="116"/>
              <w:rPr>
                <w:lang w:bidi="ar"/>
              </w:rPr>
            </w:pPr>
          </w:p>
          <w:p w14:paraId="1A7795D7">
            <w:pPr>
              <w:pStyle w:val="116"/>
              <w:rPr>
                <w:b/>
                <w:lang w:bidi="ar"/>
              </w:rPr>
            </w:pPr>
            <w:r>
              <w:rPr>
                <w:rFonts w:hint="eastAsia"/>
                <w:b/>
                <w:lang w:bidi="ar"/>
              </w:rPr>
              <w:t>（五）实操视频</w:t>
            </w:r>
            <w:r>
              <w:rPr>
                <w:b/>
                <w:lang w:bidi="ar"/>
              </w:rPr>
              <w:t>1套</w:t>
            </w:r>
          </w:p>
          <w:p w14:paraId="718C7DD3">
            <w:pPr>
              <w:pStyle w:val="116"/>
              <w:rPr>
                <w:lang w:bidi="ar"/>
              </w:rPr>
            </w:pPr>
            <w:r>
              <w:rPr>
                <w:lang w:bidi="ar"/>
              </w:rPr>
              <w:t>1.实操视频要求提供至少50个，主要制作教学实操环节，对实操流程及步骤进行设计、分解。</w:t>
            </w:r>
          </w:p>
          <w:p w14:paraId="01F6D5C3">
            <w:pPr>
              <w:pStyle w:val="116"/>
              <w:rPr>
                <w:lang w:bidi="ar"/>
              </w:rPr>
            </w:pPr>
            <w:r>
              <w:rPr>
                <w:lang w:bidi="ar"/>
              </w:rPr>
              <w:t>2.要求实操视频不少于100秒，输出统一，分辨率1920*1080、高清Mp4格式。</w:t>
            </w:r>
          </w:p>
          <w:p w14:paraId="5CBF890A">
            <w:pPr>
              <w:pStyle w:val="116"/>
              <w:rPr>
                <w:lang w:bidi="ar"/>
              </w:rPr>
            </w:pPr>
            <w:r>
              <w:rPr>
                <w:lang w:bidi="ar"/>
              </w:rPr>
              <w:t>3.声音和画面要求同步，无交流声或其他杂音等缺陷，无明显失真、放音过冲、过弱。伴音清晰、饱满、圆润，无失真、噪声杂音干扰、音量忽大忽小现象。解说声与现场声无明显比例失调。</w:t>
            </w:r>
          </w:p>
          <w:p w14:paraId="55023C73">
            <w:pPr>
              <w:pStyle w:val="116"/>
              <w:rPr>
                <w:lang w:bidi="ar"/>
              </w:rPr>
            </w:pPr>
          </w:p>
          <w:p w14:paraId="73728C8C">
            <w:pPr>
              <w:pStyle w:val="116"/>
              <w:rPr>
                <w:b/>
                <w:lang w:bidi="ar"/>
              </w:rPr>
            </w:pPr>
            <w:r>
              <w:rPr>
                <w:rFonts w:hint="eastAsia"/>
                <w:b/>
                <w:lang w:bidi="ar"/>
              </w:rPr>
              <w:t>（六）教学工具包</w:t>
            </w:r>
            <w:r>
              <w:rPr>
                <w:b/>
                <w:lang w:bidi="ar"/>
              </w:rPr>
              <w:t>1套</w:t>
            </w:r>
          </w:p>
          <w:p w14:paraId="42A59D70">
            <w:pPr>
              <w:pStyle w:val="116"/>
              <w:rPr>
                <w:lang w:bidi="ar"/>
              </w:rPr>
            </w:pPr>
            <w:r>
              <w:rPr>
                <w:rFonts w:hint="eastAsia"/>
                <w:lang w:bidi="ar"/>
              </w:rPr>
              <w:t>工具包应当包含《物联网系统部署与运维》课程涉及到的工具软件，方便在课堂教学中使用。</w:t>
            </w:r>
          </w:p>
          <w:p w14:paraId="1A47A43A">
            <w:pPr>
              <w:rPr>
                <w:rFonts w:ascii="宋体" w:hAnsi="宋体"/>
              </w:rPr>
            </w:pPr>
          </w:p>
        </w:tc>
        <w:tc>
          <w:tcPr>
            <w:tcW w:w="0" w:type="auto"/>
            <w:shd w:val="clear" w:color="auto" w:fill="auto"/>
            <w:vAlign w:val="center"/>
          </w:tcPr>
          <w:p w14:paraId="007FA9BC">
            <w:pPr>
              <w:jc w:val="center"/>
              <w:rPr>
                <w:rFonts w:ascii="宋体" w:hAnsi="宋体"/>
              </w:rPr>
            </w:pPr>
            <w:r>
              <w:rPr>
                <w:rFonts w:hint="eastAsia" w:ascii="宋体" w:hAnsi="宋体"/>
              </w:rPr>
              <w:t>套</w:t>
            </w:r>
          </w:p>
        </w:tc>
        <w:tc>
          <w:tcPr>
            <w:tcW w:w="0" w:type="auto"/>
            <w:shd w:val="clear" w:color="auto" w:fill="auto"/>
            <w:vAlign w:val="center"/>
          </w:tcPr>
          <w:p w14:paraId="436596FB">
            <w:pPr>
              <w:jc w:val="center"/>
              <w:rPr>
                <w:rFonts w:ascii="宋体" w:hAnsi="宋体"/>
              </w:rPr>
            </w:pPr>
            <w:r>
              <w:rPr>
                <w:rFonts w:hint="eastAsia" w:ascii="宋体" w:hAnsi="宋体"/>
              </w:rPr>
              <w:t>1</w:t>
            </w:r>
          </w:p>
        </w:tc>
        <w:tc>
          <w:tcPr>
            <w:tcW w:w="0" w:type="auto"/>
            <w:shd w:val="clear" w:color="auto" w:fill="auto"/>
            <w:vAlign w:val="center"/>
          </w:tcPr>
          <w:p w14:paraId="12FC3034">
            <w:pPr>
              <w:jc w:val="center"/>
              <w:rPr>
                <w:rFonts w:ascii="宋体" w:hAnsi="宋体"/>
              </w:rPr>
            </w:pPr>
            <w:r>
              <w:rPr>
                <w:rFonts w:hint="eastAsia" w:ascii="宋体" w:hAnsi="宋体"/>
              </w:rPr>
              <w:t>78000</w:t>
            </w:r>
          </w:p>
        </w:tc>
        <w:tc>
          <w:tcPr>
            <w:tcW w:w="0" w:type="auto"/>
            <w:shd w:val="clear" w:color="auto" w:fill="auto"/>
            <w:vAlign w:val="center"/>
          </w:tcPr>
          <w:p w14:paraId="6D4620DC">
            <w:pPr>
              <w:jc w:val="center"/>
              <w:rPr>
                <w:rFonts w:ascii="宋体" w:hAnsi="宋体"/>
              </w:rPr>
            </w:pPr>
            <w:r>
              <w:rPr>
                <w:rFonts w:hint="eastAsia" w:ascii="宋体" w:hAnsi="宋体"/>
              </w:rPr>
              <w:t>78000</w:t>
            </w:r>
          </w:p>
        </w:tc>
      </w:tr>
      <w:tr w14:paraId="256E5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14:paraId="1F1A9C90">
            <w:pPr>
              <w:jc w:val="center"/>
              <w:rPr>
                <w:rFonts w:ascii="宋体" w:hAnsi="宋体"/>
              </w:rPr>
            </w:pPr>
            <w:r>
              <w:rPr>
                <w:rFonts w:hint="eastAsia" w:ascii="宋体" w:hAnsi="宋体"/>
              </w:rPr>
              <w:t>6</w:t>
            </w:r>
          </w:p>
        </w:tc>
        <w:tc>
          <w:tcPr>
            <w:tcW w:w="0" w:type="auto"/>
            <w:vAlign w:val="center"/>
          </w:tcPr>
          <w:p w14:paraId="02873D47">
            <w:pPr>
              <w:rPr>
                <w:rFonts w:ascii="宋体" w:hAnsi="宋体"/>
              </w:rPr>
            </w:pPr>
            <w:r>
              <w:rPr>
                <w:rFonts w:hint="eastAsia"/>
                <w:lang w:bidi="ar"/>
              </w:rPr>
              <w:t>《物联网工程设计与管理》教学资源</w:t>
            </w:r>
          </w:p>
        </w:tc>
        <w:tc>
          <w:tcPr>
            <w:tcW w:w="0" w:type="auto"/>
            <w:vAlign w:val="center"/>
          </w:tcPr>
          <w:p w14:paraId="0539EB1B">
            <w:pPr>
              <w:pStyle w:val="116"/>
              <w:rPr>
                <w:lang w:bidi="ar"/>
              </w:rPr>
            </w:pPr>
            <w:r>
              <w:rPr>
                <w:lang w:bidi="ar"/>
              </w:rPr>
              <w:t>▲</w:t>
            </w:r>
            <w:r>
              <w:rPr>
                <w:rFonts w:hint="eastAsia"/>
                <w:lang w:bidi="ar"/>
              </w:rPr>
              <w:t>展示《物联网工程设计与管理》教学资源，包括课程标准、教案、教学P</w:t>
            </w:r>
            <w:r>
              <w:rPr>
                <w:lang w:bidi="ar"/>
              </w:rPr>
              <w:t>PT</w:t>
            </w:r>
            <w:r>
              <w:rPr>
                <w:rFonts w:hint="eastAsia"/>
                <w:lang w:bidi="ar"/>
              </w:rPr>
              <w:t>、教学视频等内容（提供平台演示视频及截图证明）</w:t>
            </w:r>
          </w:p>
          <w:p w14:paraId="7E99461A">
            <w:pPr>
              <w:pStyle w:val="116"/>
              <w:rPr>
                <w:lang w:bidi="ar"/>
              </w:rPr>
            </w:pPr>
          </w:p>
          <w:p w14:paraId="3A552831">
            <w:pPr>
              <w:pStyle w:val="116"/>
              <w:rPr>
                <w:b/>
                <w:lang w:bidi="ar"/>
              </w:rPr>
            </w:pPr>
            <w:r>
              <w:rPr>
                <w:rFonts w:hint="eastAsia"/>
                <w:b/>
                <w:lang w:bidi="ar"/>
              </w:rPr>
              <w:t>（一）授课教材</w:t>
            </w:r>
            <w:r>
              <w:rPr>
                <w:b/>
                <w:lang w:bidi="ar"/>
              </w:rPr>
              <w:t>1本</w:t>
            </w:r>
          </w:p>
          <w:p w14:paraId="09E4042C">
            <w:pPr>
              <w:pStyle w:val="116"/>
              <w:rPr>
                <w:lang w:bidi="ar"/>
              </w:rPr>
            </w:pPr>
            <w:r>
              <w:rPr>
                <w:lang w:bidi="ar"/>
              </w:rPr>
              <w:t>1.教材需要以高等职业学校专业的学生就业为导向，以“学生为主体，能力为本位”的指导思想为主体，每个任务都模拟企业真实的物联网项目开发的流程，将教学内容与工作岗位对专业人才的知识要求与技能要求结合起来。</w:t>
            </w:r>
          </w:p>
          <w:p w14:paraId="1FF98880">
            <w:pPr>
              <w:pStyle w:val="116"/>
              <w:rPr>
                <w:lang w:bidi="ar"/>
              </w:rPr>
            </w:pPr>
            <w:r>
              <w:rPr>
                <w:lang w:bidi="ar"/>
              </w:rPr>
              <w:t>2.教材设计思路充分体现任务引领、实践导向，引入典型项目和产品案例，以项目化教材的组织结构进行编写；至少包含行动教法中的职业能力目标、任务描述与要求、任务实施、任务小结、任务检查与评价等环节。</w:t>
            </w:r>
          </w:p>
          <w:p w14:paraId="4B660A33">
            <w:pPr>
              <w:pStyle w:val="116"/>
              <w:rPr>
                <w:lang w:bidi="ar"/>
              </w:rPr>
            </w:pPr>
            <w:r>
              <w:rPr>
                <w:lang w:bidi="ar"/>
              </w:rPr>
              <w:t>3.教材需包含至少6个典型项目，教材内容需要充分体现面向岗位的在职业活动和个人职业生涯发展中所需要的职业能力。</w:t>
            </w:r>
          </w:p>
          <w:p w14:paraId="0F98BC4A">
            <w:pPr>
              <w:pStyle w:val="116"/>
              <w:rPr>
                <w:lang w:bidi="ar"/>
              </w:rPr>
            </w:pPr>
          </w:p>
          <w:p w14:paraId="0A2F0074">
            <w:pPr>
              <w:pStyle w:val="116"/>
              <w:rPr>
                <w:b/>
                <w:lang w:bidi="ar"/>
              </w:rPr>
            </w:pPr>
            <w:r>
              <w:rPr>
                <w:rFonts w:hint="eastAsia"/>
                <w:b/>
                <w:lang w:bidi="ar"/>
              </w:rPr>
              <w:t>（二）课程标准</w:t>
            </w:r>
            <w:r>
              <w:rPr>
                <w:b/>
                <w:lang w:bidi="ar"/>
              </w:rPr>
              <w:t>1份</w:t>
            </w:r>
          </w:p>
          <w:p w14:paraId="13E2C6A2">
            <w:pPr>
              <w:pStyle w:val="116"/>
              <w:rPr>
                <w:lang w:bidi="ar"/>
              </w:rPr>
            </w:pPr>
            <w:r>
              <w:rPr>
                <w:rFonts w:hint="eastAsia"/>
                <w:lang w:bidi="ar"/>
              </w:rPr>
              <w:t>课程标准内容需包含但不限于课程概述、课程设计思路、课程教学目标、课程教学内容、教学实施建议。</w:t>
            </w:r>
          </w:p>
          <w:p w14:paraId="3D97483E">
            <w:pPr>
              <w:pStyle w:val="116"/>
              <w:rPr>
                <w:lang w:bidi="ar"/>
              </w:rPr>
            </w:pPr>
          </w:p>
          <w:p w14:paraId="011393C6">
            <w:pPr>
              <w:pStyle w:val="116"/>
              <w:rPr>
                <w:b/>
                <w:lang w:bidi="ar"/>
              </w:rPr>
            </w:pPr>
            <w:r>
              <w:rPr>
                <w:rFonts w:hint="eastAsia"/>
                <w:b/>
                <w:lang w:bidi="ar"/>
              </w:rPr>
              <w:t>（三）教学教案</w:t>
            </w:r>
            <w:r>
              <w:rPr>
                <w:b/>
                <w:lang w:bidi="ar"/>
              </w:rPr>
              <w:t>1套</w:t>
            </w:r>
          </w:p>
          <w:p w14:paraId="442BAE71">
            <w:pPr>
              <w:pStyle w:val="116"/>
              <w:rPr>
                <w:lang w:bidi="ar"/>
              </w:rPr>
            </w:pPr>
            <w:r>
              <w:rPr>
                <w:rFonts w:hint="eastAsia"/>
                <w:lang w:bidi="ar"/>
              </w:rPr>
              <w:t>每个任务要求至少准备一套教案，设计开发不少于</w:t>
            </w:r>
            <w:r>
              <w:rPr>
                <w:lang w:bidi="ar"/>
              </w:rPr>
              <w:t>20份课程教案，内容包含但不限于教学目标、教学重点、教学难点、教法学法、教学手段及资源、学情分析、教学环节等。</w:t>
            </w:r>
          </w:p>
          <w:p w14:paraId="183B2845">
            <w:pPr>
              <w:pStyle w:val="116"/>
              <w:rPr>
                <w:lang w:bidi="ar"/>
              </w:rPr>
            </w:pPr>
          </w:p>
          <w:p w14:paraId="32C38781">
            <w:pPr>
              <w:pStyle w:val="116"/>
              <w:rPr>
                <w:b/>
                <w:lang w:bidi="ar"/>
              </w:rPr>
            </w:pPr>
            <w:r>
              <w:rPr>
                <w:rFonts w:hint="eastAsia"/>
                <w:b/>
                <w:lang w:bidi="ar"/>
              </w:rPr>
              <w:t>（四）教学课件</w:t>
            </w:r>
            <w:r>
              <w:rPr>
                <w:b/>
                <w:lang w:bidi="ar"/>
              </w:rPr>
              <w:t>PPT1套</w:t>
            </w:r>
          </w:p>
          <w:p w14:paraId="557541A8">
            <w:pPr>
              <w:pStyle w:val="116"/>
              <w:rPr>
                <w:lang w:bidi="ar"/>
              </w:rPr>
            </w:pPr>
            <w:r>
              <w:rPr>
                <w:rFonts w:hint="eastAsia"/>
                <w:lang w:bidi="ar"/>
              </w:rPr>
              <w:t>教学课件要求带有教学设计，设计开发不少于</w:t>
            </w:r>
            <w:r>
              <w:rPr>
                <w:lang w:bidi="ar"/>
              </w:rPr>
              <w:t>20个教学课件、PPT总页数至少400页；教学课件内容贴合实际教学，PPT生动形象，具有带入性。</w:t>
            </w:r>
          </w:p>
          <w:p w14:paraId="0D598EFD">
            <w:pPr>
              <w:pStyle w:val="116"/>
              <w:rPr>
                <w:lang w:bidi="ar"/>
              </w:rPr>
            </w:pPr>
            <w:r>
              <w:rPr>
                <w:rFonts w:hint="eastAsia"/>
                <w:lang w:bidi="ar"/>
              </w:rPr>
              <w:t>要求：</w:t>
            </w:r>
          </w:p>
          <w:p w14:paraId="36E9E48F">
            <w:pPr>
              <w:pStyle w:val="116"/>
              <w:rPr>
                <w:lang w:bidi="ar"/>
              </w:rPr>
            </w:pPr>
            <w:r>
              <w:rPr>
                <w:lang w:bidi="ar"/>
              </w:rPr>
              <w:t>1.版式设计独特、新颖、颜色统一。</w:t>
            </w:r>
          </w:p>
          <w:p w14:paraId="65AD1D81">
            <w:pPr>
              <w:pStyle w:val="116"/>
              <w:rPr>
                <w:lang w:bidi="ar"/>
              </w:rPr>
            </w:pPr>
            <w:r>
              <w:rPr>
                <w:lang w:bidi="ar"/>
              </w:rPr>
              <w:t>2.模板朴素、大方，颜色适宜，便于长时间观看；在模板的适当位置标明课程名称、模块（章或节）序号与模块（章或节）的名称。</w:t>
            </w:r>
          </w:p>
          <w:p w14:paraId="660EB0D5">
            <w:pPr>
              <w:pStyle w:val="9"/>
              <w:rPr>
                <w:rFonts w:hAnsi="宋体" w:cs="宋体"/>
                <w:sz w:val="21"/>
                <w:szCs w:val="24"/>
                <w:lang w:val="zh-CN" w:bidi="ar"/>
              </w:rPr>
            </w:pPr>
            <w:r>
              <w:rPr>
                <w:rFonts w:hAnsi="宋体" w:cs="宋体"/>
                <w:sz w:val="21"/>
                <w:szCs w:val="24"/>
                <w:lang w:val="zh-CN" w:bidi="ar"/>
              </w:rPr>
              <w:t>3.多个页面均有的相同元素，如背景、按钮、标题、页码等，可以使用幻灯片母版来实现。</w:t>
            </w:r>
          </w:p>
          <w:p w14:paraId="7484D0D7">
            <w:pPr>
              <w:pStyle w:val="116"/>
              <w:rPr>
                <w:lang w:bidi="ar"/>
              </w:rPr>
            </w:pPr>
          </w:p>
          <w:p w14:paraId="795617B7">
            <w:pPr>
              <w:pStyle w:val="116"/>
              <w:rPr>
                <w:b/>
                <w:lang w:bidi="ar"/>
              </w:rPr>
            </w:pPr>
            <w:r>
              <w:rPr>
                <w:rFonts w:hint="eastAsia"/>
                <w:b/>
                <w:lang w:bidi="ar"/>
              </w:rPr>
              <w:t>（五）专业与产业适配服务</w:t>
            </w:r>
          </w:p>
          <w:p w14:paraId="1A50DF4B">
            <w:pPr>
              <w:rPr>
                <w:b/>
                <w:lang w:val="zh-CN" w:bidi="ar"/>
              </w:rPr>
            </w:pPr>
            <w:r>
              <w:rPr>
                <w:rFonts w:hint="eastAsia"/>
                <w:b/>
                <w:lang w:val="zh-CN" w:bidi="ar"/>
              </w:rPr>
              <w:t>产业链图谱</w:t>
            </w:r>
          </w:p>
          <w:p w14:paraId="00ED5FD7">
            <w:pPr>
              <w:rPr>
                <w:rFonts w:ascii="宋体" w:hAnsi="宋体"/>
              </w:rPr>
            </w:pPr>
            <w:bookmarkStart w:id="329" w:name="OLE_LINK12"/>
            <w:bookmarkStart w:id="330" w:name="OLE_LINK10"/>
            <w:r>
              <w:rPr>
                <w:rFonts w:hint="eastAsia"/>
                <w:lang w:val="zh-CN" w:bidi="ar"/>
              </w:rPr>
              <w:t>▲</w:t>
            </w:r>
            <w:bookmarkEnd w:id="329"/>
            <w:bookmarkEnd w:id="330"/>
            <w:r>
              <w:rPr>
                <w:rFonts w:hint="eastAsia"/>
                <w:lang w:val="zh-CN" w:bidi="ar"/>
              </w:rPr>
              <w:t>1.系统须支持创建好的产业图谱以3D动态星链图进行外化展示，支持位置拖动和方向调整，支持分层穿透、放大和缩小，其中，放大和缩小功能不接受浏览器页面放大缩小的方式进行响应。</w:t>
            </w:r>
            <w:r>
              <w:rPr>
                <w:rFonts w:hint="eastAsia" w:ascii="宋体" w:hAnsi="宋体"/>
              </w:rPr>
              <w:t>（提供演示视频及截图证明）</w:t>
            </w:r>
          </w:p>
          <w:p w14:paraId="54255BDC">
            <w:pPr>
              <w:rPr>
                <w:lang w:val="zh-CN" w:bidi="ar"/>
              </w:rPr>
            </w:pPr>
            <w:r>
              <w:rPr>
                <w:rFonts w:hint="eastAsia"/>
                <w:lang w:val="zh-CN" w:bidi="ar"/>
              </w:rPr>
              <w:t>2.系统须支持创建好的产业图谱根据展示内容需要，进行产业、企业、岗位、技能的筛选展示。</w:t>
            </w:r>
          </w:p>
          <w:p w14:paraId="623F0F4E">
            <w:pPr>
              <w:rPr>
                <w:lang w:val="zh-CN" w:bidi="ar"/>
              </w:rPr>
            </w:pPr>
          </w:p>
          <w:p w14:paraId="5F8EB975">
            <w:pPr>
              <w:rPr>
                <w:b/>
                <w:lang w:val="zh-CN" w:bidi="ar"/>
              </w:rPr>
            </w:pPr>
            <w:r>
              <w:rPr>
                <w:rFonts w:hint="eastAsia"/>
                <w:b/>
                <w:lang w:val="zh-CN" w:bidi="ar"/>
              </w:rPr>
              <w:t>产业大数据</w:t>
            </w:r>
          </w:p>
          <w:p w14:paraId="04015696">
            <w:pPr>
              <w:rPr>
                <w:lang w:val="zh-CN" w:bidi="ar"/>
              </w:rPr>
            </w:pPr>
            <w:r>
              <w:rPr>
                <w:rFonts w:hint="eastAsia"/>
                <w:lang w:val="zh-CN" w:bidi="ar"/>
              </w:rPr>
              <w:t>1.系统须支持区域筛选，提供地方行政单位库，可按省/市进行联级筛选，筛选出所选区域的产业数据内容进行展示；（需提供功能截图证明材料复印件）</w:t>
            </w:r>
          </w:p>
          <w:p w14:paraId="3F7C426A">
            <w:pPr>
              <w:rPr>
                <w:lang w:val="zh-CN" w:bidi="ar"/>
              </w:rPr>
            </w:pPr>
            <w:r>
              <w:rPr>
                <w:rFonts w:hint="eastAsia"/>
                <w:lang w:val="zh-CN" w:bidi="ar"/>
              </w:rPr>
              <w:t>2.全国产业分布情况：用地图的方式展示指定产业在全国的企业分布情况，同时展示企业数量排行前10的省份。</w:t>
            </w:r>
          </w:p>
          <w:p w14:paraId="113E9FC1">
            <w:pPr>
              <w:rPr>
                <w:rFonts w:ascii="宋体" w:hAnsi="宋体"/>
              </w:rPr>
            </w:pPr>
            <w:r>
              <w:rPr>
                <w:rFonts w:hint="eastAsia"/>
                <w:lang w:val="zh-CN" w:bidi="ar"/>
              </w:rPr>
              <w:t>▲3.系统须能够展示产业企业数量区域分布图：需内嵌所选区域地图，以地图的方式展示所选地区各区各产业节点企业数量，支持数据轮播展示和选择区域单独展示，同时支持查看企业清单。</w:t>
            </w:r>
            <w:r>
              <w:rPr>
                <w:rFonts w:hint="eastAsia" w:ascii="宋体" w:hAnsi="宋体"/>
              </w:rPr>
              <w:t>（提供演示视频及截图证明）</w:t>
            </w:r>
          </w:p>
          <w:p w14:paraId="0A8AAA65">
            <w:pPr>
              <w:rPr>
                <w:lang w:val="zh-CN" w:bidi="ar"/>
              </w:rPr>
            </w:pPr>
            <w:r>
              <w:rPr>
                <w:rFonts w:hint="eastAsia"/>
                <w:lang w:val="zh-CN" w:bidi="ar"/>
              </w:rPr>
              <w:t>3.产业链展示：展示指定产业的产业链框架图。</w:t>
            </w:r>
          </w:p>
          <w:p w14:paraId="1E278CD7">
            <w:pPr>
              <w:rPr>
                <w:lang w:val="zh-CN" w:bidi="ar"/>
              </w:rPr>
            </w:pPr>
          </w:p>
          <w:p w14:paraId="3E825102">
            <w:pPr>
              <w:rPr>
                <w:b/>
                <w:lang w:val="zh-CN" w:bidi="ar"/>
              </w:rPr>
            </w:pPr>
            <w:r>
              <w:rPr>
                <w:rFonts w:hint="eastAsia"/>
                <w:b/>
                <w:lang w:val="zh-CN" w:bidi="ar"/>
              </w:rPr>
              <w:t>供需对接报告</w:t>
            </w:r>
          </w:p>
          <w:p w14:paraId="15A7E91B">
            <w:pPr>
              <w:rPr>
                <w:rFonts w:ascii="宋体" w:hAnsi="宋体"/>
              </w:rPr>
            </w:pPr>
            <w:bookmarkStart w:id="331" w:name="OLE_LINK14"/>
            <w:r>
              <w:rPr>
                <w:rFonts w:hint="eastAsia"/>
                <w:lang w:val="zh-CN" w:bidi="ar"/>
              </w:rPr>
              <w:t>▲</w:t>
            </w:r>
            <w:bookmarkEnd w:id="331"/>
            <w:r>
              <w:rPr>
                <w:rFonts w:hint="eastAsia"/>
                <w:lang w:val="zh-CN" w:bidi="ar"/>
              </w:rPr>
              <w:t>1.系统须支持生成人才供需报告，为新专业设置和开设提供参考依据。报告生成功能支持参数配置，可选择和配置包括统计地区、要分析的专业、相关产业、报告模板等。支持添加需要重点关注的岗位，并且预提供不少于10个关联度较高的工作岗位信息，包括岗位名称、关联度（须展示关联度百分比）、社会需求量，可根据需要选择相关岗位， 同时支持一键全选。</w:t>
            </w:r>
            <w:r>
              <w:rPr>
                <w:rFonts w:hint="eastAsia" w:ascii="宋体" w:hAnsi="宋体"/>
              </w:rPr>
              <w:t>（提供演示视频及截图证明）</w:t>
            </w:r>
          </w:p>
          <w:p w14:paraId="67031813">
            <w:pPr>
              <w:rPr>
                <w:rFonts w:ascii="宋体" w:hAnsi="宋体"/>
              </w:rPr>
            </w:pPr>
            <w:r>
              <w:rPr>
                <w:rFonts w:hint="eastAsia"/>
                <w:lang w:val="zh-CN" w:bidi="ar"/>
              </w:rPr>
              <w:t>▲2.系统须支持以进度条和百分比动态展示Ai报告生成进度，编撰生成过程支持直观展示，并提供相关提示，包括预计生成时间等。</w:t>
            </w:r>
            <w:r>
              <w:rPr>
                <w:rFonts w:hint="eastAsia" w:ascii="宋体" w:hAnsi="宋体"/>
              </w:rPr>
              <w:t>（提供演示视频及截图证明）</w:t>
            </w:r>
          </w:p>
          <w:p w14:paraId="0000EFE7">
            <w:pPr>
              <w:rPr>
                <w:rFonts w:ascii="宋体" w:hAnsi="宋体"/>
              </w:rPr>
            </w:pPr>
            <w:r>
              <w:rPr>
                <w:rFonts w:hint="eastAsia"/>
                <w:lang w:val="zh-CN" w:bidi="ar"/>
              </w:rPr>
              <w:t>▲3.系统须提供未生成完毕的报告继续生成功能，支持分类筛选，包括全部、生成中和已完成。支持报告删除功能，且删除功能附带提醒，防止用户误操作。</w:t>
            </w:r>
            <w:r>
              <w:rPr>
                <w:rFonts w:hint="eastAsia" w:ascii="宋体" w:hAnsi="宋体"/>
              </w:rPr>
              <w:t>（提供演示视频及截图证明）</w:t>
            </w:r>
          </w:p>
          <w:p w14:paraId="62495F54">
            <w:pPr>
              <w:rPr>
                <w:lang w:val="zh-CN" w:bidi="ar"/>
              </w:rPr>
            </w:pPr>
            <w:r>
              <w:rPr>
                <w:rFonts w:hint="eastAsia"/>
                <w:lang w:val="zh-CN" w:bidi="ar"/>
              </w:rPr>
              <w:t>4.系统生成的Ai报告须在平台上展示，支持报告下载。（需提供功能截图证明材料复印件）</w:t>
            </w:r>
          </w:p>
        </w:tc>
        <w:tc>
          <w:tcPr>
            <w:tcW w:w="0" w:type="auto"/>
            <w:shd w:val="clear" w:color="auto" w:fill="auto"/>
            <w:vAlign w:val="center"/>
          </w:tcPr>
          <w:p w14:paraId="673E10B1">
            <w:pPr>
              <w:jc w:val="center"/>
              <w:rPr>
                <w:rFonts w:ascii="宋体" w:hAnsi="宋体"/>
              </w:rPr>
            </w:pPr>
            <w:r>
              <w:rPr>
                <w:rFonts w:hint="eastAsia" w:ascii="宋体" w:hAnsi="宋体"/>
              </w:rPr>
              <w:t>套</w:t>
            </w:r>
          </w:p>
        </w:tc>
        <w:tc>
          <w:tcPr>
            <w:tcW w:w="0" w:type="auto"/>
            <w:shd w:val="clear" w:color="auto" w:fill="auto"/>
            <w:vAlign w:val="center"/>
          </w:tcPr>
          <w:p w14:paraId="70EA5407">
            <w:pPr>
              <w:jc w:val="center"/>
              <w:rPr>
                <w:rFonts w:ascii="宋体" w:hAnsi="宋体"/>
              </w:rPr>
            </w:pPr>
            <w:r>
              <w:rPr>
                <w:rFonts w:hint="eastAsia" w:ascii="宋体" w:hAnsi="宋体"/>
              </w:rPr>
              <w:t>1</w:t>
            </w:r>
          </w:p>
        </w:tc>
        <w:tc>
          <w:tcPr>
            <w:tcW w:w="0" w:type="auto"/>
            <w:shd w:val="clear" w:color="auto" w:fill="auto"/>
            <w:vAlign w:val="center"/>
          </w:tcPr>
          <w:p w14:paraId="3C4CC44D">
            <w:pPr>
              <w:jc w:val="center"/>
              <w:rPr>
                <w:rFonts w:ascii="宋体" w:hAnsi="宋体"/>
              </w:rPr>
            </w:pPr>
            <w:r>
              <w:rPr>
                <w:rFonts w:hint="eastAsia" w:ascii="宋体" w:hAnsi="宋体"/>
              </w:rPr>
              <w:t>78000</w:t>
            </w:r>
          </w:p>
        </w:tc>
        <w:tc>
          <w:tcPr>
            <w:tcW w:w="0" w:type="auto"/>
            <w:shd w:val="clear" w:color="auto" w:fill="auto"/>
            <w:vAlign w:val="center"/>
          </w:tcPr>
          <w:p w14:paraId="25961742">
            <w:pPr>
              <w:jc w:val="center"/>
              <w:rPr>
                <w:rFonts w:ascii="宋体" w:hAnsi="宋体"/>
              </w:rPr>
            </w:pPr>
            <w:r>
              <w:rPr>
                <w:rFonts w:hint="eastAsia" w:ascii="宋体" w:hAnsi="宋体"/>
              </w:rPr>
              <w:t>78000</w:t>
            </w:r>
          </w:p>
        </w:tc>
      </w:tr>
      <w:tr w14:paraId="68C4D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gridSpan w:val="7"/>
            <w:vAlign w:val="center"/>
          </w:tcPr>
          <w:p w14:paraId="72CA4CC5">
            <w:pPr>
              <w:jc w:val="left"/>
              <w:rPr>
                <w:rFonts w:hint="eastAsia" w:ascii="宋体" w:hAnsi="宋体"/>
              </w:rPr>
            </w:pPr>
            <w:r>
              <w:rPr>
                <w:rFonts w:hint="eastAsia" w:ascii="宋体" w:hAnsi="宋体"/>
              </w:rPr>
              <w:t>中标公示结束后10个工作日内，采购人有权要求中标人将“物联网全栈智能应用实训套装"送达采购人所在地址，供本项目使用部门进行检测和系统测试，如规定时间内未能提供相关样品被视为虚假应标。</w:t>
            </w:r>
          </w:p>
        </w:tc>
      </w:tr>
    </w:tbl>
    <w:p w14:paraId="3FC36491">
      <w:pPr>
        <w:spacing w:before="100" w:beforeAutospacing="1" w:after="100" w:afterAutospacing="1" w:line="360" w:lineRule="auto"/>
        <w:ind w:firstLine="480"/>
        <w:jc w:val="center"/>
        <w:rPr>
          <w:rFonts w:hint="eastAsia" w:ascii="宋体" w:hAnsi="宋体" w:cs="宋体"/>
          <w:sz w:val="24"/>
        </w:rPr>
      </w:pPr>
    </w:p>
    <w:p w14:paraId="02EADD7C">
      <w:pPr>
        <w:spacing w:line="480" w:lineRule="exact"/>
        <w:rPr>
          <w:rFonts w:hint="eastAsia" w:ascii="宋体" w:hAnsi="宋体" w:cs="宋体"/>
          <w:b/>
          <w:bCs/>
          <w:sz w:val="24"/>
        </w:rPr>
      </w:pPr>
      <w:r>
        <w:rPr>
          <w:rFonts w:hint="eastAsia" w:ascii="宋体" w:hAnsi="宋体" w:cs="宋体"/>
          <w:b/>
          <w:bCs/>
          <w:sz w:val="24"/>
        </w:rPr>
        <w:t>（四）采购标的的数量、采购项目交付或者实施的时间和地点及采购预算：</w:t>
      </w:r>
    </w:p>
    <w:p w14:paraId="447744BD">
      <w:pPr>
        <w:spacing w:line="480" w:lineRule="exact"/>
        <w:ind w:firstLine="480" w:firstLineChars="200"/>
        <w:rPr>
          <w:rFonts w:hint="eastAsia" w:ascii="宋体" w:hAnsi="宋体" w:cs="宋体"/>
          <w:sz w:val="24"/>
          <w:highlight w:val="none"/>
        </w:rPr>
      </w:pPr>
      <w:r>
        <w:rPr>
          <w:rFonts w:hint="eastAsia" w:ascii="宋体" w:hAnsi="宋体" w:cs="宋体"/>
          <w:sz w:val="24"/>
          <w:highlight w:val="none"/>
        </w:rPr>
        <w:t>项目总投资预算：</w:t>
      </w:r>
      <w:r>
        <w:rPr>
          <w:rFonts w:hint="eastAsia" w:ascii="宋体" w:hAnsi="宋体" w:cs="宋体"/>
          <w:sz w:val="24"/>
          <w:highlight w:val="none"/>
          <w:lang w:eastAsia="zh-CN"/>
        </w:rPr>
        <w:t>18</w:t>
      </w:r>
      <w:r>
        <w:rPr>
          <w:rFonts w:hint="eastAsia" w:ascii="宋体" w:hAnsi="宋体" w:cs="宋体"/>
          <w:sz w:val="24"/>
          <w:highlight w:val="none"/>
          <w:lang w:val="en-US" w:eastAsia="zh-CN"/>
        </w:rPr>
        <w:t>6</w:t>
      </w:r>
      <w:r>
        <w:rPr>
          <w:rFonts w:hint="eastAsia" w:ascii="宋体" w:hAnsi="宋体" w:cs="宋体"/>
          <w:sz w:val="24"/>
          <w:highlight w:val="none"/>
          <w:lang w:eastAsia="zh-CN"/>
        </w:rPr>
        <w:t>.2万元</w:t>
      </w:r>
      <w:r>
        <w:rPr>
          <w:rFonts w:hint="eastAsia" w:ascii="宋体" w:hAnsi="宋体" w:cs="宋体"/>
          <w:sz w:val="24"/>
          <w:highlight w:val="none"/>
        </w:rPr>
        <w:t xml:space="preserve">。 </w:t>
      </w:r>
    </w:p>
    <w:p w14:paraId="439C62F4">
      <w:pPr>
        <w:spacing w:line="480" w:lineRule="exact"/>
        <w:ind w:firstLine="480" w:firstLineChars="200"/>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最高限价：182.2</w:t>
      </w:r>
      <w:r>
        <w:rPr>
          <w:rFonts w:hint="eastAsia" w:ascii="宋体" w:hAnsi="宋体" w:cs="宋体"/>
          <w:sz w:val="24"/>
          <w:highlight w:val="none"/>
          <w:lang w:eastAsia="zh-CN"/>
        </w:rPr>
        <w:t>万元</w:t>
      </w:r>
    </w:p>
    <w:p w14:paraId="3D910F56">
      <w:pPr>
        <w:spacing w:line="480" w:lineRule="exact"/>
        <w:ind w:firstLine="480" w:firstLineChars="200"/>
        <w:rPr>
          <w:rFonts w:ascii="宋体" w:hAnsi="宋体" w:cs="宋体"/>
          <w:sz w:val="24"/>
          <w:highlight w:val="none"/>
        </w:rPr>
      </w:pPr>
      <w:r>
        <w:rPr>
          <w:rFonts w:hint="eastAsia" w:ascii="宋体" w:hAnsi="宋体" w:cs="宋体"/>
          <w:sz w:val="24"/>
          <w:highlight w:val="none"/>
        </w:rPr>
        <w:t>合同履行期限：合同签订之日起</w:t>
      </w:r>
      <w:r>
        <w:rPr>
          <w:rFonts w:hint="eastAsia" w:ascii="宋体" w:hAnsi="宋体" w:cs="宋体"/>
          <w:sz w:val="24"/>
          <w:highlight w:val="none"/>
          <w:lang w:val="en-US" w:eastAsia="zh-CN"/>
        </w:rPr>
        <w:t>60</w:t>
      </w:r>
      <w:r>
        <w:rPr>
          <w:rFonts w:hint="eastAsia" w:ascii="宋体" w:hAnsi="宋体" w:cs="宋体"/>
          <w:sz w:val="24"/>
          <w:highlight w:val="none"/>
        </w:rPr>
        <w:t>日历天。</w:t>
      </w:r>
    </w:p>
    <w:p w14:paraId="3097B72A">
      <w:pPr>
        <w:spacing w:line="480" w:lineRule="exact"/>
        <w:ind w:firstLine="480" w:firstLineChars="200"/>
        <w:rPr>
          <w:rFonts w:ascii="宋体" w:hAnsi="宋体" w:cs="宋体"/>
          <w:sz w:val="24"/>
        </w:rPr>
      </w:pPr>
      <w:r>
        <w:rPr>
          <w:rFonts w:hint="eastAsia" w:ascii="宋体" w:hAnsi="宋体" w:cs="宋体"/>
          <w:sz w:val="24"/>
          <w:highlight w:val="none"/>
        </w:rPr>
        <w:t>项目实施地点：招标人指定地点。</w:t>
      </w:r>
    </w:p>
    <w:p w14:paraId="4F41969B">
      <w:pPr>
        <w:spacing w:line="480" w:lineRule="exact"/>
        <w:rPr>
          <w:rFonts w:hint="eastAsia" w:ascii="宋体" w:hAnsi="宋体" w:cs="宋体"/>
          <w:b/>
          <w:bCs/>
          <w:sz w:val="24"/>
        </w:rPr>
      </w:pPr>
      <w:r>
        <w:rPr>
          <w:rFonts w:hint="eastAsia" w:ascii="宋体" w:hAnsi="宋体" w:cs="宋体"/>
          <w:b/>
          <w:bCs/>
          <w:sz w:val="24"/>
        </w:rPr>
        <w:t>（五）采购标的需满足的服务标准、期限、效率等要求：</w:t>
      </w:r>
    </w:p>
    <w:p w14:paraId="62281BFA">
      <w:pPr>
        <w:spacing w:line="480" w:lineRule="exact"/>
        <w:ind w:firstLine="480" w:firstLineChars="200"/>
        <w:rPr>
          <w:rFonts w:ascii="宋体" w:hAnsi="宋体" w:cs="宋体"/>
          <w:sz w:val="24"/>
        </w:rPr>
      </w:pPr>
      <w:r>
        <w:rPr>
          <w:rFonts w:hint="eastAsia" w:ascii="宋体" w:hAnsi="宋体" w:cs="宋体"/>
          <w:sz w:val="24"/>
        </w:rPr>
        <w:t>1.交付标准：供应商需确保所提供产品符合招标要求，满足采购者需求，提供功能演示视频或现场验证。</w:t>
      </w:r>
    </w:p>
    <w:p w14:paraId="5D0EA17F">
      <w:pPr>
        <w:spacing w:line="480" w:lineRule="exact"/>
        <w:ind w:firstLine="480" w:firstLineChars="200"/>
        <w:rPr>
          <w:rFonts w:ascii="宋体" w:hAnsi="宋体" w:cs="宋体"/>
          <w:sz w:val="24"/>
        </w:rPr>
      </w:pPr>
      <w:r>
        <w:rPr>
          <w:rFonts w:hint="eastAsia" w:ascii="宋体" w:hAnsi="宋体" w:cs="宋体"/>
          <w:sz w:val="24"/>
        </w:rPr>
        <w:t>2.交付期限：须在合同签</w:t>
      </w:r>
      <w:r>
        <w:rPr>
          <w:rFonts w:hint="eastAsia" w:ascii="宋体" w:hAnsi="宋体" w:cs="宋体"/>
          <w:sz w:val="24"/>
          <w:highlight w:val="none"/>
        </w:rPr>
        <w:t>订后</w:t>
      </w:r>
      <w:r>
        <w:rPr>
          <w:rFonts w:hint="eastAsia" w:ascii="宋体" w:hAnsi="宋体" w:cs="宋体"/>
          <w:sz w:val="24"/>
          <w:highlight w:val="none"/>
          <w:lang w:val="en-US" w:eastAsia="zh-CN"/>
        </w:rPr>
        <w:t>60</w:t>
      </w:r>
      <w:r>
        <w:rPr>
          <w:rFonts w:hint="eastAsia" w:ascii="宋体" w:hAnsi="宋体" w:cs="宋体"/>
          <w:sz w:val="24"/>
          <w:highlight w:val="none"/>
        </w:rPr>
        <w:t>日历</w:t>
      </w:r>
      <w:r>
        <w:rPr>
          <w:rFonts w:hint="eastAsia" w:ascii="宋体" w:hAnsi="宋体" w:cs="宋体"/>
          <w:sz w:val="24"/>
          <w:highlight w:val="none"/>
          <w:lang w:val="en-US" w:eastAsia="zh-CN"/>
        </w:rPr>
        <w:t>天</w:t>
      </w:r>
      <w:r>
        <w:rPr>
          <w:rFonts w:hint="eastAsia" w:ascii="宋体" w:hAnsi="宋体" w:cs="宋体"/>
          <w:sz w:val="24"/>
          <w:highlight w:val="none"/>
        </w:rPr>
        <w:t>内完成招标文件要求货物的送货、安装调试、测试、软件交付；然后试运行一个月正常运行，则在10个</w:t>
      </w:r>
      <w:r>
        <w:rPr>
          <w:rFonts w:hint="eastAsia" w:ascii="宋体" w:hAnsi="宋体" w:cs="宋体"/>
          <w:sz w:val="24"/>
        </w:rPr>
        <w:t>工作日内组织验收。</w:t>
      </w:r>
    </w:p>
    <w:p w14:paraId="510043D2">
      <w:pPr>
        <w:spacing w:line="480" w:lineRule="exact"/>
        <w:ind w:firstLine="480" w:firstLineChars="200"/>
        <w:rPr>
          <w:rFonts w:ascii="宋体" w:hAnsi="宋体" w:cs="宋体"/>
          <w:sz w:val="24"/>
        </w:rPr>
      </w:pPr>
      <w:r>
        <w:rPr>
          <w:rFonts w:hint="eastAsia" w:ascii="宋体" w:hAnsi="宋体" w:cs="宋体"/>
          <w:sz w:val="24"/>
        </w:rPr>
        <w:t>3.售后服务：质保期≥3年，提供7×24小时技术支持，故障响应时间≤2小时（线上），重大故障现场响应≤24小时，备件更换≤48小时。</w:t>
      </w:r>
    </w:p>
    <w:p w14:paraId="6FB75D23">
      <w:pPr>
        <w:spacing w:line="480" w:lineRule="exact"/>
        <w:rPr>
          <w:rFonts w:hint="eastAsia" w:ascii="宋体" w:hAnsi="宋体" w:cs="宋体"/>
          <w:b/>
          <w:bCs/>
          <w:sz w:val="24"/>
        </w:rPr>
      </w:pPr>
      <w:r>
        <w:rPr>
          <w:rFonts w:hint="eastAsia" w:ascii="宋体" w:hAnsi="宋体" w:cs="宋体"/>
          <w:b/>
          <w:bCs/>
          <w:sz w:val="24"/>
        </w:rPr>
        <w:t>（六）采购标的的验收标准：</w:t>
      </w:r>
    </w:p>
    <w:p w14:paraId="4C9A057E">
      <w:pPr>
        <w:spacing w:line="480" w:lineRule="exact"/>
        <w:ind w:firstLine="480" w:firstLineChars="200"/>
        <w:rPr>
          <w:rFonts w:ascii="宋体" w:hAnsi="宋体" w:cs="宋体"/>
          <w:sz w:val="24"/>
        </w:rPr>
      </w:pPr>
      <w:r>
        <w:rPr>
          <w:rFonts w:hint="eastAsia" w:ascii="宋体" w:hAnsi="宋体" w:cs="宋体"/>
          <w:sz w:val="24"/>
        </w:rPr>
        <w:t>1.资质与合规性审查：供应商提供采购标的符合国家标准、行业规范，确保所有交付内容在质量、安全、环保等方面达到相关要求。</w:t>
      </w:r>
    </w:p>
    <w:p w14:paraId="5354049C">
      <w:pPr>
        <w:spacing w:line="480" w:lineRule="exact"/>
        <w:ind w:firstLine="480" w:firstLineChars="200"/>
        <w:rPr>
          <w:rFonts w:ascii="宋体" w:hAnsi="宋体" w:cs="宋体"/>
          <w:sz w:val="24"/>
        </w:rPr>
      </w:pPr>
      <w:r>
        <w:rPr>
          <w:rFonts w:hint="eastAsia" w:ascii="宋体" w:hAnsi="宋体" w:cs="宋体"/>
          <w:sz w:val="24"/>
        </w:rPr>
        <w:t>2.交付物完整性验收：严格对照招标文件及合同约定，核查所有采购标的的数量、规格等信息，确保无错发、漏发、替换等情况，交付物与约定内容完全一致。</w:t>
      </w:r>
    </w:p>
    <w:p w14:paraId="19ABD55E">
      <w:pPr>
        <w:spacing w:line="480" w:lineRule="exact"/>
        <w:ind w:firstLine="480" w:firstLineChars="200"/>
        <w:rPr>
          <w:rFonts w:hint="eastAsia" w:ascii="宋体" w:hAnsi="宋体" w:cs="宋体"/>
          <w:sz w:val="24"/>
        </w:rPr>
      </w:pPr>
      <w:r>
        <w:rPr>
          <w:rFonts w:hint="eastAsia" w:ascii="宋体" w:hAnsi="宋体" w:cs="宋体"/>
          <w:sz w:val="24"/>
        </w:rPr>
        <w:t>3.性能与功能验收：产品到货后，行进行安装调试和测试自检，运转正常具备竣工验收条件后向学校提出验收申请，学院组织人员按合同技术参数的要求对品名、外观、参数、数量等核对，按合同相关规定和标准一次性验收合格。</w:t>
      </w:r>
    </w:p>
    <w:p w14:paraId="7D5CB6F5">
      <w:pPr>
        <w:spacing w:line="480" w:lineRule="exact"/>
        <w:rPr>
          <w:rFonts w:hint="eastAsia" w:ascii="宋体" w:hAnsi="宋体" w:cs="宋体"/>
          <w:b/>
          <w:bCs/>
          <w:sz w:val="24"/>
        </w:rPr>
      </w:pPr>
      <w:r>
        <w:rPr>
          <w:rFonts w:hint="eastAsia" w:ascii="宋体" w:hAnsi="宋体" w:cs="宋体"/>
          <w:b/>
          <w:bCs/>
          <w:sz w:val="24"/>
        </w:rPr>
        <w:t>（七）采购标的的其他技术、服务等要求：</w:t>
      </w:r>
    </w:p>
    <w:p w14:paraId="7517051C">
      <w:pPr>
        <w:spacing w:line="480" w:lineRule="exact"/>
        <w:ind w:firstLine="480" w:firstLineChars="200"/>
        <w:rPr>
          <w:rFonts w:ascii="宋体" w:hAnsi="宋体" w:cs="宋体"/>
          <w:sz w:val="24"/>
        </w:rPr>
      </w:pPr>
      <w:r>
        <w:rPr>
          <w:rFonts w:hint="eastAsia" w:ascii="宋体" w:hAnsi="宋体" w:cs="宋体"/>
          <w:sz w:val="24"/>
        </w:rPr>
        <w:t>1.在项目终验后，必须提供3年的维护期，维护期内有非人为损坏的配件投标人将无偿更换且安装调试，费用计入投标总价。</w:t>
      </w:r>
    </w:p>
    <w:p w14:paraId="31D5E2A9">
      <w:pPr>
        <w:spacing w:line="480" w:lineRule="exact"/>
        <w:ind w:firstLine="480" w:firstLineChars="200"/>
        <w:rPr>
          <w:rFonts w:ascii="宋体" w:hAnsi="宋体" w:cs="宋体"/>
          <w:sz w:val="24"/>
        </w:rPr>
      </w:pPr>
      <w:r>
        <w:rPr>
          <w:rFonts w:hint="eastAsia" w:ascii="宋体" w:hAnsi="宋体" w:cs="宋体"/>
          <w:sz w:val="24"/>
        </w:rPr>
        <w:t>2.投标人需提供友好且及时的售后服务，保障好服务质量及服务人员，提供完备的售后服务机制。</w:t>
      </w:r>
    </w:p>
    <w:p w14:paraId="06F5B27A">
      <w:pPr>
        <w:spacing w:line="480" w:lineRule="exact"/>
        <w:ind w:firstLine="480" w:firstLineChars="200"/>
        <w:rPr>
          <w:rFonts w:ascii="宋体" w:hAnsi="宋体" w:cs="宋体"/>
          <w:sz w:val="24"/>
        </w:rPr>
      </w:pPr>
      <w:r>
        <w:rPr>
          <w:rFonts w:hint="eastAsia" w:ascii="宋体" w:hAnsi="宋体" w:cs="宋体"/>
          <w:sz w:val="24"/>
        </w:rPr>
        <w:t>3.投标人需要提供免费、全面的培训，具体包括设备的安装调试、使用培训；</w:t>
      </w:r>
      <w:r>
        <w:rPr>
          <w:rFonts w:ascii="宋体" w:hAnsi="宋体" w:cs="宋体"/>
          <w:sz w:val="24"/>
        </w:rPr>
        <w:t xml:space="preserve"> </w:t>
      </w:r>
    </w:p>
    <w:p w14:paraId="77661162">
      <w:pPr>
        <w:spacing w:line="480" w:lineRule="exact"/>
        <w:ind w:firstLine="480" w:firstLineChars="200"/>
        <w:rPr>
          <w:rFonts w:hint="eastAsia" w:ascii="宋体" w:hAnsi="宋体" w:cs="宋体"/>
          <w:sz w:val="24"/>
        </w:rPr>
      </w:pPr>
      <w:r>
        <w:rPr>
          <w:rFonts w:hint="eastAsia" w:ascii="宋体" w:hAnsi="宋体" w:cs="宋体"/>
          <w:sz w:val="24"/>
        </w:rPr>
        <w:t>4.投标人需提供素质高、专业性强、经验丰富、稳定的运维人员，定期开展日常巡检巡查，有问题并提出有效可行的优化改进方案。</w:t>
      </w:r>
    </w:p>
    <w:p w14:paraId="01A719E6">
      <w:pPr>
        <w:spacing w:line="480" w:lineRule="exact"/>
        <w:ind w:firstLine="480" w:firstLineChars="200"/>
        <w:rPr>
          <w:rFonts w:hint="eastAsia" w:ascii="宋体" w:hAnsi="宋体" w:eastAsia="宋体" w:cs="宋体"/>
          <w:sz w:val="24"/>
          <w:highlight w:val="none"/>
          <w:lang w:eastAsia="zh-CN"/>
        </w:rPr>
      </w:pPr>
      <w:r>
        <w:rPr>
          <w:rFonts w:hint="eastAsia" w:ascii="宋体" w:hAnsi="宋体" w:cs="宋体"/>
          <w:sz w:val="24"/>
          <w:highlight w:val="none"/>
          <w:lang w:val="en-US" w:eastAsia="zh-CN"/>
        </w:rPr>
        <w:t>5.</w:t>
      </w:r>
      <w:r>
        <w:rPr>
          <w:rFonts w:hint="eastAsia" w:ascii="宋体" w:hAnsi="宋体" w:cs="宋体"/>
          <w:sz w:val="24"/>
          <w:highlight w:val="none"/>
        </w:rPr>
        <w:t>技能提升服务</w:t>
      </w:r>
      <w:r>
        <w:rPr>
          <w:rFonts w:hint="eastAsia" w:ascii="宋体" w:hAnsi="宋体" w:cs="宋体"/>
          <w:sz w:val="24"/>
          <w:highlight w:val="none"/>
          <w:lang w:eastAsia="zh-CN"/>
        </w:rPr>
        <w:t>：</w:t>
      </w:r>
    </w:p>
    <w:p w14:paraId="7FDB767E">
      <w:pPr>
        <w:spacing w:line="480" w:lineRule="exact"/>
        <w:ind w:firstLine="480" w:firstLineChars="200"/>
        <w:rPr>
          <w:rFonts w:hint="eastAsia" w:ascii="宋体" w:hAnsi="宋体" w:cs="宋体"/>
          <w:sz w:val="24"/>
          <w:highlight w:val="none"/>
        </w:rPr>
      </w:pPr>
      <w:r>
        <w:rPr>
          <w:rFonts w:hint="eastAsia" w:ascii="宋体" w:hAnsi="宋体" w:cs="宋体"/>
          <w:sz w:val="24"/>
          <w:highlight w:val="none"/>
        </w:rPr>
        <w:t>本次物联网综合实训室建设项目专为智能互联网络技术专业的教学实训建设，为了提升专业建设质量及内涵，要求如下：</w:t>
      </w:r>
    </w:p>
    <w:p w14:paraId="6C0B4B44">
      <w:pPr>
        <w:spacing w:line="480" w:lineRule="exact"/>
        <w:ind w:firstLine="480" w:firstLineChars="200"/>
        <w:rPr>
          <w:rFonts w:hint="eastAsia" w:ascii="宋体" w:hAnsi="宋体" w:cs="宋体"/>
          <w:sz w:val="24"/>
          <w:highlight w:val="none"/>
        </w:rPr>
      </w:pPr>
      <w:r>
        <w:rPr>
          <w:rFonts w:hint="eastAsia" w:ascii="宋体" w:hAnsi="宋体" w:cs="宋体"/>
          <w:sz w:val="24"/>
          <w:highlight w:val="none"/>
          <w:lang w:eastAsia="zh-CN"/>
        </w:rPr>
        <w:t>（</w:t>
      </w:r>
      <w:r>
        <w:rPr>
          <w:rFonts w:hint="eastAsia" w:ascii="宋体" w:hAnsi="宋体" w:cs="宋体"/>
          <w:sz w:val="24"/>
          <w:highlight w:val="none"/>
          <w:lang w:val="en-US" w:eastAsia="zh-CN"/>
        </w:rPr>
        <w:t>1</w:t>
      </w:r>
      <w:r>
        <w:rPr>
          <w:rFonts w:hint="eastAsia" w:ascii="宋体" w:hAnsi="宋体" w:cs="宋体"/>
          <w:sz w:val="24"/>
          <w:highlight w:val="none"/>
          <w:lang w:eastAsia="zh-CN"/>
        </w:rPr>
        <w:t>）</w:t>
      </w:r>
      <w:r>
        <w:rPr>
          <w:rFonts w:hint="eastAsia" w:ascii="宋体" w:hAnsi="宋体" w:cs="宋体"/>
          <w:sz w:val="24"/>
          <w:highlight w:val="none"/>
          <w:lang w:val="en-US" w:eastAsia="zh-CN"/>
        </w:rPr>
        <w:t>投标人或产品制造商</w:t>
      </w:r>
      <w:r>
        <w:rPr>
          <w:rFonts w:hint="eastAsia" w:ascii="宋体" w:hAnsi="宋体" w:cs="宋体"/>
          <w:sz w:val="24"/>
          <w:highlight w:val="none"/>
        </w:rPr>
        <w:t>需共同参与学校智能互联网络技术专业人才培养方案的制定，保证人才培养方案制定的适用性及专业性。</w:t>
      </w:r>
    </w:p>
    <w:p w14:paraId="492DFF2D">
      <w:pPr>
        <w:spacing w:line="480" w:lineRule="exact"/>
        <w:ind w:firstLine="480" w:firstLineChars="200"/>
        <w:rPr>
          <w:rFonts w:hint="eastAsia" w:ascii="宋体" w:hAnsi="宋体" w:cs="宋体"/>
          <w:sz w:val="24"/>
          <w:highlight w:val="none"/>
        </w:rPr>
      </w:pPr>
      <w:r>
        <w:rPr>
          <w:rFonts w:hint="eastAsia" w:ascii="宋体" w:hAnsi="宋体" w:cs="宋体"/>
          <w:sz w:val="24"/>
          <w:highlight w:val="none"/>
          <w:lang w:eastAsia="zh-CN"/>
        </w:rPr>
        <w:t>（</w:t>
      </w:r>
      <w:r>
        <w:rPr>
          <w:rFonts w:hint="eastAsia" w:ascii="宋体" w:hAnsi="宋体" w:cs="宋体"/>
          <w:sz w:val="24"/>
          <w:highlight w:val="none"/>
          <w:lang w:val="en-US" w:eastAsia="zh-CN"/>
        </w:rPr>
        <w:t>2</w:t>
      </w:r>
      <w:r>
        <w:rPr>
          <w:rFonts w:hint="eastAsia" w:ascii="宋体" w:hAnsi="宋体" w:cs="宋体"/>
          <w:sz w:val="24"/>
          <w:highlight w:val="none"/>
          <w:lang w:eastAsia="zh-CN"/>
        </w:rPr>
        <w:t>）</w:t>
      </w:r>
      <w:r>
        <w:rPr>
          <w:rFonts w:hint="eastAsia" w:ascii="宋体" w:hAnsi="宋体" w:cs="宋体"/>
          <w:sz w:val="24"/>
          <w:highlight w:val="none"/>
          <w:lang w:val="en-US" w:eastAsia="zh-CN"/>
        </w:rPr>
        <w:t>投标人或产品制造商</w:t>
      </w:r>
      <w:r>
        <w:rPr>
          <w:rFonts w:hint="eastAsia" w:ascii="宋体" w:hAnsi="宋体" w:cs="宋体"/>
          <w:sz w:val="24"/>
          <w:highlight w:val="none"/>
        </w:rPr>
        <w:t>需具备丰富经验</w:t>
      </w:r>
      <w:r>
        <w:rPr>
          <w:rFonts w:hint="eastAsia" w:ascii="宋体" w:hAnsi="宋体" w:cs="宋体"/>
          <w:sz w:val="24"/>
          <w:highlight w:val="none"/>
          <w:lang w:eastAsia="zh-CN"/>
        </w:rPr>
        <w:t>，</w:t>
      </w:r>
      <w:r>
        <w:rPr>
          <w:rFonts w:hint="eastAsia" w:ascii="宋体" w:hAnsi="宋体" w:cs="宋体"/>
          <w:sz w:val="24"/>
          <w:highlight w:val="none"/>
        </w:rPr>
        <w:t>学校有申报教学成果奖的需求时，能协助及指导。</w:t>
      </w:r>
    </w:p>
    <w:p w14:paraId="161BBE43">
      <w:pPr>
        <w:spacing w:line="480" w:lineRule="exact"/>
        <w:ind w:firstLine="480" w:firstLineChars="200"/>
        <w:rPr>
          <w:rFonts w:hint="eastAsia" w:ascii="宋体" w:hAnsi="宋体" w:cs="宋体"/>
          <w:sz w:val="24"/>
          <w:highlight w:val="green"/>
        </w:rPr>
      </w:pPr>
      <w:r>
        <w:rPr>
          <w:rFonts w:hint="eastAsia" w:ascii="宋体" w:hAnsi="宋体" w:cs="宋体"/>
          <w:sz w:val="24"/>
          <w:highlight w:val="none"/>
          <w:lang w:eastAsia="zh-CN"/>
        </w:rPr>
        <w:t>（</w:t>
      </w:r>
      <w:r>
        <w:rPr>
          <w:rFonts w:hint="eastAsia" w:ascii="宋体" w:hAnsi="宋体" w:cs="宋体"/>
          <w:sz w:val="24"/>
          <w:highlight w:val="none"/>
          <w:lang w:val="en-US" w:eastAsia="zh-CN"/>
        </w:rPr>
        <w:t>3</w:t>
      </w:r>
      <w:r>
        <w:rPr>
          <w:rFonts w:hint="eastAsia" w:ascii="宋体" w:hAnsi="宋体" w:cs="宋体"/>
          <w:sz w:val="24"/>
          <w:highlight w:val="none"/>
          <w:lang w:eastAsia="zh-CN"/>
        </w:rPr>
        <w:t>）</w:t>
      </w:r>
      <w:r>
        <w:rPr>
          <w:rFonts w:hint="eastAsia" w:ascii="宋体" w:hAnsi="宋体" w:cs="宋体"/>
          <w:sz w:val="24"/>
          <w:highlight w:val="none"/>
        </w:rPr>
        <w:t>学校有</w:t>
      </w:r>
      <w:r>
        <w:rPr>
          <w:rFonts w:hint="eastAsia" w:ascii="宋体" w:hAnsi="宋体" w:cs="宋体"/>
          <w:sz w:val="24"/>
          <w:highlight w:val="none"/>
          <w:lang w:val="en-US" w:eastAsia="zh-CN"/>
        </w:rPr>
        <w:t>参加</w:t>
      </w:r>
      <w:r>
        <w:rPr>
          <w:rFonts w:hint="eastAsia" w:ascii="宋体" w:hAnsi="宋体" w:cs="宋体"/>
          <w:sz w:val="24"/>
          <w:highlight w:val="none"/>
        </w:rPr>
        <w:t>全国职业院校技能大赛（物联网赛项）的需求时，</w:t>
      </w:r>
      <w:r>
        <w:rPr>
          <w:rFonts w:hint="eastAsia" w:ascii="宋体" w:hAnsi="宋体" w:cs="宋体"/>
          <w:sz w:val="24"/>
          <w:highlight w:val="none"/>
          <w:lang w:val="en-US" w:eastAsia="zh-CN"/>
        </w:rPr>
        <w:t>投标人或产品制造商</w:t>
      </w:r>
      <w:r>
        <w:rPr>
          <w:rFonts w:hint="eastAsia" w:ascii="宋体" w:hAnsi="宋体" w:cs="宋体"/>
          <w:sz w:val="24"/>
          <w:highlight w:val="none"/>
        </w:rPr>
        <w:t>须协助学校开展技能提升培训。</w:t>
      </w:r>
    </w:p>
    <w:p w14:paraId="63E5A6EA"/>
    <w:p w14:paraId="3E184BBF">
      <w:pPr>
        <w:rPr>
          <w:rFonts w:hint="eastAsia" w:ascii="宋体" w:hAnsi="宋体" w:cs="宋体"/>
          <w:b/>
          <w:bCs/>
          <w:color w:val="auto"/>
          <w:kern w:val="44"/>
          <w:sz w:val="44"/>
          <w:szCs w:val="32"/>
          <w:highlight w:val="none"/>
        </w:rPr>
      </w:pPr>
    </w:p>
    <w:p w14:paraId="24F5FF5D">
      <w:pPr>
        <w:rPr>
          <w:rFonts w:hint="eastAsia" w:ascii="宋体" w:hAnsi="宋体" w:cs="宋体"/>
          <w:b/>
          <w:bCs/>
          <w:color w:val="auto"/>
          <w:kern w:val="44"/>
          <w:sz w:val="44"/>
          <w:szCs w:val="32"/>
          <w:highlight w:val="none"/>
        </w:rPr>
      </w:pPr>
      <w:r>
        <w:rPr>
          <w:rFonts w:hint="eastAsia" w:ascii="宋体" w:hAnsi="宋体" w:cs="宋体"/>
          <w:b/>
          <w:bCs/>
          <w:color w:val="auto"/>
          <w:kern w:val="44"/>
          <w:sz w:val="44"/>
          <w:szCs w:val="32"/>
          <w:highlight w:val="none"/>
        </w:rPr>
        <w:br w:type="page"/>
      </w:r>
    </w:p>
    <w:p w14:paraId="6425341E">
      <w:pPr>
        <w:pStyle w:val="2"/>
        <w:spacing w:before="0" w:after="0" w:line="360" w:lineRule="auto"/>
        <w:jc w:val="center"/>
        <w:rPr>
          <w:rFonts w:ascii="宋体" w:hAnsi="宋体" w:cs="宋体"/>
          <w:color w:val="auto"/>
          <w:highlight w:val="none"/>
        </w:rPr>
      </w:pPr>
      <w:bookmarkStart w:id="332" w:name="_Toc20809"/>
      <w:r>
        <w:rPr>
          <w:rFonts w:hint="eastAsia" w:ascii="宋体" w:hAnsi="宋体" w:cs="宋体"/>
          <w:color w:val="auto"/>
          <w:highlight w:val="none"/>
        </w:rPr>
        <w:t>第七章 评标办法（综合评分法</w:t>
      </w:r>
      <w:bookmarkEnd w:id="318"/>
      <w:r>
        <w:rPr>
          <w:rFonts w:hint="eastAsia" w:ascii="宋体" w:hAnsi="宋体" w:cs="宋体"/>
          <w:color w:val="auto"/>
          <w:highlight w:val="none"/>
        </w:rPr>
        <w:t>）</w:t>
      </w:r>
      <w:bookmarkEnd w:id="332"/>
    </w:p>
    <w:p w14:paraId="09C1BC44">
      <w:pPr>
        <w:spacing w:line="500" w:lineRule="exact"/>
        <w:ind w:firstLine="482" w:firstLineChars="200"/>
        <w:jc w:val="both"/>
        <w:rPr>
          <w:rFonts w:ascii="宋体" w:hAnsi="宋体" w:cs="宋体"/>
          <w:b/>
          <w:bCs/>
          <w:color w:val="auto"/>
          <w:sz w:val="24"/>
          <w:szCs w:val="24"/>
          <w:highlight w:val="none"/>
        </w:rPr>
      </w:pPr>
      <w:r>
        <w:rPr>
          <w:rFonts w:hint="eastAsia" w:ascii="宋体" w:hAnsi="宋体" w:cs="宋体"/>
          <w:b/>
          <w:bCs/>
          <w:color w:val="auto"/>
          <w:sz w:val="24"/>
          <w:szCs w:val="24"/>
          <w:highlight w:val="none"/>
        </w:rPr>
        <w:t>一、评标委员会的组成</w:t>
      </w:r>
    </w:p>
    <w:p w14:paraId="21EE8229">
      <w:pPr>
        <w:pStyle w:val="16"/>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评标委员会的组成见投标人须知前附表7.1.1。</w:t>
      </w:r>
    </w:p>
    <w:p w14:paraId="6E05842C">
      <w:pPr>
        <w:spacing w:line="500" w:lineRule="exact"/>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二、采购人或者采购代理机构职责</w:t>
      </w:r>
    </w:p>
    <w:p w14:paraId="4198D5D7">
      <w:pPr>
        <w:pStyle w:val="16"/>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采购人或者采购代理机构负责组织评标工作，并履行下列职责：</w:t>
      </w:r>
    </w:p>
    <w:p w14:paraId="67E8536E">
      <w:pPr>
        <w:pStyle w:val="16"/>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（一）核对评审专家身份和采购人代表授权函，对评审专家在政府采购活动中的职责履行情况予以记录，并及时将有关违法违规行为向财政部门报告。</w:t>
      </w:r>
    </w:p>
    <w:p w14:paraId="117A5FD9">
      <w:pPr>
        <w:pStyle w:val="16"/>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（二）宣布评标纪律。</w:t>
      </w:r>
    </w:p>
    <w:p w14:paraId="3EB2A8C3">
      <w:pPr>
        <w:pStyle w:val="16"/>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（三）公布投标人名单，告知评审专家应当回避的情形。</w:t>
      </w:r>
    </w:p>
    <w:p w14:paraId="01E7225F">
      <w:pPr>
        <w:pStyle w:val="16"/>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（四）组织评标委员会推选评标组长，采购人代表不得担任组长。</w:t>
      </w:r>
    </w:p>
    <w:p w14:paraId="13EBC2D3">
      <w:pPr>
        <w:pStyle w:val="16"/>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（五）在评标期间采取必要的通讯管理措施，保证评标活动不受外界干扰。</w:t>
      </w:r>
    </w:p>
    <w:p w14:paraId="55E1C10C">
      <w:pPr>
        <w:pStyle w:val="16"/>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（六）根据评标委员会的要求介绍政府采购相关政策法规、招标文件。</w:t>
      </w:r>
    </w:p>
    <w:p w14:paraId="0171A87A">
      <w:pPr>
        <w:pStyle w:val="16"/>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（七）维护评标秩序，监督评标委员会依照招标文件规定的评标程序、方法和标准进行独立评审，及时制止和纠正采购人代表、评审专家的倾向性言论或者违法违规行为。</w:t>
      </w:r>
    </w:p>
    <w:p w14:paraId="53BF1464">
      <w:pPr>
        <w:pStyle w:val="16"/>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（八）核对评标结果，有《政府采购货物和服务招标投标管理办法》（财政部第87号令）第六十四条规定情形的，要求评标委员会复核或者书面说明理由，评标委员会拒绝的，应予记录并向本级财政部门报告。</w:t>
      </w:r>
    </w:p>
    <w:p w14:paraId="65D95A0E">
      <w:pPr>
        <w:pStyle w:val="16"/>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（九）评审工作完成后，按照规定向评审专家支付劳务报酬和异地评审差旅费，不得向评审专家以外的其他人员支付评审劳务报酬。</w:t>
      </w:r>
    </w:p>
    <w:p w14:paraId="749BA04A">
      <w:pPr>
        <w:pStyle w:val="16"/>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（十）处理与评标有关的其他事项。</w:t>
      </w:r>
    </w:p>
    <w:p w14:paraId="59DC914B">
      <w:pPr>
        <w:pStyle w:val="16"/>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采购人可以在评标前说明项目背景和采购需求，说明内容不得含有歧视性、倾向性意见，不得超出招标文件所述范围。说明应当提交书面材料，并随招标文件一并存档。</w:t>
      </w:r>
    </w:p>
    <w:p w14:paraId="131E81BB">
      <w:pPr>
        <w:spacing w:line="500" w:lineRule="exact"/>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三、评标委员会职责</w:t>
      </w:r>
    </w:p>
    <w:p w14:paraId="4947FA87">
      <w:pPr>
        <w:pStyle w:val="16"/>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评标委员会负责具体评标事务，并独立履行下列职责：</w:t>
      </w:r>
    </w:p>
    <w:p w14:paraId="15A2F939">
      <w:pPr>
        <w:pStyle w:val="16"/>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（一）审查、评价投标文件是否符合招标文件的商务、技术等实质性要求。</w:t>
      </w:r>
    </w:p>
    <w:p w14:paraId="67CA51CD">
      <w:pPr>
        <w:pStyle w:val="16"/>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（二）要求投标人对投标文件有关事项作出澄清或者说明。</w:t>
      </w:r>
    </w:p>
    <w:p w14:paraId="3B67CEDF">
      <w:pPr>
        <w:pStyle w:val="16"/>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（三）对投标文件进行比较和评价。</w:t>
      </w:r>
    </w:p>
    <w:p w14:paraId="1B1CB948">
      <w:pPr>
        <w:pStyle w:val="16"/>
        <w:spacing w:line="500" w:lineRule="exact"/>
        <w:ind w:firstLine="480" w:firstLineChars="200"/>
        <w:rPr>
          <w:rFonts w:ascii="宋体" w:hAnsi="宋体" w:cs="宋体"/>
          <w:color w:val="auto"/>
          <w:sz w:val="24"/>
          <w:szCs w:val="24"/>
          <w:highlight w:val="none"/>
        </w:rPr>
        <w:sectPr>
          <w:footerReference r:id="rId18" w:type="first"/>
          <w:footerReference r:id="rId17" w:type="default"/>
          <w:pgSz w:w="11906" w:h="16838"/>
          <w:pgMar w:top="1440" w:right="1083" w:bottom="1440" w:left="1083" w:header="720" w:footer="720" w:gutter="0"/>
          <w:pgBorders>
            <w:top w:val="none" w:sz="0" w:space="0"/>
            <w:left w:val="none" w:sz="0" w:space="0"/>
            <w:bottom w:val="none" w:sz="0" w:space="0"/>
            <w:right w:val="none" w:sz="0" w:space="0"/>
          </w:pgBorders>
          <w:pgNumType w:fmt="numberInDash"/>
          <w:cols w:space="0" w:num="1"/>
          <w:docGrid w:type="lines" w:linePitch="324" w:charSpace="0"/>
        </w:sectPr>
      </w:pPr>
    </w:p>
    <w:p w14:paraId="72B25C20">
      <w:pPr>
        <w:pStyle w:val="16"/>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（四）确定中标候选人名单，以及根据采购人委托直接确定中标人。</w:t>
      </w:r>
    </w:p>
    <w:p w14:paraId="49C65ADD">
      <w:pPr>
        <w:pStyle w:val="16"/>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（五）向采购人、采购代理机构或者有关部门报告评标中发现的违法行为。</w:t>
      </w:r>
    </w:p>
    <w:p w14:paraId="1F4F60C8">
      <w:pPr>
        <w:pStyle w:val="16"/>
        <w:spacing w:line="500" w:lineRule="exact"/>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四、评标纪律</w:t>
      </w:r>
    </w:p>
    <w:p w14:paraId="06125596">
      <w:pPr>
        <w:pStyle w:val="16"/>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（一）对评标内容和评标过程要严格保密，不得向投标人或与该过程无关的其它人员泄露。</w:t>
      </w:r>
    </w:p>
    <w:p w14:paraId="10310925">
      <w:pPr>
        <w:pStyle w:val="16"/>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（二）评标期间的一切资料，包括评标意见、评标记录和评标结论，一律不得向外传和泄露。</w:t>
      </w:r>
    </w:p>
    <w:p w14:paraId="09515E91">
      <w:pPr>
        <w:pStyle w:val="16"/>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（三）任何属于投标文件审查、澄清、评价和比较的资料，不得向投标人或与该过程无关的其它人员泄露。</w:t>
      </w:r>
    </w:p>
    <w:p w14:paraId="3A80A88A">
      <w:pPr>
        <w:pStyle w:val="16"/>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（四）所有资料（包括招标文件、投标文件、评标表格及各种文字记录）在评标结束后均应分别整理、存档备查，任何人不得复制和保留。</w:t>
      </w:r>
    </w:p>
    <w:p w14:paraId="44911EE3">
      <w:pPr>
        <w:pStyle w:val="16"/>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（五）评标期间，未经允许评标委员会以外的任何单位或部门不得参加评标和采访评标工作。</w:t>
      </w:r>
    </w:p>
    <w:p w14:paraId="41490B23">
      <w:pPr>
        <w:pStyle w:val="16"/>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（六）评标期间，评标人员不得外出，确需外出时应事先请假。</w:t>
      </w:r>
    </w:p>
    <w:p w14:paraId="4BDB6723">
      <w:pPr>
        <w:pStyle w:val="16"/>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（七）评标期间，所有与会人员均不得私自以任何方式和投标人进行联系，需询问、澄清的问题由评委会统一组织办理。</w:t>
      </w:r>
    </w:p>
    <w:p w14:paraId="4FB0D878">
      <w:pPr>
        <w:pStyle w:val="16"/>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（八）评标结束后，与会人员不得向外界透露评标人员的评标意见，如因此造成的后果由责任者承担。</w:t>
      </w:r>
    </w:p>
    <w:p w14:paraId="38B4D019">
      <w:pPr>
        <w:spacing w:line="500" w:lineRule="exact"/>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五、评标原则</w:t>
      </w:r>
    </w:p>
    <w:p w14:paraId="7B8B165C">
      <w:pPr>
        <w:pStyle w:val="16"/>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评标将遵循下列原则：</w:t>
      </w:r>
    </w:p>
    <w:p w14:paraId="7DA1D5CA">
      <w:pPr>
        <w:pStyle w:val="16"/>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（一）坚持公平、公正、科学、择优的原则，本着实事求是的精神，不带有任何主观意愿和偏见，认真负责地做好评标工作，公平、公正地对待每一个投标人。</w:t>
      </w:r>
    </w:p>
    <w:p w14:paraId="76046978">
      <w:pPr>
        <w:pStyle w:val="16"/>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（二）全面分析，综合评审。</w:t>
      </w:r>
    </w:p>
    <w:p w14:paraId="06EF0D4F">
      <w:pPr>
        <w:pStyle w:val="16"/>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（三）评标只对投标人的投标文件进行评审，投标文件以外的资料、信息不应作为评标的依据。</w:t>
      </w:r>
    </w:p>
    <w:p w14:paraId="5C8C7E7A">
      <w:pPr>
        <w:spacing w:line="500" w:lineRule="exact"/>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六、评标程序</w:t>
      </w:r>
    </w:p>
    <w:p w14:paraId="509DCCD9">
      <w:pPr>
        <w:pStyle w:val="16"/>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本次招标所采用的评标方法为《政府采购货物和服务招标投标管理办法》（财政部令第87号）第五十五条规定的“综合评分法”，即：投标文件满足招标文件全部实质性要求，且按照评审因素的量化指标评审得分最高的投标人为中标候选人的评标方法。</w:t>
      </w:r>
    </w:p>
    <w:p w14:paraId="584C94D2">
      <w:pPr>
        <w:pStyle w:val="16"/>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评标只对通过资格审查的投标文件进行评审。评标按：符合性审查→商务和技术评估、综合比较与评价→得分汇总→评标报告编写的程序进行。</w:t>
      </w:r>
    </w:p>
    <w:p w14:paraId="30FB451C">
      <w:pPr>
        <w:spacing w:line="460" w:lineRule="exact"/>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（一）符合性审查</w:t>
      </w:r>
    </w:p>
    <w:p w14:paraId="6E9DE74A">
      <w:pPr>
        <w:pStyle w:val="16"/>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评标委员会依据符合性评审标准对符合资格的投标人的投标文件进行符合性审查，有一项不符合评审标准的，评标委员会应当否决其投标。</w:t>
      </w:r>
    </w:p>
    <w:p w14:paraId="4A78D3C9">
      <w:pPr>
        <w:pStyle w:val="16"/>
        <w:ind w:firstLine="482" w:firstLineChars="200"/>
        <w:rPr>
          <w:rFonts w:ascii="宋体" w:hAnsi="宋体" w:cs="宋体"/>
          <w:color w:val="auto"/>
          <w:sz w:val="24"/>
          <w:szCs w:val="24"/>
          <w:highlight w:val="none"/>
        </w:rPr>
      </w:pPr>
      <w:r>
        <w:rPr>
          <w:rFonts w:hint="eastAsia" w:ascii="宋体" w:hAnsi="宋体" w:cs="宋体"/>
          <w:b/>
          <w:color w:val="auto"/>
          <w:sz w:val="24"/>
          <w:szCs w:val="24"/>
          <w:highlight w:val="none"/>
        </w:rPr>
        <w:t>1、符合性审查表</w:t>
      </w:r>
    </w:p>
    <w:tbl>
      <w:tblPr>
        <w:tblStyle w:val="32"/>
        <w:tblW w:w="100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7"/>
        <w:gridCol w:w="2303"/>
        <w:gridCol w:w="5813"/>
      </w:tblGrid>
      <w:tr w14:paraId="5028E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1927" w:type="dxa"/>
            <w:vAlign w:val="center"/>
          </w:tcPr>
          <w:p w14:paraId="5CEB0404">
            <w:pPr>
              <w:pStyle w:val="16"/>
              <w:widowControl w:val="0"/>
              <w:ind w:firstLine="0"/>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审查内容</w:t>
            </w:r>
          </w:p>
        </w:tc>
        <w:tc>
          <w:tcPr>
            <w:tcW w:w="2303" w:type="dxa"/>
            <w:vAlign w:val="center"/>
          </w:tcPr>
          <w:p w14:paraId="48CE7961">
            <w:pPr>
              <w:pStyle w:val="16"/>
              <w:widowControl w:val="0"/>
              <w:ind w:firstLine="0"/>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评审因素</w:t>
            </w:r>
          </w:p>
        </w:tc>
        <w:tc>
          <w:tcPr>
            <w:tcW w:w="5813" w:type="dxa"/>
            <w:vAlign w:val="center"/>
          </w:tcPr>
          <w:p w14:paraId="614F5FD6">
            <w:pPr>
              <w:pStyle w:val="16"/>
              <w:widowControl w:val="0"/>
              <w:ind w:firstLine="0"/>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评审标准</w:t>
            </w:r>
          </w:p>
        </w:tc>
      </w:tr>
      <w:tr w14:paraId="7A326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4" w:hRule="atLeast"/>
        </w:trPr>
        <w:tc>
          <w:tcPr>
            <w:tcW w:w="1927" w:type="dxa"/>
            <w:vMerge w:val="restart"/>
            <w:vAlign w:val="center"/>
          </w:tcPr>
          <w:p w14:paraId="04361BA0">
            <w:pPr>
              <w:pStyle w:val="16"/>
              <w:widowControl w:val="0"/>
              <w:ind w:firstLine="0"/>
              <w:jc w:val="center"/>
              <w:rPr>
                <w:rFonts w:ascii="宋体" w:hAnsi="宋体" w:cs="宋体"/>
                <w:color w:val="auto"/>
                <w:sz w:val="24"/>
                <w:szCs w:val="24"/>
                <w:highlight w:val="none"/>
              </w:rPr>
            </w:pPr>
            <w:r>
              <w:rPr>
                <w:rFonts w:hint="eastAsia" w:ascii="宋体" w:hAnsi="宋体" w:cs="宋体"/>
                <w:color w:val="auto"/>
                <w:sz w:val="24"/>
                <w:szCs w:val="24"/>
                <w:highlight w:val="none"/>
              </w:rPr>
              <w:t>符合性评审标准</w:t>
            </w:r>
          </w:p>
        </w:tc>
        <w:tc>
          <w:tcPr>
            <w:tcW w:w="2303" w:type="dxa"/>
            <w:vAlign w:val="center"/>
          </w:tcPr>
          <w:p w14:paraId="67749311">
            <w:pPr>
              <w:pStyle w:val="16"/>
              <w:widowControl w:val="0"/>
              <w:ind w:firstLine="0"/>
              <w:jc w:val="center"/>
              <w:rPr>
                <w:rFonts w:ascii="宋体" w:hAnsi="宋体" w:cs="宋体"/>
                <w:color w:val="auto"/>
                <w:sz w:val="24"/>
                <w:szCs w:val="24"/>
                <w:highlight w:val="none"/>
              </w:rPr>
            </w:pPr>
            <w:r>
              <w:rPr>
                <w:rFonts w:hint="eastAsia" w:ascii="宋体" w:hAnsi="宋体" w:cs="宋体"/>
                <w:color w:val="auto"/>
                <w:sz w:val="24"/>
                <w:szCs w:val="24"/>
                <w:highlight w:val="none"/>
              </w:rPr>
              <w:t>投标文件签署、盖章</w:t>
            </w:r>
          </w:p>
        </w:tc>
        <w:tc>
          <w:tcPr>
            <w:tcW w:w="5813" w:type="dxa"/>
            <w:vAlign w:val="center"/>
          </w:tcPr>
          <w:p w14:paraId="232A3D95">
            <w:pPr>
              <w:pStyle w:val="16"/>
              <w:widowControl w:val="0"/>
              <w:ind w:firstLine="0"/>
              <w:jc w:val="both"/>
              <w:rPr>
                <w:rFonts w:ascii="宋体" w:hAnsi="宋体" w:cs="宋体"/>
                <w:color w:val="auto"/>
                <w:sz w:val="24"/>
                <w:szCs w:val="24"/>
                <w:highlight w:val="none"/>
              </w:rPr>
            </w:pPr>
            <w:r>
              <w:rPr>
                <w:rFonts w:hint="eastAsia" w:ascii="宋体" w:hAnsi="宋体" w:cs="宋体"/>
                <w:color w:val="auto"/>
                <w:sz w:val="24"/>
                <w:szCs w:val="24"/>
                <w:highlight w:val="none"/>
              </w:rPr>
              <w:t>按第四章“投标文件格式”中标注“▲”的内容</w:t>
            </w:r>
            <w:r>
              <w:rPr>
                <w:rFonts w:hint="eastAsia" w:ascii="宋体" w:hAnsi="宋体" w:cs="宋体"/>
                <w:color w:val="auto"/>
                <w:sz w:val="24"/>
                <w:highlight w:val="none"/>
              </w:rPr>
              <w:t>在规定位置加盖电子签章</w:t>
            </w:r>
            <w:r>
              <w:rPr>
                <w:rFonts w:hint="eastAsia" w:ascii="宋体" w:hAnsi="宋体" w:cs="宋体"/>
                <w:color w:val="auto"/>
                <w:sz w:val="24"/>
                <w:szCs w:val="24"/>
                <w:highlight w:val="none"/>
              </w:rPr>
              <w:t>、签字</w:t>
            </w:r>
          </w:p>
        </w:tc>
      </w:tr>
      <w:tr w14:paraId="1248C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1927" w:type="dxa"/>
            <w:vMerge w:val="continue"/>
          </w:tcPr>
          <w:p w14:paraId="46F5EE6E">
            <w:pPr>
              <w:pStyle w:val="16"/>
              <w:widowControl w:val="0"/>
              <w:ind w:firstLine="0"/>
              <w:jc w:val="both"/>
              <w:rPr>
                <w:rFonts w:ascii="宋体" w:hAnsi="宋体" w:cs="宋体"/>
                <w:color w:val="auto"/>
                <w:sz w:val="24"/>
                <w:szCs w:val="24"/>
                <w:highlight w:val="none"/>
              </w:rPr>
            </w:pPr>
          </w:p>
        </w:tc>
        <w:tc>
          <w:tcPr>
            <w:tcW w:w="2303" w:type="dxa"/>
            <w:vAlign w:val="center"/>
          </w:tcPr>
          <w:p w14:paraId="4DAA4072">
            <w:pPr>
              <w:pStyle w:val="16"/>
              <w:widowControl w:val="0"/>
              <w:ind w:firstLine="0"/>
              <w:jc w:val="center"/>
              <w:rPr>
                <w:rFonts w:ascii="宋体" w:hAnsi="宋体" w:cs="宋体"/>
                <w:color w:val="auto"/>
                <w:sz w:val="24"/>
                <w:szCs w:val="24"/>
                <w:highlight w:val="none"/>
              </w:rPr>
            </w:pPr>
            <w:r>
              <w:rPr>
                <w:rFonts w:hint="eastAsia" w:ascii="宋体" w:hAnsi="宋体" w:cs="宋体"/>
                <w:color w:val="auto"/>
                <w:sz w:val="24"/>
                <w:szCs w:val="24"/>
                <w:highlight w:val="none"/>
              </w:rPr>
              <w:t>投标保证金</w:t>
            </w:r>
          </w:p>
        </w:tc>
        <w:tc>
          <w:tcPr>
            <w:tcW w:w="5813" w:type="dxa"/>
          </w:tcPr>
          <w:p w14:paraId="32CA9596">
            <w:pPr>
              <w:pStyle w:val="16"/>
              <w:widowControl w:val="0"/>
              <w:ind w:firstLine="0"/>
              <w:jc w:val="both"/>
              <w:rPr>
                <w:rFonts w:ascii="宋体" w:hAnsi="宋体" w:cs="宋体"/>
                <w:color w:val="auto"/>
                <w:sz w:val="24"/>
                <w:szCs w:val="24"/>
                <w:highlight w:val="none"/>
              </w:rPr>
            </w:pPr>
            <w:r>
              <w:rPr>
                <w:rFonts w:hint="eastAsia" w:ascii="宋体" w:hAnsi="宋体" w:cs="宋体"/>
                <w:color w:val="auto"/>
                <w:sz w:val="24"/>
                <w:szCs w:val="24"/>
                <w:highlight w:val="none"/>
              </w:rPr>
              <w:t>符合第二章“投标人须知前附表”第3.4.1款规定</w:t>
            </w:r>
          </w:p>
        </w:tc>
      </w:tr>
      <w:tr w14:paraId="079D2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vMerge w:val="continue"/>
          </w:tcPr>
          <w:p w14:paraId="0465E6C0">
            <w:pPr>
              <w:pStyle w:val="16"/>
              <w:widowControl w:val="0"/>
              <w:jc w:val="both"/>
              <w:rPr>
                <w:rFonts w:ascii="宋体" w:hAnsi="宋体" w:cs="宋体"/>
                <w:color w:val="auto"/>
                <w:sz w:val="24"/>
                <w:szCs w:val="24"/>
                <w:highlight w:val="none"/>
              </w:rPr>
            </w:pPr>
          </w:p>
        </w:tc>
        <w:tc>
          <w:tcPr>
            <w:tcW w:w="2303" w:type="dxa"/>
            <w:vAlign w:val="center"/>
          </w:tcPr>
          <w:p w14:paraId="1BA9529E">
            <w:pPr>
              <w:pStyle w:val="16"/>
              <w:widowControl w:val="0"/>
              <w:ind w:firstLine="0"/>
              <w:jc w:val="center"/>
              <w:rPr>
                <w:rFonts w:ascii="宋体" w:hAnsi="宋体" w:cs="宋体"/>
                <w:color w:val="auto"/>
                <w:sz w:val="24"/>
                <w:szCs w:val="24"/>
                <w:highlight w:val="none"/>
              </w:rPr>
            </w:pPr>
            <w:r>
              <w:rPr>
                <w:rFonts w:hint="eastAsia" w:ascii="宋体" w:hAnsi="宋体" w:cs="宋体"/>
                <w:color w:val="auto"/>
                <w:sz w:val="24"/>
                <w:szCs w:val="24"/>
                <w:highlight w:val="none"/>
              </w:rPr>
              <w:t>投标报价</w:t>
            </w:r>
          </w:p>
        </w:tc>
        <w:tc>
          <w:tcPr>
            <w:tcW w:w="5813" w:type="dxa"/>
          </w:tcPr>
          <w:p w14:paraId="574DEF77">
            <w:pPr>
              <w:pStyle w:val="16"/>
              <w:widowControl w:val="0"/>
              <w:ind w:firstLine="0"/>
              <w:jc w:val="both"/>
              <w:rPr>
                <w:rFonts w:ascii="宋体" w:hAnsi="宋体" w:cs="宋体"/>
                <w:color w:val="auto"/>
                <w:sz w:val="24"/>
                <w:szCs w:val="24"/>
                <w:highlight w:val="none"/>
              </w:rPr>
            </w:pPr>
            <w:r>
              <w:rPr>
                <w:rFonts w:hint="eastAsia" w:ascii="宋体" w:hAnsi="宋体" w:cs="宋体"/>
                <w:color w:val="auto"/>
                <w:sz w:val="24"/>
                <w:szCs w:val="24"/>
                <w:highlight w:val="none"/>
              </w:rPr>
              <w:t>符合第二章“投标人须知”第3.2项规定和第二章“投标人须知前附表”第3.2.4款规定，投标报价不得超过预算金额及最高限价</w:t>
            </w:r>
          </w:p>
        </w:tc>
      </w:tr>
      <w:tr w14:paraId="62F20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1927" w:type="dxa"/>
            <w:vMerge w:val="continue"/>
          </w:tcPr>
          <w:p w14:paraId="30AF7051">
            <w:pPr>
              <w:pStyle w:val="16"/>
              <w:widowControl w:val="0"/>
              <w:jc w:val="both"/>
              <w:rPr>
                <w:rFonts w:ascii="宋体" w:hAnsi="宋体" w:cs="宋体"/>
                <w:color w:val="auto"/>
                <w:sz w:val="24"/>
                <w:szCs w:val="24"/>
                <w:highlight w:val="none"/>
              </w:rPr>
            </w:pPr>
          </w:p>
        </w:tc>
        <w:tc>
          <w:tcPr>
            <w:tcW w:w="2303" w:type="dxa"/>
            <w:vAlign w:val="center"/>
          </w:tcPr>
          <w:p w14:paraId="7339C242">
            <w:pPr>
              <w:pStyle w:val="16"/>
              <w:widowControl w:val="0"/>
              <w:ind w:firstLine="0"/>
              <w:jc w:val="center"/>
              <w:rPr>
                <w:rFonts w:ascii="宋体" w:hAnsi="宋体" w:cs="宋体"/>
                <w:color w:val="auto"/>
                <w:sz w:val="24"/>
                <w:szCs w:val="24"/>
                <w:highlight w:val="none"/>
              </w:rPr>
            </w:pPr>
            <w:r>
              <w:rPr>
                <w:rFonts w:hint="eastAsia" w:ascii="宋体" w:hAnsi="宋体" w:cs="宋体"/>
                <w:color w:val="auto"/>
                <w:sz w:val="24"/>
                <w:szCs w:val="24"/>
                <w:highlight w:val="none"/>
              </w:rPr>
              <w:t>投标有效期</w:t>
            </w:r>
          </w:p>
        </w:tc>
        <w:tc>
          <w:tcPr>
            <w:tcW w:w="5813" w:type="dxa"/>
          </w:tcPr>
          <w:p w14:paraId="5AC5DB6B">
            <w:pPr>
              <w:pStyle w:val="16"/>
              <w:widowControl w:val="0"/>
              <w:ind w:firstLine="0"/>
              <w:jc w:val="both"/>
              <w:rPr>
                <w:rFonts w:ascii="宋体" w:hAnsi="宋体" w:cs="宋体"/>
                <w:color w:val="auto"/>
                <w:sz w:val="24"/>
                <w:szCs w:val="24"/>
                <w:highlight w:val="none"/>
              </w:rPr>
            </w:pPr>
            <w:r>
              <w:rPr>
                <w:rFonts w:hint="eastAsia" w:ascii="宋体" w:hAnsi="宋体" w:cs="宋体"/>
                <w:color w:val="auto"/>
                <w:sz w:val="24"/>
                <w:szCs w:val="24"/>
                <w:highlight w:val="none"/>
              </w:rPr>
              <w:t>符合第二章“投标人须知前附表”第3.3.1款规定</w:t>
            </w:r>
          </w:p>
        </w:tc>
      </w:tr>
      <w:tr w14:paraId="365A6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927" w:type="dxa"/>
            <w:vMerge w:val="continue"/>
          </w:tcPr>
          <w:p w14:paraId="3BE7F23B">
            <w:pPr>
              <w:pStyle w:val="16"/>
              <w:widowControl w:val="0"/>
              <w:jc w:val="both"/>
              <w:rPr>
                <w:rFonts w:ascii="宋体" w:hAnsi="宋体" w:cs="宋体"/>
                <w:color w:val="auto"/>
                <w:sz w:val="24"/>
                <w:szCs w:val="24"/>
                <w:highlight w:val="none"/>
              </w:rPr>
            </w:pPr>
          </w:p>
        </w:tc>
        <w:tc>
          <w:tcPr>
            <w:tcW w:w="2303" w:type="dxa"/>
            <w:vAlign w:val="center"/>
          </w:tcPr>
          <w:p w14:paraId="24A5A651">
            <w:pPr>
              <w:pStyle w:val="16"/>
              <w:widowControl w:val="0"/>
              <w:ind w:firstLine="0"/>
              <w:jc w:val="center"/>
              <w:rPr>
                <w:rFonts w:ascii="宋体" w:hAnsi="宋体" w:cs="宋体"/>
                <w:color w:val="auto"/>
                <w:sz w:val="24"/>
                <w:szCs w:val="24"/>
                <w:highlight w:val="none"/>
              </w:rPr>
            </w:pPr>
            <w:r>
              <w:rPr>
                <w:rFonts w:hint="eastAsia" w:ascii="宋体" w:hAnsi="宋体" w:cs="宋体"/>
                <w:color w:val="auto"/>
                <w:sz w:val="24"/>
                <w:szCs w:val="24"/>
                <w:highlight w:val="none"/>
              </w:rPr>
              <w:t>合同履行期限</w:t>
            </w:r>
          </w:p>
        </w:tc>
        <w:tc>
          <w:tcPr>
            <w:tcW w:w="5813" w:type="dxa"/>
            <w:vAlign w:val="center"/>
          </w:tcPr>
          <w:p w14:paraId="0C2BA74D">
            <w:pPr>
              <w:pStyle w:val="16"/>
              <w:widowControl w:val="0"/>
              <w:ind w:firstLine="0"/>
              <w:jc w:val="both"/>
              <w:rPr>
                <w:rFonts w:ascii="宋体" w:hAnsi="宋体" w:cs="宋体"/>
                <w:color w:val="auto"/>
                <w:sz w:val="24"/>
                <w:szCs w:val="24"/>
                <w:highlight w:val="none"/>
              </w:rPr>
            </w:pPr>
            <w:r>
              <w:rPr>
                <w:rFonts w:hint="eastAsia" w:ascii="宋体" w:hAnsi="宋体" w:cs="宋体"/>
                <w:color w:val="auto"/>
                <w:sz w:val="24"/>
                <w:szCs w:val="24"/>
                <w:highlight w:val="none"/>
              </w:rPr>
              <w:t>符合第二章“投标人须知前附表”第1.3.2款规定</w:t>
            </w:r>
          </w:p>
        </w:tc>
      </w:tr>
      <w:tr w14:paraId="37F61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927" w:type="dxa"/>
            <w:vMerge w:val="continue"/>
          </w:tcPr>
          <w:p w14:paraId="637299BD">
            <w:pPr>
              <w:pStyle w:val="16"/>
              <w:widowControl w:val="0"/>
              <w:jc w:val="both"/>
              <w:rPr>
                <w:rFonts w:ascii="宋体" w:hAnsi="宋体" w:cs="宋体"/>
                <w:color w:val="auto"/>
                <w:sz w:val="24"/>
                <w:szCs w:val="24"/>
                <w:highlight w:val="none"/>
              </w:rPr>
            </w:pPr>
          </w:p>
        </w:tc>
        <w:tc>
          <w:tcPr>
            <w:tcW w:w="2303" w:type="dxa"/>
            <w:vAlign w:val="center"/>
          </w:tcPr>
          <w:p w14:paraId="199C9ADB">
            <w:pPr>
              <w:pStyle w:val="16"/>
              <w:widowControl w:val="0"/>
              <w:ind w:firstLine="0"/>
              <w:jc w:val="center"/>
              <w:rPr>
                <w:rFonts w:ascii="宋体" w:hAnsi="宋体" w:cs="宋体"/>
                <w:color w:val="auto"/>
                <w:sz w:val="24"/>
                <w:szCs w:val="24"/>
                <w:highlight w:val="none"/>
              </w:rPr>
            </w:pPr>
            <w:r>
              <w:rPr>
                <w:rFonts w:hint="eastAsia" w:ascii="宋体" w:hAnsi="宋体" w:cs="宋体"/>
                <w:color w:val="auto"/>
                <w:kern w:val="2"/>
                <w:sz w:val="24"/>
                <w:szCs w:val="24"/>
                <w:highlight w:val="none"/>
              </w:rPr>
              <w:t>质保期、质量标准</w:t>
            </w:r>
          </w:p>
        </w:tc>
        <w:tc>
          <w:tcPr>
            <w:tcW w:w="5813" w:type="dxa"/>
            <w:vAlign w:val="center"/>
          </w:tcPr>
          <w:p w14:paraId="2A2370F7">
            <w:pPr>
              <w:pStyle w:val="16"/>
              <w:widowControl w:val="0"/>
              <w:ind w:firstLine="0"/>
              <w:jc w:val="both"/>
              <w:rPr>
                <w:rFonts w:ascii="宋体" w:hAnsi="宋体" w:cs="宋体"/>
                <w:color w:val="auto"/>
                <w:sz w:val="24"/>
                <w:szCs w:val="24"/>
                <w:highlight w:val="none"/>
              </w:rPr>
            </w:pPr>
            <w:r>
              <w:rPr>
                <w:rFonts w:hint="eastAsia" w:ascii="宋体" w:hAnsi="宋体" w:cs="宋体"/>
                <w:color w:val="auto"/>
                <w:sz w:val="24"/>
                <w:szCs w:val="24"/>
                <w:highlight w:val="none"/>
              </w:rPr>
              <w:t>符合第二章“投标人须知前附表”第1.3.2款规定</w:t>
            </w:r>
          </w:p>
        </w:tc>
      </w:tr>
      <w:tr w14:paraId="5D384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1927" w:type="dxa"/>
            <w:vMerge w:val="continue"/>
          </w:tcPr>
          <w:p w14:paraId="71CCF06A">
            <w:pPr>
              <w:pStyle w:val="16"/>
              <w:widowControl w:val="0"/>
              <w:jc w:val="both"/>
              <w:rPr>
                <w:rFonts w:ascii="宋体" w:hAnsi="宋体" w:cs="宋体"/>
                <w:color w:val="auto"/>
                <w:sz w:val="24"/>
                <w:szCs w:val="24"/>
                <w:highlight w:val="none"/>
              </w:rPr>
            </w:pPr>
          </w:p>
        </w:tc>
        <w:tc>
          <w:tcPr>
            <w:tcW w:w="2303" w:type="dxa"/>
          </w:tcPr>
          <w:p w14:paraId="0D3F2423">
            <w:pPr>
              <w:pStyle w:val="16"/>
              <w:widowControl w:val="0"/>
              <w:ind w:firstLine="0"/>
              <w:jc w:val="center"/>
              <w:rPr>
                <w:rFonts w:ascii="宋体" w:hAnsi="宋体" w:cs="宋体"/>
                <w:color w:val="auto"/>
                <w:sz w:val="24"/>
                <w:szCs w:val="24"/>
                <w:highlight w:val="none"/>
              </w:rPr>
            </w:pPr>
            <w:r>
              <w:rPr>
                <w:rFonts w:hint="eastAsia" w:ascii="宋体" w:hAnsi="宋体" w:cs="宋体"/>
                <w:color w:val="auto"/>
                <w:kern w:val="2"/>
                <w:sz w:val="24"/>
                <w:szCs w:val="24"/>
                <w:highlight w:val="none"/>
              </w:rPr>
              <w:t>交货地点</w:t>
            </w:r>
          </w:p>
        </w:tc>
        <w:tc>
          <w:tcPr>
            <w:tcW w:w="5813" w:type="dxa"/>
          </w:tcPr>
          <w:p w14:paraId="2D0D140B">
            <w:pPr>
              <w:pStyle w:val="16"/>
              <w:widowControl w:val="0"/>
              <w:ind w:firstLine="0"/>
              <w:jc w:val="both"/>
              <w:rPr>
                <w:rFonts w:ascii="宋体" w:hAnsi="宋体" w:cs="宋体"/>
                <w:color w:val="auto"/>
                <w:sz w:val="24"/>
                <w:szCs w:val="24"/>
                <w:highlight w:val="none"/>
              </w:rPr>
            </w:pPr>
            <w:r>
              <w:rPr>
                <w:rFonts w:hint="eastAsia" w:ascii="宋体" w:hAnsi="宋体" w:cs="宋体"/>
                <w:color w:val="auto"/>
                <w:sz w:val="24"/>
                <w:szCs w:val="24"/>
                <w:highlight w:val="none"/>
              </w:rPr>
              <w:t>符合第二章“投标人须知前附表”第1.3.3款规定</w:t>
            </w:r>
          </w:p>
        </w:tc>
      </w:tr>
      <w:tr w14:paraId="6ABE5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1927" w:type="dxa"/>
            <w:vMerge w:val="continue"/>
          </w:tcPr>
          <w:p w14:paraId="13A6B086">
            <w:pPr>
              <w:pStyle w:val="16"/>
              <w:widowControl w:val="0"/>
              <w:jc w:val="both"/>
              <w:rPr>
                <w:rFonts w:ascii="宋体" w:hAnsi="宋体" w:cs="宋体"/>
                <w:color w:val="auto"/>
                <w:sz w:val="24"/>
                <w:szCs w:val="24"/>
                <w:highlight w:val="none"/>
              </w:rPr>
            </w:pPr>
          </w:p>
        </w:tc>
        <w:tc>
          <w:tcPr>
            <w:tcW w:w="2303" w:type="dxa"/>
            <w:vAlign w:val="center"/>
          </w:tcPr>
          <w:p w14:paraId="5FCBAAB2">
            <w:pPr>
              <w:pStyle w:val="16"/>
              <w:widowControl w:val="0"/>
              <w:ind w:firstLine="0"/>
              <w:jc w:val="center"/>
              <w:rPr>
                <w:rFonts w:ascii="宋体" w:hAnsi="宋体" w:cs="宋体"/>
                <w:color w:val="auto"/>
                <w:sz w:val="24"/>
                <w:szCs w:val="24"/>
                <w:highlight w:val="none"/>
              </w:rPr>
            </w:pPr>
            <w:r>
              <w:rPr>
                <w:rFonts w:hint="eastAsia" w:ascii="宋体" w:hAnsi="宋体" w:cs="宋体"/>
                <w:color w:val="auto"/>
                <w:sz w:val="24"/>
                <w:highlight w:val="none"/>
              </w:rPr>
              <w:t>投标内容</w:t>
            </w:r>
          </w:p>
        </w:tc>
        <w:tc>
          <w:tcPr>
            <w:tcW w:w="5813" w:type="dxa"/>
            <w:vAlign w:val="center"/>
          </w:tcPr>
          <w:p w14:paraId="1BFC0386">
            <w:pPr>
              <w:pStyle w:val="16"/>
              <w:widowControl w:val="0"/>
              <w:ind w:firstLine="0"/>
              <w:rPr>
                <w:rFonts w:ascii="宋体" w:hAnsi="宋体" w:cs="宋体"/>
                <w:color w:val="auto"/>
                <w:sz w:val="24"/>
                <w:szCs w:val="24"/>
                <w:highlight w:val="none"/>
              </w:rPr>
            </w:pPr>
            <w:r>
              <w:rPr>
                <w:rFonts w:hint="eastAsia" w:ascii="宋体" w:hAnsi="宋体" w:cs="宋体"/>
                <w:color w:val="auto"/>
                <w:sz w:val="24"/>
                <w:highlight w:val="none"/>
              </w:rPr>
              <w:t>投标人提供的货物无实质性遗漏</w:t>
            </w:r>
          </w:p>
        </w:tc>
      </w:tr>
      <w:tr w14:paraId="0A505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vMerge w:val="continue"/>
          </w:tcPr>
          <w:p w14:paraId="3A98F1CE">
            <w:pPr>
              <w:pStyle w:val="16"/>
              <w:widowControl w:val="0"/>
              <w:jc w:val="both"/>
              <w:rPr>
                <w:rFonts w:ascii="宋体" w:hAnsi="宋体" w:cs="宋体"/>
                <w:color w:val="auto"/>
                <w:sz w:val="24"/>
                <w:szCs w:val="24"/>
                <w:highlight w:val="none"/>
              </w:rPr>
            </w:pPr>
          </w:p>
        </w:tc>
        <w:tc>
          <w:tcPr>
            <w:tcW w:w="2303" w:type="dxa"/>
            <w:vAlign w:val="center"/>
          </w:tcPr>
          <w:p w14:paraId="390EF0FF">
            <w:pPr>
              <w:pStyle w:val="16"/>
              <w:widowControl w:val="0"/>
              <w:ind w:firstLine="0"/>
              <w:jc w:val="center"/>
              <w:rPr>
                <w:rFonts w:ascii="宋体" w:hAnsi="宋体" w:cs="宋体"/>
                <w:color w:val="auto"/>
                <w:sz w:val="24"/>
                <w:highlight w:val="none"/>
              </w:rPr>
            </w:pPr>
            <w:r>
              <w:rPr>
                <w:rFonts w:hint="eastAsia" w:ascii="宋体" w:hAnsi="宋体" w:cs="宋体"/>
                <w:color w:val="auto"/>
                <w:sz w:val="24"/>
                <w:highlight w:val="none"/>
              </w:rPr>
              <w:t>不允许偏离的实质性要求和条件</w:t>
            </w:r>
          </w:p>
        </w:tc>
        <w:tc>
          <w:tcPr>
            <w:tcW w:w="5813" w:type="dxa"/>
            <w:vAlign w:val="center"/>
          </w:tcPr>
          <w:p w14:paraId="527C02BE">
            <w:pPr>
              <w:widowControl w:val="0"/>
              <w:spacing w:line="380" w:lineRule="exact"/>
              <w:rPr>
                <w:rFonts w:ascii="宋体" w:hAnsi="宋体" w:cs="宋体"/>
                <w:color w:val="auto"/>
                <w:sz w:val="24"/>
                <w:highlight w:val="none"/>
              </w:rPr>
            </w:pPr>
            <w:r>
              <w:rPr>
                <w:rFonts w:hint="eastAsia" w:ascii="宋体" w:hAnsi="宋体" w:cs="宋体"/>
                <w:b/>
                <w:bCs/>
                <w:color w:val="auto"/>
                <w:kern w:val="2"/>
                <w:sz w:val="24"/>
                <w:szCs w:val="24"/>
                <w:highlight w:val="none"/>
              </w:rPr>
              <w:t>资格要求、符合性审查及第</w:t>
            </w:r>
            <w:r>
              <w:rPr>
                <w:rFonts w:hint="eastAsia" w:ascii="宋体" w:hAnsi="宋体" w:cs="宋体"/>
                <w:b/>
                <w:bCs/>
                <w:color w:val="auto"/>
                <w:kern w:val="2"/>
                <w:sz w:val="24"/>
                <w:szCs w:val="24"/>
                <w:highlight w:val="none"/>
                <w:lang w:val="en-US" w:eastAsia="zh-CN"/>
              </w:rPr>
              <w:t>六</w:t>
            </w:r>
            <w:r>
              <w:rPr>
                <w:rFonts w:hint="eastAsia" w:ascii="宋体" w:hAnsi="宋体" w:cs="宋体"/>
                <w:b/>
                <w:bCs/>
                <w:color w:val="auto"/>
                <w:kern w:val="2"/>
                <w:sz w:val="24"/>
                <w:szCs w:val="24"/>
                <w:highlight w:val="none"/>
              </w:rPr>
              <w:t>章“采购内容及要求”标注“★”的技术参数不允许负偏离</w:t>
            </w:r>
          </w:p>
        </w:tc>
      </w:tr>
      <w:tr w14:paraId="47A6F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vMerge w:val="continue"/>
          </w:tcPr>
          <w:p w14:paraId="3CEDED4C">
            <w:pPr>
              <w:pStyle w:val="16"/>
              <w:widowControl w:val="0"/>
              <w:jc w:val="both"/>
              <w:rPr>
                <w:rFonts w:ascii="宋体" w:hAnsi="宋体" w:cs="宋体"/>
                <w:color w:val="auto"/>
                <w:sz w:val="24"/>
                <w:szCs w:val="24"/>
                <w:highlight w:val="none"/>
              </w:rPr>
            </w:pPr>
          </w:p>
        </w:tc>
        <w:tc>
          <w:tcPr>
            <w:tcW w:w="2303" w:type="dxa"/>
            <w:vAlign w:val="center"/>
          </w:tcPr>
          <w:p w14:paraId="0F640FD8">
            <w:pPr>
              <w:pStyle w:val="16"/>
              <w:widowControl w:val="0"/>
              <w:ind w:firstLine="0"/>
              <w:jc w:val="center"/>
              <w:rPr>
                <w:rFonts w:ascii="宋体" w:hAnsi="宋体" w:cs="宋体"/>
                <w:color w:val="auto"/>
                <w:sz w:val="24"/>
                <w:highlight w:val="none"/>
              </w:rPr>
            </w:pPr>
            <w:r>
              <w:rPr>
                <w:rFonts w:hint="eastAsia" w:ascii="宋体" w:hAnsi="宋体" w:cs="宋体"/>
                <w:b/>
                <w:bCs/>
                <w:color w:val="auto"/>
                <w:kern w:val="2"/>
                <w:sz w:val="24"/>
                <w:szCs w:val="24"/>
                <w:highlight w:val="none"/>
              </w:rPr>
              <w:t>“★”技术参数承诺书</w:t>
            </w:r>
          </w:p>
        </w:tc>
        <w:tc>
          <w:tcPr>
            <w:tcW w:w="5813" w:type="dxa"/>
            <w:vAlign w:val="center"/>
          </w:tcPr>
          <w:p w14:paraId="2B9E4267">
            <w:pPr>
              <w:widowControl w:val="0"/>
              <w:spacing w:line="380" w:lineRule="exact"/>
              <w:rPr>
                <w:rFonts w:ascii="宋体" w:hAnsi="宋体" w:cs="宋体"/>
                <w:b/>
                <w:bCs/>
                <w:color w:val="auto"/>
                <w:kern w:val="2"/>
                <w:sz w:val="24"/>
                <w:szCs w:val="24"/>
                <w:highlight w:val="none"/>
              </w:rPr>
            </w:pPr>
            <w:r>
              <w:rPr>
                <w:rFonts w:hint="eastAsia" w:ascii="宋体" w:hAnsi="宋体" w:cs="宋体"/>
                <w:b/>
                <w:bCs/>
                <w:color w:val="auto"/>
                <w:kern w:val="2"/>
                <w:sz w:val="24"/>
                <w:szCs w:val="24"/>
                <w:highlight w:val="none"/>
              </w:rPr>
              <w:t>第</w:t>
            </w:r>
            <w:r>
              <w:rPr>
                <w:rFonts w:hint="eastAsia" w:ascii="宋体" w:hAnsi="宋体" w:cs="宋体"/>
                <w:b/>
                <w:bCs/>
                <w:color w:val="auto"/>
                <w:kern w:val="2"/>
                <w:sz w:val="24"/>
                <w:szCs w:val="24"/>
                <w:highlight w:val="none"/>
                <w:lang w:val="en-US" w:eastAsia="zh-CN"/>
              </w:rPr>
              <w:t>六</w:t>
            </w:r>
            <w:r>
              <w:rPr>
                <w:rFonts w:hint="eastAsia" w:ascii="宋体" w:hAnsi="宋体" w:cs="宋体"/>
                <w:b/>
                <w:bCs/>
                <w:color w:val="auto"/>
                <w:kern w:val="2"/>
                <w:sz w:val="24"/>
                <w:szCs w:val="24"/>
                <w:highlight w:val="none"/>
              </w:rPr>
              <w:t>章“采购内容及要求”标注“★”的技术参数需提供承诺书</w:t>
            </w:r>
          </w:p>
        </w:tc>
      </w:tr>
      <w:tr w14:paraId="6D403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vMerge w:val="continue"/>
          </w:tcPr>
          <w:p w14:paraId="0CAFF975">
            <w:pPr>
              <w:pStyle w:val="16"/>
              <w:widowControl w:val="0"/>
              <w:jc w:val="both"/>
              <w:rPr>
                <w:rFonts w:ascii="宋体" w:hAnsi="宋体" w:cs="宋体"/>
                <w:color w:val="auto"/>
                <w:sz w:val="24"/>
                <w:szCs w:val="24"/>
                <w:highlight w:val="none"/>
              </w:rPr>
            </w:pPr>
          </w:p>
        </w:tc>
        <w:tc>
          <w:tcPr>
            <w:tcW w:w="2303" w:type="dxa"/>
            <w:vAlign w:val="center"/>
          </w:tcPr>
          <w:p w14:paraId="5F6790DE">
            <w:pPr>
              <w:pStyle w:val="16"/>
              <w:widowControl w:val="0"/>
              <w:ind w:firstLine="0"/>
              <w:jc w:val="center"/>
              <w:rPr>
                <w:rFonts w:ascii="宋体" w:hAnsi="宋体" w:cs="宋体"/>
                <w:color w:val="auto"/>
                <w:sz w:val="24"/>
                <w:szCs w:val="24"/>
                <w:highlight w:val="none"/>
              </w:rPr>
            </w:pPr>
            <w:r>
              <w:rPr>
                <w:rFonts w:hint="eastAsia" w:ascii="宋体" w:hAnsi="宋体" w:cs="宋体"/>
                <w:color w:val="auto"/>
                <w:sz w:val="24"/>
                <w:szCs w:val="24"/>
                <w:highlight w:val="none"/>
              </w:rPr>
              <w:t>法定代表人授权委托书</w:t>
            </w:r>
          </w:p>
        </w:tc>
        <w:tc>
          <w:tcPr>
            <w:tcW w:w="5813" w:type="dxa"/>
            <w:vAlign w:val="center"/>
          </w:tcPr>
          <w:p w14:paraId="481E50DA">
            <w:pPr>
              <w:pStyle w:val="16"/>
              <w:widowControl w:val="0"/>
              <w:ind w:firstLine="0"/>
              <w:rPr>
                <w:rFonts w:ascii="宋体" w:hAnsi="宋体" w:cs="宋体"/>
                <w:color w:val="auto"/>
                <w:sz w:val="24"/>
                <w:szCs w:val="24"/>
                <w:highlight w:val="none"/>
              </w:rPr>
            </w:pPr>
            <w:r>
              <w:rPr>
                <w:rFonts w:hint="eastAsia" w:ascii="宋体" w:hAnsi="宋体" w:cs="宋体"/>
                <w:color w:val="auto"/>
                <w:sz w:val="24"/>
                <w:szCs w:val="24"/>
                <w:highlight w:val="none"/>
              </w:rPr>
              <w:t>法定代表人委托代理人投标的，应在投标文件中附法定代表人授权委托书</w:t>
            </w:r>
          </w:p>
        </w:tc>
      </w:tr>
      <w:tr w14:paraId="39640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vMerge w:val="continue"/>
          </w:tcPr>
          <w:p w14:paraId="3D5A4FE5">
            <w:pPr>
              <w:pStyle w:val="16"/>
              <w:widowControl w:val="0"/>
              <w:jc w:val="both"/>
              <w:rPr>
                <w:rFonts w:ascii="宋体" w:hAnsi="宋体" w:cs="宋体"/>
                <w:color w:val="auto"/>
                <w:sz w:val="24"/>
                <w:szCs w:val="24"/>
                <w:highlight w:val="none"/>
              </w:rPr>
            </w:pPr>
          </w:p>
        </w:tc>
        <w:tc>
          <w:tcPr>
            <w:tcW w:w="2303" w:type="dxa"/>
            <w:vAlign w:val="center"/>
          </w:tcPr>
          <w:p w14:paraId="49CBE0CA">
            <w:pPr>
              <w:widowControl w:val="0"/>
              <w:tabs>
                <w:tab w:val="left" w:pos="1260"/>
                <w:tab w:val="left" w:pos="1620"/>
              </w:tabs>
              <w:adjustRightInd w:val="0"/>
              <w:snapToGrid w:val="0"/>
              <w:jc w:val="center"/>
              <w:textAlignment w:val="baseline"/>
              <w:rPr>
                <w:rFonts w:ascii="宋体" w:hAnsi="宋体" w:cs="宋体"/>
                <w:color w:val="auto"/>
                <w:sz w:val="24"/>
                <w:szCs w:val="24"/>
                <w:highlight w:val="none"/>
              </w:rPr>
            </w:pPr>
            <w:r>
              <w:rPr>
                <w:rFonts w:hint="eastAsia" w:ascii="宋体" w:hAnsi="宋体" w:cs="宋体"/>
                <w:color w:val="auto"/>
                <w:sz w:val="24"/>
                <w:highlight w:val="none"/>
              </w:rPr>
              <w:t>其他无效情形</w:t>
            </w:r>
          </w:p>
        </w:tc>
        <w:tc>
          <w:tcPr>
            <w:tcW w:w="5813" w:type="dxa"/>
            <w:vAlign w:val="center"/>
          </w:tcPr>
          <w:p w14:paraId="60AEAE4B">
            <w:pPr>
              <w:pStyle w:val="16"/>
              <w:widowControl w:val="0"/>
              <w:autoSpaceDE w:val="0"/>
              <w:ind w:firstLine="0"/>
              <w:jc w:val="both"/>
              <w:rPr>
                <w:rFonts w:ascii="宋体" w:hAnsi="宋体" w:cs="宋体"/>
                <w:color w:val="auto"/>
                <w:sz w:val="24"/>
                <w:szCs w:val="24"/>
                <w:highlight w:val="none"/>
              </w:rPr>
            </w:pPr>
            <w:r>
              <w:rPr>
                <w:rFonts w:hint="eastAsia" w:ascii="宋体" w:hAnsi="宋体" w:cs="宋体"/>
                <w:color w:val="auto"/>
                <w:sz w:val="24"/>
                <w:szCs w:val="24"/>
                <w:highlight w:val="none"/>
              </w:rPr>
              <w:t>(1)不同投标人的投标文件由同一单位或者个人编制；</w:t>
            </w:r>
          </w:p>
          <w:p w14:paraId="4F04502C">
            <w:pPr>
              <w:pStyle w:val="16"/>
              <w:widowControl w:val="0"/>
              <w:autoSpaceDE w:val="0"/>
              <w:ind w:firstLine="0"/>
              <w:jc w:val="both"/>
              <w:rPr>
                <w:rFonts w:ascii="宋体" w:hAnsi="宋体" w:cs="宋体"/>
                <w:color w:val="auto"/>
                <w:sz w:val="24"/>
                <w:szCs w:val="24"/>
                <w:highlight w:val="none"/>
              </w:rPr>
            </w:pPr>
            <w:r>
              <w:rPr>
                <w:rFonts w:hint="eastAsia" w:ascii="宋体" w:hAnsi="宋体" w:cs="宋体"/>
                <w:color w:val="auto"/>
                <w:sz w:val="24"/>
                <w:szCs w:val="24"/>
                <w:highlight w:val="none"/>
              </w:rPr>
              <w:t>(2)不同投标人委托同一单位或者个人办理投标事宜；</w:t>
            </w:r>
          </w:p>
          <w:p w14:paraId="54CD9AF7">
            <w:pPr>
              <w:pStyle w:val="16"/>
              <w:widowControl w:val="0"/>
              <w:autoSpaceDE w:val="0"/>
              <w:ind w:firstLine="0"/>
              <w:jc w:val="both"/>
              <w:rPr>
                <w:rFonts w:ascii="宋体" w:hAnsi="宋体" w:cs="宋体"/>
                <w:color w:val="auto"/>
                <w:sz w:val="24"/>
                <w:szCs w:val="24"/>
                <w:highlight w:val="none"/>
              </w:rPr>
            </w:pPr>
            <w:r>
              <w:rPr>
                <w:rFonts w:hint="eastAsia" w:ascii="宋体" w:hAnsi="宋体" w:cs="宋体"/>
                <w:color w:val="auto"/>
                <w:sz w:val="24"/>
                <w:szCs w:val="24"/>
                <w:highlight w:val="none"/>
              </w:rPr>
              <w:t>(3)不同投标人的投标文件载明的项目管理成员或者联系人员为同一人；</w:t>
            </w:r>
          </w:p>
          <w:p w14:paraId="67DE24CB">
            <w:pPr>
              <w:pStyle w:val="16"/>
              <w:widowControl w:val="0"/>
              <w:autoSpaceDE w:val="0"/>
              <w:ind w:firstLine="0"/>
              <w:jc w:val="both"/>
              <w:rPr>
                <w:rFonts w:ascii="宋体" w:hAnsi="宋体" w:cs="宋体"/>
                <w:color w:val="auto"/>
                <w:sz w:val="24"/>
                <w:szCs w:val="24"/>
                <w:highlight w:val="none"/>
              </w:rPr>
            </w:pPr>
            <w:r>
              <w:rPr>
                <w:rFonts w:hint="eastAsia" w:ascii="宋体" w:hAnsi="宋体" w:cs="宋体"/>
                <w:color w:val="auto"/>
                <w:sz w:val="24"/>
                <w:szCs w:val="24"/>
                <w:highlight w:val="none"/>
              </w:rPr>
              <w:t>(4)不同投标人的投标文件异常一致或者投标报价呈规律性差异；</w:t>
            </w:r>
          </w:p>
          <w:p w14:paraId="73635FB9">
            <w:pPr>
              <w:pStyle w:val="16"/>
              <w:widowControl w:val="0"/>
              <w:autoSpaceDE w:val="0"/>
              <w:ind w:firstLine="0"/>
              <w:jc w:val="both"/>
              <w:rPr>
                <w:rFonts w:ascii="宋体" w:hAnsi="宋体" w:cs="宋体"/>
                <w:color w:val="auto"/>
                <w:sz w:val="24"/>
                <w:szCs w:val="24"/>
                <w:highlight w:val="none"/>
              </w:rPr>
            </w:pPr>
            <w:r>
              <w:rPr>
                <w:rFonts w:hint="eastAsia" w:ascii="宋体" w:hAnsi="宋体" w:cs="宋体"/>
                <w:color w:val="auto"/>
                <w:sz w:val="24"/>
                <w:szCs w:val="24"/>
                <w:highlight w:val="none"/>
              </w:rPr>
              <w:t>(5)不同投标人的投标文件相互混装；</w:t>
            </w:r>
          </w:p>
          <w:p w14:paraId="4A434A29">
            <w:pPr>
              <w:pStyle w:val="16"/>
              <w:widowControl w:val="0"/>
              <w:autoSpaceDE w:val="0"/>
              <w:ind w:firstLine="0"/>
              <w:jc w:val="both"/>
              <w:rPr>
                <w:rFonts w:ascii="宋体" w:hAnsi="宋体" w:cs="宋体"/>
                <w:color w:val="auto"/>
                <w:sz w:val="24"/>
                <w:szCs w:val="24"/>
                <w:highlight w:val="none"/>
              </w:rPr>
            </w:pPr>
            <w:r>
              <w:rPr>
                <w:rFonts w:hint="eastAsia" w:ascii="宋体" w:hAnsi="宋体" w:cs="宋体"/>
                <w:color w:val="auto"/>
                <w:sz w:val="24"/>
                <w:szCs w:val="24"/>
                <w:highlight w:val="none"/>
              </w:rPr>
              <w:t>(6)不同投标人的投标保证金从同一单位或者个人的账户转出；</w:t>
            </w:r>
          </w:p>
          <w:p w14:paraId="4BDC7010">
            <w:pPr>
              <w:pStyle w:val="16"/>
              <w:widowControl w:val="0"/>
              <w:autoSpaceDE w:val="0"/>
              <w:ind w:firstLine="0"/>
              <w:jc w:val="both"/>
              <w:rPr>
                <w:rFonts w:ascii="宋体" w:hAnsi="宋体" w:cs="宋体"/>
                <w:color w:val="auto"/>
                <w:sz w:val="24"/>
                <w:szCs w:val="24"/>
                <w:highlight w:val="none"/>
              </w:rPr>
            </w:pPr>
            <w:r>
              <w:rPr>
                <w:rFonts w:hint="eastAsia" w:ascii="宋体" w:hAnsi="宋体" w:cs="宋体"/>
                <w:color w:val="auto"/>
                <w:sz w:val="24"/>
                <w:szCs w:val="24"/>
                <w:highlight w:val="none"/>
              </w:rPr>
              <w:t>(7)串通投标或弄虚作假或有其他违法行为的；</w:t>
            </w:r>
          </w:p>
          <w:p w14:paraId="39888C4E">
            <w:pPr>
              <w:pStyle w:val="16"/>
              <w:widowControl w:val="0"/>
              <w:autoSpaceDE w:val="0"/>
              <w:ind w:firstLine="0"/>
              <w:jc w:val="both"/>
              <w:rPr>
                <w:rFonts w:ascii="宋体" w:hAnsi="宋体" w:cs="宋体"/>
                <w:color w:val="auto"/>
                <w:sz w:val="24"/>
                <w:szCs w:val="24"/>
                <w:highlight w:val="none"/>
              </w:rPr>
            </w:pPr>
            <w:r>
              <w:rPr>
                <w:rFonts w:hint="eastAsia" w:ascii="宋体" w:hAnsi="宋体" w:cs="宋体"/>
                <w:color w:val="auto"/>
                <w:sz w:val="24"/>
                <w:szCs w:val="24"/>
                <w:highlight w:val="none"/>
              </w:rPr>
              <w:t>(8)法律、法规和招标文件规定的其他无效情形。</w:t>
            </w:r>
          </w:p>
        </w:tc>
      </w:tr>
      <w:tr w14:paraId="33DC2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1927" w:type="dxa"/>
            <w:vMerge w:val="continue"/>
          </w:tcPr>
          <w:p w14:paraId="5EC89DF3">
            <w:pPr>
              <w:pStyle w:val="16"/>
              <w:widowControl w:val="0"/>
              <w:jc w:val="both"/>
              <w:rPr>
                <w:rFonts w:ascii="宋体" w:hAnsi="宋体" w:cs="宋体"/>
                <w:color w:val="auto"/>
                <w:sz w:val="24"/>
                <w:szCs w:val="24"/>
                <w:highlight w:val="none"/>
              </w:rPr>
            </w:pPr>
          </w:p>
        </w:tc>
        <w:tc>
          <w:tcPr>
            <w:tcW w:w="2303" w:type="dxa"/>
          </w:tcPr>
          <w:p w14:paraId="5192D4ED">
            <w:pPr>
              <w:pStyle w:val="16"/>
              <w:widowControl w:val="0"/>
              <w:ind w:firstLine="0"/>
              <w:jc w:val="center"/>
              <w:rPr>
                <w:rFonts w:ascii="宋体" w:hAnsi="宋体" w:cs="宋体"/>
                <w:color w:val="auto"/>
                <w:sz w:val="24"/>
                <w:szCs w:val="24"/>
                <w:highlight w:val="none"/>
              </w:rPr>
            </w:pPr>
            <w:r>
              <w:rPr>
                <w:rFonts w:hint="eastAsia" w:ascii="宋体" w:hAnsi="宋体" w:cs="宋体"/>
                <w:color w:val="auto"/>
                <w:sz w:val="24"/>
                <w:szCs w:val="24"/>
                <w:highlight w:val="none"/>
              </w:rPr>
              <w:t>附加条件</w:t>
            </w:r>
          </w:p>
        </w:tc>
        <w:tc>
          <w:tcPr>
            <w:tcW w:w="5813" w:type="dxa"/>
          </w:tcPr>
          <w:p w14:paraId="7183B698">
            <w:pPr>
              <w:pStyle w:val="16"/>
              <w:widowControl w:val="0"/>
              <w:ind w:firstLine="0"/>
              <w:jc w:val="both"/>
              <w:rPr>
                <w:rFonts w:ascii="宋体" w:hAnsi="宋体" w:cs="宋体"/>
                <w:color w:val="auto"/>
                <w:sz w:val="24"/>
                <w:szCs w:val="24"/>
                <w:highlight w:val="none"/>
              </w:rPr>
            </w:pPr>
            <w:r>
              <w:rPr>
                <w:rFonts w:hint="eastAsia" w:ascii="宋体" w:hAnsi="宋体" w:cs="宋体"/>
                <w:color w:val="auto"/>
                <w:sz w:val="24"/>
                <w:szCs w:val="24"/>
                <w:highlight w:val="none"/>
              </w:rPr>
              <w:t>投标文件未含有采购人不能接受的附加条件</w:t>
            </w:r>
          </w:p>
        </w:tc>
      </w:tr>
    </w:tbl>
    <w:p w14:paraId="6218BE25">
      <w:pPr>
        <w:pStyle w:val="16"/>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（二）澄清有关问题</w:t>
      </w:r>
    </w:p>
    <w:p w14:paraId="2251F767">
      <w:pPr>
        <w:pStyle w:val="16"/>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1.投标文件内容澄清</w:t>
      </w:r>
    </w:p>
    <w:p w14:paraId="70855495">
      <w:pPr>
        <w:pStyle w:val="16"/>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对于投标文件中含义不明确、同类问题表述不一致或者有明显文字和计算错误的内容，评标委员会应当以书面形式要求投标人作出必要的澄清、说明或者补正。投标人的澄清、说明或者补正应当采用书面形式，并加盖单位公章，或者由法定代表人或其授权的代表签字。投标人的澄清、说明或者补正不得超出投标文件的范围或者改变投标文件的实质性内容。</w:t>
      </w:r>
    </w:p>
    <w:p w14:paraId="5D861867">
      <w:pPr>
        <w:pStyle w:val="16"/>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2.报价不一致情形澄清</w:t>
      </w:r>
    </w:p>
    <w:p w14:paraId="43281795">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投标文件报价出现前后不一致的，除招标文件另有规定外，按照下列规定修正：</w:t>
      </w:r>
    </w:p>
    <w:p w14:paraId="1759D84D">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（1）投标文件中《开标一览表》内容与投标文件中相应内容不一致的，以《开标一览表》为准；</w:t>
      </w:r>
    </w:p>
    <w:p w14:paraId="4EDBCE05">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（2）大写金额和小写金额不一致的，以大写金额为准；</w:t>
      </w:r>
    </w:p>
    <w:p w14:paraId="04110917">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（3）单价金额小数点或者百分比有明显错位的，以开标一览表的总价为准，并修改单价；</w:t>
      </w:r>
    </w:p>
    <w:p w14:paraId="2654B18B">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（4）总价金额与按单价汇总金额不一致的，以单价金额计算结果为准。</w:t>
      </w:r>
    </w:p>
    <w:p w14:paraId="56DE716A">
      <w:pPr>
        <w:pStyle w:val="16"/>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同时出现两种以上不一致的，按照前款规定的顺序修正。修正后的报价经投标人确认后产生约束力，投标人不确认的，其投标无效。</w:t>
      </w:r>
    </w:p>
    <w:p w14:paraId="4223CDF0">
      <w:pPr>
        <w:pStyle w:val="16"/>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3.报价过低情形澄清</w:t>
      </w:r>
    </w:p>
    <w:p w14:paraId="4E17633C">
      <w:pPr>
        <w:pStyle w:val="16"/>
        <w:widowControl w:val="0"/>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评标委员会认为投标人的报价（总价或单价）明显低于其他通过符合性审查投标人的报价（总价或单价），有可能影响产品质量或者不能诚信履约的，应当要求其在评标现场合理的时间内提供书面说明，必要时提交相关证明材料；投标人不能证明其报价合理性的，评标委员会应当将其作为无效投标处理。</w:t>
      </w:r>
    </w:p>
    <w:p w14:paraId="1F0B54E8">
      <w:pPr>
        <w:spacing w:line="500" w:lineRule="exact"/>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（三）商务和技术评估、综合比较与评价</w:t>
      </w:r>
    </w:p>
    <w:p w14:paraId="62531C6E">
      <w:pPr>
        <w:widowControl w:val="0"/>
        <w:autoSpaceDE w:val="0"/>
        <w:autoSpaceDN w:val="0"/>
        <w:spacing w:line="460" w:lineRule="exact"/>
        <w:ind w:firstLine="472" w:firstLineChars="196"/>
        <w:jc w:val="both"/>
        <w:rPr>
          <w:rFonts w:ascii="宋体" w:hAnsi="宋体" w:cs="宋体"/>
          <w:b/>
          <w:bCs/>
          <w:color w:val="auto"/>
          <w:sz w:val="24"/>
          <w:szCs w:val="24"/>
          <w:highlight w:val="none"/>
        </w:rPr>
      </w:pPr>
      <w:r>
        <w:rPr>
          <w:rFonts w:hint="eastAsia" w:ascii="宋体" w:hAnsi="宋体" w:cs="宋体"/>
          <w:b/>
          <w:bCs/>
          <w:color w:val="auto"/>
          <w:sz w:val="24"/>
          <w:szCs w:val="24"/>
          <w:highlight w:val="none"/>
        </w:rPr>
        <w:t>1.同品牌产品不同投标人的处理方式</w:t>
      </w:r>
    </w:p>
    <w:p w14:paraId="173EC3D0">
      <w:pPr>
        <w:widowControl w:val="0"/>
        <w:spacing w:line="460" w:lineRule="exact"/>
        <w:ind w:firstLine="470" w:firstLineChars="196"/>
        <w:jc w:val="both"/>
        <w:rPr>
          <w:rFonts w:ascii="宋体" w:hAnsi="宋体" w:cs="宋体"/>
          <w:color w:val="auto"/>
          <w:sz w:val="24"/>
          <w:szCs w:val="24"/>
          <w:highlight w:val="none"/>
        </w:rPr>
      </w:pPr>
      <w:r>
        <w:rPr>
          <w:rFonts w:hint="eastAsia" w:ascii="宋体" w:hAnsi="宋体" w:cs="宋体"/>
          <w:color w:val="auto"/>
          <w:sz w:val="24"/>
          <w:szCs w:val="24"/>
          <w:highlight w:val="none"/>
        </w:rPr>
        <w:t>详见招标文件第二章投标人须知总则第12.1条规定。</w:t>
      </w:r>
    </w:p>
    <w:p w14:paraId="79839746">
      <w:pPr>
        <w:widowControl w:val="0"/>
        <w:spacing w:line="460" w:lineRule="exact"/>
        <w:ind w:firstLine="472" w:firstLineChars="196"/>
        <w:jc w:val="both"/>
        <w:rPr>
          <w:rFonts w:ascii="宋体" w:hAnsi="宋体" w:cs="宋体"/>
          <w:b/>
          <w:bCs/>
          <w:color w:val="auto"/>
          <w:sz w:val="24"/>
          <w:szCs w:val="24"/>
          <w:highlight w:val="none"/>
        </w:rPr>
      </w:pPr>
      <w:r>
        <w:rPr>
          <w:rFonts w:hint="eastAsia" w:ascii="宋体" w:hAnsi="宋体" w:cs="宋体"/>
          <w:b/>
          <w:bCs/>
          <w:color w:val="auto"/>
          <w:sz w:val="24"/>
          <w:szCs w:val="24"/>
          <w:highlight w:val="none"/>
        </w:rPr>
        <w:t>2.小型和微型企业价格评分优惠政策</w:t>
      </w:r>
    </w:p>
    <w:p w14:paraId="085B542F">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（1）根据“国家统计局关于印发《统计上大中小微型企业划分办法（2017）》的通知”、《政府采购促进中小企业发展管理办法》（财库﹝2020﹞46 号）、《关于进一步加大政府采购支持中小企业力度的通知》（财库﹝2022﹞19号）的规定，对符合条件的小型和微型投标人，在报价评分时给予报价</w:t>
      </w:r>
      <w:r>
        <w:rPr>
          <w:rFonts w:hint="eastAsia" w:ascii="宋体" w:hAnsi="宋体" w:cs="宋体"/>
          <w:color w:val="auto"/>
          <w:sz w:val="24"/>
          <w:szCs w:val="24"/>
          <w:highlight w:val="none"/>
          <w:u w:val="single"/>
        </w:rPr>
        <w:t xml:space="preserve">   10%   </w:t>
      </w:r>
      <w:r>
        <w:rPr>
          <w:rFonts w:hint="eastAsia" w:ascii="宋体" w:hAnsi="宋体" w:cs="宋体"/>
          <w:color w:val="auto"/>
          <w:sz w:val="24"/>
          <w:szCs w:val="24"/>
          <w:highlight w:val="none"/>
        </w:rPr>
        <w:t>的扣除，用扣除后的报价参与报价评分。</w:t>
      </w:r>
    </w:p>
    <w:p w14:paraId="5145D76E">
      <w:pPr>
        <w:spacing w:line="360" w:lineRule="auto"/>
        <w:ind w:firstLine="480" w:firstLineChars="200"/>
        <w:rPr>
          <w:rFonts w:ascii="宋体" w:hAnsi="宋体" w:cs="宋体"/>
          <w:color w:val="auto"/>
          <w:sz w:val="24"/>
          <w:szCs w:val="24"/>
          <w:highlight w:val="none"/>
          <w:u w:val="single"/>
        </w:rPr>
      </w:pPr>
      <w:r>
        <w:rPr>
          <w:rFonts w:hint="eastAsia" w:ascii="宋体" w:hAnsi="宋体" w:cs="宋体"/>
          <w:color w:val="auto"/>
          <w:sz w:val="24"/>
          <w:szCs w:val="24"/>
          <w:highlight w:val="none"/>
        </w:rPr>
        <w:t>（2）请投标人根据“国家统计局关于印发《统计上大中小微型企业划分办法（2017）》的通知”、《政府采购促进中小企业发展管理办法》（财库﹝2020﹞46 号）的规定，提供《中小企业声明函》，未提供的在价格评分时不对报价进行扣除。</w:t>
      </w:r>
      <w:r>
        <w:rPr>
          <w:rFonts w:hint="eastAsia" w:ascii="宋体" w:hAnsi="宋体" w:cs="宋体"/>
          <w:b/>
          <w:color w:val="auto"/>
          <w:sz w:val="24"/>
          <w:szCs w:val="24"/>
          <w:highlight w:val="none"/>
        </w:rPr>
        <w:t>投标人对《中小企业声明函》的真实性负责，如有虚假，自行承担相应责任。</w:t>
      </w:r>
    </w:p>
    <w:p w14:paraId="57103A07">
      <w:pPr>
        <w:spacing w:line="360" w:lineRule="auto"/>
        <w:ind w:firstLine="480" w:firstLineChars="200"/>
        <w:rPr>
          <w:rFonts w:ascii="宋体" w:hAnsi="宋体" w:cs="宋体"/>
          <w:b/>
          <w:bCs/>
          <w:color w:val="auto"/>
          <w:sz w:val="24"/>
          <w:szCs w:val="24"/>
          <w:highlight w:val="none"/>
        </w:rPr>
      </w:pPr>
      <w:r>
        <w:rPr>
          <w:rFonts w:hint="eastAsia" w:ascii="宋体" w:hAnsi="宋体" w:cs="宋体"/>
          <w:color w:val="auto"/>
          <w:sz w:val="24"/>
          <w:szCs w:val="24"/>
          <w:highlight w:val="none"/>
        </w:rPr>
        <w:t>（3）以联合体形式参加政府采购活动，联合体各方均为中小企业的，联合体视同中小企业。其中，联合体各方均为小型微型的，联合体视同小微型企业，在报价评分时给予联合体报价</w:t>
      </w:r>
      <w:r>
        <w:rPr>
          <w:rFonts w:hint="eastAsia" w:ascii="宋体" w:hAnsi="宋体" w:cs="宋体"/>
          <w:color w:val="auto"/>
          <w:sz w:val="24"/>
          <w:szCs w:val="24"/>
          <w:highlight w:val="none"/>
          <w:u w:val="single"/>
        </w:rPr>
        <w:t xml:space="preserve">   10%   </w:t>
      </w:r>
      <w:r>
        <w:rPr>
          <w:rFonts w:hint="eastAsia" w:ascii="宋体" w:hAnsi="宋体" w:cs="宋体"/>
          <w:color w:val="auto"/>
          <w:sz w:val="24"/>
          <w:szCs w:val="24"/>
          <w:highlight w:val="none"/>
        </w:rPr>
        <w:t>的扣除，用扣除后的报价参与报价评分。</w:t>
      </w:r>
    </w:p>
    <w:p w14:paraId="0FDDBA9C">
      <w:pPr>
        <w:spacing w:line="360" w:lineRule="auto"/>
        <w:ind w:firstLine="480" w:firstLineChars="200"/>
        <w:rPr>
          <w:rFonts w:ascii="宋体" w:hAnsi="宋体" w:cs="宋体"/>
          <w:b/>
          <w:bCs/>
          <w:color w:val="auto"/>
          <w:sz w:val="24"/>
          <w:szCs w:val="24"/>
          <w:highlight w:val="none"/>
        </w:rPr>
      </w:pPr>
      <w:r>
        <w:rPr>
          <w:rFonts w:hint="eastAsia" w:ascii="宋体" w:hAnsi="宋体" w:cs="宋体"/>
          <w:color w:val="auto"/>
          <w:sz w:val="24"/>
          <w:szCs w:val="24"/>
          <w:highlight w:val="none"/>
        </w:rPr>
        <w:t>（4）联合体中部分企业为小微型企业的，且小微型企业的协议合同金额占到联合体协议合同总金额30%以上的，在报价评分时给予联合体报价</w:t>
      </w:r>
      <w:r>
        <w:rPr>
          <w:rFonts w:hint="eastAsia" w:ascii="宋体" w:hAnsi="宋体" w:cs="宋体"/>
          <w:color w:val="auto"/>
          <w:sz w:val="24"/>
          <w:szCs w:val="24"/>
          <w:highlight w:val="none"/>
          <w:u w:val="single"/>
        </w:rPr>
        <w:t xml:space="preserve">   4%   </w:t>
      </w:r>
      <w:r>
        <w:rPr>
          <w:rFonts w:hint="eastAsia" w:ascii="宋体" w:hAnsi="宋体" w:cs="宋体"/>
          <w:color w:val="auto"/>
          <w:sz w:val="24"/>
          <w:szCs w:val="24"/>
          <w:highlight w:val="none"/>
        </w:rPr>
        <w:t>的扣除，用扣除后的报价参与报价评分。</w:t>
      </w:r>
    </w:p>
    <w:p w14:paraId="6D6B5FB9">
      <w:pPr>
        <w:autoSpaceDE w:val="0"/>
        <w:autoSpaceDN w:val="0"/>
        <w:spacing w:line="480" w:lineRule="exact"/>
        <w:ind w:firstLine="472" w:firstLineChars="196"/>
        <w:rPr>
          <w:rFonts w:ascii="宋体" w:hAnsi="宋体" w:cs="宋体"/>
          <w:b/>
          <w:bCs/>
          <w:color w:val="auto"/>
          <w:sz w:val="24"/>
          <w:szCs w:val="24"/>
          <w:highlight w:val="none"/>
        </w:rPr>
      </w:pPr>
      <w:r>
        <w:rPr>
          <w:rFonts w:hint="eastAsia" w:ascii="宋体" w:hAnsi="宋体" w:cs="宋体"/>
          <w:b/>
          <w:bCs/>
          <w:color w:val="auto"/>
          <w:sz w:val="24"/>
          <w:szCs w:val="24"/>
          <w:highlight w:val="none"/>
        </w:rPr>
        <w:t>3.监狱企业评分优惠政策</w:t>
      </w:r>
    </w:p>
    <w:p w14:paraId="55C52756">
      <w:pPr>
        <w:autoSpaceDE w:val="0"/>
        <w:autoSpaceDN w:val="0"/>
        <w:spacing w:line="480" w:lineRule="exact"/>
        <w:ind w:left="-15" w:leftChars="-7"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根据《关于政府采购支持监狱企业发展有关问题的通知》（财库[2014]68号）的规定，监狱企业</w:t>
      </w:r>
      <w:r>
        <w:rPr>
          <w:rFonts w:hint="eastAsia" w:ascii="宋体" w:hAnsi="宋体" w:cs="宋体"/>
          <w:color w:val="auto"/>
          <w:kern w:val="2"/>
          <w:sz w:val="24"/>
          <w:szCs w:val="24"/>
          <w:highlight w:val="none"/>
        </w:rPr>
        <w:t>优惠政策</w:t>
      </w:r>
      <w:r>
        <w:rPr>
          <w:rFonts w:hint="eastAsia" w:ascii="宋体" w:hAnsi="宋体" w:cs="宋体"/>
          <w:color w:val="auto"/>
          <w:sz w:val="24"/>
          <w:szCs w:val="24"/>
          <w:highlight w:val="none"/>
        </w:rPr>
        <w:t>，监狱企业参与本项目投标时，提供由省级以上监狱管理局、戒毒管理局（含新疆生产建设兵团）出具的属于监狱企业的证明文件的，视同小型、微型企业享受价格扣除等优惠政策。</w:t>
      </w:r>
    </w:p>
    <w:p w14:paraId="501985FF">
      <w:pPr>
        <w:autoSpaceDE w:val="0"/>
        <w:autoSpaceDN w:val="0"/>
        <w:spacing w:line="480" w:lineRule="exact"/>
        <w:ind w:firstLine="472" w:firstLineChars="196"/>
        <w:rPr>
          <w:rFonts w:ascii="宋体" w:hAnsi="宋体" w:cs="宋体"/>
          <w:b/>
          <w:bCs/>
          <w:color w:val="auto"/>
          <w:sz w:val="24"/>
          <w:szCs w:val="24"/>
          <w:highlight w:val="none"/>
        </w:rPr>
      </w:pPr>
      <w:r>
        <w:rPr>
          <w:rFonts w:hint="eastAsia" w:ascii="宋体" w:hAnsi="宋体" w:cs="宋体"/>
          <w:b/>
          <w:bCs/>
          <w:color w:val="auto"/>
          <w:sz w:val="24"/>
          <w:szCs w:val="24"/>
          <w:highlight w:val="none"/>
        </w:rPr>
        <w:t>4.残疾人福利性单位优惠政策</w:t>
      </w:r>
    </w:p>
    <w:p w14:paraId="06496071">
      <w:pPr>
        <w:autoSpaceDE w:val="0"/>
        <w:spacing w:line="360" w:lineRule="auto"/>
        <w:ind w:firstLine="480" w:firstLineChars="200"/>
        <w:rPr>
          <w:rFonts w:ascii="宋体" w:hAnsi="宋体" w:cs="宋体"/>
          <w:b/>
          <w:color w:val="auto"/>
          <w:sz w:val="24"/>
          <w:szCs w:val="24"/>
          <w:highlight w:val="none"/>
        </w:rPr>
      </w:pPr>
      <w:r>
        <w:rPr>
          <w:rFonts w:hint="eastAsia" w:ascii="宋体" w:hAnsi="宋体" w:cs="宋体"/>
          <w:color w:val="auto"/>
          <w:sz w:val="24"/>
          <w:szCs w:val="24"/>
          <w:highlight w:val="none"/>
        </w:rPr>
        <w:t>根据《关于促进残疾人就业政府采购政策的通知》（财库[2017]141号）的规定，残疾人福利性单位</w:t>
      </w:r>
      <w:r>
        <w:rPr>
          <w:rFonts w:hint="eastAsia" w:ascii="宋体" w:hAnsi="宋体" w:cs="宋体"/>
          <w:color w:val="auto"/>
          <w:kern w:val="2"/>
          <w:sz w:val="24"/>
          <w:szCs w:val="24"/>
          <w:highlight w:val="none"/>
        </w:rPr>
        <w:t>优惠政策</w:t>
      </w:r>
      <w:r>
        <w:rPr>
          <w:rFonts w:hint="eastAsia" w:ascii="宋体" w:hAnsi="宋体" w:cs="宋体"/>
          <w:color w:val="auto"/>
          <w:sz w:val="24"/>
          <w:szCs w:val="24"/>
          <w:highlight w:val="none"/>
        </w:rPr>
        <w:t>，残疾人福利性单位参与本项目投标时，提供《残疾人福利性单位声明函》并对声明的真实性负责，视同小型、微型企业享受价格扣除等优惠政策。</w:t>
      </w:r>
      <w:r>
        <w:rPr>
          <w:rFonts w:hint="eastAsia" w:ascii="宋体" w:hAnsi="宋体" w:cs="宋体"/>
          <w:b/>
          <w:color w:val="auto"/>
          <w:sz w:val="24"/>
          <w:szCs w:val="24"/>
          <w:highlight w:val="none"/>
        </w:rPr>
        <w:t>投标人对《残疾人福利性单位声明函》的真实性负责，如有虚假，自行承担相应责任。</w:t>
      </w:r>
    </w:p>
    <w:p w14:paraId="65DC1292">
      <w:pPr>
        <w:autoSpaceDE w:val="0"/>
        <w:autoSpaceDN w:val="0"/>
        <w:spacing w:line="480" w:lineRule="exact"/>
        <w:ind w:firstLine="472" w:firstLineChars="196"/>
        <w:rPr>
          <w:rFonts w:ascii="宋体" w:hAnsi="宋体" w:cs="宋体"/>
          <w:b/>
          <w:bCs/>
          <w:color w:val="auto"/>
          <w:sz w:val="24"/>
          <w:szCs w:val="24"/>
          <w:highlight w:val="none"/>
        </w:rPr>
      </w:pPr>
      <w:r>
        <w:rPr>
          <w:rFonts w:hint="eastAsia" w:ascii="宋体" w:hAnsi="宋体" w:cs="宋体"/>
          <w:b/>
          <w:bCs/>
          <w:color w:val="auto"/>
          <w:sz w:val="24"/>
          <w:szCs w:val="24"/>
          <w:highlight w:val="none"/>
        </w:rPr>
        <w:t>5.节能产品及环境标志产品的优惠政策</w:t>
      </w:r>
    </w:p>
    <w:p w14:paraId="4C6FA77E">
      <w:pPr>
        <w:pStyle w:val="16"/>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按照“财政部 发展改革委 生态环境部 市场监管总局 关于调整优化节能产品、环境标志产品政府采购执行机制的通知”财库〔2019〕9号的规定执行。</w:t>
      </w:r>
    </w:p>
    <w:p w14:paraId="1B768975">
      <w:pPr>
        <w:autoSpaceDE w:val="0"/>
        <w:autoSpaceDN w:val="0"/>
        <w:spacing w:line="480" w:lineRule="exact"/>
        <w:ind w:firstLine="472" w:firstLineChars="196"/>
        <w:rPr>
          <w:rFonts w:ascii="宋体" w:hAnsi="宋体" w:cs="宋体"/>
          <w:b/>
          <w:bCs/>
          <w:color w:val="auto"/>
          <w:sz w:val="24"/>
          <w:szCs w:val="24"/>
          <w:highlight w:val="none"/>
        </w:rPr>
      </w:pPr>
      <w:r>
        <w:rPr>
          <w:rFonts w:hint="eastAsia" w:ascii="宋体" w:hAnsi="宋体" w:cs="宋体"/>
          <w:b/>
          <w:bCs/>
          <w:color w:val="auto"/>
          <w:sz w:val="24"/>
          <w:szCs w:val="24"/>
          <w:highlight w:val="none"/>
        </w:rPr>
        <w:t>6.综合评分方式</w:t>
      </w:r>
    </w:p>
    <w:p w14:paraId="7162884E">
      <w:pPr>
        <w:autoSpaceDE w:val="0"/>
        <w:autoSpaceDN w:val="0"/>
        <w:spacing w:line="4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评标总得分＝F1＋F2＋F3，其中，</w:t>
      </w:r>
    </w:p>
    <w:p w14:paraId="75F065EA">
      <w:pPr>
        <w:pStyle w:val="16"/>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F1、F2、F3分别为各项评审因素的得分</w:t>
      </w:r>
    </w:p>
    <w:p w14:paraId="27EEB9B9">
      <w:pPr>
        <w:pStyle w:val="16"/>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具体商务技术评审细则如下：</w:t>
      </w:r>
    </w:p>
    <w:tbl>
      <w:tblPr>
        <w:tblStyle w:val="32"/>
        <w:tblW w:w="100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7"/>
        <w:gridCol w:w="1748"/>
        <w:gridCol w:w="1441"/>
        <w:gridCol w:w="5978"/>
      </w:tblGrid>
      <w:tr w14:paraId="00CB6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exact"/>
          <w:jc w:val="center"/>
        </w:trPr>
        <w:tc>
          <w:tcPr>
            <w:tcW w:w="877" w:type="dxa"/>
            <w:vMerge w:val="restart"/>
            <w:vAlign w:val="center"/>
          </w:tcPr>
          <w:p w14:paraId="4BE63B72">
            <w:pPr>
              <w:spacing w:line="400" w:lineRule="exact"/>
              <w:jc w:val="center"/>
              <w:rPr>
                <w:rFonts w:ascii="宋体" w:hAnsi="宋体" w:cs="宋体"/>
                <w:sz w:val="24"/>
                <w:szCs w:val="24"/>
              </w:rPr>
            </w:pPr>
            <w:r>
              <w:rPr>
                <w:rFonts w:hint="eastAsia" w:ascii="宋体" w:hAnsi="宋体" w:cs="宋体"/>
                <w:sz w:val="24"/>
                <w:szCs w:val="24"/>
              </w:rPr>
              <w:t>分值构成与评分标准</w:t>
            </w:r>
          </w:p>
        </w:tc>
        <w:tc>
          <w:tcPr>
            <w:tcW w:w="1748" w:type="dxa"/>
            <w:vAlign w:val="center"/>
          </w:tcPr>
          <w:p w14:paraId="3FED0B8A">
            <w:pPr>
              <w:pStyle w:val="16"/>
              <w:widowControl w:val="0"/>
              <w:spacing w:line="400" w:lineRule="exact"/>
              <w:ind w:firstLine="0"/>
              <w:jc w:val="center"/>
              <w:rPr>
                <w:rFonts w:ascii="宋体" w:hAnsi="宋体" w:cs="宋体"/>
                <w:sz w:val="24"/>
                <w:szCs w:val="24"/>
              </w:rPr>
            </w:pPr>
            <w:r>
              <w:rPr>
                <w:rFonts w:hint="eastAsia" w:ascii="宋体" w:hAnsi="宋体" w:cs="宋体"/>
                <w:b/>
                <w:bCs/>
                <w:sz w:val="24"/>
                <w:szCs w:val="24"/>
              </w:rPr>
              <w:t>评审因素</w:t>
            </w:r>
          </w:p>
        </w:tc>
        <w:tc>
          <w:tcPr>
            <w:tcW w:w="7419" w:type="dxa"/>
            <w:gridSpan w:val="2"/>
            <w:vAlign w:val="center"/>
          </w:tcPr>
          <w:p w14:paraId="2281E5FA">
            <w:pPr>
              <w:pStyle w:val="16"/>
              <w:widowControl w:val="0"/>
              <w:spacing w:line="400" w:lineRule="exact"/>
              <w:ind w:firstLine="0"/>
              <w:jc w:val="center"/>
              <w:rPr>
                <w:rFonts w:ascii="宋体" w:hAnsi="宋体" w:cs="宋体"/>
                <w:sz w:val="24"/>
                <w:szCs w:val="24"/>
              </w:rPr>
            </w:pPr>
            <w:r>
              <w:rPr>
                <w:rFonts w:hint="eastAsia" w:ascii="宋体" w:hAnsi="宋体" w:cs="宋体"/>
                <w:b/>
                <w:bCs/>
                <w:sz w:val="24"/>
                <w:szCs w:val="24"/>
              </w:rPr>
              <w:t>评审标准</w:t>
            </w:r>
          </w:p>
        </w:tc>
      </w:tr>
      <w:tr w14:paraId="13EDE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3" w:hRule="exact"/>
          <w:jc w:val="center"/>
        </w:trPr>
        <w:tc>
          <w:tcPr>
            <w:tcW w:w="877" w:type="dxa"/>
            <w:vMerge w:val="continue"/>
            <w:vAlign w:val="center"/>
          </w:tcPr>
          <w:p w14:paraId="01D536EF">
            <w:pPr>
              <w:spacing w:line="400" w:lineRule="exact"/>
              <w:jc w:val="center"/>
              <w:rPr>
                <w:rFonts w:ascii="宋体" w:hAnsi="宋体" w:cs="宋体"/>
                <w:sz w:val="24"/>
                <w:szCs w:val="24"/>
              </w:rPr>
            </w:pPr>
          </w:p>
        </w:tc>
        <w:tc>
          <w:tcPr>
            <w:tcW w:w="1748" w:type="dxa"/>
            <w:vAlign w:val="center"/>
          </w:tcPr>
          <w:p w14:paraId="22DCEFA7">
            <w:pPr>
              <w:widowControl w:val="0"/>
              <w:spacing w:line="400" w:lineRule="exact"/>
              <w:jc w:val="center"/>
              <w:rPr>
                <w:rFonts w:ascii="宋体" w:hAnsi="宋体" w:cs="宋体"/>
                <w:sz w:val="24"/>
                <w:szCs w:val="24"/>
              </w:rPr>
            </w:pPr>
            <w:r>
              <w:rPr>
                <w:rFonts w:hint="eastAsia" w:ascii="宋体" w:hAnsi="宋体" w:cs="宋体"/>
                <w:sz w:val="24"/>
                <w:szCs w:val="24"/>
              </w:rPr>
              <w:t>1）评标总得分计算公式</w:t>
            </w:r>
          </w:p>
        </w:tc>
        <w:tc>
          <w:tcPr>
            <w:tcW w:w="7419" w:type="dxa"/>
            <w:gridSpan w:val="2"/>
            <w:vAlign w:val="center"/>
          </w:tcPr>
          <w:p w14:paraId="5C476727">
            <w:pPr>
              <w:widowControl w:val="0"/>
              <w:spacing w:line="400" w:lineRule="exact"/>
              <w:rPr>
                <w:rFonts w:ascii="宋体" w:hAnsi="宋体" w:cs="宋体"/>
                <w:sz w:val="24"/>
                <w:szCs w:val="24"/>
              </w:rPr>
            </w:pPr>
            <w:r>
              <w:rPr>
                <w:rFonts w:hint="eastAsia" w:ascii="宋体" w:hAnsi="宋体" w:cs="宋体"/>
                <w:sz w:val="24"/>
                <w:szCs w:val="24"/>
              </w:rPr>
              <w:t>评标总得分＝F1＋F2＋F3，其中，</w:t>
            </w:r>
          </w:p>
          <w:p w14:paraId="71983354">
            <w:pPr>
              <w:widowControl w:val="0"/>
              <w:spacing w:line="400" w:lineRule="exact"/>
              <w:rPr>
                <w:rFonts w:ascii="宋体" w:hAnsi="宋体" w:cs="宋体"/>
                <w:sz w:val="24"/>
                <w:szCs w:val="24"/>
              </w:rPr>
            </w:pPr>
            <w:r>
              <w:rPr>
                <w:rFonts w:hint="eastAsia" w:ascii="宋体" w:hAnsi="宋体" w:cs="宋体"/>
                <w:sz w:val="24"/>
                <w:szCs w:val="24"/>
              </w:rPr>
              <w:t>F1、F2、F3分别为各项评审因素的得分；</w:t>
            </w:r>
          </w:p>
        </w:tc>
      </w:tr>
      <w:tr w14:paraId="55E06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4" w:hRule="exact"/>
          <w:jc w:val="center"/>
        </w:trPr>
        <w:tc>
          <w:tcPr>
            <w:tcW w:w="877" w:type="dxa"/>
            <w:vMerge w:val="continue"/>
            <w:vAlign w:val="center"/>
          </w:tcPr>
          <w:p w14:paraId="1FFF14A5">
            <w:pPr>
              <w:spacing w:line="400" w:lineRule="exact"/>
              <w:rPr>
                <w:rFonts w:ascii="宋体" w:hAnsi="宋体" w:cs="宋体"/>
                <w:sz w:val="24"/>
                <w:szCs w:val="24"/>
              </w:rPr>
            </w:pPr>
          </w:p>
        </w:tc>
        <w:tc>
          <w:tcPr>
            <w:tcW w:w="1748" w:type="dxa"/>
            <w:vAlign w:val="center"/>
          </w:tcPr>
          <w:p w14:paraId="58B3E1C2">
            <w:pPr>
              <w:spacing w:line="400" w:lineRule="exact"/>
              <w:jc w:val="center"/>
              <w:rPr>
                <w:rFonts w:ascii="宋体" w:hAnsi="宋体" w:cs="宋体"/>
                <w:sz w:val="24"/>
                <w:szCs w:val="24"/>
              </w:rPr>
            </w:pPr>
            <w:r>
              <w:rPr>
                <w:rFonts w:hint="eastAsia" w:ascii="宋体" w:hAnsi="宋体" w:cs="宋体"/>
                <w:sz w:val="24"/>
                <w:szCs w:val="24"/>
              </w:rPr>
              <w:t>2）评分因素权重</w:t>
            </w:r>
          </w:p>
        </w:tc>
        <w:tc>
          <w:tcPr>
            <w:tcW w:w="7419" w:type="dxa"/>
            <w:gridSpan w:val="2"/>
            <w:vAlign w:val="center"/>
          </w:tcPr>
          <w:p w14:paraId="3330D4A6">
            <w:pPr>
              <w:widowControl w:val="0"/>
              <w:spacing w:line="400" w:lineRule="exact"/>
              <w:rPr>
                <w:rFonts w:ascii="宋体" w:hAnsi="宋体" w:cs="宋体"/>
                <w:sz w:val="24"/>
                <w:szCs w:val="24"/>
              </w:rPr>
            </w:pPr>
            <w:r>
              <w:rPr>
                <w:rFonts w:hint="eastAsia" w:ascii="宋体" w:hAnsi="宋体" w:cs="宋体"/>
                <w:sz w:val="24"/>
                <w:szCs w:val="24"/>
              </w:rPr>
              <w:t>投标报价F1：30分，权重为1。</w:t>
            </w:r>
          </w:p>
          <w:p w14:paraId="1109727D">
            <w:pPr>
              <w:widowControl w:val="0"/>
              <w:spacing w:line="400" w:lineRule="exact"/>
              <w:rPr>
                <w:rFonts w:ascii="宋体" w:hAnsi="宋体" w:cs="宋体"/>
                <w:sz w:val="24"/>
                <w:szCs w:val="24"/>
              </w:rPr>
            </w:pPr>
            <w:r>
              <w:rPr>
                <w:rFonts w:hint="eastAsia" w:ascii="宋体" w:hAnsi="宋体" w:cs="宋体"/>
                <w:sz w:val="24"/>
                <w:szCs w:val="24"/>
              </w:rPr>
              <w:t>技术部分F2：5</w:t>
            </w:r>
            <w:r>
              <w:rPr>
                <w:rFonts w:hint="eastAsia" w:ascii="宋体" w:hAnsi="宋体" w:cs="宋体"/>
                <w:sz w:val="24"/>
                <w:szCs w:val="24"/>
                <w:lang w:val="en-US" w:eastAsia="zh-CN"/>
              </w:rPr>
              <w:t>2</w:t>
            </w:r>
            <w:r>
              <w:rPr>
                <w:rFonts w:hint="eastAsia" w:ascii="宋体" w:hAnsi="宋体" w:cs="宋体"/>
                <w:sz w:val="24"/>
                <w:szCs w:val="24"/>
              </w:rPr>
              <w:t>分，权重为1。</w:t>
            </w:r>
          </w:p>
          <w:p w14:paraId="4012E1F5">
            <w:pPr>
              <w:widowControl w:val="0"/>
              <w:spacing w:line="400" w:lineRule="exact"/>
              <w:rPr>
                <w:rFonts w:ascii="宋体" w:hAnsi="宋体" w:cs="宋体"/>
                <w:sz w:val="24"/>
                <w:szCs w:val="24"/>
              </w:rPr>
            </w:pPr>
            <w:r>
              <w:rPr>
                <w:rFonts w:hint="eastAsia" w:ascii="宋体" w:hAnsi="宋体" w:cs="宋体"/>
                <w:sz w:val="24"/>
                <w:szCs w:val="24"/>
              </w:rPr>
              <w:t>商务部分F3：1</w:t>
            </w:r>
            <w:r>
              <w:rPr>
                <w:rFonts w:hint="eastAsia" w:ascii="宋体" w:hAnsi="宋体" w:cs="宋体"/>
                <w:sz w:val="24"/>
                <w:szCs w:val="24"/>
                <w:lang w:val="en-US" w:eastAsia="zh-CN"/>
              </w:rPr>
              <w:t>8</w:t>
            </w:r>
            <w:r>
              <w:rPr>
                <w:rFonts w:hint="eastAsia" w:ascii="宋体" w:hAnsi="宋体" w:cs="宋体"/>
                <w:sz w:val="24"/>
                <w:szCs w:val="24"/>
              </w:rPr>
              <w:t>分，权重为1。</w:t>
            </w:r>
          </w:p>
        </w:tc>
      </w:tr>
      <w:tr w14:paraId="11B50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7" w:type="dxa"/>
            <w:vMerge w:val="continue"/>
            <w:vAlign w:val="center"/>
          </w:tcPr>
          <w:p w14:paraId="14CAB20C">
            <w:pPr>
              <w:spacing w:line="400" w:lineRule="exact"/>
              <w:rPr>
                <w:rFonts w:ascii="宋体" w:hAnsi="宋体" w:cs="宋体"/>
                <w:sz w:val="24"/>
                <w:szCs w:val="24"/>
              </w:rPr>
            </w:pPr>
          </w:p>
        </w:tc>
        <w:tc>
          <w:tcPr>
            <w:tcW w:w="1748" w:type="dxa"/>
            <w:vAlign w:val="center"/>
          </w:tcPr>
          <w:p w14:paraId="6F2C1D08">
            <w:pPr>
              <w:spacing w:line="400" w:lineRule="exact"/>
              <w:jc w:val="center"/>
              <w:rPr>
                <w:rFonts w:ascii="宋体" w:hAnsi="宋体" w:cs="宋体"/>
                <w:sz w:val="24"/>
                <w:szCs w:val="24"/>
              </w:rPr>
            </w:pPr>
            <w:r>
              <w:rPr>
                <w:rFonts w:hint="eastAsia" w:ascii="宋体" w:hAnsi="宋体" w:cs="宋体"/>
                <w:sz w:val="24"/>
                <w:szCs w:val="24"/>
              </w:rPr>
              <w:t>3）投标报价得分F1（满分30分）</w:t>
            </w:r>
          </w:p>
        </w:tc>
        <w:tc>
          <w:tcPr>
            <w:tcW w:w="7419" w:type="dxa"/>
            <w:gridSpan w:val="2"/>
            <w:vAlign w:val="center"/>
          </w:tcPr>
          <w:p w14:paraId="26924026">
            <w:pPr>
              <w:spacing w:line="400" w:lineRule="exact"/>
              <w:rPr>
                <w:rFonts w:ascii="宋体" w:hAnsi="宋体" w:cs="宋体"/>
                <w:b/>
                <w:bCs/>
                <w:sz w:val="24"/>
                <w:szCs w:val="24"/>
              </w:rPr>
            </w:pPr>
            <w:r>
              <w:rPr>
                <w:rFonts w:hint="eastAsia" w:ascii="宋体" w:hAnsi="宋体" w:cs="宋体"/>
                <w:b/>
                <w:bCs/>
                <w:sz w:val="24"/>
                <w:szCs w:val="24"/>
              </w:rPr>
              <w:t>投标报价计算公式=（评标基准价/投标报价）×30</w:t>
            </w:r>
          </w:p>
          <w:p w14:paraId="1183C0B5">
            <w:pPr>
              <w:spacing w:line="400" w:lineRule="exact"/>
              <w:rPr>
                <w:rFonts w:ascii="宋体" w:hAnsi="宋体" w:cs="宋体"/>
                <w:sz w:val="24"/>
                <w:szCs w:val="24"/>
              </w:rPr>
            </w:pPr>
            <w:r>
              <w:rPr>
                <w:rFonts w:hint="eastAsia" w:ascii="宋体" w:hAnsi="宋体" w:cs="宋体"/>
                <w:sz w:val="24"/>
                <w:szCs w:val="24"/>
              </w:rPr>
              <w:t>即：F1=[C/（B1，B2，…，Bn）]×30</w:t>
            </w:r>
          </w:p>
          <w:p w14:paraId="0DAEDC69">
            <w:pPr>
              <w:spacing w:line="400" w:lineRule="exact"/>
              <w:rPr>
                <w:rFonts w:ascii="宋体" w:hAnsi="宋体" w:cs="宋体"/>
                <w:sz w:val="24"/>
                <w:szCs w:val="24"/>
              </w:rPr>
            </w:pPr>
            <w:r>
              <w:rPr>
                <w:rFonts w:hint="eastAsia" w:ascii="宋体" w:hAnsi="宋体" w:cs="宋体"/>
                <w:sz w:val="24"/>
                <w:szCs w:val="24"/>
              </w:rPr>
              <w:t>注：C为评标基准价，即实质性要求审查合格且投标价格最低的有效投标报价；</w:t>
            </w:r>
          </w:p>
          <w:p w14:paraId="5682FF2F">
            <w:pPr>
              <w:spacing w:line="400" w:lineRule="exact"/>
              <w:rPr>
                <w:rFonts w:ascii="宋体" w:hAnsi="宋体" w:cs="宋体"/>
                <w:sz w:val="24"/>
                <w:szCs w:val="24"/>
              </w:rPr>
            </w:pPr>
            <w:r>
              <w:rPr>
                <w:rFonts w:hint="eastAsia" w:ascii="宋体" w:hAnsi="宋体" w:cs="宋体"/>
                <w:sz w:val="24"/>
                <w:szCs w:val="24"/>
              </w:rPr>
              <w:t>B1，B2，…，Bn为第n个经初步审查合格的有效投标报价。</w:t>
            </w:r>
          </w:p>
          <w:p w14:paraId="089980E8">
            <w:pPr>
              <w:spacing w:line="400" w:lineRule="exact"/>
              <w:rPr>
                <w:rFonts w:ascii="宋体" w:hAnsi="宋体" w:cs="宋体"/>
                <w:sz w:val="24"/>
                <w:szCs w:val="24"/>
              </w:rPr>
            </w:pPr>
            <w:r>
              <w:rPr>
                <w:rFonts w:hint="eastAsia" w:ascii="宋体" w:hAnsi="宋体" w:cs="宋体"/>
                <w:sz w:val="24"/>
                <w:szCs w:val="24"/>
              </w:rPr>
              <w:t>注：</w:t>
            </w:r>
          </w:p>
          <w:p w14:paraId="3ECD57B1">
            <w:pPr>
              <w:spacing w:line="400" w:lineRule="exact"/>
              <w:rPr>
                <w:rFonts w:ascii="宋体" w:hAnsi="宋体" w:cs="宋体"/>
                <w:b/>
                <w:bCs/>
                <w:sz w:val="24"/>
                <w:szCs w:val="24"/>
              </w:rPr>
            </w:pPr>
            <w:r>
              <w:rPr>
                <w:rFonts w:hint="eastAsia" w:ascii="宋体" w:hAnsi="宋体" w:cs="宋体"/>
                <w:b/>
                <w:bCs/>
                <w:sz w:val="24"/>
                <w:szCs w:val="24"/>
              </w:rPr>
              <w:t>（1）根据《工业和信息化部、国家统计局、国家发展和改革委员会、财政部关于印发中小企业划型标准规定的通知》（工信部联企业[2011]300号）规定的划分标准，对于符合《政府采购促进中小企业发展管理办法》规定的小微企业报价给予10%的扣除，用扣除后价格作为评标价参加评审。投标人须按项目性质填写“中小企业声明函”，否则不考虑价格扣除。</w:t>
            </w:r>
          </w:p>
          <w:p w14:paraId="47E61006">
            <w:pPr>
              <w:spacing w:line="400" w:lineRule="exact"/>
              <w:rPr>
                <w:rFonts w:ascii="宋体" w:hAnsi="宋体" w:cs="宋体"/>
                <w:b/>
                <w:bCs/>
                <w:sz w:val="24"/>
                <w:szCs w:val="24"/>
              </w:rPr>
            </w:pPr>
            <w:r>
              <w:rPr>
                <w:rFonts w:hint="eastAsia" w:ascii="宋体" w:hAnsi="宋体" w:cs="宋体"/>
                <w:b/>
                <w:bCs/>
                <w:sz w:val="24"/>
                <w:szCs w:val="24"/>
              </w:rPr>
              <w:t>（2）监狱企业投标视同小型、微型企业，按招标文件规定提交“监狱企业证明文件”且提供由省级以上监狱管理局、戒毒管理局（含新疆生产建设兵团）出具的属于监狱企业的证明文件，否则不考虑价格扣除。</w:t>
            </w:r>
          </w:p>
          <w:p w14:paraId="32CBFE58">
            <w:pPr>
              <w:spacing w:line="400" w:lineRule="exact"/>
              <w:rPr>
                <w:rFonts w:ascii="宋体" w:hAnsi="宋体" w:cs="宋体"/>
                <w:sz w:val="24"/>
                <w:szCs w:val="24"/>
              </w:rPr>
            </w:pPr>
            <w:r>
              <w:rPr>
                <w:rFonts w:hint="eastAsia" w:ascii="宋体" w:hAnsi="宋体" w:cs="宋体"/>
                <w:b/>
                <w:bCs/>
                <w:sz w:val="24"/>
                <w:szCs w:val="24"/>
              </w:rPr>
              <w:t>（3）残疾人福利性单位投标视同小型、微型企业，须填写招标文件规定的“残疾人福利性单位声明函”，否则不考虑价格扣除。残疾人福利性单位属于小型、微型企业的，不重复享受政策。</w:t>
            </w:r>
          </w:p>
        </w:tc>
      </w:tr>
      <w:tr w14:paraId="4CFC2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4" w:hRule="atLeast"/>
          <w:jc w:val="center"/>
        </w:trPr>
        <w:tc>
          <w:tcPr>
            <w:tcW w:w="877" w:type="dxa"/>
            <w:vMerge w:val="continue"/>
            <w:vAlign w:val="center"/>
          </w:tcPr>
          <w:p w14:paraId="0269C7BF">
            <w:pPr>
              <w:spacing w:line="400" w:lineRule="exact"/>
              <w:rPr>
                <w:rFonts w:ascii="宋体" w:hAnsi="宋体" w:cs="宋体"/>
                <w:sz w:val="24"/>
                <w:szCs w:val="24"/>
              </w:rPr>
            </w:pPr>
          </w:p>
        </w:tc>
        <w:tc>
          <w:tcPr>
            <w:tcW w:w="1748" w:type="dxa"/>
            <w:vMerge w:val="restart"/>
            <w:vAlign w:val="center"/>
          </w:tcPr>
          <w:p w14:paraId="786115BF">
            <w:pPr>
              <w:spacing w:line="400" w:lineRule="exact"/>
              <w:jc w:val="center"/>
              <w:rPr>
                <w:rFonts w:ascii="宋体" w:hAnsi="宋体" w:cs="宋体"/>
                <w:sz w:val="24"/>
                <w:szCs w:val="24"/>
              </w:rPr>
            </w:pPr>
            <w:r>
              <w:rPr>
                <w:rFonts w:hint="eastAsia" w:ascii="宋体" w:hAnsi="宋体" w:cs="宋体"/>
                <w:sz w:val="24"/>
                <w:szCs w:val="24"/>
              </w:rPr>
              <w:t>4）技术部分得分F2</w:t>
            </w:r>
            <w:r>
              <w:rPr>
                <w:rFonts w:hint="eastAsia" w:ascii="宋体" w:hAnsi="宋体" w:cs="宋体"/>
                <w:sz w:val="24"/>
                <w:szCs w:val="24"/>
                <w:highlight w:val="none"/>
              </w:rPr>
              <w:t>（满分</w:t>
            </w:r>
            <w:r>
              <w:rPr>
                <w:rFonts w:hint="eastAsia" w:ascii="宋体" w:hAnsi="宋体" w:cs="宋体"/>
                <w:sz w:val="24"/>
                <w:szCs w:val="24"/>
                <w:highlight w:val="none"/>
                <w:lang w:val="en-US" w:eastAsia="zh-CN"/>
              </w:rPr>
              <w:t>52</w:t>
            </w:r>
            <w:r>
              <w:rPr>
                <w:rFonts w:hint="eastAsia" w:ascii="宋体" w:hAnsi="宋体" w:cs="宋体"/>
                <w:sz w:val="24"/>
                <w:szCs w:val="24"/>
                <w:highlight w:val="none"/>
              </w:rPr>
              <w:t>分）</w:t>
            </w:r>
          </w:p>
        </w:tc>
        <w:tc>
          <w:tcPr>
            <w:tcW w:w="1441" w:type="dxa"/>
            <w:vAlign w:val="center"/>
          </w:tcPr>
          <w:p w14:paraId="75553487">
            <w:pPr>
              <w:widowControl w:val="0"/>
              <w:snapToGrid w:val="0"/>
              <w:spacing w:line="400" w:lineRule="exact"/>
              <w:jc w:val="center"/>
              <w:rPr>
                <w:rFonts w:ascii="宋体" w:hAnsi="宋体" w:cs="宋体"/>
                <w:sz w:val="24"/>
                <w:szCs w:val="24"/>
              </w:rPr>
            </w:pPr>
            <w:r>
              <w:rPr>
                <w:rFonts w:hint="eastAsia" w:ascii="宋体" w:hAnsi="宋体" w:cs="宋体"/>
                <w:sz w:val="24"/>
                <w:szCs w:val="24"/>
              </w:rPr>
              <w:t>技术指标响应（满分</w:t>
            </w:r>
            <w:r>
              <w:rPr>
                <w:rFonts w:hint="eastAsia" w:ascii="宋体" w:hAnsi="宋体" w:cs="宋体"/>
                <w:sz w:val="24"/>
                <w:szCs w:val="24"/>
                <w:lang w:val="en-US" w:eastAsia="zh-CN"/>
              </w:rPr>
              <w:t>35</w:t>
            </w:r>
            <w:r>
              <w:rPr>
                <w:rFonts w:hint="eastAsia" w:ascii="宋体" w:hAnsi="宋体" w:cs="宋体"/>
                <w:sz w:val="24"/>
                <w:szCs w:val="24"/>
              </w:rPr>
              <w:t>分）</w:t>
            </w:r>
          </w:p>
        </w:tc>
        <w:tc>
          <w:tcPr>
            <w:tcW w:w="5978" w:type="dxa"/>
            <w:vAlign w:val="center"/>
          </w:tcPr>
          <w:p w14:paraId="25CF38BE">
            <w:pPr>
              <w:pStyle w:val="12"/>
              <w:spacing w:line="400" w:lineRule="exact"/>
              <w:rPr>
                <w:rFonts w:hint="default" w:eastAsia="宋体"/>
                <w:sz w:val="24"/>
                <w:szCs w:val="24"/>
                <w:highlight w:val="none"/>
                <w:lang w:val="en-US" w:eastAsia="zh-CN"/>
              </w:rPr>
            </w:pPr>
            <w:r>
              <w:rPr>
                <w:rFonts w:hint="eastAsia"/>
                <w:sz w:val="24"/>
                <w:szCs w:val="24"/>
                <w:highlight w:val="none"/>
                <w:lang w:val="en-US" w:eastAsia="zh-CN"/>
              </w:rPr>
              <w:t>投标人根据</w:t>
            </w:r>
            <w:r>
              <w:rPr>
                <w:rFonts w:hint="eastAsia"/>
                <w:sz w:val="24"/>
                <w:szCs w:val="24"/>
                <w:highlight w:val="none"/>
              </w:rPr>
              <w:t>招标文件第</w:t>
            </w:r>
            <w:r>
              <w:rPr>
                <w:rFonts w:hint="eastAsia"/>
                <w:sz w:val="24"/>
                <w:szCs w:val="24"/>
                <w:highlight w:val="none"/>
                <w:lang w:val="en-US" w:eastAsia="zh-CN"/>
              </w:rPr>
              <w:t>六</w:t>
            </w:r>
            <w:r>
              <w:rPr>
                <w:rFonts w:hint="eastAsia"/>
                <w:sz w:val="24"/>
                <w:szCs w:val="24"/>
                <w:highlight w:val="none"/>
              </w:rPr>
              <w:t>章《采购内容及要求》中，标注“▲”的重要技术参数</w:t>
            </w:r>
            <w:r>
              <w:rPr>
                <w:rFonts w:hint="eastAsia"/>
                <w:sz w:val="24"/>
                <w:szCs w:val="24"/>
                <w:highlight w:val="none"/>
                <w:lang w:val="en-US" w:eastAsia="zh-CN"/>
              </w:rPr>
              <w:t>进行响应。</w:t>
            </w:r>
          </w:p>
          <w:p w14:paraId="0DD93A74">
            <w:pPr>
              <w:pStyle w:val="12"/>
              <w:numPr>
                <w:ilvl w:val="0"/>
                <w:numId w:val="0"/>
              </w:numPr>
              <w:spacing w:line="400" w:lineRule="exact"/>
              <w:ind w:firstLine="480" w:firstLineChars="200"/>
              <w:rPr>
                <w:rFonts w:hint="eastAsia"/>
                <w:sz w:val="24"/>
                <w:szCs w:val="24"/>
                <w:highlight w:val="none"/>
              </w:rPr>
            </w:pPr>
            <w:r>
              <w:rPr>
                <w:rFonts w:hint="eastAsia"/>
                <w:sz w:val="24"/>
                <w:szCs w:val="24"/>
                <w:highlight w:val="none"/>
              </w:rPr>
              <w:t>带▲的重要参数响应情况：对带▲的重要参数每负偏离一项扣</w:t>
            </w:r>
            <w:r>
              <w:rPr>
                <w:rFonts w:hint="eastAsia"/>
                <w:sz w:val="24"/>
                <w:szCs w:val="24"/>
                <w:highlight w:val="none"/>
                <w:lang w:val="en-US" w:eastAsia="zh-CN"/>
              </w:rPr>
              <w:t>2.5</w:t>
            </w:r>
            <w:r>
              <w:rPr>
                <w:rFonts w:hint="eastAsia"/>
                <w:sz w:val="24"/>
                <w:szCs w:val="24"/>
                <w:highlight w:val="none"/>
              </w:rPr>
              <w:t>分，本项共</w:t>
            </w:r>
            <w:r>
              <w:rPr>
                <w:rFonts w:hint="eastAsia"/>
                <w:sz w:val="24"/>
                <w:szCs w:val="24"/>
                <w:highlight w:val="none"/>
                <w:lang w:val="en-US" w:eastAsia="zh-CN"/>
              </w:rPr>
              <w:t>35</w:t>
            </w:r>
            <w:r>
              <w:rPr>
                <w:rFonts w:hint="eastAsia"/>
                <w:sz w:val="24"/>
                <w:szCs w:val="24"/>
                <w:highlight w:val="none"/>
              </w:rPr>
              <w:t>分，扣完为止。</w:t>
            </w:r>
          </w:p>
          <w:p w14:paraId="3FD7D38D">
            <w:pPr>
              <w:pStyle w:val="12"/>
              <w:spacing w:line="400" w:lineRule="exact"/>
              <w:rPr>
                <w:rFonts w:hint="eastAsia" w:ascii="宋体" w:hAnsi="宋体"/>
                <w:b/>
                <w:sz w:val="24"/>
                <w:szCs w:val="24"/>
              </w:rPr>
            </w:pPr>
          </w:p>
          <w:p w14:paraId="759EE9C9">
            <w:pPr>
              <w:pStyle w:val="12"/>
              <w:spacing w:line="400" w:lineRule="exact"/>
              <w:rPr>
                <w:b/>
                <w:sz w:val="24"/>
                <w:szCs w:val="24"/>
              </w:rPr>
            </w:pPr>
            <w:r>
              <w:rPr>
                <w:rFonts w:hint="eastAsia" w:ascii="宋体" w:hAnsi="宋体"/>
                <w:b/>
                <w:sz w:val="24"/>
                <w:szCs w:val="24"/>
              </w:rPr>
              <w:t>注</w:t>
            </w:r>
            <w:r>
              <w:rPr>
                <w:rFonts w:ascii="宋体" w:hAnsi="宋体"/>
                <w:b/>
                <w:sz w:val="24"/>
                <w:szCs w:val="24"/>
              </w:rPr>
              <w:t>：投标人除如实填写技术规格偏离表外，标注</w:t>
            </w:r>
            <w:r>
              <w:rPr>
                <w:rFonts w:hint="eastAsia" w:ascii="宋体" w:hAnsi="宋体"/>
                <w:b/>
                <w:sz w:val="24"/>
                <w:szCs w:val="24"/>
              </w:rPr>
              <w:t>“▲”</w:t>
            </w:r>
            <w:r>
              <w:rPr>
                <w:rFonts w:ascii="宋体" w:hAnsi="宋体"/>
                <w:b/>
                <w:sz w:val="24"/>
                <w:szCs w:val="24"/>
              </w:rPr>
              <w:t>的技术参数</w:t>
            </w:r>
            <w:r>
              <w:rPr>
                <w:rFonts w:hint="eastAsia" w:ascii="宋体" w:hAnsi="宋体"/>
                <w:b/>
                <w:sz w:val="24"/>
                <w:szCs w:val="24"/>
              </w:rPr>
              <w:t>需按照招标文件的要求提供相关证明材料，招标文件未要求的，</w:t>
            </w:r>
            <w:r>
              <w:rPr>
                <w:rFonts w:ascii="宋体" w:hAnsi="宋体"/>
                <w:b/>
                <w:sz w:val="24"/>
                <w:szCs w:val="24"/>
              </w:rPr>
              <w:t>标注</w:t>
            </w:r>
            <w:r>
              <w:rPr>
                <w:rFonts w:hint="eastAsia" w:ascii="宋体" w:hAnsi="宋体"/>
                <w:b/>
                <w:sz w:val="24"/>
                <w:szCs w:val="24"/>
              </w:rPr>
              <w:t>“▲”</w:t>
            </w:r>
            <w:r>
              <w:rPr>
                <w:rFonts w:ascii="宋体" w:hAnsi="宋体"/>
                <w:b/>
                <w:sz w:val="24"/>
                <w:szCs w:val="24"/>
              </w:rPr>
              <w:t>的技术参数</w:t>
            </w:r>
            <w:r>
              <w:rPr>
                <w:rFonts w:hint="eastAsia" w:ascii="宋体" w:hAnsi="宋体"/>
                <w:b/>
                <w:sz w:val="24"/>
                <w:szCs w:val="24"/>
              </w:rPr>
              <w:t>需</w:t>
            </w:r>
            <w:r>
              <w:rPr>
                <w:rFonts w:ascii="宋体" w:hAnsi="宋体"/>
                <w:b/>
                <w:sz w:val="24"/>
                <w:szCs w:val="24"/>
              </w:rPr>
              <w:t>提供下列任一材料证明技术参数的真实性：检测报告、产品彩页、白皮书、说明书、配置清单、设备制造厂商官方网站资料、承诺书</w:t>
            </w:r>
            <w:r>
              <w:rPr>
                <w:rFonts w:hint="eastAsia" w:ascii="宋体" w:hAnsi="宋体"/>
                <w:b/>
                <w:sz w:val="24"/>
                <w:szCs w:val="24"/>
              </w:rPr>
              <w:t>、</w:t>
            </w:r>
            <w:r>
              <w:rPr>
                <w:rFonts w:ascii="宋体" w:hAnsi="宋体"/>
                <w:b/>
                <w:sz w:val="24"/>
                <w:szCs w:val="24"/>
              </w:rPr>
              <w:t>其他技术证明资料</w:t>
            </w:r>
            <w:r>
              <w:rPr>
                <w:rFonts w:hint="eastAsia" w:ascii="宋体" w:hAnsi="宋体"/>
                <w:b/>
                <w:sz w:val="24"/>
                <w:szCs w:val="24"/>
              </w:rPr>
              <w:t>证明该技术参数的真实性，否则该条技术参数不予认可</w:t>
            </w:r>
            <w:r>
              <w:rPr>
                <w:rFonts w:ascii="宋体" w:hAnsi="宋体"/>
                <w:sz w:val="24"/>
                <w:szCs w:val="24"/>
              </w:rPr>
              <w:t>。</w:t>
            </w:r>
          </w:p>
        </w:tc>
      </w:tr>
      <w:tr w14:paraId="1DEF6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5" w:hRule="atLeast"/>
          <w:jc w:val="center"/>
        </w:trPr>
        <w:tc>
          <w:tcPr>
            <w:tcW w:w="877" w:type="dxa"/>
            <w:vMerge w:val="continue"/>
            <w:vAlign w:val="center"/>
          </w:tcPr>
          <w:p w14:paraId="3E178584">
            <w:pPr>
              <w:spacing w:line="400" w:lineRule="exact"/>
              <w:rPr>
                <w:rFonts w:ascii="宋体" w:hAnsi="宋体" w:cs="宋体"/>
                <w:sz w:val="24"/>
                <w:szCs w:val="24"/>
              </w:rPr>
            </w:pPr>
          </w:p>
        </w:tc>
        <w:tc>
          <w:tcPr>
            <w:tcW w:w="1748" w:type="dxa"/>
            <w:vMerge w:val="continue"/>
            <w:vAlign w:val="center"/>
          </w:tcPr>
          <w:p w14:paraId="0942345C">
            <w:pPr>
              <w:spacing w:line="400" w:lineRule="exact"/>
              <w:jc w:val="center"/>
              <w:rPr>
                <w:rFonts w:ascii="宋体" w:hAnsi="宋体" w:cs="宋体"/>
                <w:sz w:val="24"/>
                <w:szCs w:val="24"/>
              </w:rPr>
            </w:pPr>
          </w:p>
        </w:tc>
        <w:tc>
          <w:tcPr>
            <w:tcW w:w="1441" w:type="dxa"/>
            <w:shd w:val="clear" w:color="auto" w:fill="auto"/>
            <w:vAlign w:val="center"/>
          </w:tcPr>
          <w:p w14:paraId="02EF47E4">
            <w:pPr>
              <w:spacing w:line="400" w:lineRule="exact"/>
              <w:jc w:val="center"/>
              <w:textAlignment w:val="center"/>
              <w:rPr>
                <w:rFonts w:hint="eastAsia" w:ascii="仿宋" w:hAnsi="仿宋" w:eastAsia="仿宋" w:cs="仿宋"/>
                <w:kern w:val="0"/>
                <w:sz w:val="28"/>
                <w:szCs w:val="28"/>
                <w:highlight w:val="cyan"/>
                <w:lang w:val="en-US" w:eastAsia="zh-CN" w:bidi="ar-SA"/>
              </w:rPr>
            </w:pPr>
            <w:r>
              <w:rPr>
                <w:rFonts w:hint="eastAsia" w:ascii="宋体" w:hAnsi="宋体" w:cs="宋体"/>
                <w:sz w:val="24"/>
                <w:szCs w:val="24"/>
                <w:highlight w:val="none"/>
              </w:rPr>
              <w:t>项目实施方案评审（满分</w:t>
            </w:r>
            <w:r>
              <w:rPr>
                <w:rFonts w:hint="eastAsia" w:ascii="宋体" w:hAnsi="宋体" w:cs="宋体"/>
                <w:sz w:val="24"/>
                <w:szCs w:val="24"/>
                <w:highlight w:val="none"/>
                <w:lang w:val="en-US" w:eastAsia="zh-CN"/>
              </w:rPr>
              <w:t>12</w:t>
            </w:r>
            <w:r>
              <w:rPr>
                <w:rFonts w:hint="eastAsia" w:ascii="宋体" w:hAnsi="宋体" w:cs="宋体"/>
                <w:sz w:val="24"/>
                <w:szCs w:val="24"/>
                <w:highlight w:val="none"/>
              </w:rPr>
              <w:t>分）</w:t>
            </w:r>
          </w:p>
        </w:tc>
        <w:tc>
          <w:tcPr>
            <w:tcW w:w="5978" w:type="dxa"/>
            <w:shd w:val="clear" w:color="auto" w:fill="auto"/>
            <w:vAlign w:val="top"/>
          </w:tcPr>
          <w:p w14:paraId="69230238">
            <w:pPr>
              <w:tabs>
                <w:tab w:val="left" w:pos="312"/>
              </w:tabs>
              <w:spacing w:line="400" w:lineRule="exact"/>
              <w:rPr>
                <w:rFonts w:hint="eastAsia" w:ascii="宋体" w:hAnsi="宋体" w:cs="宋体"/>
                <w:sz w:val="24"/>
                <w:szCs w:val="24"/>
                <w:highlight w:val="none"/>
              </w:rPr>
            </w:pPr>
            <w:r>
              <w:rPr>
                <w:rFonts w:hint="eastAsia" w:ascii="宋体" w:hAnsi="宋体" w:cs="宋体"/>
                <w:sz w:val="24"/>
                <w:szCs w:val="24"/>
                <w:highlight w:val="none"/>
              </w:rPr>
              <w:t>根据投标人的项目实施方案进行评分，内容需全面，其中至少应包括：</w:t>
            </w:r>
          </w:p>
          <w:p w14:paraId="51131D82">
            <w:pPr>
              <w:numPr>
                <w:ilvl w:val="0"/>
                <w:numId w:val="3"/>
              </w:numPr>
              <w:tabs>
                <w:tab w:val="left" w:pos="312"/>
              </w:tabs>
              <w:spacing w:line="400" w:lineRule="exact"/>
              <w:rPr>
                <w:rFonts w:hint="eastAsia" w:ascii="宋体" w:hAnsi="宋体" w:cs="宋体"/>
                <w:sz w:val="24"/>
                <w:szCs w:val="24"/>
                <w:highlight w:val="none"/>
              </w:rPr>
            </w:pPr>
            <w:r>
              <w:rPr>
                <w:rFonts w:hint="eastAsia" w:ascii="宋体" w:hAnsi="宋体" w:cs="宋体"/>
                <w:sz w:val="24"/>
                <w:szCs w:val="24"/>
                <w:highlight w:val="none"/>
              </w:rPr>
              <w:t>设备性能与适应性</w:t>
            </w:r>
          </w:p>
          <w:p w14:paraId="341EEA8B">
            <w:pPr>
              <w:tabs>
                <w:tab w:val="left" w:pos="312"/>
              </w:tabs>
              <w:spacing w:line="40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2</w:t>
            </w:r>
            <w:r>
              <w:rPr>
                <w:rFonts w:hint="eastAsia" w:ascii="宋体" w:hAnsi="宋体" w:cs="宋体"/>
                <w:sz w:val="24"/>
                <w:szCs w:val="24"/>
                <w:highlight w:val="none"/>
                <w:lang w:eastAsia="zh-CN"/>
              </w:rPr>
              <w:t>）</w:t>
            </w:r>
            <w:r>
              <w:rPr>
                <w:rFonts w:hint="eastAsia" w:ascii="宋体" w:hAnsi="宋体" w:cs="宋体"/>
                <w:sz w:val="24"/>
                <w:szCs w:val="24"/>
                <w:highlight w:val="none"/>
              </w:rPr>
              <w:t>项目计划进度安排</w:t>
            </w:r>
            <w:r>
              <w:rPr>
                <w:rFonts w:hint="eastAsia" w:ascii="宋体" w:hAnsi="宋体" w:cs="宋体"/>
                <w:sz w:val="24"/>
                <w:szCs w:val="24"/>
                <w:highlight w:val="none"/>
                <w:lang w:eastAsia="zh-CN"/>
              </w:rPr>
              <w:t>；</w:t>
            </w:r>
          </w:p>
          <w:p w14:paraId="4365C326">
            <w:pPr>
              <w:tabs>
                <w:tab w:val="left" w:pos="312"/>
              </w:tabs>
              <w:spacing w:line="40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w:t>
            </w:r>
            <w:r>
              <w:rPr>
                <w:rFonts w:hint="eastAsia" w:ascii="宋体" w:hAnsi="宋体" w:cs="宋体"/>
                <w:sz w:val="24"/>
                <w:szCs w:val="24"/>
                <w:highlight w:val="none"/>
                <w:lang w:val="en-US" w:eastAsia="zh-CN"/>
              </w:rPr>
              <w:t>3</w:t>
            </w:r>
            <w:r>
              <w:rPr>
                <w:rFonts w:hint="eastAsia" w:ascii="宋体" w:hAnsi="宋体" w:cs="宋体"/>
                <w:sz w:val="24"/>
                <w:szCs w:val="24"/>
                <w:highlight w:val="none"/>
              </w:rPr>
              <w:t>）质量保证措施</w:t>
            </w:r>
            <w:r>
              <w:rPr>
                <w:rFonts w:hint="eastAsia" w:ascii="宋体" w:hAnsi="宋体" w:cs="宋体"/>
                <w:sz w:val="24"/>
                <w:szCs w:val="24"/>
                <w:highlight w:val="none"/>
                <w:lang w:eastAsia="zh-CN"/>
              </w:rPr>
              <w:t>；</w:t>
            </w:r>
          </w:p>
          <w:p w14:paraId="4D7CDFC7">
            <w:pPr>
              <w:tabs>
                <w:tab w:val="left" w:pos="312"/>
              </w:tabs>
              <w:spacing w:line="40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w:t>
            </w:r>
            <w:r>
              <w:rPr>
                <w:rFonts w:hint="eastAsia" w:ascii="宋体" w:hAnsi="宋体" w:cs="宋体"/>
                <w:sz w:val="24"/>
                <w:szCs w:val="24"/>
                <w:highlight w:val="none"/>
                <w:lang w:val="en-US" w:eastAsia="zh-CN"/>
              </w:rPr>
              <w:t>4</w:t>
            </w:r>
            <w:r>
              <w:rPr>
                <w:rFonts w:hint="eastAsia" w:ascii="宋体" w:hAnsi="宋体" w:cs="宋体"/>
                <w:sz w:val="24"/>
                <w:szCs w:val="24"/>
                <w:highlight w:val="none"/>
              </w:rPr>
              <w:t>）专业团队保障及组织机构配置</w:t>
            </w:r>
            <w:r>
              <w:rPr>
                <w:rFonts w:hint="eastAsia" w:ascii="宋体" w:hAnsi="宋体" w:cs="宋体"/>
                <w:sz w:val="24"/>
                <w:szCs w:val="24"/>
                <w:highlight w:val="none"/>
                <w:lang w:eastAsia="zh-CN"/>
              </w:rPr>
              <w:t>；</w:t>
            </w:r>
          </w:p>
          <w:p w14:paraId="623B7206">
            <w:pPr>
              <w:tabs>
                <w:tab w:val="left" w:pos="312"/>
              </w:tabs>
              <w:spacing w:line="40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5</w:t>
            </w:r>
            <w:r>
              <w:rPr>
                <w:rFonts w:hint="eastAsia" w:ascii="宋体" w:hAnsi="宋体" w:cs="宋体"/>
                <w:sz w:val="24"/>
                <w:szCs w:val="24"/>
                <w:highlight w:val="none"/>
                <w:lang w:eastAsia="zh-CN"/>
              </w:rPr>
              <w:t>）</w:t>
            </w:r>
            <w:r>
              <w:rPr>
                <w:rFonts w:hint="eastAsia" w:ascii="宋体" w:hAnsi="宋体" w:cs="宋体"/>
                <w:sz w:val="24"/>
                <w:szCs w:val="24"/>
                <w:highlight w:val="none"/>
              </w:rPr>
              <w:t>安装调试方案</w:t>
            </w:r>
            <w:r>
              <w:rPr>
                <w:rFonts w:hint="eastAsia" w:ascii="宋体" w:hAnsi="宋体" w:cs="宋体"/>
                <w:sz w:val="24"/>
                <w:szCs w:val="24"/>
                <w:highlight w:val="none"/>
                <w:lang w:eastAsia="zh-CN"/>
              </w:rPr>
              <w:t>；</w:t>
            </w:r>
          </w:p>
          <w:p w14:paraId="5F3FD7A5">
            <w:pPr>
              <w:tabs>
                <w:tab w:val="left" w:pos="312"/>
              </w:tabs>
              <w:spacing w:line="40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w:t>
            </w:r>
            <w:r>
              <w:rPr>
                <w:rFonts w:hint="eastAsia" w:ascii="宋体" w:hAnsi="宋体" w:cs="宋体"/>
                <w:sz w:val="24"/>
                <w:szCs w:val="24"/>
                <w:highlight w:val="none"/>
                <w:lang w:val="en-US" w:eastAsia="zh-CN"/>
              </w:rPr>
              <w:t>6</w:t>
            </w:r>
            <w:r>
              <w:rPr>
                <w:rFonts w:hint="eastAsia" w:ascii="宋体" w:hAnsi="宋体" w:cs="宋体"/>
                <w:sz w:val="24"/>
                <w:szCs w:val="24"/>
                <w:highlight w:val="none"/>
              </w:rPr>
              <w:t>）应急措施</w:t>
            </w:r>
            <w:r>
              <w:rPr>
                <w:rFonts w:hint="eastAsia" w:ascii="宋体" w:hAnsi="宋体" w:cs="宋体"/>
                <w:sz w:val="24"/>
                <w:szCs w:val="24"/>
                <w:highlight w:val="none"/>
                <w:lang w:eastAsia="zh-CN"/>
              </w:rPr>
              <w:t>；</w:t>
            </w:r>
          </w:p>
          <w:p w14:paraId="54D9ABFD">
            <w:pPr>
              <w:tabs>
                <w:tab w:val="left" w:pos="312"/>
              </w:tabs>
              <w:spacing w:line="40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以上各分项内容符合项目实际需求且能保障项目顺利实施的得</w:t>
            </w:r>
            <w:r>
              <w:rPr>
                <w:rFonts w:hint="eastAsia" w:ascii="宋体" w:hAnsi="宋体" w:cs="宋体"/>
                <w:sz w:val="24"/>
                <w:szCs w:val="24"/>
                <w:highlight w:val="none"/>
                <w:lang w:val="en-US" w:eastAsia="zh-CN"/>
              </w:rPr>
              <w:t>12</w:t>
            </w:r>
            <w:r>
              <w:rPr>
                <w:rFonts w:hint="eastAsia" w:ascii="宋体" w:hAnsi="宋体" w:cs="宋体"/>
                <w:sz w:val="24"/>
                <w:szCs w:val="24"/>
                <w:highlight w:val="none"/>
              </w:rPr>
              <w:t>分，每缺少一项扣</w:t>
            </w:r>
            <w:r>
              <w:rPr>
                <w:rFonts w:hint="eastAsia" w:ascii="宋体" w:hAnsi="宋体" w:cs="宋体"/>
                <w:sz w:val="24"/>
                <w:szCs w:val="24"/>
                <w:highlight w:val="none"/>
                <w:lang w:val="en-US" w:eastAsia="zh-CN"/>
              </w:rPr>
              <w:t>2</w:t>
            </w:r>
            <w:r>
              <w:rPr>
                <w:rFonts w:hint="eastAsia" w:ascii="宋体" w:hAnsi="宋体" w:cs="宋体"/>
                <w:sz w:val="24"/>
                <w:szCs w:val="24"/>
                <w:highlight w:val="none"/>
              </w:rPr>
              <w:t>分，每一项中有一处内容缺陷或不符实际的每一项扣</w:t>
            </w:r>
            <w:r>
              <w:rPr>
                <w:rFonts w:hint="eastAsia" w:ascii="宋体" w:hAnsi="宋体" w:cs="宋体"/>
                <w:sz w:val="24"/>
                <w:szCs w:val="24"/>
                <w:highlight w:val="none"/>
                <w:lang w:val="en-US" w:eastAsia="zh-CN"/>
              </w:rPr>
              <w:t>1</w:t>
            </w:r>
            <w:r>
              <w:rPr>
                <w:rFonts w:hint="eastAsia" w:ascii="宋体" w:hAnsi="宋体" w:cs="宋体"/>
                <w:sz w:val="24"/>
                <w:szCs w:val="24"/>
                <w:highlight w:val="none"/>
              </w:rPr>
              <w:t>分扣完为止.</w:t>
            </w:r>
          </w:p>
          <w:p w14:paraId="190B8594">
            <w:pPr>
              <w:tabs>
                <w:tab w:val="left" w:pos="312"/>
              </w:tabs>
              <w:spacing w:line="400" w:lineRule="exact"/>
              <w:rPr>
                <w:rFonts w:hint="eastAsia" w:ascii="仿宋" w:hAnsi="仿宋" w:eastAsia="仿宋" w:cs="仿宋"/>
                <w:b/>
                <w:sz w:val="28"/>
                <w:szCs w:val="28"/>
                <w:highlight w:val="cyan"/>
                <w:lang w:val="en-US" w:eastAsia="zh-CN" w:bidi="ar-SA"/>
              </w:rPr>
            </w:pPr>
            <w:r>
              <w:rPr>
                <w:rFonts w:hint="eastAsia" w:ascii="宋体" w:hAnsi="宋体" w:cs="宋体"/>
                <w:sz w:val="24"/>
                <w:szCs w:val="24"/>
                <w:highlight w:val="none"/>
              </w:rPr>
              <w:t>注：内容缺陷是指：非专门针对本项目或不适用项目特性的情形、内容不完整或缺少关键节点、套用其他项目方案、内容前后矛盾、不利于项目实施、不可能实现的情形、与项目要求有偏差，工作任务分工不明确，方案内容描述不完整等任意一种情形。</w:t>
            </w:r>
          </w:p>
        </w:tc>
      </w:tr>
      <w:tr w14:paraId="673A2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4" w:hRule="atLeast"/>
          <w:jc w:val="center"/>
        </w:trPr>
        <w:tc>
          <w:tcPr>
            <w:tcW w:w="877" w:type="dxa"/>
            <w:vMerge w:val="continue"/>
            <w:vAlign w:val="center"/>
          </w:tcPr>
          <w:p w14:paraId="0FF3DA05">
            <w:pPr>
              <w:spacing w:line="400" w:lineRule="exact"/>
              <w:rPr>
                <w:rFonts w:ascii="宋体" w:hAnsi="宋体" w:cs="宋体"/>
                <w:sz w:val="24"/>
                <w:szCs w:val="24"/>
              </w:rPr>
            </w:pPr>
          </w:p>
        </w:tc>
        <w:tc>
          <w:tcPr>
            <w:tcW w:w="1748" w:type="dxa"/>
            <w:vAlign w:val="center"/>
          </w:tcPr>
          <w:p w14:paraId="4C6DF8FD">
            <w:pPr>
              <w:spacing w:line="400" w:lineRule="exact"/>
              <w:jc w:val="center"/>
              <w:rPr>
                <w:rFonts w:ascii="宋体" w:hAnsi="宋体" w:cs="宋体"/>
                <w:sz w:val="24"/>
                <w:szCs w:val="24"/>
              </w:rPr>
            </w:pPr>
          </w:p>
        </w:tc>
        <w:tc>
          <w:tcPr>
            <w:tcW w:w="1441" w:type="dxa"/>
            <w:vAlign w:val="center"/>
          </w:tcPr>
          <w:p w14:paraId="722FB5B3">
            <w:pPr>
              <w:spacing w:line="400" w:lineRule="exact"/>
              <w:jc w:val="center"/>
              <w:textAlignment w:val="center"/>
              <w:rPr>
                <w:rFonts w:hint="eastAsia" w:ascii="宋体" w:hAnsi="宋体" w:cs="宋体"/>
                <w:sz w:val="24"/>
                <w:szCs w:val="24"/>
                <w:highlight w:val="cyan"/>
              </w:rPr>
            </w:pPr>
            <w:r>
              <w:rPr>
                <w:rFonts w:hint="eastAsia" w:ascii="宋体" w:hAnsi="宋体" w:cs="宋体"/>
                <w:sz w:val="24"/>
                <w:szCs w:val="24"/>
                <w:highlight w:val="none"/>
                <w:lang w:bidi="ar"/>
              </w:rPr>
              <w:t>培训方案（满分</w:t>
            </w:r>
            <w:r>
              <w:rPr>
                <w:rFonts w:hint="eastAsia" w:ascii="宋体" w:hAnsi="宋体" w:cs="宋体"/>
                <w:sz w:val="24"/>
                <w:szCs w:val="24"/>
                <w:highlight w:val="none"/>
                <w:lang w:val="en-US" w:eastAsia="zh-CN" w:bidi="ar"/>
              </w:rPr>
              <w:t>5</w:t>
            </w:r>
            <w:r>
              <w:rPr>
                <w:rFonts w:hint="eastAsia" w:ascii="宋体" w:hAnsi="宋体" w:cs="宋体"/>
                <w:sz w:val="24"/>
                <w:szCs w:val="24"/>
                <w:highlight w:val="none"/>
                <w:lang w:bidi="ar"/>
              </w:rPr>
              <w:t>分）</w:t>
            </w:r>
          </w:p>
        </w:tc>
        <w:tc>
          <w:tcPr>
            <w:tcW w:w="5978" w:type="dxa"/>
            <w:vAlign w:val="center"/>
          </w:tcPr>
          <w:p w14:paraId="21F770E0">
            <w:pPr>
              <w:tabs>
                <w:tab w:val="left" w:pos="312"/>
              </w:tabs>
              <w:spacing w:line="400" w:lineRule="exact"/>
              <w:rPr>
                <w:rFonts w:hint="eastAsia" w:ascii="宋体" w:hAnsi="宋体" w:cs="宋体"/>
                <w:sz w:val="24"/>
                <w:szCs w:val="24"/>
                <w:lang w:bidi="ar"/>
              </w:rPr>
            </w:pPr>
            <w:r>
              <w:rPr>
                <w:rFonts w:hint="eastAsia" w:ascii="宋体" w:hAnsi="宋体" w:cs="宋体"/>
                <w:sz w:val="24"/>
                <w:szCs w:val="24"/>
                <w:lang w:bidi="ar"/>
              </w:rPr>
              <w:t>对培训方案进行评分，内容需全面，其中应明确：</w:t>
            </w:r>
          </w:p>
          <w:p w14:paraId="1E337FC9">
            <w:pPr>
              <w:tabs>
                <w:tab w:val="left" w:pos="312"/>
              </w:tabs>
              <w:spacing w:line="400" w:lineRule="exact"/>
              <w:rPr>
                <w:rFonts w:hint="eastAsia" w:ascii="宋体" w:hAnsi="宋体" w:cs="宋体"/>
                <w:sz w:val="24"/>
                <w:szCs w:val="24"/>
                <w:lang w:bidi="ar"/>
              </w:rPr>
            </w:pPr>
            <w:r>
              <w:rPr>
                <w:rFonts w:hint="eastAsia" w:ascii="宋体" w:hAnsi="宋体" w:cs="宋体"/>
                <w:sz w:val="24"/>
                <w:szCs w:val="24"/>
                <w:lang w:bidi="ar"/>
              </w:rPr>
              <w:t>（</w:t>
            </w:r>
            <w:r>
              <w:rPr>
                <w:rFonts w:hint="eastAsia" w:ascii="宋体" w:hAnsi="宋体" w:cs="宋体"/>
                <w:sz w:val="24"/>
                <w:szCs w:val="24"/>
                <w:lang w:val="en-US" w:eastAsia="zh-CN" w:bidi="ar"/>
              </w:rPr>
              <w:t>1</w:t>
            </w:r>
            <w:r>
              <w:rPr>
                <w:rFonts w:hint="eastAsia" w:ascii="宋体" w:hAnsi="宋体" w:cs="宋体"/>
                <w:sz w:val="24"/>
                <w:szCs w:val="24"/>
                <w:lang w:bidi="ar"/>
              </w:rPr>
              <w:t>）针对本次建设内容提供匹配</w:t>
            </w:r>
            <w:r>
              <w:rPr>
                <w:rFonts w:hint="eastAsia" w:ascii="宋体" w:hAnsi="宋体" w:cs="宋体"/>
                <w:sz w:val="24"/>
                <w:szCs w:val="24"/>
                <w:lang w:val="en-US" w:eastAsia="zh-CN" w:bidi="ar"/>
              </w:rPr>
              <w:t>且</w:t>
            </w:r>
            <w:r>
              <w:rPr>
                <w:rFonts w:hint="eastAsia" w:ascii="宋体" w:hAnsi="宋体" w:cs="宋体"/>
                <w:sz w:val="24"/>
                <w:szCs w:val="24"/>
                <w:lang w:bidi="ar"/>
              </w:rPr>
              <w:t>完善的培训体系；</w:t>
            </w:r>
          </w:p>
          <w:p w14:paraId="6AD44423">
            <w:pPr>
              <w:tabs>
                <w:tab w:val="left" w:pos="312"/>
              </w:tabs>
              <w:spacing w:line="400" w:lineRule="exact"/>
              <w:rPr>
                <w:rFonts w:hint="eastAsia" w:ascii="宋体" w:hAnsi="宋体" w:cs="宋体"/>
                <w:sz w:val="24"/>
                <w:szCs w:val="24"/>
                <w:lang w:bidi="ar"/>
              </w:rPr>
            </w:pPr>
            <w:r>
              <w:rPr>
                <w:rFonts w:hint="eastAsia" w:ascii="宋体" w:hAnsi="宋体" w:cs="宋体"/>
                <w:sz w:val="24"/>
                <w:szCs w:val="24"/>
                <w:lang w:bidi="ar"/>
              </w:rPr>
              <w:t>（</w:t>
            </w:r>
            <w:r>
              <w:rPr>
                <w:rFonts w:hint="eastAsia" w:ascii="宋体" w:hAnsi="宋体" w:cs="宋体"/>
                <w:sz w:val="24"/>
                <w:szCs w:val="24"/>
                <w:lang w:val="en-US" w:eastAsia="zh-CN" w:bidi="ar"/>
              </w:rPr>
              <w:t>2</w:t>
            </w:r>
            <w:r>
              <w:rPr>
                <w:rFonts w:hint="eastAsia" w:ascii="宋体" w:hAnsi="宋体" w:cs="宋体"/>
                <w:sz w:val="24"/>
                <w:szCs w:val="24"/>
                <w:lang w:bidi="ar"/>
              </w:rPr>
              <w:t>）制定合理的培训计划表及保障措施；</w:t>
            </w:r>
          </w:p>
          <w:p w14:paraId="62BEA99D">
            <w:pPr>
              <w:tabs>
                <w:tab w:val="left" w:pos="312"/>
              </w:tabs>
              <w:spacing w:line="400" w:lineRule="exact"/>
              <w:ind w:firstLine="240" w:firstLineChars="100"/>
              <w:rPr>
                <w:rFonts w:hint="eastAsia" w:ascii="宋体" w:hAnsi="宋体" w:cs="宋体"/>
                <w:sz w:val="24"/>
                <w:szCs w:val="24"/>
                <w:lang w:bidi="ar"/>
              </w:rPr>
            </w:pPr>
            <w:r>
              <w:rPr>
                <w:rFonts w:hint="eastAsia" w:ascii="宋体" w:hAnsi="宋体" w:cs="宋体"/>
                <w:sz w:val="24"/>
                <w:szCs w:val="24"/>
                <w:lang w:bidi="ar"/>
              </w:rPr>
              <w:t>以上各分项内容符合项目实际需求且能保障项目顺利实施的得</w:t>
            </w:r>
            <w:r>
              <w:rPr>
                <w:rFonts w:hint="eastAsia" w:ascii="宋体" w:hAnsi="宋体" w:cs="宋体"/>
                <w:sz w:val="24"/>
                <w:szCs w:val="24"/>
                <w:lang w:val="en-US" w:eastAsia="zh-CN" w:bidi="ar"/>
              </w:rPr>
              <w:t>5</w:t>
            </w:r>
            <w:r>
              <w:rPr>
                <w:rFonts w:hint="eastAsia" w:ascii="宋体" w:hAnsi="宋体" w:cs="宋体"/>
                <w:sz w:val="24"/>
                <w:szCs w:val="24"/>
                <w:lang w:bidi="ar"/>
              </w:rPr>
              <w:t>分，每缺少一项扣</w:t>
            </w:r>
            <w:r>
              <w:rPr>
                <w:rFonts w:hint="eastAsia" w:ascii="宋体" w:hAnsi="宋体" w:cs="宋体"/>
                <w:sz w:val="24"/>
                <w:szCs w:val="24"/>
                <w:lang w:val="en-US" w:eastAsia="zh-CN" w:bidi="ar"/>
              </w:rPr>
              <w:t>2.5</w:t>
            </w:r>
            <w:r>
              <w:rPr>
                <w:rFonts w:hint="eastAsia" w:ascii="宋体" w:hAnsi="宋体" w:cs="宋体"/>
                <w:sz w:val="24"/>
                <w:szCs w:val="24"/>
                <w:lang w:bidi="ar"/>
              </w:rPr>
              <w:t>分，每一项中有一处内容缺陷或不符实际的每一项扣</w:t>
            </w:r>
            <w:r>
              <w:rPr>
                <w:rFonts w:hint="eastAsia" w:ascii="宋体" w:hAnsi="宋体" w:cs="宋体"/>
                <w:sz w:val="24"/>
                <w:szCs w:val="24"/>
                <w:lang w:val="en-US" w:eastAsia="zh-CN" w:bidi="ar"/>
              </w:rPr>
              <w:t>1.5</w:t>
            </w:r>
            <w:r>
              <w:rPr>
                <w:rFonts w:hint="eastAsia" w:ascii="宋体" w:hAnsi="宋体" w:cs="宋体"/>
                <w:sz w:val="24"/>
                <w:szCs w:val="24"/>
                <w:lang w:bidi="ar"/>
              </w:rPr>
              <w:t>分扣完为止。</w:t>
            </w:r>
          </w:p>
          <w:p w14:paraId="607BAB23">
            <w:pPr>
              <w:tabs>
                <w:tab w:val="left" w:pos="312"/>
              </w:tabs>
              <w:spacing w:line="400" w:lineRule="exact"/>
              <w:rPr>
                <w:rFonts w:hint="eastAsia" w:ascii="宋体" w:hAnsi="宋体" w:cs="宋体"/>
                <w:sz w:val="24"/>
                <w:szCs w:val="24"/>
                <w:highlight w:val="cyan"/>
              </w:rPr>
            </w:pPr>
            <w:r>
              <w:rPr>
                <w:rFonts w:hint="eastAsia" w:ascii="宋体" w:hAnsi="宋体" w:cs="宋体"/>
                <w:sz w:val="24"/>
                <w:szCs w:val="24"/>
                <w:lang w:bidi="ar"/>
              </w:rPr>
              <w:t>注：内容缺陷是指：非专门针对本项目或不适用项目特性的情形、内容不完整或缺少关键节点、套用其他项目方案、内容前后矛盾、不利于项目实施、不可能实现的情形、与项目要求有偏差，工作任务分工不明确，方案内容描述不完整等任意一种情形</w:t>
            </w:r>
          </w:p>
        </w:tc>
      </w:tr>
      <w:tr w14:paraId="1A2E3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77" w:type="dxa"/>
            <w:vMerge w:val="continue"/>
            <w:vAlign w:val="center"/>
          </w:tcPr>
          <w:p w14:paraId="1092C854">
            <w:pPr>
              <w:spacing w:line="400" w:lineRule="exact"/>
              <w:rPr>
                <w:rFonts w:ascii="宋体" w:hAnsi="宋体" w:cs="宋体"/>
                <w:sz w:val="24"/>
                <w:szCs w:val="24"/>
              </w:rPr>
            </w:pPr>
          </w:p>
        </w:tc>
        <w:tc>
          <w:tcPr>
            <w:tcW w:w="1748" w:type="dxa"/>
            <w:vMerge w:val="restart"/>
            <w:vAlign w:val="center"/>
          </w:tcPr>
          <w:p w14:paraId="68B7D2C0">
            <w:pPr>
              <w:spacing w:line="400" w:lineRule="exact"/>
              <w:jc w:val="center"/>
              <w:rPr>
                <w:rFonts w:ascii="宋体" w:hAnsi="宋体" w:cs="宋体"/>
                <w:sz w:val="24"/>
                <w:szCs w:val="24"/>
              </w:rPr>
            </w:pPr>
            <w:r>
              <w:rPr>
                <w:rFonts w:hint="eastAsia" w:ascii="宋体" w:hAnsi="宋体" w:cs="宋体"/>
                <w:sz w:val="24"/>
                <w:szCs w:val="24"/>
              </w:rPr>
              <w:t>5）商务部分得分F</w:t>
            </w:r>
            <w:r>
              <w:rPr>
                <w:rFonts w:hint="eastAsia" w:ascii="宋体" w:hAnsi="宋体" w:cs="宋体"/>
                <w:sz w:val="24"/>
                <w:szCs w:val="24"/>
                <w:highlight w:val="none"/>
              </w:rPr>
              <w:t>3（满分</w:t>
            </w:r>
            <w:r>
              <w:rPr>
                <w:rFonts w:hint="eastAsia" w:ascii="宋体" w:hAnsi="宋体" w:cs="宋体"/>
                <w:sz w:val="24"/>
                <w:szCs w:val="24"/>
                <w:highlight w:val="none"/>
                <w:lang w:val="en-US" w:eastAsia="zh-CN"/>
              </w:rPr>
              <w:t>18</w:t>
            </w:r>
            <w:r>
              <w:rPr>
                <w:rFonts w:hint="eastAsia" w:ascii="宋体" w:hAnsi="宋体" w:cs="宋体"/>
                <w:sz w:val="24"/>
                <w:szCs w:val="24"/>
                <w:highlight w:val="none"/>
              </w:rPr>
              <w:t>分）</w:t>
            </w:r>
          </w:p>
        </w:tc>
        <w:tc>
          <w:tcPr>
            <w:tcW w:w="1441" w:type="dxa"/>
            <w:vAlign w:val="center"/>
          </w:tcPr>
          <w:p w14:paraId="0E380507">
            <w:pPr>
              <w:spacing w:line="400" w:lineRule="exact"/>
              <w:jc w:val="center"/>
              <w:textAlignment w:val="center"/>
              <w:rPr>
                <w:rFonts w:ascii="宋体" w:hAnsi="宋体" w:cs="宋体"/>
                <w:bCs/>
                <w:sz w:val="24"/>
                <w:szCs w:val="24"/>
              </w:rPr>
            </w:pPr>
            <w:r>
              <w:rPr>
                <w:rFonts w:ascii="宋体" w:hAnsi="宋体" w:cs="宋体"/>
                <w:sz w:val="24"/>
                <w:szCs w:val="24"/>
                <w:lang w:bidi="ar"/>
              </w:rPr>
              <w:t>售后服务</w:t>
            </w:r>
            <w:r>
              <w:rPr>
                <w:rFonts w:hint="eastAsia" w:ascii="宋体" w:hAnsi="宋体" w:cs="宋体"/>
                <w:sz w:val="24"/>
                <w:szCs w:val="24"/>
                <w:lang w:eastAsia="zh-CN" w:bidi="ar"/>
              </w:rPr>
              <w:t>承诺</w:t>
            </w:r>
            <w:r>
              <w:rPr>
                <w:rFonts w:hint="eastAsia" w:ascii="宋体" w:hAnsi="宋体" w:cs="宋体"/>
                <w:sz w:val="24"/>
                <w:szCs w:val="24"/>
                <w:lang w:bidi="ar"/>
              </w:rPr>
              <w:t>及保证措施</w:t>
            </w:r>
            <w:r>
              <w:rPr>
                <w:rFonts w:hint="eastAsia" w:ascii="宋体" w:hAnsi="宋体" w:cs="宋体"/>
                <w:bCs/>
                <w:sz w:val="24"/>
                <w:szCs w:val="24"/>
              </w:rPr>
              <w:t>（满分</w:t>
            </w:r>
            <w:r>
              <w:rPr>
                <w:rFonts w:hint="eastAsia" w:ascii="宋体" w:hAnsi="宋体" w:cs="宋体"/>
                <w:bCs/>
                <w:sz w:val="24"/>
                <w:szCs w:val="24"/>
                <w:lang w:val="en-US" w:eastAsia="zh-CN"/>
              </w:rPr>
              <w:t>5</w:t>
            </w:r>
            <w:r>
              <w:rPr>
                <w:rFonts w:hint="eastAsia" w:ascii="宋体" w:hAnsi="宋体" w:cs="宋体"/>
                <w:bCs/>
                <w:sz w:val="24"/>
                <w:szCs w:val="24"/>
              </w:rPr>
              <w:t>分）</w:t>
            </w:r>
          </w:p>
        </w:tc>
        <w:tc>
          <w:tcPr>
            <w:tcW w:w="5978" w:type="dxa"/>
            <w:vAlign w:val="center"/>
          </w:tcPr>
          <w:p w14:paraId="50B324D1">
            <w:pPr>
              <w:tabs>
                <w:tab w:val="left" w:pos="312"/>
              </w:tabs>
              <w:spacing w:line="400" w:lineRule="exact"/>
              <w:rPr>
                <w:rFonts w:hint="eastAsia" w:ascii="宋体" w:hAnsi="宋体" w:cs="宋体"/>
                <w:sz w:val="24"/>
                <w:szCs w:val="24"/>
                <w:lang w:bidi="ar"/>
              </w:rPr>
            </w:pPr>
            <w:r>
              <w:rPr>
                <w:rFonts w:hint="eastAsia" w:ascii="宋体" w:hAnsi="宋体" w:cs="宋体"/>
                <w:sz w:val="24"/>
                <w:szCs w:val="24"/>
                <w:lang w:bidi="ar"/>
              </w:rPr>
              <w:t>对售后服务</w:t>
            </w:r>
            <w:r>
              <w:rPr>
                <w:rFonts w:hint="eastAsia" w:ascii="宋体" w:hAnsi="宋体" w:cs="宋体"/>
                <w:sz w:val="24"/>
                <w:szCs w:val="24"/>
                <w:lang w:eastAsia="zh-CN" w:bidi="ar"/>
              </w:rPr>
              <w:t>承诺</w:t>
            </w:r>
            <w:r>
              <w:rPr>
                <w:rFonts w:hint="eastAsia" w:ascii="宋体" w:hAnsi="宋体" w:cs="宋体"/>
                <w:sz w:val="24"/>
                <w:szCs w:val="24"/>
                <w:lang w:bidi="ar"/>
              </w:rPr>
              <w:t>及保证措施进行评分，内容需全面，其中应明确：</w:t>
            </w:r>
          </w:p>
          <w:p w14:paraId="416935D3">
            <w:pPr>
              <w:numPr>
                <w:ilvl w:val="0"/>
                <w:numId w:val="4"/>
              </w:numPr>
              <w:tabs>
                <w:tab w:val="left" w:pos="312"/>
              </w:tabs>
              <w:spacing w:line="400" w:lineRule="exact"/>
              <w:rPr>
                <w:rFonts w:hint="eastAsia" w:ascii="宋体" w:hAnsi="宋体" w:cs="宋体"/>
                <w:sz w:val="24"/>
                <w:szCs w:val="24"/>
                <w:lang w:bidi="ar"/>
              </w:rPr>
            </w:pPr>
            <w:r>
              <w:rPr>
                <w:rFonts w:ascii="宋体" w:hAnsi="宋体" w:cs="宋体"/>
                <w:sz w:val="24"/>
                <w:szCs w:val="24"/>
                <w:lang w:bidi="ar"/>
              </w:rPr>
              <w:t>售后服务方案的完善性</w:t>
            </w:r>
            <w:r>
              <w:rPr>
                <w:rFonts w:hint="eastAsia" w:ascii="宋体" w:hAnsi="宋体" w:cs="宋体"/>
                <w:sz w:val="24"/>
                <w:szCs w:val="24"/>
                <w:lang w:bidi="ar"/>
              </w:rPr>
              <w:t>；</w:t>
            </w:r>
          </w:p>
          <w:p w14:paraId="68618D0C">
            <w:pPr>
              <w:numPr>
                <w:ilvl w:val="0"/>
                <w:numId w:val="4"/>
              </w:numPr>
              <w:tabs>
                <w:tab w:val="left" w:pos="312"/>
              </w:tabs>
              <w:spacing w:line="400" w:lineRule="exact"/>
              <w:rPr>
                <w:rFonts w:hint="eastAsia" w:ascii="宋体" w:hAnsi="宋体" w:cs="宋体"/>
                <w:sz w:val="24"/>
                <w:szCs w:val="24"/>
                <w:lang w:bidi="ar"/>
              </w:rPr>
            </w:pPr>
            <w:r>
              <w:rPr>
                <w:rFonts w:ascii="宋体" w:hAnsi="宋体" w:cs="宋体"/>
                <w:sz w:val="24"/>
                <w:szCs w:val="24"/>
                <w:lang w:bidi="ar"/>
              </w:rPr>
              <w:t>售后服务</w:t>
            </w:r>
            <w:r>
              <w:rPr>
                <w:rFonts w:hint="eastAsia" w:ascii="宋体" w:hAnsi="宋体" w:cs="宋体"/>
                <w:sz w:val="24"/>
                <w:szCs w:val="24"/>
                <w:lang w:bidi="ar"/>
              </w:rPr>
              <w:t>承诺完善及保障性</w:t>
            </w:r>
          </w:p>
          <w:p w14:paraId="0DA845E8">
            <w:pPr>
              <w:tabs>
                <w:tab w:val="left" w:pos="312"/>
              </w:tabs>
              <w:spacing w:line="400" w:lineRule="exact"/>
              <w:rPr>
                <w:rFonts w:hint="eastAsia" w:ascii="宋体" w:hAnsi="宋体" w:cs="宋体"/>
                <w:sz w:val="24"/>
                <w:szCs w:val="24"/>
                <w:lang w:bidi="ar"/>
              </w:rPr>
            </w:pPr>
            <w:r>
              <w:rPr>
                <w:rFonts w:hint="eastAsia" w:ascii="宋体" w:hAnsi="宋体" w:cs="宋体"/>
                <w:sz w:val="24"/>
                <w:szCs w:val="24"/>
                <w:lang w:bidi="ar"/>
              </w:rPr>
              <w:t>（3）售后服务机构架构及服务人员；</w:t>
            </w:r>
          </w:p>
          <w:p w14:paraId="656B1E51">
            <w:pPr>
              <w:numPr>
                <w:ilvl w:val="0"/>
                <w:numId w:val="0"/>
              </w:numPr>
              <w:tabs>
                <w:tab w:val="left" w:pos="312"/>
              </w:tabs>
              <w:spacing w:line="400" w:lineRule="exact"/>
              <w:rPr>
                <w:rFonts w:hint="eastAsia" w:ascii="宋体" w:hAnsi="宋体" w:cs="宋体"/>
                <w:sz w:val="24"/>
                <w:szCs w:val="24"/>
                <w:lang w:eastAsia="zh-CN" w:bidi="ar"/>
              </w:rPr>
            </w:pPr>
            <w:r>
              <w:rPr>
                <w:rFonts w:hint="eastAsia" w:ascii="宋体" w:hAnsi="宋体" w:cs="宋体"/>
                <w:sz w:val="24"/>
                <w:szCs w:val="24"/>
                <w:lang w:bidi="ar"/>
              </w:rPr>
              <w:t>（4）</w:t>
            </w:r>
            <w:r>
              <w:rPr>
                <w:rFonts w:ascii="宋体" w:hAnsi="宋体" w:cs="宋体"/>
                <w:sz w:val="24"/>
                <w:szCs w:val="24"/>
                <w:lang w:bidi="ar"/>
              </w:rPr>
              <w:t>售后服务</w:t>
            </w:r>
            <w:r>
              <w:rPr>
                <w:rFonts w:hint="eastAsia" w:ascii="宋体" w:hAnsi="宋体" w:cs="宋体"/>
                <w:sz w:val="24"/>
                <w:szCs w:val="24"/>
                <w:lang w:val="en-US" w:eastAsia="zh-CN" w:bidi="ar"/>
              </w:rPr>
              <w:t>及</w:t>
            </w:r>
            <w:r>
              <w:rPr>
                <w:rFonts w:ascii="宋体" w:hAnsi="宋体" w:cs="宋体"/>
                <w:sz w:val="24"/>
                <w:szCs w:val="24"/>
                <w:lang w:bidi="ar"/>
              </w:rPr>
              <w:t>质保期满后保障质量措施</w:t>
            </w:r>
            <w:r>
              <w:rPr>
                <w:rFonts w:hint="eastAsia" w:ascii="宋体" w:hAnsi="宋体" w:cs="宋体"/>
                <w:sz w:val="24"/>
                <w:szCs w:val="24"/>
                <w:lang w:eastAsia="zh-CN" w:bidi="ar"/>
              </w:rPr>
              <w:t>；</w:t>
            </w:r>
          </w:p>
          <w:p w14:paraId="5C42FBEE">
            <w:pPr>
              <w:tabs>
                <w:tab w:val="left" w:pos="312"/>
              </w:tabs>
              <w:spacing w:line="400" w:lineRule="exact"/>
              <w:rPr>
                <w:rFonts w:hint="eastAsia" w:ascii="宋体" w:hAnsi="宋体" w:eastAsia="宋体" w:cs="宋体"/>
                <w:sz w:val="24"/>
                <w:szCs w:val="24"/>
                <w:lang w:eastAsia="zh-CN" w:bidi="ar"/>
              </w:rPr>
            </w:pPr>
            <w:r>
              <w:rPr>
                <w:rFonts w:hint="eastAsia" w:ascii="宋体" w:hAnsi="宋体" w:cs="宋体"/>
                <w:sz w:val="24"/>
                <w:szCs w:val="24"/>
                <w:lang w:eastAsia="zh-CN" w:bidi="ar"/>
              </w:rPr>
              <w:t>（</w:t>
            </w:r>
            <w:r>
              <w:rPr>
                <w:rFonts w:hint="eastAsia" w:ascii="宋体" w:hAnsi="宋体" w:cs="宋体"/>
                <w:sz w:val="24"/>
                <w:szCs w:val="24"/>
                <w:lang w:val="en-US" w:eastAsia="zh-CN" w:bidi="ar"/>
              </w:rPr>
              <w:t>5</w:t>
            </w:r>
            <w:r>
              <w:rPr>
                <w:rFonts w:hint="eastAsia" w:ascii="宋体" w:hAnsi="宋体" w:cs="宋体"/>
                <w:sz w:val="24"/>
                <w:szCs w:val="24"/>
                <w:lang w:eastAsia="zh-CN" w:bidi="ar"/>
              </w:rPr>
              <w:t>）</w:t>
            </w:r>
            <w:r>
              <w:rPr>
                <w:rFonts w:ascii="宋体" w:hAnsi="宋体" w:cs="宋体"/>
                <w:sz w:val="24"/>
                <w:szCs w:val="24"/>
                <w:lang w:bidi="ar"/>
              </w:rPr>
              <w:t>风险管理与应对措施</w:t>
            </w:r>
            <w:r>
              <w:rPr>
                <w:rFonts w:hint="eastAsia" w:ascii="宋体" w:hAnsi="宋体" w:cs="宋体"/>
                <w:sz w:val="24"/>
                <w:szCs w:val="24"/>
                <w:lang w:eastAsia="zh-CN" w:bidi="ar"/>
              </w:rPr>
              <w:t>。</w:t>
            </w:r>
          </w:p>
          <w:p w14:paraId="2B523FBA">
            <w:pPr>
              <w:tabs>
                <w:tab w:val="left" w:pos="312"/>
              </w:tabs>
              <w:spacing w:line="400" w:lineRule="exact"/>
              <w:ind w:firstLine="240" w:firstLineChars="100"/>
              <w:rPr>
                <w:rFonts w:hint="eastAsia" w:ascii="宋体" w:hAnsi="宋体" w:cs="宋体"/>
                <w:sz w:val="24"/>
                <w:szCs w:val="24"/>
                <w:lang w:bidi="ar"/>
              </w:rPr>
            </w:pPr>
            <w:r>
              <w:rPr>
                <w:rFonts w:hint="eastAsia" w:ascii="宋体" w:hAnsi="宋体" w:cs="宋体"/>
                <w:sz w:val="24"/>
                <w:szCs w:val="24"/>
                <w:lang w:bidi="ar"/>
              </w:rPr>
              <w:t>以上各分项内容符合项目实际需求且能保障项目顺利实施的得</w:t>
            </w:r>
            <w:r>
              <w:rPr>
                <w:rFonts w:hint="eastAsia" w:ascii="宋体" w:hAnsi="宋体" w:cs="宋体"/>
                <w:sz w:val="24"/>
                <w:szCs w:val="24"/>
                <w:lang w:val="en-US" w:eastAsia="zh-CN" w:bidi="ar"/>
              </w:rPr>
              <w:t>5</w:t>
            </w:r>
            <w:r>
              <w:rPr>
                <w:rFonts w:hint="eastAsia" w:ascii="宋体" w:hAnsi="宋体" w:cs="宋体"/>
                <w:sz w:val="24"/>
                <w:szCs w:val="24"/>
                <w:lang w:bidi="ar"/>
              </w:rPr>
              <w:t>分，每缺少一项扣</w:t>
            </w:r>
            <w:r>
              <w:rPr>
                <w:rFonts w:hint="eastAsia" w:ascii="宋体" w:hAnsi="宋体" w:cs="宋体"/>
                <w:sz w:val="24"/>
                <w:szCs w:val="24"/>
                <w:lang w:val="en-US" w:eastAsia="zh-CN" w:bidi="ar"/>
              </w:rPr>
              <w:t>1</w:t>
            </w:r>
            <w:r>
              <w:rPr>
                <w:rFonts w:hint="eastAsia" w:ascii="宋体" w:hAnsi="宋体" w:cs="宋体"/>
                <w:sz w:val="24"/>
                <w:szCs w:val="24"/>
                <w:lang w:bidi="ar"/>
              </w:rPr>
              <w:t>分，每一项中有一处内容缺陷或不符实际的每一项扣</w:t>
            </w:r>
            <w:r>
              <w:rPr>
                <w:rFonts w:hint="eastAsia" w:ascii="宋体" w:hAnsi="宋体" w:cs="宋体"/>
                <w:sz w:val="24"/>
                <w:szCs w:val="24"/>
                <w:lang w:val="en-US" w:eastAsia="zh-CN" w:bidi="ar"/>
              </w:rPr>
              <w:t>0.5</w:t>
            </w:r>
            <w:r>
              <w:rPr>
                <w:rFonts w:hint="eastAsia" w:ascii="宋体" w:hAnsi="宋体" w:cs="宋体"/>
                <w:sz w:val="24"/>
                <w:szCs w:val="24"/>
                <w:lang w:bidi="ar"/>
              </w:rPr>
              <w:t>分扣完为止。</w:t>
            </w:r>
          </w:p>
          <w:p w14:paraId="115E1C54">
            <w:pPr>
              <w:tabs>
                <w:tab w:val="left" w:pos="312"/>
              </w:tabs>
              <w:spacing w:line="400" w:lineRule="exact"/>
              <w:rPr>
                <w:rFonts w:ascii="宋体" w:hAnsi="宋体" w:cs="宋体"/>
                <w:sz w:val="24"/>
                <w:szCs w:val="24"/>
                <w:lang w:bidi="ar"/>
              </w:rPr>
            </w:pPr>
            <w:r>
              <w:rPr>
                <w:rFonts w:hint="eastAsia" w:ascii="宋体" w:hAnsi="宋体" w:cs="宋体"/>
                <w:sz w:val="24"/>
                <w:szCs w:val="24"/>
                <w:lang w:bidi="ar"/>
              </w:rPr>
              <w:t>注：内容缺陷是指：非专门针对本项目或不适用项目特性的情形、内容不完整或缺少关键节点、套用其他项目方案、内容前后矛盾、不利于项目实施、不可能实现的情形、与项目要求有偏差，工作任务分工不明确，方案内容描述不完整等任意一种情形</w:t>
            </w:r>
          </w:p>
        </w:tc>
      </w:tr>
      <w:tr w14:paraId="5E5A9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5" w:hRule="atLeast"/>
          <w:jc w:val="center"/>
        </w:trPr>
        <w:tc>
          <w:tcPr>
            <w:tcW w:w="877" w:type="dxa"/>
            <w:vMerge w:val="continue"/>
            <w:vAlign w:val="center"/>
          </w:tcPr>
          <w:p w14:paraId="78BFF36D">
            <w:pPr>
              <w:spacing w:line="400" w:lineRule="exact"/>
              <w:rPr>
                <w:rFonts w:ascii="宋体" w:hAnsi="宋体" w:cs="宋体"/>
                <w:sz w:val="24"/>
                <w:szCs w:val="24"/>
              </w:rPr>
            </w:pPr>
          </w:p>
        </w:tc>
        <w:tc>
          <w:tcPr>
            <w:tcW w:w="1748" w:type="dxa"/>
            <w:vMerge w:val="continue"/>
            <w:vAlign w:val="center"/>
          </w:tcPr>
          <w:p w14:paraId="5BF8A225">
            <w:pPr>
              <w:spacing w:line="400" w:lineRule="exact"/>
              <w:jc w:val="center"/>
              <w:rPr>
                <w:rFonts w:hint="eastAsia" w:ascii="宋体" w:hAnsi="宋体" w:cs="宋体"/>
                <w:sz w:val="24"/>
                <w:szCs w:val="24"/>
              </w:rPr>
            </w:pPr>
          </w:p>
        </w:tc>
        <w:tc>
          <w:tcPr>
            <w:tcW w:w="1441" w:type="dxa"/>
            <w:vAlign w:val="center"/>
          </w:tcPr>
          <w:p w14:paraId="79250FF3">
            <w:pPr>
              <w:spacing w:line="400" w:lineRule="exact"/>
              <w:jc w:val="center"/>
              <w:textAlignment w:val="center"/>
              <w:rPr>
                <w:rFonts w:ascii="宋体" w:hAnsi="宋体" w:cs="宋体"/>
                <w:sz w:val="24"/>
                <w:szCs w:val="24"/>
                <w:highlight w:val="none"/>
                <w:lang w:bidi="ar"/>
              </w:rPr>
            </w:pPr>
            <w:r>
              <w:rPr>
                <w:rFonts w:hint="eastAsia" w:ascii="宋体" w:hAnsi="宋体" w:cs="宋体"/>
                <w:sz w:val="24"/>
                <w:szCs w:val="24"/>
                <w:highlight w:val="none"/>
                <w:lang w:val="en-US" w:eastAsia="zh-CN"/>
              </w:rPr>
              <w:t>综合实力</w:t>
            </w:r>
            <w:r>
              <w:rPr>
                <w:rFonts w:hint="eastAsia" w:ascii="宋体" w:hAnsi="宋体" w:cs="宋体"/>
                <w:sz w:val="24"/>
                <w:szCs w:val="24"/>
                <w:highlight w:val="none"/>
              </w:rPr>
              <w:t>（满分</w:t>
            </w:r>
            <w:r>
              <w:rPr>
                <w:rFonts w:hint="eastAsia" w:ascii="宋体" w:hAnsi="宋体" w:cs="宋体"/>
                <w:sz w:val="24"/>
                <w:szCs w:val="24"/>
                <w:highlight w:val="none"/>
                <w:lang w:val="en-US" w:eastAsia="zh-CN"/>
              </w:rPr>
              <w:t>6</w:t>
            </w:r>
            <w:r>
              <w:rPr>
                <w:rFonts w:hint="eastAsia" w:ascii="宋体" w:hAnsi="宋体" w:cs="宋体"/>
                <w:sz w:val="24"/>
                <w:szCs w:val="24"/>
                <w:highlight w:val="none"/>
              </w:rPr>
              <w:t>分）</w:t>
            </w:r>
          </w:p>
        </w:tc>
        <w:tc>
          <w:tcPr>
            <w:tcW w:w="5978" w:type="dxa"/>
            <w:vAlign w:val="center"/>
          </w:tcPr>
          <w:p w14:paraId="4E6F6347">
            <w:pPr>
              <w:tabs>
                <w:tab w:val="left" w:pos="312"/>
              </w:tabs>
              <w:spacing w:line="400" w:lineRule="exact"/>
              <w:rPr>
                <w:rFonts w:ascii="宋体" w:hAnsi="宋体"/>
                <w:sz w:val="24"/>
              </w:rPr>
            </w:pPr>
            <w:r>
              <w:rPr>
                <w:rFonts w:hint="eastAsia" w:ascii="宋体" w:hAnsi="宋体"/>
                <w:sz w:val="24"/>
              </w:rPr>
              <w:t>考量投标人及产品制造商具有的整体综合实力，以保障专业教学及内涵建设：</w:t>
            </w:r>
          </w:p>
          <w:p w14:paraId="038AED05">
            <w:pPr>
              <w:tabs>
                <w:tab w:val="left" w:pos="312"/>
              </w:tabs>
              <w:spacing w:line="400" w:lineRule="exact"/>
              <w:rPr>
                <w:rFonts w:ascii="宋体" w:hAnsi="宋体"/>
                <w:sz w:val="24"/>
                <w:highlight w:val="none"/>
              </w:rPr>
            </w:pPr>
            <w:r>
              <w:rPr>
                <w:rFonts w:hint="eastAsia" w:ascii="宋体" w:hAnsi="宋体"/>
                <w:sz w:val="24"/>
                <w:highlight w:val="none"/>
              </w:rPr>
              <w:t>（1）</w:t>
            </w:r>
            <w:r>
              <w:rPr>
                <w:rFonts w:hint="eastAsia" w:ascii="宋体" w:hAnsi="宋体"/>
                <w:sz w:val="24"/>
                <w:highlight w:val="none"/>
                <w:lang w:val="en-US" w:eastAsia="zh-CN"/>
              </w:rPr>
              <w:t>需</w:t>
            </w:r>
            <w:r>
              <w:rPr>
                <w:rFonts w:hint="eastAsia" w:ascii="宋体" w:hAnsi="宋体"/>
                <w:sz w:val="24"/>
                <w:highlight w:val="none"/>
              </w:rPr>
              <w:t>共同参与学校智能互联网络技术专业人才培养方案的制定，为保证制定的专业性及权威性，</w:t>
            </w:r>
            <w:r>
              <w:rPr>
                <w:rFonts w:hint="eastAsia" w:ascii="宋体" w:hAnsi="宋体"/>
                <w:sz w:val="24"/>
                <w:highlight w:val="none"/>
                <w:lang w:val="en-US" w:eastAsia="zh-CN"/>
              </w:rPr>
              <w:t>需</w:t>
            </w:r>
            <w:r>
              <w:rPr>
                <w:rFonts w:hint="eastAsia" w:ascii="宋体" w:hAnsi="宋体"/>
                <w:sz w:val="24"/>
                <w:highlight w:val="none"/>
              </w:rPr>
              <w:t>提供</w:t>
            </w:r>
            <w:r>
              <w:rPr>
                <w:rFonts w:hint="eastAsia" w:ascii="宋体" w:hAnsi="宋体"/>
                <w:sz w:val="24"/>
                <w:highlight w:val="none"/>
                <w:lang w:val="en-US" w:eastAsia="zh-CN"/>
              </w:rPr>
              <w:t>投标人或产品制造商</w:t>
            </w:r>
            <w:r>
              <w:rPr>
                <w:rFonts w:hint="eastAsia" w:ascii="宋体" w:hAnsi="宋体"/>
                <w:sz w:val="24"/>
                <w:highlight w:val="none"/>
              </w:rPr>
              <w:t>参与过智能互联网络技术专业或物联网应用技术专业国家专业教学标准制定的佐证材料，每提供1项相关证明材料得1分，满分2分。</w:t>
            </w:r>
          </w:p>
          <w:p w14:paraId="1B7C9F08">
            <w:pPr>
              <w:tabs>
                <w:tab w:val="left" w:pos="312"/>
              </w:tabs>
              <w:spacing w:line="400" w:lineRule="exact"/>
              <w:rPr>
                <w:rFonts w:ascii="宋体" w:hAnsi="宋体"/>
                <w:sz w:val="24"/>
                <w:highlight w:val="none"/>
              </w:rPr>
            </w:pPr>
            <w:r>
              <w:rPr>
                <w:rFonts w:hint="eastAsia" w:ascii="宋体" w:hAnsi="宋体"/>
                <w:sz w:val="24"/>
                <w:highlight w:val="none"/>
              </w:rPr>
              <w:t>（2）</w:t>
            </w:r>
            <w:r>
              <w:rPr>
                <w:rFonts w:hint="eastAsia" w:ascii="宋体" w:hAnsi="宋体"/>
                <w:sz w:val="24"/>
                <w:highlight w:val="none"/>
                <w:lang w:val="en-US" w:eastAsia="zh-CN"/>
              </w:rPr>
              <w:t>需</w:t>
            </w:r>
            <w:r>
              <w:rPr>
                <w:rFonts w:hint="eastAsia" w:ascii="宋体" w:hAnsi="宋体"/>
                <w:sz w:val="24"/>
                <w:highlight w:val="none"/>
              </w:rPr>
              <w:t>具备丰富经验，能协助及指导学校申报教学成果奖，</w:t>
            </w:r>
            <w:r>
              <w:rPr>
                <w:rFonts w:hint="eastAsia" w:ascii="宋体" w:hAnsi="宋体"/>
                <w:sz w:val="24"/>
                <w:highlight w:val="none"/>
                <w:lang w:val="en-US" w:eastAsia="zh-CN"/>
              </w:rPr>
              <w:t>需</w:t>
            </w:r>
            <w:r>
              <w:rPr>
                <w:rFonts w:hint="eastAsia" w:ascii="宋体" w:hAnsi="宋体"/>
                <w:sz w:val="24"/>
                <w:highlight w:val="none"/>
              </w:rPr>
              <w:t>提供</w:t>
            </w:r>
            <w:r>
              <w:rPr>
                <w:rFonts w:hint="eastAsia" w:ascii="宋体" w:hAnsi="宋体"/>
                <w:sz w:val="24"/>
                <w:highlight w:val="none"/>
                <w:lang w:val="en-US" w:eastAsia="zh-CN"/>
              </w:rPr>
              <w:t>投标人或产品制造商</w:t>
            </w:r>
            <w:r>
              <w:rPr>
                <w:rFonts w:hint="eastAsia" w:ascii="宋体" w:hAnsi="宋体"/>
                <w:sz w:val="24"/>
                <w:highlight w:val="none"/>
              </w:rPr>
              <w:t>协助院校获得过国家级或省级教学成果奖的佐证材料（提供相关证明材料，提供国家级的得2分，提供省级的得1分，满分2分）</w:t>
            </w:r>
          </w:p>
          <w:p w14:paraId="34E36C28">
            <w:pPr>
              <w:tabs>
                <w:tab w:val="left" w:pos="312"/>
              </w:tabs>
              <w:spacing w:line="400" w:lineRule="exact"/>
              <w:rPr>
                <w:rFonts w:ascii="宋体" w:hAnsi="宋体"/>
                <w:sz w:val="24"/>
                <w:highlight w:val="none"/>
              </w:rPr>
            </w:pPr>
            <w:r>
              <w:rPr>
                <w:rFonts w:hint="eastAsia" w:ascii="宋体" w:hAnsi="宋体"/>
                <w:sz w:val="24"/>
                <w:highlight w:val="none"/>
              </w:rPr>
              <w:t>（3）</w:t>
            </w:r>
            <w:r>
              <w:rPr>
                <w:rFonts w:hint="eastAsia" w:ascii="宋体" w:hAnsi="宋体"/>
                <w:sz w:val="24"/>
                <w:highlight w:val="none"/>
                <w:lang w:val="en-US" w:eastAsia="zh-CN"/>
              </w:rPr>
              <w:t>学校参加</w:t>
            </w:r>
            <w:r>
              <w:rPr>
                <w:rFonts w:hint="eastAsia" w:ascii="宋体" w:hAnsi="宋体"/>
                <w:sz w:val="24"/>
                <w:highlight w:val="none"/>
              </w:rPr>
              <w:t>全国职业院校技能大赛</w:t>
            </w:r>
            <w:r>
              <w:rPr>
                <w:rFonts w:hint="eastAsia" w:ascii="宋体" w:hAnsi="宋体"/>
                <w:sz w:val="24"/>
                <w:highlight w:val="none"/>
                <w:lang w:val="en-US" w:eastAsia="zh-CN"/>
              </w:rPr>
              <w:t>时</w:t>
            </w:r>
            <w:r>
              <w:rPr>
                <w:rFonts w:hint="eastAsia" w:ascii="宋体" w:hAnsi="宋体"/>
                <w:sz w:val="24"/>
                <w:highlight w:val="none"/>
              </w:rPr>
              <w:t>（物联网赛项），协助学校开展技能提升培训，</w:t>
            </w:r>
            <w:r>
              <w:rPr>
                <w:rFonts w:hint="eastAsia" w:ascii="宋体" w:hAnsi="宋体"/>
                <w:sz w:val="24"/>
                <w:highlight w:val="none"/>
                <w:lang w:val="en-US" w:eastAsia="zh-CN"/>
              </w:rPr>
              <w:t>需</w:t>
            </w:r>
            <w:r>
              <w:rPr>
                <w:rFonts w:hint="eastAsia" w:ascii="宋体" w:hAnsi="宋体"/>
                <w:sz w:val="24"/>
                <w:highlight w:val="none"/>
              </w:rPr>
              <w:t>提供</w:t>
            </w:r>
            <w:r>
              <w:rPr>
                <w:rFonts w:hint="eastAsia" w:ascii="宋体" w:hAnsi="宋体"/>
                <w:sz w:val="24"/>
                <w:highlight w:val="none"/>
                <w:lang w:val="en-US" w:eastAsia="zh-CN"/>
              </w:rPr>
              <w:t>投标人或产品制造商承担过</w:t>
            </w:r>
            <w:r>
              <w:rPr>
                <w:rFonts w:hint="eastAsia" w:ascii="宋体" w:hAnsi="宋体"/>
                <w:sz w:val="24"/>
                <w:highlight w:val="none"/>
              </w:rPr>
              <w:t>支撑国家级或省级职业院校技能大赛的能力及经验的佐证材料（提供相关证明材料，提供国家级的得2分，提供省级的得1分，满分2分）。</w:t>
            </w:r>
          </w:p>
          <w:p w14:paraId="727A8806">
            <w:pPr>
              <w:tabs>
                <w:tab w:val="left" w:pos="312"/>
              </w:tabs>
              <w:spacing w:line="400" w:lineRule="exact"/>
              <w:rPr>
                <w:rFonts w:ascii="宋体" w:hAnsi="宋体"/>
                <w:sz w:val="24"/>
              </w:rPr>
            </w:pPr>
          </w:p>
          <w:p w14:paraId="5C38F74F">
            <w:pPr>
              <w:tabs>
                <w:tab w:val="left" w:pos="312"/>
              </w:tabs>
              <w:spacing w:line="400" w:lineRule="exact"/>
              <w:rPr>
                <w:rFonts w:hint="eastAsia" w:ascii="宋体" w:hAnsi="宋体" w:cs="宋体"/>
                <w:sz w:val="24"/>
                <w:szCs w:val="24"/>
                <w:highlight w:val="none"/>
                <w:lang w:bidi="ar"/>
              </w:rPr>
            </w:pPr>
            <w:r>
              <w:rPr>
                <w:rFonts w:hint="eastAsia" w:ascii="宋体" w:hAnsi="宋体"/>
                <w:sz w:val="24"/>
              </w:rPr>
              <w:t>评审依据：投标文件中提供上述证明材料扫描件/复印件佐证</w:t>
            </w:r>
            <w:r>
              <w:rPr>
                <w:rFonts w:hint="eastAsia" w:ascii="宋体" w:hAnsi="宋体"/>
                <w:sz w:val="24"/>
                <w:lang w:eastAsia="zh-CN"/>
              </w:rPr>
              <w:t>，</w:t>
            </w:r>
            <w:r>
              <w:rPr>
                <w:rFonts w:hint="eastAsia" w:ascii="宋体" w:hAnsi="宋体"/>
                <w:sz w:val="24"/>
              </w:rPr>
              <w:t>虚假材料将承担相应后果。</w:t>
            </w:r>
          </w:p>
        </w:tc>
      </w:tr>
      <w:tr w14:paraId="7950A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5" w:hRule="atLeast"/>
          <w:jc w:val="center"/>
        </w:trPr>
        <w:tc>
          <w:tcPr>
            <w:tcW w:w="877" w:type="dxa"/>
            <w:vMerge w:val="continue"/>
            <w:vAlign w:val="center"/>
          </w:tcPr>
          <w:p w14:paraId="053A7551">
            <w:pPr>
              <w:spacing w:line="400" w:lineRule="exact"/>
              <w:rPr>
                <w:rFonts w:ascii="宋体" w:hAnsi="宋体" w:cs="宋体"/>
                <w:sz w:val="24"/>
                <w:szCs w:val="24"/>
              </w:rPr>
            </w:pPr>
          </w:p>
        </w:tc>
        <w:tc>
          <w:tcPr>
            <w:tcW w:w="1748" w:type="dxa"/>
            <w:vMerge w:val="continue"/>
            <w:vAlign w:val="center"/>
          </w:tcPr>
          <w:p w14:paraId="4E262762">
            <w:pPr>
              <w:spacing w:line="400" w:lineRule="exact"/>
              <w:jc w:val="center"/>
              <w:rPr>
                <w:rFonts w:hint="eastAsia" w:ascii="宋体" w:hAnsi="宋体" w:cs="宋体"/>
                <w:sz w:val="24"/>
                <w:szCs w:val="24"/>
              </w:rPr>
            </w:pPr>
          </w:p>
        </w:tc>
        <w:tc>
          <w:tcPr>
            <w:tcW w:w="1441" w:type="dxa"/>
            <w:shd w:val="clear" w:color="auto" w:fill="auto"/>
            <w:vAlign w:val="center"/>
          </w:tcPr>
          <w:p w14:paraId="1B8CFC5A">
            <w:pPr>
              <w:jc w:val="center"/>
              <w:rPr>
                <w:rFonts w:hint="eastAsia" w:ascii="仿宋" w:hAnsi="仿宋" w:eastAsia="仿宋" w:cs="仿宋"/>
                <w:sz w:val="28"/>
                <w:szCs w:val="28"/>
                <w:lang w:val="en-US" w:eastAsia="zh-CN" w:bidi="ar-SA"/>
              </w:rPr>
            </w:pPr>
            <w:r>
              <w:rPr>
                <w:rFonts w:hint="eastAsia" w:ascii="宋体" w:hAnsi="宋体" w:cs="宋体"/>
                <w:sz w:val="24"/>
                <w:szCs w:val="24"/>
              </w:rPr>
              <w:t>人员配置（满分</w:t>
            </w:r>
            <w:r>
              <w:rPr>
                <w:rFonts w:hint="eastAsia" w:ascii="宋体" w:hAnsi="宋体" w:cs="宋体"/>
                <w:sz w:val="24"/>
                <w:szCs w:val="24"/>
                <w:lang w:val="en-US" w:eastAsia="zh-CN"/>
              </w:rPr>
              <w:t>4</w:t>
            </w:r>
            <w:r>
              <w:rPr>
                <w:rFonts w:hint="eastAsia" w:ascii="宋体" w:hAnsi="宋体" w:cs="宋体"/>
                <w:sz w:val="24"/>
                <w:szCs w:val="24"/>
              </w:rPr>
              <w:t>分）</w:t>
            </w:r>
          </w:p>
        </w:tc>
        <w:tc>
          <w:tcPr>
            <w:tcW w:w="5978" w:type="dxa"/>
            <w:shd w:val="clear" w:color="auto" w:fill="auto"/>
            <w:vAlign w:val="center"/>
          </w:tcPr>
          <w:p w14:paraId="3F4DA272">
            <w:pPr>
              <w:tabs>
                <w:tab w:val="left" w:pos="312"/>
              </w:tabs>
              <w:spacing w:line="400" w:lineRule="exact"/>
              <w:rPr>
                <w:rFonts w:hint="eastAsia" w:ascii="宋体" w:hAnsi="宋体" w:cs="宋体"/>
                <w:sz w:val="24"/>
                <w:szCs w:val="24"/>
                <w:highlight w:val="none"/>
                <w:lang w:bidi="ar"/>
              </w:rPr>
            </w:pPr>
            <w:r>
              <w:rPr>
                <w:rFonts w:hint="eastAsia" w:ascii="宋体" w:hAnsi="宋体" w:cs="宋体"/>
                <w:sz w:val="24"/>
                <w:szCs w:val="24"/>
                <w:highlight w:val="none"/>
                <w:lang w:val="en-US" w:eastAsia="zh-CN" w:bidi="ar"/>
              </w:rPr>
              <w:t>为</w:t>
            </w:r>
            <w:r>
              <w:rPr>
                <w:rFonts w:hint="eastAsia" w:ascii="宋体" w:hAnsi="宋体" w:cs="宋体"/>
                <w:sz w:val="24"/>
                <w:szCs w:val="24"/>
                <w:highlight w:val="none"/>
                <w:lang w:bidi="ar"/>
              </w:rPr>
              <w:t>保证</w:t>
            </w:r>
            <w:r>
              <w:rPr>
                <w:rFonts w:hint="eastAsia" w:ascii="宋体" w:hAnsi="宋体" w:cs="宋体"/>
                <w:sz w:val="24"/>
                <w:szCs w:val="24"/>
                <w:highlight w:val="none"/>
                <w:lang w:val="en-US" w:eastAsia="zh-CN" w:bidi="ar"/>
              </w:rPr>
              <w:t>该项目</w:t>
            </w:r>
            <w:r>
              <w:rPr>
                <w:rFonts w:hint="eastAsia" w:ascii="宋体" w:hAnsi="宋体" w:cs="宋体"/>
                <w:sz w:val="24"/>
                <w:szCs w:val="24"/>
                <w:highlight w:val="none"/>
                <w:lang w:bidi="ar"/>
              </w:rPr>
              <w:t>顺利有序实施</w:t>
            </w:r>
            <w:r>
              <w:rPr>
                <w:rFonts w:hint="eastAsia" w:ascii="宋体" w:hAnsi="宋体" w:cs="宋体"/>
                <w:sz w:val="24"/>
                <w:szCs w:val="24"/>
                <w:highlight w:val="none"/>
                <w:lang w:eastAsia="zh-CN" w:bidi="ar"/>
              </w:rPr>
              <w:t>、</w:t>
            </w:r>
            <w:r>
              <w:rPr>
                <w:rFonts w:hint="eastAsia" w:ascii="宋体" w:hAnsi="宋体" w:cs="宋体"/>
                <w:sz w:val="24"/>
                <w:szCs w:val="24"/>
                <w:highlight w:val="none"/>
                <w:lang w:val="en-US" w:eastAsia="zh-CN" w:bidi="ar"/>
              </w:rPr>
              <w:t>质量有效保障</w:t>
            </w:r>
            <w:r>
              <w:rPr>
                <w:rFonts w:hint="eastAsia" w:ascii="宋体" w:hAnsi="宋体" w:cs="宋体"/>
                <w:sz w:val="24"/>
                <w:szCs w:val="24"/>
                <w:highlight w:val="none"/>
                <w:lang w:bidi="ar"/>
              </w:rPr>
              <w:t>，投标人</w:t>
            </w:r>
            <w:r>
              <w:rPr>
                <w:rFonts w:hint="eastAsia" w:ascii="宋体" w:hAnsi="宋体" w:cs="宋体"/>
                <w:sz w:val="24"/>
                <w:szCs w:val="24"/>
                <w:highlight w:val="none"/>
                <w:lang w:val="en-US" w:eastAsia="zh-CN" w:bidi="ar"/>
              </w:rPr>
              <w:t>或产品制造商</w:t>
            </w:r>
            <w:r>
              <w:rPr>
                <w:rFonts w:hint="eastAsia" w:ascii="宋体" w:hAnsi="宋体" w:cs="宋体"/>
                <w:sz w:val="24"/>
                <w:szCs w:val="24"/>
                <w:highlight w:val="none"/>
                <w:lang w:bidi="ar"/>
              </w:rPr>
              <w:t>的技术团队应</w:t>
            </w:r>
            <w:r>
              <w:rPr>
                <w:rFonts w:hint="eastAsia" w:ascii="宋体" w:hAnsi="宋体" w:cs="宋体"/>
                <w:sz w:val="24"/>
                <w:szCs w:val="24"/>
                <w:highlight w:val="none"/>
                <w:lang w:val="en-US" w:eastAsia="zh-CN" w:bidi="ar"/>
              </w:rPr>
              <w:t>至少具备</w:t>
            </w:r>
            <w:r>
              <w:rPr>
                <w:rFonts w:hint="eastAsia" w:ascii="宋体" w:hAnsi="宋体" w:cs="宋体"/>
                <w:sz w:val="24"/>
                <w:szCs w:val="24"/>
                <w:highlight w:val="none"/>
                <w:lang w:bidi="ar"/>
              </w:rPr>
              <w:t>以下资质：</w:t>
            </w:r>
          </w:p>
          <w:p w14:paraId="4A43B3C1">
            <w:pPr>
              <w:tabs>
                <w:tab w:val="left" w:pos="312"/>
              </w:tabs>
              <w:spacing w:line="400" w:lineRule="exact"/>
              <w:rPr>
                <w:rFonts w:hint="eastAsia" w:ascii="宋体" w:hAnsi="宋体" w:cs="宋体"/>
                <w:sz w:val="24"/>
                <w:szCs w:val="24"/>
                <w:highlight w:val="none"/>
                <w:lang w:bidi="ar"/>
              </w:rPr>
            </w:pPr>
            <w:r>
              <w:rPr>
                <w:rFonts w:hint="eastAsia" w:ascii="宋体" w:hAnsi="宋体" w:cs="宋体"/>
                <w:sz w:val="24"/>
                <w:szCs w:val="24"/>
                <w:highlight w:val="none"/>
                <w:lang w:bidi="ar"/>
              </w:rPr>
              <w:t>（1）具有项目经理证书；</w:t>
            </w:r>
          </w:p>
          <w:p w14:paraId="43E81D8F">
            <w:pPr>
              <w:tabs>
                <w:tab w:val="left" w:pos="312"/>
              </w:tabs>
              <w:spacing w:line="400" w:lineRule="exact"/>
              <w:rPr>
                <w:rFonts w:hint="eastAsia" w:ascii="宋体" w:hAnsi="宋体" w:cs="宋体"/>
                <w:sz w:val="24"/>
                <w:szCs w:val="24"/>
                <w:highlight w:val="none"/>
                <w:lang w:bidi="ar"/>
              </w:rPr>
            </w:pPr>
            <w:r>
              <w:rPr>
                <w:rFonts w:hint="eastAsia" w:ascii="宋体" w:hAnsi="宋体" w:cs="宋体"/>
                <w:sz w:val="24"/>
                <w:szCs w:val="24"/>
                <w:highlight w:val="none"/>
                <w:lang w:bidi="ar"/>
              </w:rPr>
              <w:t>（2）物联网系统应用技术（高级）专项技术证书；</w:t>
            </w:r>
          </w:p>
          <w:p w14:paraId="73D96CE4">
            <w:pPr>
              <w:tabs>
                <w:tab w:val="left" w:pos="312"/>
              </w:tabs>
              <w:spacing w:line="400" w:lineRule="exact"/>
              <w:rPr>
                <w:rFonts w:hint="eastAsia" w:ascii="宋体" w:hAnsi="宋体" w:cs="宋体"/>
                <w:sz w:val="24"/>
                <w:szCs w:val="24"/>
                <w:highlight w:val="none"/>
                <w:lang w:bidi="ar"/>
              </w:rPr>
            </w:pPr>
            <w:r>
              <w:rPr>
                <w:rFonts w:hint="eastAsia" w:ascii="宋体" w:hAnsi="宋体" w:cs="宋体"/>
                <w:sz w:val="24"/>
                <w:szCs w:val="24"/>
                <w:highlight w:val="none"/>
                <w:lang w:bidi="ar"/>
              </w:rPr>
              <w:t>（3）具有电子高级工程师证书；</w:t>
            </w:r>
          </w:p>
          <w:p w14:paraId="5750791C">
            <w:pPr>
              <w:tabs>
                <w:tab w:val="left" w:pos="312"/>
              </w:tabs>
              <w:spacing w:line="400" w:lineRule="exact"/>
              <w:rPr>
                <w:rFonts w:hint="eastAsia" w:ascii="宋体" w:hAnsi="宋体" w:cs="宋体"/>
                <w:sz w:val="24"/>
                <w:szCs w:val="24"/>
                <w:highlight w:val="none"/>
                <w:lang w:bidi="ar"/>
              </w:rPr>
            </w:pPr>
            <w:r>
              <w:rPr>
                <w:rFonts w:hint="eastAsia" w:ascii="宋体" w:hAnsi="宋体" w:cs="宋体"/>
                <w:sz w:val="24"/>
                <w:szCs w:val="24"/>
                <w:highlight w:val="none"/>
                <w:lang w:bidi="ar"/>
              </w:rPr>
              <w:t>（4）参与《智能互联网络组网技术》省级教学资源库建设佐证材料。</w:t>
            </w:r>
          </w:p>
          <w:p w14:paraId="4F036ABC">
            <w:pPr>
              <w:tabs>
                <w:tab w:val="left" w:pos="312"/>
              </w:tabs>
              <w:spacing w:line="400" w:lineRule="exact"/>
              <w:rPr>
                <w:rFonts w:hint="eastAsia" w:ascii="宋体" w:hAnsi="宋体" w:cs="宋体"/>
                <w:sz w:val="24"/>
                <w:szCs w:val="24"/>
                <w:highlight w:val="none"/>
                <w:lang w:bidi="ar"/>
              </w:rPr>
            </w:pPr>
            <w:r>
              <w:rPr>
                <w:rFonts w:hint="eastAsia" w:ascii="宋体" w:hAnsi="宋体" w:cs="宋体"/>
                <w:sz w:val="24"/>
                <w:szCs w:val="24"/>
                <w:highlight w:val="none"/>
                <w:lang w:bidi="ar"/>
              </w:rPr>
              <w:t>全部</w:t>
            </w:r>
            <w:r>
              <w:rPr>
                <w:rFonts w:hint="eastAsia" w:ascii="宋体" w:hAnsi="宋体" w:cs="宋体"/>
                <w:sz w:val="24"/>
                <w:szCs w:val="24"/>
                <w:highlight w:val="none"/>
                <w:lang w:val="en-US" w:eastAsia="zh-CN" w:bidi="ar"/>
              </w:rPr>
              <w:t>提供</w:t>
            </w:r>
            <w:r>
              <w:rPr>
                <w:rFonts w:hint="eastAsia" w:ascii="宋体" w:hAnsi="宋体" w:cs="宋体"/>
                <w:sz w:val="24"/>
                <w:szCs w:val="24"/>
                <w:highlight w:val="none"/>
                <w:lang w:bidi="ar"/>
              </w:rPr>
              <w:t>得</w:t>
            </w:r>
            <w:r>
              <w:rPr>
                <w:rFonts w:hint="eastAsia" w:ascii="宋体" w:hAnsi="宋体" w:cs="宋体"/>
                <w:sz w:val="24"/>
                <w:szCs w:val="24"/>
                <w:highlight w:val="none"/>
                <w:lang w:val="en-US" w:eastAsia="zh-CN" w:bidi="ar"/>
              </w:rPr>
              <w:t>4</w:t>
            </w:r>
            <w:r>
              <w:rPr>
                <w:rFonts w:hint="eastAsia" w:ascii="宋体" w:hAnsi="宋体" w:cs="宋体"/>
                <w:sz w:val="24"/>
                <w:szCs w:val="24"/>
                <w:highlight w:val="none"/>
                <w:lang w:bidi="ar"/>
              </w:rPr>
              <w:t>分，缺少一项扣</w:t>
            </w:r>
            <w:r>
              <w:rPr>
                <w:rFonts w:hint="eastAsia" w:ascii="宋体" w:hAnsi="宋体" w:cs="宋体"/>
                <w:sz w:val="24"/>
                <w:szCs w:val="24"/>
                <w:highlight w:val="none"/>
                <w:lang w:val="en-US" w:eastAsia="zh-CN" w:bidi="ar"/>
              </w:rPr>
              <w:t>1</w:t>
            </w:r>
            <w:r>
              <w:rPr>
                <w:rFonts w:hint="eastAsia" w:ascii="宋体" w:hAnsi="宋体" w:cs="宋体"/>
                <w:sz w:val="24"/>
                <w:szCs w:val="24"/>
                <w:highlight w:val="none"/>
                <w:lang w:bidi="ar"/>
              </w:rPr>
              <w:t>分，扣完为止。</w:t>
            </w:r>
          </w:p>
          <w:p w14:paraId="16C63C01">
            <w:pPr>
              <w:tabs>
                <w:tab w:val="left" w:pos="312"/>
              </w:tabs>
              <w:spacing w:line="400" w:lineRule="exact"/>
              <w:rPr>
                <w:rFonts w:hint="eastAsia" w:ascii="仿宋" w:hAnsi="仿宋" w:eastAsia="仿宋" w:cs="仿宋"/>
                <w:sz w:val="28"/>
                <w:szCs w:val="28"/>
                <w:lang w:val="en-US" w:eastAsia="zh-CN" w:bidi="ar-SA"/>
              </w:rPr>
            </w:pPr>
            <w:r>
              <w:rPr>
                <w:rFonts w:hint="eastAsia" w:ascii="宋体" w:hAnsi="宋体" w:cs="宋体"/>
                <w:sz w:val="24"/>
                <w:szCs w:val="24"/>
                <w:highlight w:val="none"/>
                <w:lang w:bidi="ar"/>
              </w:rPr>
              <w:t>评审依据：投标文件中</w:t>
            </w:r>
            <w:r>
              <w:rPr>
                <w:rFonts w:hint="eastAsia" w:ascii="宋体" w:hAnsi="宋体" w:cs="宋体"/>
                <w:sz w:val="24"/>
                <w:szCs w:val="24"/>
                <w:highlight w:val="none"/>
                <w:lang w:val="en-US" w:eastAsia="zh-CN" w:bidi="ar"/>
              </w:rPr>
              <w:t>需</w:t>
            </w:r>
            <w:r>
              <w:rPr>
                <w:rFonts w:hint="eastAsia" w:ascii="宋体" w:hAnsi="宋体" w:cs="宋体"/>
                <w:sz w:val="24"/>
                <w:szCs w:val="24"/>
                <w:highlight w:val="none"/>
                <w:lang w:bidi="ar"/>
              </w:rPr>
              <w:t>提供上述在有效期内的证书复印件</w:t>
            </w:r>
          </w:p>
        </w:tc>
      </w:tr>
      <w:tr w14:paraId="08A84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5" w:hRule="atLeast"/>
          <w:jc w:val="center"/>
        </w:trPr>
        <w:tc>
          <w:tcPr>
            <w:tcW w:w="877" w:type="dxa"/>
            <w:vMerge w:val="continue"/>
            <w:vAlign w:val="center"/>
          </w:tcPr>
          <w:p w14:paraId="5080054C">
            <w:pPr>
              <w:spacing w:line="400" w:lineRule="exact"/>
              <w:rPr>
                <w:rFonts w:ascii="宋体" w:hAnsi="宋体" w:cs="宋体"/>
                <w:sz w:val="24"/>
                <w:szCs w:val="24"/>
              </w:rPr>
            </w:pPr>
          </w:p>
        </w:tc>
        <w:tc>
          <w:tcPr>
            <w:tcW w:w="1748" w:type="dxa"/>
            <w:vMerge w:val="continue"/>
            <w:vAlign w:val="center"/>
          </w:tcPr>
          <w:p w14:paraId="1AFAD233">
            <w:pPr>
              <w:spacing w:line="400" w:lineRule="exact"/>
              <w:jc w:val="center"/>
              <w:rPr>
                <w:rFonts w:ascii="宋体" w:hAnsi="宋体" w:cs="宋体"/>
                <w:sz w:val="24"/>
                <w:szCs w:val="24"/>
              </w:rPr>
            </w:pPr>
          </w:p>
        </w:tc>
        <w:tc>
          <w:tcPr>
            <w:tcW w:w="1441" w:type="dxa"/>
            <w:vAlign w:val="center"/>
          </w:tcPr>
          <w:p w14:paraId="4897D044">
            <w:pPr>
              <w:spacing w:line="400" w:lineRule="exact"/>
              <w:jc w:val="center"/>
              <w:rPr>
                <w:rFonts w:ascii="宋体" w:hAnsi="宋体" w:cs="宋体"/>
                <w:sz w:val="24"/>
                <w:szCs w:val="24"/>
              </w:rPr>
            </w:pPr>
            <w:r>
              <w:rPr>
                <w:rFonts w:hint="eastAsia" w:ascii="宋体" w:hAnsi="宋体" w:cs="宋体"/>
                <w:sz w:val="24"/>
                <w:szCs w:val="24"/>
              </w:rPr>
              <w:t>类似业绩评审评分（满分</w:t>
            </w:r>
            <w:r>
              <w:rPr>
                <w:rFonts w:hint="eastAsia" w:ascii="宋体" w:hAnsi="宋体" w:cs="宋体"/>
                <w:sz w:val="24"/>
                <w:szCs w:val="24"/>
                <w:lang w:val="en-US" w:eastAsia="zh-CN"/>
              </w:rPr>
              <w:t>3</w:t>
            </w:r>
            <w:r>
              <w:rPr>
                <w:rFonts w:hint="eastAsia" w:ascii="宋体" w:hAnsi="宋体" w:cs="宋体"/>
                <w:sz w:val="24"/>
                <w:szCs w:val="24"/>
              </w:rPr>
              <w:t>分）</w:t>
            </w:r>
          </w:p>
        </w:tc>
        <w:tc>
          <w:tcPr>
            <w:tcW w:w="5978" w:type="dxa"/>
            <w:vAlign w:val="center"/>
          </w:tcPr>
          <w:p w14:paraId="2DEC4985">
            <w:pPr>
              <w:spacing w:line="400" w:lineRule="exact"/>
              <w:rPr>
                <w:rFonts w:ascii="宋体" w:hAnsi="宋体" w:cs="宋体"/>
                <w:sz w:val="24"/>
                <w:szCs w:val="24"/>
              </w:rPr>
            </w:pPr>
            <w:r>
              <w:rPr>
                <w:rFonts w:hint="eastAsia" w:ascii="宋体" w:hAnsi="宋体" w:cs="宋体"/>
                <w:sz w:val="24"/>
                <w:szCs w:val="24"/>
                <w:highlight w:val="none"/>
                <w:lang w:bidi="ar"/>
              </w:rPr>
              <w:t>投标人</w:t>
            </w:r>
            <w:r>
              <w:rPr>
                <w:rFonts w:hint="eastAsia" w:ascii="宋体" w:hAnsi="宋体" w:cs="宋体"/>
                <w:sz w:val="24"/>
                <w:szCs w:val="24"/>
                <w:highlight w:val="none"/>
                <w:lang w:val="en-US" w:eastAsia="zh-CN" w:bidi="ar"/>
              </w:rPr>
              <w:t>或产品制造商</w:t>
            </w:r>
            <w:r>
              <w:rPr>
                <w:rFonts w:hint="eastAsia" w:ascii="宋体" w:hAnsi="宋体" w:cs="宋体"/>
                <w:sz w:val="24"/>
                <w:szCs w:val="24"/>
                <w:highlight w:val="none"/>
              </w:rPr>
              <w:t>具</w:t>
            </w:r>
            <w:r>
              <w:rPr>
                <w:rFonts w:hint="eastAsia" w:ascii="宋体" w:hAnsi="宋体" w:cs="宋体"/>
                <w:sz w:val="24"/>
                <w:szCs w:val="24"/>
              </w:rPr>
              <w:t>有自202</w:t>
            </w:r>
            <w:r>
              <w:rPr>
                <w:rFonts w:hint="eastAsia" w:ascii="宋体" w:hAnsi="宋体" w:cs="宋体"/>
                <w:sz w:val="24"/>
                <w:szCs w:val="24"/>
                <w:lang w:val="en-US" w:eastAsia="zh-CN"/>
              </w:rPr>
              <w:t>2</w:t>
            </w:r>
            <w:r>
              <w:rPr>
                <w:rFonts w:hint="eastAsia" w:ascii="宋体" w:hAnsi="宋体" w:cs="宋体"/>
                <w:sz w:val="24"/>
                <w:szCs w:val="24"/>
              </w:rPr>
              <w:t>年1月1日起至今（以合同签订时间为准）承担过与本项目类似产品的供货业绩，每提供一项业绩得1分，最高得</w:t>
            </w:r>
            <w:r>
              <w:rPr>
                <w:rFonts w:hint="eastAsia" w:ascii="宋体" w:hAnsi="宋体" w:cs="宋体"/>
                <w:sz w:val="24"/>
                <w:szCs w:val="24"/>
                <w:lang w:val="en-US" w:eastAsia="zh-CN"/>
              </w:rPr>
              <w:t>3</w:t>
            </w:r>
            <w:r>
              <w:rPr>
                <w:rFonts w:hint="eastAsia" w:ascii="宋体" w:hAnsi="宋体" w:cs="宋体"/>
                <w:sz w:val="24"/>
                <w:szCs w:val="24"/>
              </w:rPr>
              <w:t>分。未提供业绩列表及相关证明材料的不得分。</w:t>
            </w:r>
          </w:p>
          <w:p w14:paraId="4B9C68BA">
            <w:pPr>
              <w:spacing w:line="400" w:lineRule="exact"/>
              <w:rPr>
                <w:rFonts w:ascii="宋体" w:hAnsi="宋体" w:cs="宋体"/>
                <w:sz w:val="24"/>
                <w:szCs w:val="24"/>
              </w:rPr>
            </w:pPr>
            <w:r>
              <w:rPr>
                <w:rFonts w:hint="eastAsia" w:ascii="宋体" w:hAnsi="宋体" w:cs="宋体"/>
                <w:sz w:val="24"/>
                <w:szCs w:val="24"/>
              </w:rPr>
              <w:t>注：投标文件中须提供业绩列表及相对应的业绩证明材料，业绩证明材料为中标/成交通知书或合同（合同首页、标的所在页及合同签字盖章页或用户证明）。无证明材料或证明材料不明确、无法体现业绩内容的，不予认可。</w:t>
            </w:r>
          </w:p>
        </w:tc>
      </w:tr>
    </w:tbl>
    <w:p w14:paraId="6221266F">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br w:type="page"/>
      </w:r>
    </w:p>
    <w:p w14:paraId="76A000D2">
      <w:pPr>
        <w:spacing w:line="500" w:lineRule="exact"/>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（四）得分汇总</w:t>
      </w:r>
    </w:p>
    <w:p w14:paraId="6AE2F8CE">
      <w:pPr>
        <w:pStyle w:val="16"/>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1.评委应首先对各投标人投标文件进行评审，写出书面意见并按招标文件规定分值评分，各分档评分中间不得用插入法评分。</w:t>
      </w:r>
    </w:p>
    <w:p w14:paraId="392958AE">
      <w:pPr>
        <w:pStyle w:val="16"/>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2.除投标价格得分（</w:t>
      </w:r>
      <w:r>
        <w:rPr>
          <w:rFonts w:hint="eastAsia" w:ascii="宋体" w:hAnsi="宋体" w:cs="宋体"/>
          <w:color w:val="auto"/>
          <w:spacing w:val="6"/>
          <w:sz w:val="24"/>
          <w:szCs w:val="24"/>
          <w:highlight w:val="none"/>
        </w:rPr>
        <w:t>F1</w:t>
      </w:r>
      <w:r>
        <w:rPr>
          <w:rFonts w:hint="eastAsia" w:ascii="宋体" w:hAnsi="宋体" w:cs="宋体"/>
          <w:color w:val="auto"/>
          <w:sz w:val="24"/>
          <w:szCs w:val="24"/>
          <w:highlight w:val="none"/>
        </w:rPr>
        <w:t>）外，其余部分由各评委自主评分并签字确认。</w:t>
      </w:r>
    </w:p>
    <w:p w14:paraId="71112650">
      <w:pPr>
        <w:pStyle w:val="16"/>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3.统分原则：计算评委打分的算术平均值为投标人的该项评分因素的得分，投标报价得分除外（保留小数点后两位）。</w:t>
      </w:r>
    </w:p>
    <w:p w14:paraId="3351343D">
      <w:pPr>
        <w:pStyle w:val="16"/>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4.得分汇总：各项评分因素得分的总和即为投标人最后得分。</w:t>
      </w:r>
    </w:p>
    <w:p w14:paraId="640E10DD">
      <w:pPr>
        <w:pStyle w:val="16"/>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5.经评标委员会认定评分畸高、畸低的，评标委员会应当当场修改评标结果，并在评标报告中记载。</w:t>
      </w:r>
    </w:p>
    <w:p w14:paraId="7A472AAF">
      <w:pPr>
        <w:spacing w:before="97" w:beforeLines="30" w:after="97" w:afterLines="30" w:line="500" w:lineRule="exact"/>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七、推荐</w:t>
      </w:r>
    </w:p>
    <w:p w14:paraId="6EB07293">
      <w:pPr>
        <w:autoSpaceDE w:val="0"/>
        <w:autoSpaceDN w:val="0"/>
        <w:spacing w:line="4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评标委员会按得分汇总计算出各投标人的总得分，评标结果按评审后总得分由高到低顺序排列。</w:t>
      </w:r>
    </w:p>
    <w:p w14:paraId="6ECAB4F8">
      <w:pPr>
        <w:autoSpaceDE w:val="0"/>
        <w:autoSpaceDN w:val="0"/>
        <w:spacing w:line="4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总得分相同的，按投标报价由低到高顺序排列。得分且投标报价相同的并列。投标文件满足招标文件全部实质性要求，且按照评审因素的量化指标评审得分最高的投标人为排名第一的中标候选人。若量化指标评审得分仍然相同，</w:t>
      </w:r>
      <w:r>
        <w:rPr>
          <w:rFonts w:hint="eastAsia" w:ascii="宋体" w:hAnsi="宋体" w:cs="宋体"/>
          <w:color w:val="auto"/>
          <w:sz w:val="24"/>
          <w:highlight w:val="none"/>
        </w:rPr>
        <w:t>评标委员会采用投票方式以少数服从多数的原则</w:t>
      </w:r>
      <w:r>
        <w:rPr>
          <w:rFonts w:hint="eastAsia" w:ascii="宋体" w:hAnsi="宋体" w:cs="宋体"/>
          <w:color w:val="auto"/>
          <w:sz w:val="24"/>
          <w:szCs w:val="24"/>
          <w:highlight w:val="none"/>
        </w:rPr>
        <w:t>确定中标候选人排序，其他同品牌投标人不作为中标候选人。</w:t>
      </w:r>
    </w:p>
    <w:p w14:paraId="198631BE">
      <w:pPr>
        <w:autoSpaceDE w:val="0"/>
        <w:autoSpaceDN w:val="0"/>
        <w:spacing w:line="4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若存在节能环保产品参与投标，根据《中华人民共和国政府采购法》、《中华人民共和国政府采购法实施条例》、《政府采购货物和服务招标投标管理办法》（财政部令第87号）的规定，优先采购节能环保产品。</w:t>
      </w:r>
    </w:p>
    <w:p w14:paraId="69D2A0D0">
      <w:pPr>
        <w:spacing w:before="97" w:beforeLines="30" w:after="97" w:afterLines="30" w:line="500" w:lineRule="exact"/>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八、评标报告编写</w:t>
      </w:r>
    </w:p>
    <w:p w14:paraId="64A7BC88">
      <w:pPr>
        <w:autoSpaceDE w:val="0"/>
        <w:autoSpaceDN w:val="0"/>
        <w:spacing w:line="4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评标委员会根据全体评标成员签字的原始评标记录和评标结果编写评标报告。</w:t>
      </w:r>
      <w:bookmarkStart w:id="333" w:name="_Toc468"/>
      <w:bookmarkEnd w:id="333"/>
      <w:bookmarkStart w:id="334" w:name="_Toc12254"/>
      <w:bookmarkEnd w:id="334"/>
    </w:p>
    <w:p w14:paraId="65532273">
      <w:pPr>
        <w:spacing w:before="97" w:beforeLines="30" w:after="97" w:afterLines="30" w:line="500" w:lineRule="exact"/>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九、重新评审</w:t>
      </w:r>
    </w:p>
    <w:p w14:paraId="244FEB9D">
      <w:pPr>
        <w:autoSpaceDE w:val="0"/>
        <w:autoSpaceDN w:val="0"/>
        <w:spacing w:line="4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评标结果汇总完成后，除下列情形外，任何人不得修改评标结果：</w:t>
      </w:r>
    </w:p>
    <w:p w14:paraId="0C9386D2">
      <w:pPr>
        <w:autoSpaceDE w:val="0"/>
        <w:autoSpaceDN w:val="0"/>
        <w:spacing w:line="4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（一）分值汇总计算错误的；</w:t>
      </w:r>
    </w:p>
    <w:p w14:paraId="782E98BE">
      <w:pPr>
        <w:autoSpaceDE w:val="0"/>
        <w:autoSpaceDN w:val="0"/>
        <w:spacing w:line="4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（二）分项评分超出评分标准范围的；</w:t>
      </w:r>
    </w:p>
    <w:p w14:paraId="6E479955">
      <w:pPr>
        <w:autoSpaceDE w:val="0"/>
        <w:autoSpaceDN w:val="0"/>
        <w:spacing w:line="4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（三）评标委员会成员对客观评审因素评分不一致的；</w:t>
      </w:r>
    </w:p>
    <w:p w14:paraId="3CABC5B3">
      <w:pPr>
        <w:autoSpaceDE w:val="0"/>
        <w:autoSpaceDN w:val="0"/>
        <w:spacing w:line="4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（四）经评标委员会认定评分畸高、畸低的。</w:t>
      </w:r>
    </w:p>
    <w:p w14:paraId="5E2D9DDA">
      <w:pPr>
        <w:autoSpaceDE w:val="0"/>
        <w:autoSpaceDN w:val="0"/>
        <w:spacing w:line="4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14:paraId="6914D837">
      <w:pPr>
        <w:autoSpaceDE w:val="0"/>
        <w:autoSpaceDN w:val="0"/>
        <w:spacing w:line="460" w:lineRule="exact"/>
        <w:ind w:firstLine="480" w:firstLineChars="200"/>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rPr>
        <w:t>投标人对分值汇总计算错误提出质疑的，采购人或者采购代理机构可以组织原评标委员会进行重新评审，重新评审改变评标结果的，应当书面报告本级财政部门。</w:t>
      </w:r>
    </w:p>
    <w:sectPr>
      <w:headerReference r:id="rId19" w:type="default"/>
      <w:footerReference r:id="rId20" w:type="default"/>
      <w:pgSz w:w="11906" w:h="16838"/>
      <w:pgMar w:top="1440" w:right="1083" w:bottom="1440" w:left="1083" w:header="720" w:footer="720" w:gutter="0"/>
      <w:pgBorders>
        <w:top w:val="none" w:sz="0" w:space="0"/>
        <w:left w:val="none" w:sz="0" w:space="0"/>
        <w:bottom w:val="none" w:sz="0" w:space="0"/>
        <w:right w:val="none" w:sz="0" w:space="0"/>
      </w:pgBorders>
      <w:pgNumType w:fmt="numberInDash"/>
      <w:cols w:space="0" w:num="1"/>
      <w:docGrid w:type="lines" w:linePitch="324"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4D"/>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Consolas">
    <w:panose1 w:val="020B0609020204030204"/>
    <w:charset w:val="00"/>
    <w:family w:val="modern"/>
    <w:pitch w:val="default"/>
    <w:sig w:usb0="E00006FF" w:usb1="0000FCFF" w:usb2="00000001" w:usb3="00000000" w:csb0="6000019F" w:csb1="DFD7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Segoe UI">
    <w:panose1 w:val="020B0502040204020203"/>
    <w:charset w:val="00"/>
    <w:family w:val="swiss"/>
    <w:pitch w:val="default"/>
    <w:sig w:usb0="E4002EFF" w:usb1="C000E47F" w:usb2="00000009" w:usb3="00000000" w:csb0="200001F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AB24DA">
    <w:pPr>
      <w:pStyle w:val="2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28E7C28">
                          <w:pPr>
                            <w:pStyle w:val="21"/>
                          </w:pPr>
                          <w:r>
                            <w:fldChar w:fldCharType="begin"/>
                          </w:r>
                          <w:r>
                            <w:instrText xml:space="preserve"> PAGE  \* MERGEFORMAT </w:instrText>
                          </w:r>
                          <w:r>
                            <w:fldChar w:fldCharType="separate"/>
                          </w:r>
                          <w:r>
                            <w:t>- 49 -</w:t>
                          </w:r>
                          <w:r>
                            <w:fldChar w:fldCharType="end"/>
                          </w:r>
                        </w:p>
                      </w:txbxContent>
                    </wps:txbx>
                    <wps:bodyPr wrap="none" lIns="0" tIns="0" rIns="0" bIns="0" upright="1">
                      <a:spAutoFit/>
                    </wps:bodyPr>
                  </wps:wsp>
                </a:graphicData>
              </a:graphic>
            </wp:anchor>
          </w:drawing>
        </mc:Choice>
        <mc:Fallback>
          <w:pict>
            <v:shape id="文本框 59"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CfktJPyQEAAJoDAAAOAAAAAAAAAAEAIAAAAB4BAABkcnMvZTJvRG9j&#10;LnhtbFBLBQYAAAAABgAGAFkBAABZBQAAAAA=&#10;">
              <v:fill on="f" focussize="0,0"/>
              <v:stroke on="f"/>
              <v:imagedata o:title=""/>
              <o:lock v:ext="edit" aspectratio="f"/>
              <v:textbox inset="0mm,0mm,0mm,0mm" style="mso-fit-shape-to-text:t;">
                <w:txbxContent>
                  <w:p w14:paraId="428E7C28">
                    <w:pPr>
                      <w:pStyle w:val="21"/>
                    </w:pPr>
                    <w:r>
                      <w:fldChar w:fldCharType="begin"/>
                    </w:r>
                    <w:r>
                      <w:instrText xml:space="preserve"> PAGE  \* MERGEFORMAT </w:instrText>
                    </w:r>
                    <w:r>
                      <w:fldChar w:fldCharType="separate"/>
                    </w:r>
                    <w:r>
                      <w:t>- 49 -</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E4AAFF">
    <w:pPr>
      <w:pStyle w:val="21"/>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5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1C156BE">
                          <w:pPr>
                            <w:pStyle w:val="21"/>
                          </w:pPr>
                          <w:r>
                            <w:fldChar w:fldCharType="begin"/>
                          </w:r>
                          <w:r>
                            <w:instrText xml:space="preserve"> PAGE  \* MERGEFORMAT </w:instrText>
                          </w:r>
                          <w:r>
                            <w:fldChar w:fldCharType="separate"/>
                          </w:r>
                          <w:r>
                            <w:t>- 49 -</w:t>
                          </w:r>
                          <w:r>
                            <w:fldChar w:fldCharType="end"/>
                          </w:r>
                        </w:p>
                      </w:txbxContent>
                    </wps:txbx>
                    <wps:bodyPr wrap="none" lIns="0" tIns="0" rIns="0" bIns="0" upright="1">
                      <a:spAutoFit/>
                    </wps:bodyPr>
                  </wps:wsp>
                </a:graphicData>
              </a:graphic>
            </wp:anchor>
          </w:drawing>
        </mc:Choice>
        <mc:Fallback>
          <w:pict>
            <v:shape id="文本框 58"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jZzcGsoBAACaAwAADgAAAAAAAAABACAAAAAeAQAAZHJzL2Uyb0Rv&#10;Yy54bWxQSwUGAAAAAAYABgBZAQAAWgUAAAAA&#10;">
              <v:fill on="f" focussize="0,0"/>
              <v:stroke on="f"/>
              <v:imagedata o:title=""/>
              <o:lock v:ext="edit" aspectratio="f"/>
              <v:textbox inset="0mm,0mm,0mm,0mm" style="mso-fit-shape-to-text:t;">
                <w:txbxContent>
                  <w:p w14:paraId="61C156BE">
                    <w:pPr>
                      <w:pStyle w:val="21"/>
                    </w:pPr>
                    <w:r>
                      <w:fldChar w:fldCharType="begin"/>
                    </w:r>
                    <w:r>
                      <w:instrText xml:space="preserve"> PAGE  \* MERGEFORMAT </w:instrText>
                    </w:r>
                    <w:r>
                      <w:fldChar w:fldCharType="separate"/>
                    </w:r>
                    <w:r>
                      <w:t>- 49 -</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DCD6D1">
    <w:pPr>
      <w:pStyle w:val="21"/>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6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A087301">
                          <w:pPr>
                            <w:pStyle w:val="21"/>
                          </w:pPr>
                          <w:r>
                            <w:rPr>
                              <w:rFonts w:hint="eastAsia"/>
                            </w:rPr>
                            <w:fldChar w:fldCharType="begin"/>
                          </w:r>
                          <w:r>
                            <w:rPr>
                              <w:rFonts w:hint="eastAsia"/>
                            </w:rPr>
                            <w:instrText xml:space="preserve"> PAGE  \* MERGEFORMAT </w:instrText>
                          </w:r>
                          <w:r>
                            <w:rPr>
                              <w:rFonts w:hint="eastAsia"/>
                            </w:rPr>
                            <w:fldChar w:fldCharType="separate"/>
                          </w:r>
                          <w:r>
                            <w:t>- 71 -</w:t>
                          </w:r>
                          <w:r>
                            <w:rPr>
                              <w:rFonts w:hint="eastAsia"/>
                            </w:rPr>
                            <w:fldChar w:fldCharType="end"/>
                          </w:r>
                        </w:p>
                      </w:txbxContent>
                    </wps:txbx>
                    <wps:bodyPr wrap="none" lIns="0" tIns="0" rIns="0" bIns="0" upright="1">
                      <a:spAutoFit/>
                    </wps:bodyPr>
                  </wps:wsp>
                </a:graphicData>
              </a:graphic>
            </wp:anchor>
          </w:drawing>
        </mc:Choice>
        <mc:Fallback>
          <w:pict>
            <v:shape id="文本框 63"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LKHREyQEAAJoDAAAOAAAAAAAAAAEAIAAAAB4BAABkcnMvZTJvRG9j&#10;LnhtbFBLBQYAAAAABgAGAFkBAABZBQAAAAA=&#10;">
              <v:fill on="f" focussize="0,0"/>
              <v:stroke on="f"/>
              <v:imagedata o:title=""/>
              <o:lock v:ext="edit" aspectratio="f"/>
              <v:textbox inset="0mm,0mm,0mm,0mm" style="mso-fit-shape-to-text:t;">
                <w:txbxContent>
                  <w:p w14:paraId="3A087301">
                    <w:pPr>
                      <w:pStyle w:val="21"/>
                    </w:pPr>
                    <w:r>
                      <w:rPr>
                        <w:rFonts w:hint="eastAsia"/>
                      </w:rPr>
                      <w:fldChar w:fldCharType="begin"/>
                    </w:r>
                    <w:r>
                      <w:rPr>
                        <w:rFonts w:hint="eastAsia"/>
                      </w:rPr>
                      <w:instrText xml:space="preserve"> PAGE  \* MERGEFORMAT </w:instrText>
                    </w:r>
                    <w:r>
                      <w:rPr>
                        <w:rFonts w:hint="eastAsia"/>
                      </w:rPr>
                      <w:fldChar w:fldCharType="separate"/>
                    </w:r>
                    <w:r>
                      <w:t>- 71 -</w:t>
                    </w:r>
                    <w:r>
                      <w:rPr>
                        <w:rFonts w:hint="eastAsia"/>
                      </w:rPr>
                      <w:fldChar w:fldCharType="end"/>
                    </w:r>
                  </w:p>
                </w:txbxContent>
              </v:textbox>
            </v:shape>
          </w:pict>
        </mc:Fallback>
      </mc:AlternateContent>
    </w:r>
  </w:p>
  <w:p w14:paraId="546F9447">
    <w:pPr>
      <w:pStyle w:val="2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DE81ED">
    <w:pPr>
      <w:pStyle w:val="21"/>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6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ED596A5">
                          <w:pPr>
                            <w:pStyle w:val="21"/>
                          </w:pPr>
                          <w:r>
                            <w:rPr>
                              <w:rFonts w:hint="eastAsia"/>
                            </w:rPr>
                            <w:fldChar w:fldCharType="begin"/>
                          </w:r>
                          <w:r>
                            <w:rPr>
                              <w:rFonts w:hint="eastAsia"/>
                            </w:rPr>
                            <w:instrText xml:space="preserve"> PAGE  \* MERGEFORMAT </w:instrText>
                          </w:r>
                          <w:r>
                            <w:rPr>
                              <w:rFonts w:hint="eastAsia"/>
                            </w:rPr>
                            <w:fldChar w:fldCharType="separate"/>
                          </w:r>
                          <w:r>
                            <w:t>- 74 -</w:t>
                          </w:r>
                          <w:r>
                            <w:rPr>
                              <w:rFonts w:hint="eastAsia"/>
                            </w:rPr>
                            <w:fldChar w:fldCharType="end"/>
                          </w:r>
                        </w:p>
                      </w:txbxContent>
                    </wps:txbx>
                    <wps:bodyPr wrap="none" lIns="0" tIns="0" rIns="0" bIns="0" upright="1">
                      <a:spAutoFit/>
                    </wps:bodyPr>
                  </wps:wsp>
                </a:graphicData>
              </a:graphic>
            </wp:anchor>
          </w:drawing>
        </mc:Choice>
        <mc:Fallback>
          <w:pict>
            <v:shape id="文本框 64"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ZdVazsoBAACaAwAADgAAAAAAAAABACAAAAAeAQAAZHJzL2Uyb0Rv&#10;Yy54bWxQSwUGAAAAAAYABgBZAQAAWgUAAAAA&#10;">
              <v:fill on="f" focussize="0,0"/>
              <v:stroke on="f"/>
              <v:imagedata o:title=""/>
              <o:lock v:ext="edit" aspectratio="f"/>
              <v:textbox inset="0mm,0mm,0mm,0mm" style="mso-fit-shape-to-text:t;">
                <w:txbxContent>
                  <w:p w14:paraId="6ED596A5">
                    <w:pPr>
                      <w:pStyle w:val="21"/>
                    </w:pPr>
                    <w:r>
                      <w:rPr>
                        <w:rFonts w:hint="eastAsia"/>
                      </w:rPr>
                      <w:fldChar w:fldCharType="begin"/>
                    </w:r>
                    <w:r>
                      <w:rPr>
                        <w:rFonts w:hint="eastAsia"/>
                      </w:rPr>
                      <w:instrText xml:space="preserve"> PAGE  \* MERGEFORMAT </w:instrText>
                    </w:r>
                    <w:r>
                      <w:rPr>
                        <w:rFonts w:hint="eastAsia"/>
                      </w:rPr>
                      <w:fldChar w:fldCharType="separate"/>
                    </w:r>
                    <w:r>
                      <w:t>- 74 -</w:t>
                    </w:r>
                    <w:r>
                      <w:rPr>
                        <w:rFonts w:hint="eastAsia"/>
                      </w:rPr>
                      <w:fldChar w:fldCharType="end"/>
                    </w:r>
                  </w:p>
                </w:txbxContent>
              </v:textbox>
            </v:shape>
          </w:pict>
        </mc:Fallback>
      </mc:AlternateContent>
    </w:r>
  </w:p>
  <w:p w14:paraId="3D1C0719">
    <w:pPr>
      <w:pStyle w:val="21"/>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8C1E40">
    <w:pPr>
      <w:pStyle w:val="21"/>
      <w:jc w:val="cente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78E3B2C">
                          <w:pPr>
                            <w:pStyle w:val="21"/>
                          </w:pPr>
                          <w:r>
                            <w:rPr>
                              <w:rFonts w:hint="eastAsia"/>
                            </w:rPr>
                            <w:fldChar w:fldCharType="begin"/>
                          </w:r>
                          <w:r>
                            <w:rPr>
                              <w:rFonts w:hint="eastAsia"/>
                            </w:rPr>
                            <w:instrText xml:space="preserve"> PAGE  \* MERGEFORMAT </w:instrText>
                          </w:r>
                          <w:r>
                            <w:rPr>
                              <w:rFonts w:hint="eastAsia"/>
                            </w:rPr>
                            <w:fldChar w:fldCharType="separate"/>
                          </w:r>
                          <w:r>
                            <w:t>- 74 -</w:t>
                          </w:r>
                          <w:r>
                            <w:rPr>
                              <w:rFonts w:hint="eastAsia"/>
                            </w:rPr>
                            <w:fldChar w:fldCharType="end"/>
                          </w:r>
                        </w:p>
                      </w:txbxContent>
                    </wps:txbx>
                    <wps:bodyPr wrap="none" lIns="0" tIns="0" rIns="0" bIns="0" upright="1">
                      <a:spAutoFit/>
                    </wps:bodyPr>
                  </wps:wsp>
                </a:graphicData>
              </a:graphic>
            </wp:anchor>
          </w:drawing>
        </mc:Choice>
        <mc:Fallback>
          <w:pict>
            <v:shape id="文本框 51"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5EWik8oBAACbAwAADgAAAAAAAAABACAAAAAeAQAAZHJzL2Uyb0Rv&#10;Yy54bWxQSwUGAAAAAAYABgBZAQAAWgUAAAAA&#10;">
              <v:fill on="f" focussize="0,0"/>
              <v:stroke on="f"/>
              <v:imagedata o:title=""/>
              <o:lock v:ext="edit" aspectratio="f"/>
              <v:textbox inset="0mm,0mm,0mm,0mm" style="mso-fit-shape-to-text:t;">
                <w:txbxContent>
                  <w:p w14:paraId="178E3B2C">
                    <w:pPr>
                      <w:pStyle w:val="21"/>
                    </w:pPr>
                    <w:r>
                      <w:rPr>
                        <w:rFonts w:hint="eastAsia"/>
                      </w:rPr>
                      <w:fldChar w:fldCharType="begin"/>
                    </w:r>
                    <w:r>
                      <w:rPr>
                        <w:rFonts w:hint="eastAsia"/>
                      </w:rPr>
                      <w:instrText xml:space="preserve"> PAGE  \* MERGEFORMAT </w:instrText>
                    </w:r>
                    <w:r>
                      <w:rPr>
                        <w:rFonts w:hint="eastAsia"/>
                      </w:rPr>
                      <w:fldChar w:fldCharType="separate"/>
                    </w:r>
                    <w:r>
                      <w:t>- 74 -</w:t>
                    </w:r>
                    <w:r>
                      <w:rPr>
                        <w:rFonts w:hint="eastAsia"/>
                      </w:rPr>
                      <w:fldChar w:fldCharType="end"/>
                    </w:r>
                  </w:p>
                </w:txbxContent>
              </v:textbox>
            </v:shape>
          </w:pict>
        </mc:Fallback>
      </mc:AlternateContent>
    </w:r>
  </w:p>
  <w:p w14:paraId="612C0448">
    <w:pPr>
      <w:pStyle w:val="21"/>
      <w:jc w:val="cen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26387A">
    <w:pPr>
      <w:pStyle w:val="21"/>
      <w:jc w:val="cente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5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76BFA14">
                          <w:pPr>
                            <w:pStyle w:val="21"/>
                          </w:pPr>
                          <w:r>
                            <w:rPr>
                              <w:rFonts w:hint="eastAsia"/>
                            </w:rPr>
                            <w:fldChar w:fldCharType="begin"/>
                          </w:r>
                          <w:r>
                            <w:rPr>
                              <w:rFonts w:hint="eastAsia"/>
                            </w:rPr>
                            <w:instrText xml:space="preserve"> PAGE  \* MERGEFORMAT </w:instrText>
                          </w:r>
                          <w:r>
                            <w:rPr>
                              <w:rFonts w:hint="eastAsia"/>
                            </w:rPr>
                            <w:fldChar w:fldCharType="separate"/>
                          </w:r>
                          <w:r>
                            <w:t>- 79 -</w:t>
                          </w:r>
                          <w:r>
                            <w:rPr>
                              <w:rFonts w:hint="eastAsia"/>
                            </w:rPr>
                            <w:fldChar w:fldCharType="end"/>
                          </w:r>
                        </w:p>
                      </w:txbxContent>
                    </wps:txbx>
                    <wps:bodyPr wrap="none" lIns="0" tIns="0" rIns="0" bIns="0" upright="1">
                      <a:spAutoFit/>
                    </wps:bodyPr>
                  </wps:wsp>
                </a:graphicData>
              </a:graphic>
            </wp:anchor>
          </w:drawing>
        </mc:Choice>
        <mc:Fallback>
          <w:pict>
            <v:shape id="文本框 53"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9YRZ68oBAACbAwAADgAAAAAAAAABACAAAAAeAQAAZHJzL2Uyb0Rv&#10;Yy54bWxQSwUGAAAAAAYABgBZAQAAWgUAAAAA&#10;">
              <v:fill on="f" focussize="0,0"/>
              <v:stroke on="f"/>
              <v:imagedata o:title=""/>
              <o:lock v:ext="edit" aspectratio="f"/>
              <v:textbox inset="0mm,0mm,0mm,0mm" style="mso-fit-shape-to-text:t;">
                <w:txbxContent>
                  <w:p w14:paraId="076BFA14">
                    <w:pPr>
                      <w:pStyle w:val="21"/>
                    </w:pPr>
                    <w:r>
                      <w:rPr>
                        <w:rFonts w:hint="eastAsia"/>
                      </w:rPr>
                      <w:fldChar w:fldCharType="begin"/>
                    </w:r>
                    <w:r>
                      <w:rPr>
                        <w:rFonts w:hint="eastAsia"/>
                      </w:rPr>
                      <w:instrText xml:space="preserve"> PAGE  \* MERGEFORMAT </w:instrText>
                    </w:r>
                    <w:r>
                      <w:rPr>
                        <w:rFonts w:hint="eastAsia"/>
                      </w:rPr>
                      <w:fldChar w:fldCharType="separate"/>
                    </w:r>
                    <w:r>
                      <w:t>- 79 -</w:t>
                    </w:r>
                    <w:r>
                      <w:rPr>
                        <w:rFonts w:hint="eastAsia"/>
                      </w:rPr>
                      <w:fldChar w:fldCharType="end"/>
                    </w:r>
                  </w:p>
                </w:txbxContent>
              </v:textbox>
            </v:shape>
          </w:pict>
        </mc:Fallback>
      </mc:AlternateContent>
    </w:r>
  </w:p>
  <w:p w14:paraId="1A449256">
    <w:pPr>
      <w:pStyle w:val="21"/>
      <w:jc w:val="cen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AAC2CB">
    <w:pPr>
      <w:pStyle w:val="21"/>
      <w:jc w:val="cente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DD8C63B">
                          <w:pPr>
                            <w:pStyle w:val="21"/>
                          </w:pPr>
                          <w:r>
                            <w:rPr>
                              <w:rFonts w:hint="eastAsia"/>
                            </w:rPr>
                            <w:fldChar w:fldCharType="begin"/>
                          </w:r>
                          <w:r>
                            <w:rPr>
                              <w:rFonts w:hint="eastAsia"/>
                            </w:rPr>
                            <w:instrText xml:space="preserve"> PAGE  \* MERGEFORMAT </w:instrText>
                          </w:r>
                          <w:r>
                            <w:rPr>
                              <w:rFonts w:hint="eastAsia"/>
                            </w:rPr>
                            <w:fldChar w:fldCharType="separate"/>
                          </w:r>
                          <w:r>
                            <w:t>- 79 -</w:t>
                          </w:r>
                          <w:r>
                            <w:rPr>
                              <w:rFonts w:hint="eastAsia"/>
                            </w:rPr>
                            <w:fldChar w:fldCharType="end"/>
                          </w:r>
                        </w:p>
                      </w:txbxContent>
                    </wps:txbx>
                    <wps:bodyPr wrap="none" lIns="0" tIns="0" rIns="0" bIns="0" upright="1">
                      <a:spAutoFit/>
                    </wps:bodyPr>
                  </wps:wsp>
                </a:graphicData>
              </a:graphic>
            </wp:anchor>
          </w:drawing>
        </mc:Choice>
        <mc:Fallback>
          <w:pict>
            <v:shape id="文本框 53"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GoDC9coBAACaAwAADgAAAAAAAAABACAAAAAeAQAAZHJzL2Uyb0Rv&#10;Yy54bWxQSwUGAAAAAAYABgBZAQAAWgUAAAAA&#10;">
              <v:fill on="f" focussize="0,0"/>
              <v:stroke on="f"/>
              <v:imagedata o:title=""/>
              <o:lock v:ext="edit" aspectratio="f"/>
              <v:textbox inset="0mm,0mm,0mm,0mm" style="mso-fit-shape-to-text:t;">
                <w:txbxContent>
                  <w:p w14:paraId="5DD8C63B">
                    <w:pPr>
                      <w:pStyle w:val="21"/>
                    </w:pPr>
                    <w:r>
                      <w:rPr>
                        <w:rFonts w:hint="eastAsia"/>
                      </w:rPr>
                      <w:fldChar w:fldCharType="begin"/>
                    </w:r>
                    <w:r>
                      <w:rPr>
                        <w:rFonts w:hint="eastAsia"/>
                      </w:rPr>
                      <w:instrText xml:space="preserve"> PAGE  \* MERGEFORMAT </w:instrText>
                    </w:r>
                    <w:r>
                      <w:rPr>
                        <w:rFonts w:hint="eastAsia"/>
                      </w:rPr>
                      <w:fldChar w:fldCharType="separate"/>
                    </w:r>
                    <w:r>
                      <w:t>- 79 -</w:t>
                    </w:r>
                    <w:r>
                      <w:rPr>
                        <w:rFonts w:hint="eastAsia"/>
                      </w:rPr>
                      <w:fldChar w:fldCharType="end"/>
                    </w:r>
                  </w:p>
                </w:txbxContent>
              </v:textbox>
            </v:shape>
          </w:pict>
        </mc:Fallback>
      </mc:AlternateContent>
    </w:r>
  </w:p>
  <w:p w14:paraId="66BF2CB6">
    <w:pPr>
      <w:pStyle w:val="21"/>
      <w:jc w:val="cen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EFC8B1">
    <w:pPr>
      <w:pStyle w:val="21"/>
      <w:jc w:val="center"/>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5B019C5">
                          <w:pPr>
                            <w:pStyle w:val="21"/>
                          </w:pPr>
                          <w:r>
                            <w:rPr>
                              <w:rFonts w:hint="eastAsia"/>
                            </w:rPr>
                            <w:fldChar w:fldCharType="begin"/>
                          </w:r>
                          <w:r>
                            <w:rPr>
                              <w:rFonts w:hint="eastAsia"/>
                            </w:rPr>
                            <w:instrText xml:space="preserve"> PAGE  \* MERGEFORMAT </w:instrText>
                          </w:r>
                          <w:r>
                            <w:rPr>
                              <w:rFonts w:hint="eastAsia"/>
                            </w:rPr>
                            <w:fldChar w:fldCharType="separate"/>
                          </w:r>
                          <w:r>
                            <w:t>- 34 -</w:t>
                          </w:r>
                          <w:r>
                            <w:rPr>
                              <w:rFonts w:hint="eastAsia"/>
                            </w:rPr>
                            <w:fldChar w:fldCharType="end"/>
                          </w:r>
                        </w:p>
                      </w:txbxContent>
                    </wps:txbx>
                    <wps:bodyPr wrap="none" lIns="0" tIns="0" rIns="0" bIns="0" upright="1">
                      <a:spAutoFit/>
                    </wps:bodyPr>
                  </wps:wsp>
                </a:graphicData>
              </a:graphic>
            </wp:anchor>
          </w:drawing>
        </mc:Choice>
        <mc:Fallback>
          <w:pict>
            <v:shape id="文本框 19"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blQUGMoBAACbAwAADgAAAAAAAAABACAAAAAeAQAAZHJzL2Uyb0Rv&#10;Yy54bWxQSwUGAAAAAAYABgBZAQAAWgUAAAAA&#10;">
              <v:fill on="f" focussize="0,0"/>
              <v:stroke on="f"/>
              <v:imagedata o:title=""/>
              <o:lock v:ext="edit" aspectratio="f"/>
              <v:textbox inset="0mm,0mm,0mm,0mm" style="mso-fit-shape-to-text:t;">
                <w:txbxContent>
                  <w:p w14:paraId="35B019C5">
                    <w:pPr>
                      <w:pStyle w:val="21"/>
                    </w:pPr>
                    <w:r>
                      <w:rPr>
                        <w:rFonts w:hint="eastAsia"/>
                      </w:rPr>
                      <w:fldChar w:fldCharType="begin"/>
                    </w:r>
                    <w:r>
                      <w:rPr>
                        <w:rFonts w:hint="eastAsia"/>
                      </w:rPr>
                      <w:instrText xml:space="preserve"> PAGE  \* MERGEFORMAT </w:instrText>
                    </w:r>
                    <w:r>
                      <w:rPr>
                        <w:rFonts w:hint="eastAsia"/>
                      </w:rPr>
                      <w:fldChar w:fldCharType="separate"/>
                    </w:r>
                    <w:r>
                      <w:t>- 34 -</w:t>
                    </w:r>
                    <w:r>
                      <w:rPr>
                        <w:rFonts w:hint="eastAsia"/>
                      </w:rPr>
                      <w:fldChar w:fldCharType="end"/>
                    </w:r>
                  </w:p>
                </w:txbxContent>
              </v:textbox>
            </v:shape>
          </w:pict>
        </mc:Fallback>
      </mc:AlternateContent>
    </w:r>
  </w:p>
  <w:p w14:paraId="640A43AF">
    <w:pPr>
      <w:pStyle w:val="21"/>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0412C0">
    <w:pPr>
      <w:pStyle w:val="21"/>
    </w:pP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BA9E0FD">
                          <w:pPr>
                            <w:pStyle w:val="21"/>
                          </w:pPr>
                          <w:r>
                            <w:rPr>
                              <w:rFonts w:hint="eastAsia"/>
                            </w:rPr>
                            <w:fldChar w:fldCharType="begin"/>
                          </w:r>
                          <w:r>
                            <w:rPr>
                              <w:rFonts w:hint="eastAsia"/>
                            </w:rPr>
                            <w:instrText xml:space="preserve"> PAGE  \* MERGEFORMAT </w:instrText>
                          </w:r>
                          <w:r>
                            <w:rPr>
                              <w:rFonts w:hint="eastAsia"/>
                            </w:rPr>
                            <w:fldChar w:fldCharType="separate"/>
                          </w:r>
                          <w:r>
                            <w:rPr>
                              <w:rFonts w:hint="eastAsia"/>
                            </w:rPr>
                            <w:t>- 29 -</w:t>
                          </w:r>
                          <w:r>
                            <w:rPr>
                              <w:rFonts w:hint="eastAsia"/>
                            </w:rPr>
                            <w:fldChar w:fldCharType="end"/>
                          </w:r>
                        </w:p>
                      </w:txbxContent>
                    </wps:txbx>
                    <wps:bodyPr wrap="none" lIns="0" tIns="0" rIns="0" bIns="0" upright="1">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Cop8TiyQEAAJoDAAAOAAAAAAAAAAEAIAAAAB4BAABkcnMvZTJvRG9j&#10;LnhtbFBLBQYAAAAABgAGAFkBAABZBQAAAAA=&#10;">
              <v:fill on="f" focussize="0,0"/>
              <v:stroke on="f"/>
              <v:imagedata o:title=""/>
              <o:lock v:ext="edit" aspectratio="f"/>
              <v:textbox inset="0mm,0mm,0mm,0mm" style="mso-fit-shape-to-text:t;">
                <w:txbxContent>
                  <w:p w14:paraId="2BA9E0FD">
                    <w:pPr>
                      <w:pStyle w:val="21"/>
                    </w:pPr>
                    <w:r>
                      <w:rPr>
                        <w:rFonts w:hint="eastAsia"/>
                      </w:rPr>
                      <w:fldChar w:fldCharType="begin"/>
                    </w:r>
                    <w:r>
                      <w:rPr>
                        <w:rFonts w:hint="eastAsia"/>
                      </w:rPr>
                      <w:instrText xml:space="preserve"> PAGE  \* MERGEFORMAT </w:instrText>
                    </w:r>
                    <w:r>
                      <w:rPr>
                        <w:rFonts w:hint="eastAsia"/>
                      </w:rPr>
                      <w:fldChar w:fldCharType="separate"/>
                    </w:r>
                    <w:r>
                      <w:rPr>
                        <w:rFonts w:hint="eastAsia"/>
                      </w:rPr>
                      <w:t>- 29 -</w:t>
                    </w:r>
                    <w:r>
                      <w:rPr>
                        <w:rFonts w:hint="eastAsia"/>
                      </w:rP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D44BB7">
    <w:pPr>
      <w:pStyle w:val="21"/>
      <w:jc w:val="center"/>
    </w:pPr>
    <w: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ECA050D">
                          <w:pPr>
                            <w:pStyle w:val="21"/>
                          </w:pPr>
                          <w:r>
                            <w:rPr>
                              <w:rFonts w:hint="eastAsia"/>
                            </w:rPr>
                            <w:fldChar w:fldCharType="begin"/>
                          </w:r>
                          <w:r>
                            <w:rPr>
                              <w:rFonts w:hint="eastAsia"/>
                            </w:rPr>
                            <w:instrText xml:space="preserve"> PAGE  \* MERGEFORMAT </w:instrText>
                          </w:r>
                          <w:r>
                            <w:rPr>
                              <w:rFonts w:hint="eastAsia"/>
                            </w:rPr>
                            <w:fldChar w:fldCharType="separate"/>
                          </w:r>
                          <w:r>
                            <w:t>- 84 -</w:t>
                          </w:r>
                          <w:r>
                            <w:rPr>
                              <w:rFonts w:hint="eastAsia"/>
                            </w:rPr>
                            <w:fldChar w:fldCharType="end"/>
                          </w:r>
                        </w:p>
                      </w:txbxContent>
                    </wps:txbx>
                    <wps:bodyPr wrap="none" lIns="0" tIns="0" rIns="0" bIns="0" upright="1">
                      <a:spAutoFit/>
                    </wps:bodyPr>
                  </wps:wsp>
                </a:graphicData>
              </a:graphic>
            </wp:anchor>
          </w:drawing>
        </mc:Choice>
        <mc:Fallback>
          <w:pict>
            <v:shape id="文本框 22"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qnqU8soBAACbAwAADgAAAAAAAAABACAAAAAeAQAAZHJzL2Uyb0Rv&#10;Yy54bWxQSwUGAAAAAAYABgBZAQAAWgUAAAAA&#10;">
              <v:fill on="f" focussize="0,0"/>
              <v:stroke on="f"/>
              <v:imagedata o:title=""/>
              <o:lock v:ext="edit" aspectratio="f"/>
              <v:textbox inset="0mm,0mm,0mm,0mm" style="mso-fit-shape-to-text:t;">
                <w:txbxContent>
                  <w:p w14:paraId="6ECA050D">
                    <w:pPr>
                      <w:pStyle w:val="21"/>
                    </w:pPr>
                    <w:r>
                      <w:rPr>
                        <w:rFonts w:hint="eastAsia"/>
                      </w:rPr>
                      <w:fldChar w:fldCharType="begin"/>
                    </w:r>
                    <w:r>
                      <w:rPr>
                        <w:rFonts w:hint="eastAsia"/>
                      </w:rPr>
                      <w:instrText xml:space="preserve"> PAGE  \* MERGEFORMAT </w:instrText>
                    </w:r>
                    <w:r>
                      <w:rPr>
                        <w:rFonts w:hint="eastAsia"/>
                      </w:rPr>
                      <w:fldChar w:fldCharType="separate"/>
                    </w:r>
                    <w:r>
                      <w:t>- 84 -</w:t>
                    </w:r>
                    <w:r>
                      <w:rPr>
                        <w:rFonts w:hint="eastAsia"/>
                      </w:rPr>
                      <w:fldChar w:fldCharType="end"/>
                    </w:r>
                  </w:p>
                </w:txbxContent>
              </v:textbox>
            </v:shape>
          </w:pict>
        </mc:Fallback>
      </mc:AlternateContent>
    </w:r>
  </w:p>
  <w:p w14:paraId="2527F347">
    <w:pPr>
      <w:pStyle w:val="21"/>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C90F9D">
    <w:pPr>
      <w:pStyle w:val="22"/>
      <w:pBdr>
        <w:bottom w:val="single" w:color="auto" w:sz="4" w:space="1"/>
      </w:pBdr>
      <w:jc w:val="both"/>
    </w:pPr>
    <w:r>
      <w:rPr>
        <w:rFonts w:hint="eastAsia" w:ascii="宋体" w:hAnsi="宋体"/>
        <w:b/>
        <w:bCs/>
        <w:sz w:val="21"/>
        <w:szCs w:val="21"/>
        <w:lang w:eastAsia="zh-CN"/>
      </w:rPr>
      <w:t>云南兴语招标有限公司</w:t>
    </w:r>
    <w:r>
      <w:rPr>
        <w:rFonts w:hint="eastAsia"/>
        <w:b/>
        <w:bCs/>
        <w:sz w:val="21"/>
        <w:szCs w:val="21"/>
      </w:rPr>
      <w:t xml:space="preserve">                                                    </w:t>
    </w:r>
    <w:r>
      <w:rPr>
        <w:rFonts w:hint="eastAsia"/>
        <w:b/>
        <w:bCs/>
        <w:sz w:val="21"/>
        <w:szCs w:val="21"/>
        <w:lang w:val="en-US" w:eastAsia="zh-CN"/>
      </w:rPr>
      <w:t xml:space="preserve">          </w:t>
    </w:r>
    <w:r>
      <w:rPr>
        <w:rFonts w:hint="eastAsia"/>
        <w:b/>
        <w:bCs/>
        <w:sz w:val="21"/>
        <w:szCs w:val="21"/>
      </w:rPr>
      <w:t xml:space="preserve"> </w:t>
    </w:r>
    <w:r>
      <w:rPr>
        <w:rFonts w:hint="eastAsia" w:ascii="宋体" w:hAnsi="宋体"/>
        <w:b/>
        <w:bCs/>
        <w:color w:val="000000"/>
        <w:sz w:val="21"/>
        <w:szCs w:val="21"/>
      </w:rP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05950D">
    <w:pPr>
      <w:pStyle w:val="22"/>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0ABD07">
    <w:pPr>
      <w:pStyle w:val="22"/>
      <w:pBdr>
        <w:bottom w:val="single" w:color="auto" w:sz="4" w:space="1"/>
      </w:pBdr>
      <w:jc w:val="both"/>
    </w:pPr>
    <w:r>
      <w:rPr>
        <w:rFonts w:hint="eastAsia" w:ascii="宋体" w:hAnsi="宋体"/>
        <w:b/>
        <w:bCs/>
        <w:sz w:val="21"/>
        <w:szCs w:val="21"/>
        <w:lang w:eastAsia="zh-CN"/>
      </w:rPr>
      <w:t>云南兴语招标有限公司</w:t>
    </w:r>
    <w:r>
      <w:rPr>
        <w:rFonts w:hint="eastAsia"/>
        <w:b/>
        <w:bCs/>
        <w:sz w:val="21"/>
        <w:szCs w:val="21"/>
      </w:rPr>
      <w:t xml:space="preserve">                                                                                              </w:t>
    </w:r>
    <w:r>
      <w:rPr>
        <w:rFonts w:hint="eastAsia" w:ascii="宋体" w:hAnsi="宋体"/>
        <w:b/>
        <w:bCs/>
        <w:color w:val="000000"/>
        <w:sz w:val="21"/>
        <w:szCs w:val="21"/>
      </w:rPr>
      <w:t>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82D871">
    <w:pPr>
      <w:pStyle w:val="22"/>
      <w:pBdr>
        <w:bottom w:val="single" w:color="auto" w:sz="4" w:space="1"/>
      </w:pBdr>
      <w:jc w:val="both"/>
    </w:pPr>
    <w:r>
      <w:rPr>
        <w:rFonts w:hint="eastAsia" w:ascii="宋体" w:hAnsi="宋体"/>
        <w:b/>
        <w:bCs/>
        <w:sz w:val="21"/>
        <w:szCs w:val="21"/>
        <w:lang w:eastAsia="zh-CN"/>
      </w:rPr>
      <w:t>云南兴语招标有限公司</w:t>
    </w:r>
    <w:r>
      <w:rPr>
        <w:rFonts w:hint="eastAsia"/>
        <w:b/>
        <w:bCs/>
        <w:sz w:val="21"/>
        <w:szCs w:val="21"/>
      </w:rPr>
      <w:t xml:space="preserve">                                                     </w:t>
    </w:r>
    <w:r>
      <w:rPr>
        <w:rFonts w:hint="eastAsia" w:ascii="宋体" w:hAnsi="宋体"/>
        <w:b/>
        <w:bCs/>
        <w:color w:val="000000"/>
        <w:sz w:val="21"/>
        <w:szCs w:val="21"/>
      </w:rPr>
      <w:t>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730D66">
    <w:pPr>
      <w:pStyle w:val="22"/>
      <w:pBdr>
        <w:bottom w:val="single" w:color="auto" w:sz="4" w:space="1"/>
      </w:pBdr>
      <w:jc w:val="both"/>
    </w:pPr>
    <w:r>
      <w:rPr>
        <w:rFonts w:hint="eastAsia" w:ascii="宋体" w:hAnsi="宋体"/>
        <w:b/>
        <w:bCs/>
        <w:sz w:val="21"/>
        <w:szCs w:val="21"/>
        <w:lang w:eastAsia="zh-CN"/>
      </w:rPr>
      <w:t>云南兴语招标有限公司</w:t>
    </w:r>
    <w:r>
      <w:rPr>
        <w:rFonts w:hint="eastAsia"/>
        <w:b/>
        <w:bCs/>
        <w:sz w:val="21"/>
        <w:szCs w:val="21"/>
      </w:rPr>
      <w:t xml:space="preserve">                                                     </w:t>
    </w:r>
    <w:r>
      <w:rPr>
        <w:rFonts w:hint="eastAsia" w:ascii="宋体" w:hAnsi="宋体"/>
        <w:b/>
        <w:bCs/>
        <w:color w:val="000000"/>
        <w:sz w:val="21"/>
        <w:szCs w:val="21"/>
      </w:rPr>
      <w:t>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1D5BD5">
    <w:pPr>
      <w:pStyle w:val="22"/>
      <w:pBdr>
        <w:bottom w:val="single" w:color="auto" w:sz="4" w:space="1"/>
      </w:pBdr>
      <w:jc w:val="both"/>
    </w:pPr>
    <w:r>
      <w:rPr>
        <w:rFonts w:hint="eastAsia" w:ascii="宋体" w:hAnsi="宋体"/>
        <w:b/>
        <w:bCs/>
        <w:sz w:val="21"/>
        <w:szCs w:val="21"/>
        <w:lang w:eastAsia="zh-CN"/>
      </w:rPr>
      <w:t>云南兴语招标有限公司</w:t>
    </w:r>
    <w:r>
      <w:rPr>
        <w:rFonts w:hint="eastAsia"/>
        <w:b/>
        <w:bCs/>
        <w:sz w:val="21"/>
        <w:szCs w:val="21"/>
      </w:rPr>
      <w:t xml:space="preserve">                                          </w:t>
    </w:r>
    <w:r>
      <w:rPr>
        <w:rFonts w:hint="eastAsia"/>
        <w:b/>
        <w:bCs/>
        <w:sz w:val="21"/>
        <w:szCs w:val="21"/>
        <w:lang w:val="en-US" w:eastAsia="zh-CN"/>
      </w:rPr>
      <w:t xml:space="preserve">      </w:t>
    </w:r>
    <w:r>
      <w:rPr>
        <w:rFonts w:hint="eastAsia"/>
        <w:b/>
        <w:bCs/>
        <w:sz w:val="21"/>
        <w:szCs w:val="21"/>
      </w:rPr>
      <w:t xml:space="preserve">  </w:t>
    </w:r>
    <w:r>
      <w:rPr>
        <w:rFonts w:hint="eastAsia" w:ascii="宋体" w:hAnsi="宋体"/>
        <w:b/>
        <w:bCs/>
        <w:color w:val="000000"/>
        <w:sz w:val="21"/>
        <w:szCs w:val="21"/>
      </w:rPr>
      <w:t>招标文件</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745B58">
    <w:pPr>
      <w:pStyle w:val="22"/>
      <w:pBdr>
        <w:bottom w:val="single" w:color="auto" w:sz="4" w:space="1"/>
      </w:pBdr>
      <w:jc w:val="both"/>
    </w:pPr>
    <w:r>
      <w:rPr>
        <w:rFonts w:hint="eastAsia" w:ascii="宋体" w:hAnsi="宋体"/>
        <w:b/>
        <w:bCs/>
        <w:sz w:val="21"/>
        <w:szCs w:val="21"/>
        <w:lang w:eastAsia="zh-CN"/>
      </w:rPr>
      <w:t>云南兴语招标有限公司</w:t>
    </w:r>
    <w:r>
      <w:rPr>
        <w:rFonts w:hint="eastAsia"/>
        <w:b/>
        <w:bCs/>
        <w:sz w:val="21"/>
        <w:szCs w:val="21"/>
      </w:rPr>
      <w:t xml:space="preserve">                                          </w:t>
    </w:r>
    <w:r>
      <w:rPr>
        <w:rFonts w:hint="eastAsia"/>
        <w:b/>
        <w:bCs/>
        <w:sz w:val="21"/>
        <w:szCs w:val="21"/>
        <w:lang w:val="en-US" w:eastAsia="zh-CN"/>
      </w:rPr>
      <w:t xml:space="preserve">      </w:t>
    </w:r>
    <w:r>
      <w:rPr>
        <w:rFonts w:hint="eastAsia"/>
        <w:b/>
        <w:bCs/>
        <w:sz w:val="21"/>
        <w:szCs w:val="21"/>
      </w:rPr>
      <w:t xml:space="preserve">  </w:t>
    </w:r>
    <w:r>
      <w:rPr>
        <w:rFonts w:hint="eastAsia" w:ascii="宋体" w:hAnsi="宋体"/>
        <w:b/>
        <w:bCs/>
        <w:color w:val="000000"/>
        <w:sz w:val="21"/>
        <w:szCs w:val="21"/>
      </w:rPr>
      <w:t>招标文件</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BD24DC">
    <w:pPr>
      <w:pStyle w:val="22"/>
      <w:pBdr>
        <w:bottom w:val="single" w:color="auto" w:sz="4" w:space="1"/>
      </w:pBdr>
      <w:jc w:val="both"/>
    </w:pPr>
    <w:r>
      <w:rPr>
        <w:rFonts w:hint="eastAsia" w:ascii="宋体" w:hAnsi="宋体"/>
        <w:b/>
        <w:bCs/>
        <w:sz w:val="21"/>
        <w:szCs w:val="21"/>
        <w:lang w:eastAsia="zh-CN"/>
      </w:rPr>
      <w:t>云南兴语招标有限公司</w:t>
    </w:r>
    <w:r>
      <w:rPr>
        <w:rFonts w:hint="eastAsia"/>
        <w:b/>
        <w:bCs/>
        <w:sz w:val="21"/>
        <w:szCs w:val="21"/>
      </w:rPr>
      <w:t xml:space="preserve">                                                     </w:t>
    </w:r>
    <w:r>
      <w:rPr>
        <w:rFonts w:hint="eastAsia" w:ascii="宋体" w:hAnsi="宋体"/>
        <w:b/>
        <w:bCs/>
        <w:color w:val="000000"/>
        <w:sz w:val="21"/>
        <w:szCs w:val="21"/>
      </w:rPr>
      <w:t>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7D68701"/>
    <w:multiLevelType w:val="singleLevel"/>
    <w:tmpl w:val="97D68701"/>
    <w:lvl w:ilvl="0" w:tentative="0">
      <w:start w:val="1"/>
      <w:numFmt w:val="decimal"/>
      <w:suff w:val="nothing"/>
      <w:lvlText w:val="（%1）"/>
      <w:lvlJc w:val="left"/>
    </w:lvl>
  </w:abstractNum>
  <w:abstractNum w:abstractNumId="1">
    <w:nsid w:val="E1565625"/>
    <w:multiLevelType w:val="singleLevel"/>
    <w:tmpl w:val="E1565625"/>
    <w:lvl w:ilvl="0" w:tentative="0">
      <w:start w:val="1"/>
      <w:numFmt w:val="decimal"/>
      <w:suff w:val="nothing"/>
      <w:lvlText w:val="（%1）"/>
      <w:lvlJc w:val="left"/>
    </w:lvl>
  </w:abstractNum>
  <w:abstractNum w:abstractNumId="2">
    <w:nsid w:val="216BE14E"/>
    <w:multiLevelType w:val="singleLevel"/>
    <w:tmpl w:val="216BE14E"/>
    <w:lvl w:ilvl="0" w:tentative="0">
      <w:start w:val="1"/>
      <w:numFmt w:val="decimal"/>
      <w:lvlText w:val="%1."/>
      <w:lvlJc w:val="left"/>
      <w:pPr>
        <w:tabs>
          <w:tab w:val="left" w:pos="312"/>
        </w:tabs>
      </w:pPr>
    </w:lvl>
  </w:abstractNum>
  <w:abstractNum w:abstractNumId="3">
    <w:nsid w:val="24B5695B"/>
    <w:multiLevelType w:val="multilevel"/>
    <w:tmpl w:val="24B5695B"/>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isplayBackgroundShape w:val="1"/>
  <w:bordersDoNotSurroundHeader w:val="0"/>
  <w:bordersDoNotSurroundFooter w:val="0"/>
  <w:hideSpellingErrors/>
  <w:doNotTrackMoves/>
  <w:documentProtection w:enforcement="0"/>
  <w:defaultTabStop w:val="420"/>
  <w:drawingGridHorizontalSpacing w:val="210"/>
  <w:drawingGridVerticalSpacing w:val="162"/>
  <w:displayHorizontalDrawingGridEvery w:val="1"/>
  <w:displayVerticalDrawingGridEvery w:val="1"/>
  <w:noPunctuationKerning w:val="1"/>
  <w:characterSpacingControl w:val="compressPunctuation"/>
  <w:noLineBreaksAfter w:lang="zh-CN" w:val="([{·‘“〈《「『【〔〖（．［｛￡￥"/>
  <w:noLineBreaksBefore w:lang="zh-CN" w:val="!),.:;?]}¨·ˇˉ―‖’”…∶、。〃々〉》」』】〕〗！＂＇），．：；？］｀｜｝～￠"/>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k3Yjk1NThlMzI5ZmU0M2Y4Y2RiNzAyZWQ5OWJiMzcifQ=="/>
    <w:docVar w:name="KSO_WPS_MARK_KEY" w:val="675131bb-cfa1-4bc2-8b6d-25a309a71247"/>
  </w:docVars>
  <w:rsids>
    <w:rsidRoot w:val="001A07FD"/>
    <w:rsid w:val="00030F55"/>
    <w:rsid w:val="00047E90"/>
    <w:rsid w:val="000533D5"/>
    <w:rsid w:val="000636B3"/>
    <w:rsid w:val="000815F4"/>
    <w:rsid w:val="0009057F"/>
    <w:rsid w:val="000A3744"/>
    <w:rsid w:val="000B608D"/>
    <w:rsid w:val="000B736F"/>
    <w:rsid w:val="000C5650"/>
    <w:rsid w:val="000D0527"/>
    <w:rsid w:val="000F4007"/>
    <w:rsid w:val="00116F18"/>
    <w:rsid w:val="0013374D"/>
    <w:rsid w:val="00146907"/>
    <w:rsid w:val="0016301C"/>
    <w:rsid w:val="00180065"/>
    <w:rsid w:val="00182CB0"/>
    <w:rsid w:val="001A07FD"/>
    <w:rsid w:val="001B7434"/>
    <w:rsid w:val="001D7747"/>
    <w:rsid w:val="00204378"/>
    <w:rsid w:val="0022229C"/>
    <w:rsid w:val="002235B9"/>
    <w:rsid w:val="002354D8"/>
    <w:rsid w:val="00237053"/>
    <w:rsid w:val="002777A1"/>
    <w:rsid w:val="002932BF"/>
    <w:rsid w:val="002A662D"/>
    <w:rsid w:val="002C09CD"/>
    <w:rsid w:val="002C4B13"/>
    <w:rsid w:val="003037B0"/>
    <w:rsid w:val="0030759A"/>
    <w:rsid w:val="00324338"/>
    <w:rsid w:val="003347CA"/>
    <w:rsid w:val="00346AC4"/>
    <w:rsid w:val="00355AA0"/>
    <w:rsid w:val="0036146A"/>
    <w:rsid w:val="0037646C"/>
    <w:rsid w:val="003815C9"/>
    <w:rsid w:val="00381BBB"/>
    <w:rsid w:val="00390E93"/>
    <w:rsid w:val="003A249C"/>
    <w:rsid w:val="003B4871"/>
    <w:rsid w:val="003C22C3"/>
    <w:rsid w:val="003C360A"/>
    <w:rsid w:val="003C4465"/>
    <w:rsid w:val="003C4CCE"/>
    <w:rsid w:val="003E46C2"/>
    <w:rsid w:val="00403F20"/>
    <w:rsid w:val="0040799E"/>
    <w:rsid w:val="00410DB4"/>
    <w:rsid w:val="00426251"/>
    <w:rsid w:val="00444EC5"/>
    <w:rsid w:val="00455A99"/>
    <w:rsid w:val="00464071"/>
    <w:rsid w:val="00465986"/>
    <w:rsid w:val="00481D6F"/>
    <w:rsid w:val="00482BED"/>
    <w:rsid w:val="00483E43"/>
    <w:rsid w:val="004A08E4"/>
    <w:rsid w:val="004A1EB8"/>
    <w:rsid w:val="004B2AD9"/>
    <w:rsid w:val="004E43BF"/>
    <w:rsid w:val="004F4040"/>
    <w:rsid w:val="005045E6"/>
    <w:rsid w:val="005065F5"/>
    <w:rsid w:val="005451A9"/>
    <w:rsid w:val="00572B7B"/>
    <w:rsid w:val="00573201"/>
    <w:rsid w:val="00583614"/>
    <w:rsid w:val="00583D45"/>
    <w:rsid w:val="00585E76"/>
    <w:rsid w:val="005872F4"/>
    <w:rsid w:val="005F467F"/>
    <w:rsid w:val="00603E36"/>
    <w:rsid w:val="00610ABB"/>
    <w:rsid w:val="0061332D"/>
    <w:rsid w:val="00621A45"/>
    <w:rsid w:val="00623E81"/>
    <w:rsid w:val="00630F0A"/>
    <w:rsid w:val="006365B3"/>
    <w:rsid w:val="00640445"/>
    <w:rsid w:val="006456F9"/>
    <w:rsid w:val="006602D8"/>
    <w:rsid w:val="00670B46"/>
    <w:rsid w:val="00687017"/>
    <w:rsid w:val="00687647"/>
    <w:rsid w:val="006974AA"/>
    <w:rsid w:val="006A5253"/>
    <w:rsid w:val="006A6C89"/>
    <w:rsid w:val="006C1FEC"/>
    <w:rsid w:val="006D45D9"/>
    <w:rsid w:val="007115E2"/>
    <w:rsid w:val="00724AAB"/>
    <w:rsid w:val="0074247B"/>
    <w:rsid w:val="00743121"/>
    <w:rsid w:val="00754D31"/>
    <w:rsid w:val="00761E55"/>
    <w:rsid w:val="00767EC5"/>
    <w:rsid w:val="00777DDD"/>
    <w:rsid w:val="007B774B"/>
    <w:rsid w:val="007C49FC"/>
    <w:rsid w:val="007D4832"/>
    <w:rsid w:val="007E4B61"/>
    <w:rsid w:val="00801388"/>
    <w:rsid w:val="00802276"/>
    <w:rsid w:val="00816F9A"/>
    <w:rsid w:val="00827AC9"/>
    <w:rsid w:val="008440FC"/>
    <w:rsid w:val="008560F0"/>
    <w:rsid w:val="008E5FCE"/>
    <w:rsid w:val="00905380"/>
    <w:rsid w:val="00916252"/>
    <w:rsid w:val="00940EB2"/>
    <w:rsid w:val="00955A1A"/>
    <w:rsid w:val="009657FA"/>
    <w:rsid w:val="00997D30"/>
    <w:rsid w:val="009A13B3"/>
    <w:rsid w:val="009B2F21"/>
    <w:rsid w:val="009B3FC3"/>
    <w:rsid w:val="009C1CE3"/>
    <w:rsid w:val="009C6BDD"/>
    <w:rsid w:val="00A066DE"/>
    <w:rsid w:val="00A07E21"/>
    <w:rsid w:val="00A12ACE"/>
    <w:rsid w:val="00A25049"/>
    <w:rsid w:val="00A36387"/>
    <w:rsid w:val="00A54C72"/>
    <w:rsid w:val="00A73EA0"/>
    <w:rsid w:val="00A8209E"/>
    <w:rsid w:val="00AB35C0"/>
    <w:rsid w:val="00AC69E9"/>
    <w:rsid w:val="00B06C3B"/>
    <w:rsid w:val="00B31237"/>
    <w:rsid w:val="00B34228"/>
    <w:rsid w:val="00B603D4"/>
    <w:rsid w:val="00B7266A"/>
    <w:rsid w:val="00B947E9"/>
    <w:rsid w:val="00BB67C4"/>
    <w:rsid w:val="00BC6B58"/>
    <w:rsid w:val="00BD79AC"/>
    <w:rsid w:val="00BE6C2E"/>
    <w:rsid w:val="00C13FE8"/>
    <w:rsid w:val="00C22632"/>
    <w:rsid w:val="00C2563B"/>
    <w:rsid w:val="00C32331"/>
    <w:rsid w:val="00C5622D"/>
    <w:rsid w:val="00C57E14"/>
    <w:rsid w:val="00C61887"/>
    <w:rsid w:val="00CA303E"/>
    <w:rsid w:val="00CB2995"/>
    <w:rsid w:val="00CD3EE7"/>
    <w:rsid w:val="00CD3FA8"/>
    <w:rsid w:val="00CE112A"/>
    <w:rsid w:val="00CF32D6"/>
    <w:rsid w:val="00D0774B"/>
    <w:rsid w:val="00D14B99"/>
    <w:rsid w:val="00D4070C"/>
    <w:rsid w:val="00D6259E"/>
    <w:rsid w:val="00D71F18"/>
    <w:rsid w:val="00D74041"/>
    <w:rsid w:val="00D828B1"/>
    <w:rsid w:val="00D8741D"/>
    <w:rsid w:val="00D90051"/>
    <w:rsid w:val="00D9745C"/>
    <w:rsid w:val="00DC5B69"/>
    <w:rsid w:val="00DE0969"/>
    <w:rsid w:val="00DE4940"/>
    <w:rsid w:val="00DF5B6C"/>
    <w:rsid w:val="00E04CED"/>
    <w:rsid w:val="00E05EEA"/>
    <w:rsid w:val="00E17C84"/>
    <w:rsid w:val="00E30FAC"/>
    <w:rsid w:val="00E44912"/>
    <w:rsid w:val="00E57030"/>
    <w:rsid w:val="00E63EBA"/>
    <w:rsid w:val="00E6646C"/>
    <w:rsid w:val="00E664C0"/>
    <w:rsid w:val="00E72790"/>
    <w:rsid w:val="00E93FBB"/>
    <w:rsid w:val="00E964D4"/>
    <w:rsid w:val="00EA04F9"/>
    <w:rsid w:val="00EB122A"/>
    <w:rsid w:val="00EB258E"/>
    <w:rsid w:val="00ED26E7"/>
    <w:rsid w:val="00EF1E98"/>
    <w:rsid w:val="00F04FBF"/>
    <w:rsid w:val="00F100BC"/>
    <w:rsid w:val="00F251F0"/>
    <w:rsid w:val="00F51D67"/>
    <w:rsid w:val="00F525E7"/>
    <w:rsid w:val="00F65597"/>
    <w:rsid w:val="00F655E1"/>
    <w:rsid w:val="00F774D7"/>
    <w:rsid w:val="00FB007A"/>
    <w:rsid w:val="00FC4483"/>
    <w:rsid w:val="00FE66FE"/>
    <w:rsid w:val="010974DF"/>
    <w:rsid w:val="010F4B69"/>
    <w:rsid w:val="0130676A"/>
    <w:rsid w:val="01375E41"/>
    <w:rsid w:val="013B7A72"/>
    <w:rsid w:val="013E24BF"/>
    <w:rsid w:val="01416D8C"/>
    <w:rsid w:val="01437C9C"/>
    <w:rsid w:val="014C1209"/>
    <w:rsid w:val="01542E3B"/>
    <w:rsid w:val="01585BB8"/>
    <w:rsid w:val="015A204F"/>
    <w:rsid w:val="015B3238"/>
    <w:rsid w:val="016043AA"/>
    <w:rsid w:val="01666F1F"/>
    <w:rsid w:val="016801A5"/>
    <w:rsid w:val="016A0CC6"/>
    <w:rsid w:val="016D7475"/>
    <w:rsid w:val="016D7CA7"/>
    <w:rsid w:val="01735F4B"/>
    <w:rsid w:val="017D3325"/>
    <w:rsid w:val="018569B4"/>
    <w:rsid w:val="01863F34"/>
    <w:rsid w:val="018A16F1"/>
    <w:rsid w:val="018C6445"/>
    <w:rsid w:val="019B3634"/>
    <w:rsid w:val="01B566AA"/>
    <w:rsid w:val="01B666C0"/>
    <w:rsid w:val="01B871C0"/>
    <w:rsid w:val="01CC4933"/>
    <w:rsid w:val="01CC4BAB"/>
    <w:rsid w:val="01CC654C"/>
    <w:rsid w:val="01D43323"/>
    <w:rsid w:val="01DC58DF"/>
    <w:rsid w:val="01E26AB1"/>
    <w:rsid w:val="01E26BF4"/>
    <w:rsid w:val="01E3364A"/>
    <w:rsid w:val="01E659C0"/>
    <w:rsid w:val="01E71F06"/>
    <w:rsid w:val="01EB3B6B"/>
    <w:rsid w:val="01EF5D98"/>
    <w:rsid w:val="01F46458"/>
    <w:rsid w:val="01F6130C"/>
    <w:rsid w:val="01FE0A2C"/>
    <w:rsid w:val="0201658D"/>
    <w:rsid w:val="02072DF4"/>
    <w:rsid w:val="020B16A6"/>
    <w:rsid w:val="021F4076"/>
    <w:rsid w:val="021F4265"/>
    <w:rsid w:val="02215E17"/>
    <w:rsid w:val="02217A18"/>
    <w:rsid w:val="02232ACA"/>
    <w:rsid w:val="022371E3"/>
    <w:rsid w:val="02247C30"/>
    <w:rsid w:val="02261066"/>
    <w:rsid w:val="022B7034"/>
    <w:rsid w:val="02345DAF"/>
    <w:rsid w:val="02483A5D"/>
    <w:rsid w:val="025E3B16"/>
    <w:rsid w:val="02693BD4"/>
    <w:rsid w:val="026C6D7F"/>
    <w:rsid w:val="02793C5B"/>
    <w:rsid w:val="027B63D7"/>
    <w:rsid w:val="027D5C84"/>
    <w:rsid w:val="02836DE2"/>
    <w:rsid w:val="029B6E90"/>
    <w:rsid w:val="029D33DC"/>
    <w:rsid w:val="02A26030"/>
    <w:rsid w:val="02A3377A"/>
    <w:rsid w:val="02AA6756"/>
    <w:rsid w:val="02AD3D3A"/>
    <w:rsid w:val="02AD3D85"/>
    <w:rsid w:val="02AD7AC3"/>
    <w:rsid w:val="02AE6FF2"/>
    <w:rsid w:val="02B05949"/>
    <w:rsid w:val="02B07F0A"/>
    <w:rsid w:val="02B40E10"/>
    <w:rsid w:val="02B67502"/>
    <w:rsid w:val="02B964A5"/>
    <w:rsid w:val="02C37979"/>
    <w:rsid w:val="02C52D11"/>
    <w:rsid w:val="02CA6F70"/>
    <w:rsid w:val="02CC3E6E"/>
    <w:rsid w:val="02D15CAB"/>
    <w:rsid w:val="02D57887"/>
    <w:rsid w:val="02DC2156"/>
    <w:rsid w:val="02DC556E"/>
    <w:rsid w:val="02EE68FF"/>
    <w:rsid w:val="02F46B94"/>
    <w:rsid w:val="02F47418"/>
    <w:rsid w:val="02F708FA"/>
    <w:rsid w:val="02FF2231"/>
    <w:rsid w:val="03016A60"/>
    <w:rsid w:val="03047D5F"/>
    <w:rsid w:val="03093A07"/>
    <w:rsid w:val="030A6899"/>
    <w:rsid w:val="03120381"/>
    <w:rsid w:val="03153165"/>
    <w:rsid w:val="031846AA"/>
    <w:rsid w:val="03257081"/>
    <w:rsid w:val="032F2286"/>
    <w:rsid w:val="03305546"/>
    <w:rsid w:val="03337D3C"/>
    <w:rsid w:val="03347BA5"/>
    <w:rsid w:val="03360AF6"/>
    <w:rsid w:val="033F2821"/>
    <w:rsid w:val="03465DA8"/>
    <w:rsid w:val="034F0A40"/>
    <w:rsid w:val="035241DD"/>
    <w:rsid w:val="035962AC"/>
    <w:rsid w:val="0360752C"/>
    <w:rsid w:val="03630548"/>
    <w:rsid w:val="0366170B"/>
    <w:rsid w:val="036E4DF2"/>
    <w:rsid w:val="036F73CC"/>
    <w:rsid w:val="0375678B"/>
    <w:rsid w:val="037B422A"/>
    <w:rsid w:val="03826BCD"/>
    <w:rsid w:val="038D0696"/>
    <w:rsid w:val="038E5359"/>
    <w:rsid w:val="03930F87"/>
    <w:rsid w:val="039D36DA"/>
    <w:rsid w:val="03A52198"/>
    <w:rsid w:val="03A861F3"/>
    <w:rsid w:val="03AC50CD"/>
    <w:rsid w:val="03B20756"/>
    <w:rsid w:val="03B23C58"/>
    <w:rsid w:val="03B35A38"/>
    <w:rsid w:val="03B45169"/>
    <w:rsid w:val="03C15054"/>
    <w:rsid w:val="03C51ED5"/>
    <w:rsid w:val="03C54999"/>
    <w:rsid w:val="03CF7C42"/>
    <w:rsid w:val="03D97465"/>
    <w:rsid w:val="03F16AA6"/>
    <w:rsid w:val="03F310C6"/>
    <w:rsid w:val="03F82578"/>
    <w:rsid w:val="04021749"/>
    <w:rsid w:val="040445FD"/>
    <w:rsid w:val="040719FE"/>
    <w:rsid w:val="04090A66"/>
    <w:rsid w:val="040E4806"/>
    <w:rsid w:val="041812F0"/>
    <w:rsid w:val="04194CE4"/>
    <w:rsid w:val="041B68E1"/>
    <w:rsid w:val="042233E7"/>
    <w:rsid w:val="04254EF7"/>
    <w:rsid w:val="04255BC3"/>
    <w:rsid w:val="04316766"/>
    <w:rsid w:val="04332B08"/>
    <w:rsid w:val="043707EE"/>
    <w:rsid w:val="0438160E"/>
    <w:rsid w:val="044216AA"/>
    <w:rsid w:val="04456BA1"/>
    <w:rsid w:val="04474A49"/>
    <w:rsid w:val="04523880"/>
    <w:rsid w:val="04536448"/>
    <w:rsid w:val="045E5D63"/>
    <w:rsid w:val="04634D8F"/>
    <w:rsid w:val="046B5540"/>
    <w:rsid w:val="046D155D"/>
    <w:rsid w:val="046E24A0"/>
    <w:rsid w:val="04742E94"/>
    <w:rsid w:val="047D5273"/>
    <w:rsid w:val="047F15EC"/>
    <w:rsid w:val="0482591E"/>
    <w:rsid w:val="04874F74"/>
    <w:rsid w:val="04A313BF"/>
    <w:rsid w:val="04A51EC4"/>
    <w:rsid w:val="04A70FD3"/>
    <w:rsid w:val="04B11C19"/>
    <w:rsid w:val="04B33B84"/>
    <w:rsid w:val="04BB3CBA"/>
    <w:rsid w:val="04BF2CB8"/>
    <w:rsid w:val="04C7198E"/>
    <w:rsid w:val="04D94F44"/>
    <w:rsid w:val="04DA50C4"/>
    <w:rsid w:val="04DB4128"/>
    <w:rsid w:val="04DC1BC8"/>
    <w:rsid w:val="04DF3800"/>
    <w:rsid w:val="04E24BE1"/>
    <w:rsid w:val="04E43D0E"/>
    <w:rsid w:val="04F7673F"/>
    <w:rsid w:val="04F90CBC"/>
    <w:rsid w:val="04F95927"/>
    <w:rsid w:val="04FA3462"/>
    <w:rsid w:val="04FA68C4"/>
    <w:rsid w:val="04FF5680"/>
    <w:rsid w:val="050354D7"/>
    <w:rsid w:val="051162FA"/>
    <w:rsid w:val="05321753"/>
    <w:rsid w:val="05355B4E"/>
    <w:rsid w:val="05391F80"/>
    <w:rsid w:val="053A4ACF"/>
    <w:rsid w:val="053E3845"/>
    <w:rsid w:val="0541002F"/>
    <w:rsid w:val="054779AD"/>
    <w:rsid w:val="05491084"/>
    <w:rsid w:val="054E74F8"/>
    <w:rsid w:val="0556011D"/>
    <w:rsid w:val="05584F57"/>
    <w:rsid w:val="055C2EC6"/>
    <w:rsid w:val="056A2976"/>
    <w:rsid w:val="056D353A"/>
    <w:rsid w:val="056F38EF"/>
    <w:rsid w:val="05762528"/>
    <w:rsid w:val="057768BF"/>
    <w:rsid w:val="057844FF"/>
    <w:rsid w:val="05801699"/>
    <w:rsid w:val="05860158"/>
    <w:rsid w:val="058B1B02"/>
    <w:rsid w:val="058F0E70"/>
    <w:rsid w:val="058F67EC"/>
    <w:rsid w:val="059B55BE"/>
    <w:rsid w:val="059E6D7F"/>
    <w:rsid w:val="05A1039A"/>
    <w:rsid w:val="05A271FE"/>
    <w:rsid w:val="05A52ECF"/>
    <w:rsid w:val="05AA7E70"/>
    <w:rsid w:val="05B21DE2"/>
    <w:rsid w:val="05B64EE1"/>
    <w:rsid w:val="05B872DF"/>
    <w:rsid w:val="05BB5A50"/>
    <w:rsid w:val="05C83808"/>
    <w:rsid w:val="05C94E2E"/>
    <w:rsid w:val="05C96854"/>
    <w:rsid w:val="05CB2D33"/>
    <w:rsid w:val="05DE6466"/>
    <w:rsid w:val="05DF622F"/>
    <w:rsid w:val="05E20E70"/>
    <w:rsid w:val="05EA3BDD"/>
    <w:rsid w:val="05EC0BBF"/>
    <w:rsid w:val="05F159E2"/>
    <w:rsid w:val="05F2506C"/>
    <w:rsid w:val="05F921F6"/>
    <w:rsid w:val="05FF3C1A"/>
    <w:rsid w:val="06020126"/>
    <w:rsid w:val="06062A3D"/>
    <w:rsid w:val="06075FEC"/>
    <w:rsid w:val="060D49F6"/>
    <w:rsid w:val="060F45F1"/>
    <w:rsid w:val="06112B3C"/>
    <w:rsid w:val="061B4D44"/>
    <w:rsid w:val="061F3DA9"/>
    <w:rsid w:val="06215539"/>
    <w:rsid w:val="0630286C"/>
    <w:rsid w:val="063876A4"/>
    <w:rsid w:val="0638780A"/>
    <w:rsid w:val="063E0DE6"/>
    <w:rsid w:val="064176D8"/>
    <w:rsid w:val="06454C97"/>
    <w:rsid w:val="06491398"/>
    <w:rsid w:val="064B1E81"/>
    <w:rsid w:val="064E0CEC"/>
    <w:rsid w:val="064F49ED"/>
    <w:rsid w:val="065710C2"/>
    <w:rsid w:val="06584D4D"/>
    <w:rsid w:val="065B315F"/>
    <w:rsid w:val="067C1522"/>
    <w:rsid w:val="067C362E"/>
    <w:rsid w:val="068122F5"/>
    <w:rsid w:val="06837E4F"/>
    <w:rsid w:val="06843D48"/>
    <w:rsid w:val="06881D91"/>
    <w:rsid w:val="068838F4"/>
    <w:rsid w:val="068E5516"/>
    <w:rsid w:val="06913258"/>
    <w:rsid w:val="06927983"/>
    <w:rsid w:val="06975731"/>
    <w:rsid w:val="069B626B"/>
    <w:rsid w:val="069C25C5"/>
    <w:rsid w:val="069C5DA9"/>
    <w:rsid w:val="06AF5B76"/>
    <w:rsid w:val="06B07B82"/>
    <w:rsid w:val="06B26B45"/>
    <w:rsid w:val="06B95C2A"/>
    <w:rsid w:val="06BF0533"/>
    <w:rsid w:val="06C3703E"/>
    <w:rsid w:val="06C614AC"/>
    <w:rsid w:val="06CC61A7"/>
    <w:rsid w:val="06D2524A"/>
    <w:rsid w:val="06D43DFA"/>
    <w:rsid w:val="06D66EBD"/>
    <w:rsid w:val="06E51995"/>
    <w:rsid w:val="06EA3E03"/>
    <w:rsid w:val="06EF555C"/>
    <w:rsid w:val="06F42009"/>
    <w:rsid w:val="06F85DFF"/>
    <w:rsid w:val="06FF5FA8"/>
    <w:rsid w:val="070B081D"/>
    <w:rsid w:val="070D7104"/>
    <w:rsid w:val="070F5BB9"/>
    <w:rsid w:val="07165BB5"/>
    <w:rsid w:val="071664CB"/>
    <w:rsid w:val="07195698"/>
    <w:rsid w:val="0730654F"/>
    <w:rsid w:val="073D207A"/>
    <w:rsid w:val="0742420A"/>
    <w:rsid w:val="07434BE5"/>
    <w:rsid w:val="074A1497"/>
    <w:rsid w:val="074A49E1"/>
    <w:rsid w:val="074B6B0A"/>
    <w:rsid w:val="074E2E85"/>
    <w:rsid w:val="07515BF5"/>
    <w:rsid w:val="07520C39"/>
    <w:rsid w:val="07524795"/>
    <w:rsid w:val="0755659A"/>
    <w:rsid w:val="075850A0"/>
    <w:rsid w:val="075B6A1A"/>
    <w:rsid w:val="076003DE"/>
    <w:rsid w:val="0760628E"/>
    <w:rsid w:val="07630750"/>
    <w:rsid w:val="076B3425"/>
    <w:rsid w:val="076D5A34"/>
    <w:rsid w:val="07711E01"/>
    <w:rsid w:val="07726BE5"/>
    <w:rsid w:val="0776142E"/>
    <w:rsid w:val="07764244"/>
    <w:rsid w:val="077E558A"/>
    <w:rsid w:val="0783049C"/>
    <w:rsid w:val="07870AFB"/>
    <w:rsid w:val="078748AB"/>
    <w:rsid w:val="078B665C"/>
    <w:rsid w:val="0795338A"/>
    <w:rsid w:val="07A11279"/>
    <w:rsid w:val="07AC3018"/>
    <w:rsid w:val="07BA0B8A"/>
    <w:rsid w:val="07BE249F"/>
    <w:rsid w:val="07BF409F"/>
    <w:rsid w:val="07C82CA9"/>
    <w:rsid w:val="07CD4764"/>
    <w:rsid w:val="07CF3C47"/>
    <w:rsid w:val="07D76651"/>
    <w:rsid w:val="07DA2045"/>
    <w:rsid w:val="07DC0946"/>
    <w:rsid w:val="07DD06DB"/>
    <w:rsid w:val="07DD5905"/>
    <w:rsid w:val="07DE718D"/>
    <w:rsid w:val="07DF26DB"/>
    <w:rsid w:val="07E239CC"/>
    <w:rsid w:val="07E53475"/>
    <w:rsid w:val="07FC2E74"/>
    <w:rsid w:val="07FE79CD"/>
    <w:rsid w:val="08015504"/>
    <w:rsid w:val="080D5466"/>
    <w:rsid w:val="080E7859"/>
    <w:rsid w:val="080F1AFD"/>
    <w:rsid w:val="081C4DA3"/>
    <w:rsid w:val="08275E9F"/>
    <w:rsid w:val="082F2942"/>
    <w:rsid w:val="0834243C"/>
    <w:rsid w:val="083927E4"/>
    <w:rsid w:val="083C4608"/>
    <w:rsid w:val="08406517"/>
    <w:rsid w:val="08436517"/>
    <w:rsid w:val="084762C4"/>
    <w:rsid w:val="0849387F"/>
    <w:rsid w:val="084C154B"/>
    <w:rsid w:val="084F0A17"/>
    <w:rsid w:val="085A10AA"/>
    <w:rsid w:val="085A3CC5"/>
    <w:rsid w:val="08613A5E"/>
    <w:rsid w:val="08627391"/>
    <w:rsid w:val="086A114C"/>
    <w:rsid w:val="086E4FBF"/>
    <w:rsid w:val="08711291"/>
    <w:rsid w:val="087466EA"/>
    <w:rsid w:val="08764FF9"/>
    <w:rsid w:val="087711AA"/>
    <w:rsid w:val="08835998"/>
    <w:rsid w:val="089A6A2E"/>
    <w:rsid w:val="08A676CB"/>
    <w:rsid w:val="08A92ADB"/>
    <w:rsid w:val="08AA0C7F"/>
    <w:rsid w:val="08B03E69"/>
    <w:rsid w:val="08B35527"/>
    <w:rsid w:val="08B96BD8"/>
    <w:rsid w:val="08BB7698"/>
    <w:rsid w:val="08C62846"/>
    <w:rsid w:val="08C95534"/>
    <w:rsid w:val="08CE1601"/>
    <w:rsid w:val="08DE3382"/>
    <w:rsid w:val="08E62649"/>
    <w:rsid w:val="08EC260A"/>
    <w:rsid w:val="08F6361B"/>
    <w:rsid w:val="08F77308"/>
    <w:rsid w:val="08F8136C"/>
    <w:rsid w:val="08F81DFC"/>
    <w:rsid w:val="08FF6095"/>
    <w:rsid w:val="09045AED"/>
    <w:rsid w:val="09060B75"/>
    <w:rsid w:val="090653B1"/>
    <w:rsid w:val="090D306A"/>
    <w:rsid w:val="09132149"/>
    <w:rsid w:val="09173EE8"/>
    <w:rsid w:val="09207898"/>
    <w:rsid w:val="09242161"/>
    <w:rsid w:val="09246B7F"/>
    <w:rsid w:val="0926197A"/>
    <w:rsid w:val="092D395B"/>
    <w:rsid w:val="092F19E3"/>
    <w:rsid w:val="09343970"/>
    <w:rsid w:val="09344E19"/>
    <w:rsid w:val="09370A52"/>
    <w:rsid w:val="093D51B4"/>
    <w:rsid w:val="094840A2"/>
    <w:rsid w:val="09514723"/>
    <w:rsid w:val="095504DD"/>
    <w:rsid w:val="09647EC4"/>
    <w:rsid w:val="096B1B3E"/>
    <w:rsid w:val="096F5AD2"/>
    <w:rsid w:val="09766ACB"/>
    <w:rsid w:val="09792AD5"/>
    <w:rsid w:val="0980626C"/>
    <w:rsid w:val="098A290C"/>
    <w:rsid w:val="098D628F"/>
    <w:rsid w:val="098E7098"/>
    <w:rsid w:val="098F50FF"/>
    <w:rsid w:val="09903C9B"/>
    <w:rsid w:val="0990529C"/>
    <w:rsid w:val="09924AB2"/>
    <w:rsid w:val="0998486F"/>
    <w:rsid w:val="09996199"/>
    <w:rsid w:val="09A65DC0"/>
    <w:rsid w:val="09AB2883"/>
    <w:rsid w:val="09B25C8F"/>
    <w:rsid w:val="09B37AEC"/>
    <w:rsid w:val="09B50186"/>
    <w:rsid w:val="09BA4D83"/>
    <w:rsid w:val="09BF5CA6"/>
    <w:rsid w:val="09C37BCC"/>
    <w:rsid w:val="09C51231"/>
    <w:rsid w:val="09C72651"/>
    <w:rsid w:val="09CC05C4"/>
    <w:rsid w:val="09D23279"/>
    <w:rsid w:val="09D52C60"/>
    <w:rsid w:val="09E23085"/>
    <w:rsid w:val="09E62EBE"/>
    <w:rsid w:val="09E741F2"/>
    <w:rsid w:val="09E85885"/>
    <w:rsid w:val="09EC76DB"/>
    <w:rsid w:val="09EF5595"/>
    <w:rsid w:val="09F1006B"/>
    <w:rsid w:val="09FD541F"/>
    <w:rsid w:val="09FE7367"/>
    <w:rsid w:val="0A07135F"/>
    <w:rsid w:val="0A116CF4"/>
    <w:rsid w:val="0A1B5351"/>
    <w:rsid w:val="0A1C7EC9"/>
    <w:rsid w:val="0A221F3A"/>
    <w:rsid w:val="0A2363B0"/>
    <w:rsid w:val="0A26442A"/>
    <w:rsid w:val="0A2763AD"/>
    <w:rsid w:val="0A287FA0"/>
    <w:rsid w:val="0A2A0524"/>
    <w:rsid w:val="0A2C0D3B"/>
    <w:rsid w:val="0A2E5E53"/>
    <w:rsid w:val="0A310F18"/>
    <w:rsid w:val="0A310FDA"/>
    <w:rsid w:val="0A321633"/>
    <w:rsid w:val="0A332E85"/>
    <w:rsid w:val="0A340E0D"/>
    <w:rsid w:val="0A341682"/>
    <w:rsid w:val="0A3838AE"/>
    <w:rsid w:val="0A3F14EC"/>
    <w:rsid w:val="0A4F2E9A"/>
    <w:rsid w:val="0A522D71"/>
    <w:rsid w:val="0A5E482E"/>
    <w:rsid w:val="0A6B6E10"/>
    <w:rsid w:val="0A7B0C26"/>
    <w:rsid w:val="0A7B1AB9"/>
    <w:rsid w:val="0A7F5E19"/>
    <w:rsid w:val="0A810269"/>
    <w:rsid w:val="0A8C6A20"/>
    <w:rsid w:val="0A9713FA"/>
    <w:rsid w:val="0A9A72F3"/>
    <w:rsid w:val="0A9E3100"/>
    <w:rsid w:val="0A9F3C9B"/>
    <w:rsid w:val="0AB441B1"/>
    <w:rsid w:val="0ABA39F1"/>
    <w:rsid w:val="0ABB708E"/>
    <w:rsid w:val="0AC716EE"/>
    <w:rsid w:val="0ACD1AA9"/>
    <w:rsid w:val="0ACE6C5F"/>
    <w:rsid w:val="0ADC305B"/>
    <w:rsid w:val="0AE25F55"/>
    <w:rsid w:val="0AE94F91"/>
    <w:rsid w:val="0AF50251"/>
    <w:rsid w:val="0AF92D45"/>
    <w:rsid w:val="0AFC4CD1"/>
    <w:rsid w:val="0AFC55BB"/>
    <w:rsid w:val="0B0005A1"/>
    <w:rsid w:val="0B112BB9"/>
    <w:rsid w:val="0B154584"/>
    <w:rsid w:val="0B194C41"/>
    <w:rsid w:val="0B1B32C8"/>
    <w:rsid w:val="0B1C344B"/>
    <w:rsid w:val="0B2427D9"/>
    <w:rsid w:val="0B38329D"/>
    <w:rsid w:val="0B396B39"/>
    <w:rsid w:val="0B410063"/>
    <w:rsid w:val="0B586D3B"/>
    <w:rsid w:val="0B5948DD"/>
    <w:rsid w:val="0B5F1DC7"/>
    <w:rsid w:val="0B5F3925"/>
    <w:rsid w:val="0B605F4D"/>
    <w:rsid w:val="0B72052C"/>
    <w:rsid w:val="0B776EC0"/>
    <w:rsid w:val="0B7864B7"/>
    <w:rsid w:val="0B7B2078"/>
    <w:rsid w:val="0B823371"/>
    <w:rsid w:val="0B882E7B"/>
    <w:rsid w:val="0B8B19A4"/>
    <w:rsid w:val="0B9B6C5B"/>
    <w:rsid w:val="0BA17A99"/>
    <w:rsid w:val="0BA340B9"/>
    <w:rsid w:val="0BA8074F"/>
    <w:rsid w:val="0BAA2594"/>
    <w:rsid w:val="0BB645A8"/>
    <w:rsid w:val="0BBC0D77"/>
    <w:rsid w:val="0BBC0DC9"/>
    <w:rsid w:val="0BBC5F9E"/>
    <w:rsid w:val="0BBC72FE"/>
    <w:rsid w:val="0BC154BD"/>
    <w:rsid w:val="0BC26AAB"/>
    <w:rsid w:val="0BC8196A"/>
    <w:rsid w:val="0BC93196"/>
    <w:rsid w:val="0BD11F11"/>
    <w:rsid w:val="0BDC33FE"/>
    <w:rsid w:val="0BDC743A"/>
    <w:rsid w:val="0BE13D04"/>
    <w:rsid w:val="0BE2426F"/>
    <w:rsid w:val="0BE55DD5"/>
    <w:rsid w:val="0BE85DDD"/>
    <w:rsid w:val="0BF66F00"/>
    <w:rsid w:val="0BF80A9C"/>
    <w:rsid w:val="0BF84DC8"/>
    <w:rsid w:val="0BF977FE"/>
    <w:rsid w:val="0BFC6861"/>
    <w:rsid w:val="0C003A87"/>
    <w:rsid w:val="0C004624"/>
    <w:rsid w:val="0C007C0D"/>
    <w:rsid w:val="0C0C03C9"/>
    <w:rsid w:val="0C104C1F"/>
    <w:rsid w:val="0C123F38"/>
    <w:rsid w:val="0C127856"/>
    <w:rsid w:val="0C152235"/>
    <w:rsid w:val="0C190A0A"/>
    <w:rsid w:val="0C1F3477"/>
    <w:rsid w:val="0C215BD8"/>
    <w:rsid w:val="0C2462E1"/>
    <w:rsid w:val="0C254F7A"/>
    <w:rsid w:val="0C27273B"/>
    <w:rsid w:val="0C2D7534"/>
    <w:rsid w:val="0C316782"/>
    <w:rsid w:val="0C3223EE"/>
    <w:rsid w:val="0C395F24"/>
    <w:rsid w:val="0C3C3CA0"/>
    <w:rsid w:val="0C3F3A46"/>
    <w:rsid w:val="0C4018D0"/>
    <w:rsid w:val="0C405E13"/>
    <w:rsid w:val="0C4843B9"/>
    <w:rsid w:val="0C4B5C57"/>
    <w:rsid w:val="0C4D1731"/>
    <w:rsid w:val="0C524FEC"/>
    <w:rsid w:val="0C556C9B"/>
    <w:rsid w:val="0C572BD3"/>
    <w:rsid w:val="0C5730C1"/>
    <w:rsid w:val="0C5D748D"/>
    <w:rsid w:val="0C64251E"/>
    <w:rsid w:val="0C691AB4"/>
    <w:rsid w:val="0C6C4136"/>
    <w:rsid w:val="0C7120BA"/>
    <w:rsid w:val="0C727688"/>
    <w:rsid w:val="0C743DEB"/>
    <w:rsid w:val="0C7567F0"/>
    <w:rsid w:val="0C7D57C5"/>
    <w:rsid w:val="0C801498"/>
    <w:rsid w:val="0C82275E"/>
    <w:rsid w:val="0C836D6B"/>
    <w:rsid w:val="0C890893"/>
    <w:rsid w:val="0C8D251A"/>
    <w:rsid w:val="0C90777F"/>
    <w:rsid w:val="0C916659"/>
    <w:rsid w:val="0C9B1C08"/>
    <w:rsid w:val="0C9D4705"/>
    <w:rsid w:val="0C9D66F6"/>
    <w:rsid w:val="0CA37841"/>
    <w:rsid w:val="0CBD341E"/>
    <w:rsid w:val="0CBD4DA7"/>
    <w:rsid w:val="0CBE6A96"/>
    <w:rsid w:val="0CC30264"/>
    <w:rsid w:val="0CC32094"/>
    <w:rsid w:val="0CC7770C"/>
    <w:rsid w:val="0CCF6888"/>
    <w:rsid w:val="0CD61C5E"/>
    <w:rsid w:val="0CDA2B45"/>
    <w:rsid w:val="0CE005BA"/>
    <w:rsid w:val="0CE92E2F"/>
    <w:rsid w:val="0CE96095"/>
    <w:rsid w:val="0CEB0EF7"/>
    <w:rsid w:val="0CF238D9"/>
    <w:rsid w:val="0CF3265F"/>
    <w:rsid w:val="0CF54C18"/>
    <w:rsid w:val="0CFB7D5D"/>
    <w:rsid w:val="0CFF1C5D"/>
    <w:rsid w:val="0D0105C4"/>
    <w:rsid w:val="0D017D57"/>
    <w:rsid w:val="0D020CCB"/>
    <w:rsid w:val="0D0676A4"/>
    <w:rsid w:val="0D190F81"/>
    <w:rsid w:val="0D1D58C9"/>
    <w:rsid w:val="0D1F1184"/>
    <w:rsid w:val="0D237F01"/>
    <w:rsid w:val="0D262447"/>
    <w:rsid w:val="0D2B3F36"/>
    <w:rsid w:val="0D3333F8"/>
    <w:rsid w:val="0D361020"/>
    <w:rsid w:val="0D423EAE"/>
    <w:rsid w:val="0D5261BF"/>
    <w:rsid w:val="0D57246E"/>
    <w:rsid w:val="0D5D3E94"/>
    <w:rsid w:val="0D6734E3"/>
    <w:rsid w:val="0D6E4804"/>
    <w:rsid w:val="0D720C66"/>
    <w:rsid w:val="0D73211D"/>
    <w:rsid w:val="0D7D2A79"/>
    <w:rsid w:val="0D7D3E0F"/>
    <w:rsid w:val="0D8200F5"/>
    <w:rsid w:val="0D86133A"/>
    <w:rsid w:val="0D893804"/>
    <w:rsid w:val="0D8D3537"/>
    <w:rsid w:val="0D9E5A07"/>
    <w:rsid w:val="0DA44C4F"/>
    <w:rsid w:val="0DA63D3D"/>
    <w:rsid w:val="0DAC0338"/>
    <w:rsid w:val="0DAC7CEF"/>
    <w:rsid w:val="0DAD62D1"/>
    <w:rsid w:val="0DB066B9"/>
    <w:rsid w:val="0DB57980"/>
    <w:rsid w:val="0DB95559"/>
    <w:rsid w:val="0DBA7538"/>
    <w:rsid w:val="0DBB4523"/>
    <w:rsid w:val="0DC209AA"/>
    <w:rsid w:val="0DC44BEA"/>
    <w:rsid w:val="0DC67036"/>
    <w:rsid w:val="0DC803A9"/>
    <w:rsid w:val="0DC906B2"/>
    <w:rsid w:val="0DC96111"/>
    <w:rsid w:val="0DCB388D"/>
    <w:rsid w:val="0DD265EC"/>
    <w:rsid w:val="0DD43F77"/>
    <w:rsid w:val="0DDF4F23"/>
    <w:rsid w:val="0DE7134E"/>
    <w:rsid w:val="0DE805D5"/>
    <w:rsid w:val="0DF0610D"/>
    <w:rsid w:val="0DFE3130"/>
    <w:rsid w:val="0E0064DC"/>
    <w:rsid w:val="0E052416"/>
    <w:rsid w:val="0E171886"/>
    <w:rsid w:val="0E1C1B92"/>
    <w:rsid w:val="0E20647A"/>
    <w:rsid w:val="0E245D5F"/>
    <w:rsid w:val="0E2B77B0"/>
    <w:rsid w:val="0E304F48"/>
    <w:rsid w:val="0E33779F"/>
    <w:rsid w:val="0E3E07E5"/>
    <w:rsid w:val="0E44758C"/>
    <w:rsid w:val="0E4504CC"/>
    <w:rsid w:val="0E4D0FC1"/>
    <w:rsid w:val="0E50765F"/>
    <w:rsid w:val="0E511DEE"/>
    <w:rsid w:val="0E5753B1"/>
    <w:rsid w:val="0E576B35"/>
    <w:rsid w:val="0E6370CE"/>
    <w:rsid w:val="0E667D4E"/>
    <w:rsid w:val="0E7C4A82"/>
    <w:rsid w:val="0E7E7C6E"/>
    <w:rsid w:val="0E8E520D"/>
    <w:rsid w:val="0E8F336A"/>
    <w:rsid w:val="0E8F359F"/>
    <w:rsid w:val="0E917529"/>
    <w:rsid w:val="0E9B1E4D"/>
    <w:rsid w:val="0EB66B23"/>
    <w:rsid w:val="0EB75DD5"/>
    <w:rsid w:val="0EBD2952"/>
    <w:rsid w:val="0EC25A79"/>
    <w:rsid w:val="0EC345DF"/>
    <w:rsid w:val="0ECA7B73"/>
    <w:rsid w:val="0ECD648E"/>
    <w:rsid w:val="0EDA7ABD"/>
    <w:rsid w:val="0EE16478"/>
    <w:rsid w:val="0EE303C9"/>
    <w:rsid w:val="0EE813E9"/>
    <w:rsid w:val="0EE9317A"/>
    <w:rsid w:val="0EEC26ED"/>
    <w:rsid w:val="0EF10B09"/>
    <w:rsid w:val="0EF45FEF"/>
    <w:rsid w:val="0EFB3964"/>
    <w:rsid w:val="0F000C96"/>
    <w:rsid w:val="0F030982"/>
    <w:rsid w:val="0F0F50B1"/>
    <w:rsid w:val="0F266F83"/>
    <w:rsid w:val="0F292A93"/>
    <w:rsid w:val="0F2B39D9"/>
    <w:rsid w:val="0F332828"/>
    <w:rsid w:val="0F383593"/>
    <w:rsid w:val="0F3C7A41"/>
    <w:rsid w:val="0F5346EB"/>
    <w:rsid w:val="0F565E8D"/>
    <w:rsid w:val="0F5E2F7D"/>
    <w:rsid w:val="0F607C6B"/>
    <w:rsid w:val="0F645AC1"/>
    <w:rsid w:val="0F6B43C5"/>
    <w:rsid w:val="0F7113C1"/>
    <w:rsid w:val="0F751D64"/>
    <w:rsid w:val="0F76462C"/>
    <w:rsid w:val="0F767D88"/>
    <w:rsid w:val="0F7958FE"/>
    <w:rsid w:val="0F895627"/>
    <w:rsid w:val="0F8B0C31"/>
    <w:rsid w:val="0F927664"/>
    <w:rsid w:val="0F9720CC"/>
    <w:rsid w:val="0FA04150"/>
    <w:rsid w:val="0FA40C23"/>
    <w:rsid w:val="0FA73109"/>
    <w:rsid w:val="0FA77648"/>
    <w:rsid w:val="0FB25CBD"/>
    <w:rsid w:val="0FB7141D"/>
    <w:rsid w:val="0FB72367"/>
    <w:rsid w:val="0FB73E77"/>
    <w:rsid w:val="0FB9413C"/>
    <w:rsid w:val="0FC47664"/>
    <w:rsid w:val="0FC66ECC"/>
    <w:rsid w:val="0FCB3337"/>
    <w:rsid w:val="0FCC70AF"/>
    <w:rsid w:val="0FED0854"/>
    <w:rsid w:val="0FED3576"/>
    <w:rsid w:val="0FEE34C9"/>
    <w:rsid w:val="0FF63E22"/>
    <w:rsid w:val="0FFD41BD"/>
    <w:rsid w:val="0FFD5200"/>
    <w:rsid w:val="0FFE3D02"/>
    <w:rsid w:val="10005A8C"/>
    <w:rsid w:val="10060813"/>
    <w:rsid w:val="10065999"/>
    <w:rsid w:val="10092592"/>
    <w:rsid w:val="10211950"/>
    <w:rsid w:val="10213F6E"/>
    <w:rsid w:val="103247B3"/>
    <w:rsid w:val="104071D9"/>
    <w:rsid w:val="10417A9D"/>
    <w:rsid w:val="1042731E"/>
    <w:rsid w:val="104273D7"/>
    <w:rsid w:val="10445B9A"/>
    <w:rsid w:val="10494F32"/>
    <w:rsid w:val="10560D06"/>
    <w:rsid w:val="105D2165"/>
    <w:rsid w:val="10640B9B"/>
    <w:rsid w:val="10651D23"/>
    <w:rsid w:val="10655C5D"/>
    <w:rsid w:val="10673933"/>
    <w:rsid w:val="106C2C0F"/>
    <w:rsid w:val="107514F4"/>
    <w:rsid w:val="107760A2"/>
    <w:rsid w:val="1090507D"/>
    <w:rsid w:val="10961BDF"/>
    <w:rsid w:val="109E5FEF"/>
    <w:rsid w:val="10AD6EE0"/>
    <w:rsid w:val="10BA0DCE"/>
    <w:rsid w:val="10C20B10"/>
    <w:rsid w:val="10C3101B"/>
    <w:rsid w:val="10C876B1"/>
    <w:rsid w:val="10C967E4"/>
    <w:rsid w:val="10CA34E1"/>
    <w:rsid w:val="10CE5C82"/>
    <w:rsid w:val="10D25FC1"/>
    <w:rsid w:val="10D26878"/>
    <w:rsid w:val="10D40911"/>
    <w:rsid w:val="10DA4B72"/>
    <w:rsid w:val="10DD09CE"/>
    <w:rsid w:val="10DE3E7A"/>
    <w:rsid w:val="10E351F5"/>
    <w:rsid w:val="10EB2B88"/>
    <w:rsid w:val="10ED1D0E"/>
    <w:rsid w:val="10EE684F"/>
    <w:rsid w:val="10F535D3"/>
    <w:rsid w:val="110526C0"/>
    <w:rsid w:val="110665DD"/>
    <w:rsid w:val="11082CF7"/>
    <w:rsid w:val="110A5123"/>
    <w:rsid w:val="11153FC3"/>
    <w:rsid w:val="111D7E38"/>
    <w:rsid w:val="1123195D"/>
    <w:rsid w:val="112B0024"/>
    <w:rsid w:val="11307079"/>
    <w:rsid w:val="113F126E"/>
    <w:rsid w:val="11543104"/>
    <w:rsid w:val="115600D4"/>
    <w:rsid w:val="11586E4C"/>
    <w:rsid w:val="115920CE"/>
    <w:rsid w:val="11647B2C"/>
    <w:rsid w:val="116E6670"/>
    <w:rsid w:val="1174345C"/>
    <w:rsid w:val="1174468E"/>
    <w:rsid w:val="117620D4"/>
    <w:rsid w:val="117C32EA"/>
    <w:rsid w:val="118834E8"/>
    <w:rsid w:val="11902A8A"/>
    <w:rsid w:val="11921850"/>
    <w:rsid w:val="1197788A"/>
    <w:rsid w:val="119908C2"/>
    <w:rsid w:val="119E09B8"/>
    <w:rsid w:val="11A16A45"/>
    <w:rsid w:val="11B1006A"/>
    <w:rsid w:val="11B62D7E"/>
    <w:rsid w:val="11C02D2E"/>
    <w:rsid w:val="11C605E7"/>
    <w:rsid w:val="11CD1AA2"/>
    <w:rsid w:val="11D37EA7"/>
    <w:rsid w:val="11D72CBF"/>
    <w:rsid w:val="11E90B6B"/>
    <w:rsid w:val="11ED3D2F"/>
    <w:rsid w:val="11F400C8"/>
    <w:rsid w:val="11F538AA"/>
    <w:rsid w:val="11F67003"/>
    <w:rsid w:val="11F81593"/>
    <w:rsid w:val="120170A3"/>
    <w:rsid w:val="1203277A"/>
    <w:rsid w:val="1206792D"/>
    <w:rsid w:val="1228182C"/>
    <w:rsid w:val="12312169"/>
    <w:rsid w:val="123650B5"/>
    <w:rsid w:val="123C051C"/>
    <w:rsid w:val="123F1DBA"/>
    <w:rsid w:val="124368EB"/>
    <w:rsid w:val="12455342"/>
    <w:rsid w:val="1255782F"/>
    <w:rsid w:val="12566960"/>
    <w:rsid w:val="1259358F"/>
    <w:rsid w:val="12594D28"/>
    <w:rsid w:val="125B2172"/>
    <w:rsid w:val="125C0F94"/>
    <w:rsid w:val="126006AE"/>
    <w:rsid w:val="12665399"/>
    <w:rsid w:val="127220C8"/>
    <w:rsid w:val="12735809"/>
    <w:rsid w:val="127C1D9A"/>
    <w:rsid w:val="127E0235"/>
    <w:rsid w:val="127F6497"/>
    <w:rsid w:val="12823F18"/>
    <w:rsid w:val="12861640"/>
    <w:rsid w:val="128A1CAF"/>
    <w:rsid w:val="128B14A3"/>
    <w:rsid w:val="128C6DCA"/>
    <w:rsid w:val="129530C6"/>
    <w:rsid w:val="129659CF"/>
    <w:rsid w:val="12980D80"/>
    <w:rsid w:val="129901FE"/>
    <w:rsid w:val="1299771C"/>
    <w:rsid w:val="129F3C34"/>
    <w:rsid w:val="12A1706C"/>
    <w:rsid w:val="12A27DC3"/>
    <w:rsid w:val="12A56C60"/>
    <w:rsid w:val="12AC1D5A"/>
    <w:rsid w:val="12AF17AA"/>
    <w:rsid w:val="12B508B1"/>
    <w:rsid w:val="12B65B63"/>
    <w:rsid w:val="12B7019C"/>
    <w:rsid w:val="12B843BB"/>
    <w:rsid w:val="12BC78AF"/>
    <w:rsid w:val="12CA06CE"/>
    <w:rsid w:val="12CB4575"/>
    <w:rsid w:val="12CC0210"/>
    <w:rsid w:val="12CF5487"/>
    <w:rsid w:val="12D14790"/>
    <w:rsid w:val="12D175E2"/>
    <w:rsid w:val="12D4727E"/>
    <w:rsid w:val="12D60970"/>
    <w:rsid w:val="12D71F2E"/>
    <w:rsid w:val="12E31BDE"/>
    <w:rsid w:val="12E83881"/>
    <w:rsid w:val="12EC7AE9"/>
    <w:rsid w:val="12EF62FD"/>
    <w:rsid w:val="12F11B97"/>
    <w:rsid w:val="12FC56ED"/>
    <w:rsid w:val="13017E87"/>
    <w:rsid w:val="130616CC"/>
    <w:rsid w:val="13063F06"/>
    <w:rsid w:val="13071595"/>
    <w:rsid w:val="130D010A"/>
    <w:rsid w:val="130E780C"/>
    <w:rsid w:val="13117D70"/>
    <w:rsid w:val="131A335A"/>
    <w:rsid w:val="132D5B29"/>
    <w:rsid w:val="13313BF8"/>
    <w:rsid w:val="13425FE7"/>
    <w:rsid w:val="13531FC1"/>
    <w:rsid w:val="13545D39"/>
    <w:rsid w:val="135720BE"/>
    <w:rsid w:val="135907E1"/>
    <w:rsid w:val="135C133F"/>
    <w:rsid w:val="13646528"/>
    <w:rsid w:val="137131BB"/>
    <w:rsid w:val="137A683C"/>
    <w:rsid w:val="1380268A"/>
    <w:rsid w:val="138228A6"/>
    <w:rsid w:val="1384637C"/>
    <w:rsid w:val="138B328C"/>
    <w:rsid w:val="138C39AA"/>
    <w:rsid w:val="138C5731"/>
    <w:rsid w:val="13903825"/>
    <w:rsid w:val="139323BD"/>
    <w:rsid w:val="139C5FF5"/>
    <w:rsid w:val="139D1015"/>
    <w:rsid w:val="13A37472"/>
    <w:rsid w:val="13A4281C"/>
    <w:rsid w:val="13A9686B"/>
    <w:rsid w:val="13B04A88"/>
    <w:rsid w:val="13B44563"/>
    <w:rsid w:val="13B65473"/>
    <w:rsid w:val="13B84F5A"/>
    <w:rsid w:val="13BB1CF9"/>
    <w:rsid w:val="13C46C25"/>
    <w:rsid w:val="13C54FC2"/>
    <w:rsid w:val="13C83C17"/>
    <w:rsid w:val="13CC1D73"/>
    <w:rsid w:val="13CD325F"/>
    <w:rsid w:val="13CD3FA3"/>
    <w:rsid w:val="13D645AE"/>
    <w:rsid w:val="13DD3F4F"/>
    <w:rsid w:val="13DE2A6A"/>
    <w:rsid w:val="140908D1"/>
    <w:rsid w:val="140D6D71"/>
    <w:rsid w:val="140F40B7"/>
    <w:rsid w:val="141D3B73"/>
    <w:rsid w:val="141E0717"/>
    <w:rsid w:val="14295357"/>
    <w:rsid w:val="14297453"/>
    <w:rsid w:val="143771ED"/>
    <w:rsid w:val="143907F8"/>
    <w:rsid w:val="143E5B17"/>
    <w:rsid w:val="1444190A"/>
    <w:rsid w:val="1445537A"/>
    <w:rsid w:val="144B12F1"/>
    <w:rsid w:val="14540C19"/>
    <w:rsid w:val="145D40F9"/>
    <w:rsid w:val="146429B0"/>
    <w:rsid w:val="146733DC"/>
    <w:rsid w:val="146F51D9"/>
    <w:rsid w:val="14716FD2"/>
    <w:rsid w:val="148963AA"/>
    <w:rsid w:val="14A66120"/>
    <w:rsid w:val="14B25F3D"/>
    <w:rsid w:val="14B47C73"/>
    <w:rsid w:val="14B74712"/>
    <w:rsid w:val="14BD517C"/>
    <w:rsid w:val="14BE346A"/>
    <w:rsid w:val="14C755BA"/>
    <w:rsid w:val="14CF2F4A"/>
    <w:rsid w:val="14DF0BA2"/>
    <w:rsid w:val="14E13ABE"/>
    <w:rsid w:val="14EC111C"/>
    <w:rsid w:val="14ED4143"/>
    <w:rsid w:val="14F2438D"/>
    <w:rsid w:val="14FD260F"/>
    <w:rsid w:val="15060D13"/>
    <w:rsid w:val="1508059A"/>
    <w:rsid w:val="150A0F40"/>
    <w:rsid w:val="150A1CAF"/>
    <w:rsid w:val="150F6352"/>
    <w:rsid w:val="15115FBE"/>
    <w:rsid w:val="15170DCC"/>
    <w:rsid w:val="151E58BF"/>
    <w:rsid w:val="151F6BAC"/>
    <w:rsid w:val="152864F1"/>
    <w:rsid w:val="152A4D86"/>
    <w:rsid w:val="152D0EAD"/>
    <w:rsid w:val="153426C4"/>
    <w:rsid w:val="153E61F1"/>
    <w:rsid w:val="15405951"/>
    <w:rsid w:val="15412E70"/>
    <w:rsid w:val="15451518"/>
    <w:rsid w:val="15457C9B"/>
    <w:rsid w:val="15474C21"/>
    <w:rsid w:val="15475B55"/>
    <w:rsid w:val="154B3B30"/>
    <w:rsid w:val="154C5769"/>
    <w:rsid w:val="155838BF"/>
    <w:rsid w:val="155B51EC"/>
    <w:rsid w:val="155D63FE"/>
    <w:rsid w:val="15606346"/>
    <w:rsid w:val="1566616E"/>
    <w:rsid w:val="156A4DD9"/>
    <w:rsid w:val="156D6C3E"/>
    <w:rsid w:val="157F38FF"/>
    <w:rsid w:val="158A0510"/>
    <w:rsid w:val="159E5049"/>
    <w:rsid w:val="15A24385"/>
    <w:rsid w:val="15A31535"/>
    <w:rsid w:val="15A4548C"/>
    <w:rsid w:val="15A75661"/>
    <w:rsid w:val="15A91D18"/>
    <w:rsid w:val="15B11E25"/>
    <w:rsid w:val="15BB6C7B"/>
    <w:rsid w:val="15C87753"/>
    <w:rsid w:val="15CE2D0A"/>
    <w:rsid w:val="15D41C79"/>
    <w:rsid w:val="15D84B69"/>
    <w:rsid w:val="15DA07CB"/>
    <w:rsid w:val="15DB3018"/>
    <w:rsid w:val="15DD3DC4"/>
    <w:rsid w:val="15DD706A"/>
    <w:rsid w:val="15E769F0"/>
    <w:rsid w:val="15E85EA3"/>
    <w:rsid w:val="15F829AC"/>
    <w:rsid w:val="15FD4136"/>
    <w:rsid w:val="1608552B"/>
    <w:rsid w:val="160A26DF"/>
    <w:rsid w:val="160F1A18"/>
    <w:rsid w:val="16105D65"/>
    <w:rsid w:val="161B6D47"/>
    <w:rsid w:val="16241BB8"/>
    <w:rsid w:val="162A45AF"/>
    <w:rsid w:val="162A607A"/>
    <w:rsid w:val="163663F7"/>
    <w:rsid w:val="163F32EB"/>
    <w:rsid w:val="163F4A7E"/>
    <w:rsid w:val="164C2CF7"/>
    <w:rsid w:val="165364C3"/>
    <w:rsid w:val="165A2BDE"/>
    <w:rsid w:val="165A5414"/>
    <w:rsid w:val="16636CE1"/>
    <w:rsid w:val="166B13D0"/>
    <w:rsid w:val="166E0A8A"/>
    <w:rsid w:val="166F1D3D"/>
    <w:rsid w:val="16706B4D"/>
    <w:rsid w:val="16710DF6"/>
    <w:rsid w:val="1673768F"/>
    <w:rsid w:val="16752821"/>
    <w:rsid w:val="16765361"/>
    <w:rsid w:val="16792576"/>
    <w:rsid w:val="16806552"/>
    <w:rsid w:val="16826733"/>
    <w:rsid w:val="168523D3"/>
    <w:rsid w:val="16875F43"/>
    <w:rsid w:val="168B4CC3"/>
    <w:rsid w:val="1692495E"/>
    <w:rsid w:val="1697487D"/>
    <w:rsid w:val="16987629"/>
    <w:rsid w:val="169C77DB"/>
    <w:rsid w:val="16A03199"/>
    <w:rsid w:val="16A100CA"/>
    <w:rsid w:val="16A7548A"/>
    <w:rsid w:val="16AA4DAF"/>
    <w:rsid w:val="16AD1756"/>
    <w:rsid w:val="16AD5B85"/>
    <w:rsid w:val="16AE01A6"/>
    <w:rsid w:val="16B23F2C"/>
    <w:rsid w:val="16B943F6"/>
    <w:rsid w:val="16C30B15"/>
    <w:rsid w:val="16D04FC6"/>
    <w:rsid w:val="16D15FD8"/>
    <w:rsid w:val="16D33E72"/>
    <w:rsid w:val="16D7709E"/>
    <w:rsid w:val="16D91158"/>
    <w:rsid w:val="16DA7D18"/>
    <w:rsid w:val="16E97EF9"/>
    <w:rsid w:val="16F10E05"/>
    <w:rsid w:val="16F5440C"/>
    <w:rsid w:val="17006251"/>
    <w:rsid w:val="170415AA"/>
    <w:rsid w:val="170854A5"/>
    <w:rsid w:val="170B17C5"/>
    <w:rsid w:val="171038A9"/>
    <w:rsid w:val="17137909"/>
    <w:rsid w:val="171A0E17"/>
    <w:rsid w:val="171B65B0"/>
    <w:rsid w:val="171E24D6"/>
    <w:rsid w:val="171E475F"/>
    <w:rsid w:val="172E4346"/>
    <w:rsid w:val="17320A4C"/>
    <w:rsid w:val="17384267"/>
    <w:rsid w:val="173F2DB2"/>
    <w:rsid w:val="17477185"/>
    <w:rsid w:val="1748044E"/>
    <w:rsid w:val="174D23F4"/>
    <w:rsid w:val="174E325B"/>
    <w:rsid w:val="17532E5E"/>
    <w:rsid w:val="175937E0"/>
    <w:rsid w:val="176108AC"/>
    <w:rsid w:val="176A54AD"/>
    <w:rsid w:val="176F1347"/>
    <w:rsid w:val="1772317E"/>
    <w:rsid w:val="1780603B"/>
    <w:rsid w:val="1789593E"/>
    <w:rsid w:val="17900768"/>
    <w:rsid w:val="179C4DA7"/>
    <w:rsid w:val="17A245DC"/>
    <w:rsid w:val="17A61C6F"/>
    <w:rsid w:val="17B0594D"/>
    <w:rsid w:val="17B15903"/>
    <w:rsid w:val="17B27A9B"/>
    <w:rsid w:val="17B926ED"/>
    <w:rsid w:val="17BA79E2"/>
    <w:rsid w:val="17BC4772"/>
    <w:rsid w:val="17C62542"/>
    <w:rsid w:val="17D12728"/>
    <w:rsid w:val="17D24DD8"/>
    <w:rsid w:val="17D363F7"/>
    <w:rsid w:val="17E60A7A"/>
    <w:rsid w:val="17E92F1A"/>
    <w:rsid w:val="17EF54C7"/>
    <w:rsid w:val="17F07560"/>
    <w:rsid w:val="17F453F5"/>
    <w:rsid w:val="17F84D97"/>
    <w:rsid w:val="17FB38A2"/>
    <w:rsid w:val="18030739"/>
    <w:rsid w:val="18090844"/>
    <w:rsid w:val="180C0AFD"/>
    <w:rsid w:val="180E295A"/>
    <w:rsid w:val="18117B13"/>
    <w:rsid w:val="181870D4"/>
    <w:rsid w:val="182251D3"/>
    <w:rsid w:val="18244DD0"/>
    <w:rsid w:val="182E5E4C"/>
    <w:rsid w:val="1833144C"/>
    <w:rsid w:val="183E096C"/>
    <w:rsid w:val="184F2CDA"/>
    <w:rsid w:val="1853036D"/>
    <w:rsid w:val="18685DE7"/>
    <w:rsid w:val="186A2283"/>
    <w:rsid w:val="1876019B"/>
    <w:rsid w:val="187A7FA7"/>
    <w:rsid w:val="187C0DEA"/>
    <w:rsid w:val="188365CF"/>
    <w:rsid w:val="1889536A"/>
    <w:rsid w:val="18904AED"/>
    <w:rsid w:val="1890511D"/>
    <w:rsid w:val="18982224"/>
    <w:rsid w:val="189C1D14"/>
    <w:rsid w:val="189F6C54"/>
    <w:rsid w:val="18A230A3"/>
    <w:rsid w:val="18A73433"/>
    <w:rsid w:val="18A763D9"/>
    <w:rsid w:val="18AB19DB"/>
    <w:rsid w:val="18AC3C7C"/>
    <w:rsid w:val="18AD51D7"/>
    <w:rsid w:val="18AE37F5"/>
    <w:rsid w:val="18B307D7"/>
    <w:rsid w:val="18C474BD"/>
    <w:rsid w:val="18D055A7"/>
    <w:rsid w:val="18D11090"/>
    <w:rsid w:val="18D25C5F"/>
    <w:rsid w:val="18D42503"/>
    <w:rsid w:val="18D66079"/>
    <w:rsid w:val="18DB65A0"/>
    <w:rsid w:val="18E00334"/>
    <w:rsid w:val="18E03DC5"/>
    <w:rsid w:val="18E04B97"/>
    <w:rsid w:val="18E1087C"/>
    <w:rsid w:val="18E63C50"/>
    <w:rsid w:val="18EA00FB"/>
    <w:rsid w:val="18F46A0A"/>
    <w:rsid w:val="18FA3995"/>
    <w:rsid w:val="18FB18A2"/>
    <w:rsid w:val="18FB50F2"/>
    <w:rsid w:val="190A14A1"/>
    <w:rsid w:val="19161AC1"/>
    <w:rsid w:val="19234C01"/>
    <w:rsid w:val="19273717"/>
    <w:rsid w:val="19295346"/>
    <w:rsid w:val="192D0E31"/>
    <w:rsid w:val="192D6E10"/>
    <w:rsid w:val="192E2A29"/>
    <w:rsid w:val="192E7999"/>
    <w:rsid w:val="1933023C"/>
    <w:rsid w:val="19354C84"/>
    <w:rsid w:val="19584C54"/>
    <w:rsid w:val="195949B2"/>
    <w:rsid w:val="19595246"/>
    <w:rsid w:val="19677EDB"/>
    <w:rsid w:val="19681C0E"/>
    <w:rsid w:val="196E3837"/>
    <w:rsid w:val="197B3A62"/>
    <w:rsid w:val="198A612F"/>
    <w:rsid w:val="19903A06"/>
    <w:rsid w:val="19925D32"/>
    <w:rsid w:val="199E7A91"/>
    <w:rsid w:val="19CA2ECA"/>
    <w:rsid w:val="19CA5483"/>
    <w:rsid w:val="19CB2EF4"/>
    <w:rsid w:val="19D723F1"/>
    <w:rsid w:val="19D87405"/>
    <w:rsid w:val="19DF260A"/>
    <w:rsid w:val="19E055A8"/>
    <w:rsid w:val="19E0599C"/>
    <w:rsid w:val="19F11A9A"/>
    <w:rsid w:val="19FA3502"/>
    <w:rsid w:val="1A036BA3"/>
    <w:rsid w:val="1A0B43D6"/>
    <w:rsid w:val="1A241336"/>
    <w:rsid w:val="1A2A63F9"/>
    <w:rsid w:val="1A31116E"/>
    <w:rsid w:val="1A311711"/>
    <w:rsid w:val="1A3E158C"/>
    <w:rsid w:val="1A401B3F"/>
    <w:rsid w:val="1A4101E8"/>
    <w:rsid w:val="1A45702C"/>
    <w:rsid w:val="1A4E5290"/>
    <w:rsid w:val="1A4F3D41"/>
    <w:rsid w:val="1A597C15"/>
    <w:rsid w:val="1A5D3725"/>
    <w:rsid w:val="1A5E03C2"/>
    <w:rsid w:val="1A5E2B30"/>
    <w:rsid w:val="1A5F124B"/>
    <w:rsid w:val="1A5F2FF9"/>
    <w:rsid w:val="1A67697A"/>
    <w:rsid w:val="1A6B29D9"/>
    <w:rsid w:val="1A6E5D76"/>
    <w:rsid w:val="1A716BEE"/>
    <w:rsid w:val="1A7421CF"/>
    <w:rsid w:val="1A7936B8"/>
    <w:rsid w:val="1A8214B5"/>
    <w:rsid w:val="1A8A0F34"/>
    <w:rsid w:val="1A9B7359"/>
    <w:rsid w:val="1A9E0C15"/>
    <w:rsid w:val="1A9F4369"/>
    <w:rsid w:val="1AA50C28"/>
    <w:rsid w:val="1AA743DD"/>
    <w:rsid w:val="1AA96E85"/>
    <w:rsid w:val="1AAA519D"/>
    <w:rsid w:val="1AB50EE5"/>
    <w:rsid w:val="1AB6087E"/>
    <w:rsid w:val="1AB6606F"/>
    <w:rsid w:val="1AB75D2C"/>
    <w:rsid w:val="1ABC044C"/>
    <w:rsid w:val="1AC31C19"/>
    <w:rsid w:val="1AC757D1"/>
    <w:rsid w:val="1AD054F8"/>
    <w:rsid w:val="1AD4046B"/>
    <w:rsid w:val="1AE10AB9"/>
    <w:rsid w:val="1AE56801"/>
    <w:rsid w:val="1AE678CE"/>
    <w:rsid w:val="1AE946EE"/>
    <w:rsid w:val="1AEE5D74"/>
    <w:rsid w:val="1AF24BE0"/>
    <w:rsid w:val="1AF62694"/>
    <w:rsid w:val="1AFA67BD"/>
    <w:rsid w:val="1AFD7373"/>
    <w:rsid w:val="1B090710"/>
    <w:rsid w:val="1B09565B"/>
    <w:rsid w:val="1B0A5DC1"/>
    <w:rsid w:val="1B0D0F4D"/>
    <w:rsid w:val="1B0E73B3"/>
    <w:rsid w:val="1B11251A"/>
    <w:rsid w:val="1B1D3DDF"/>
    <w:rsid w:val="1B1F4E7E"/>
    <w:rsid w:val="1B2916E5"/>
    <w:rsid w:val="1B324BB2"/>
    <w:rsid w:val="1B40507B"/>
    <w:rsid w:val="1B506076"/>
    <w:rsid w:val="1B5A5883"/>
    <w:rsid w:val="1B5F7FA7"/>
    <w:rsid w:val="1B63668C"/>
    <w:rsid w:val="1B75252A"/>
    <w:rsid w:val="1B773D4F"/>
    <w:rsid w:val="1B7C14A1"/>
    <w:rsid w:val="1B821D08"/>
    <w:rsid w:val="1B862833"/>
    <w:rsid w:val="1B8F4135"/>
    <w:rsid w:val="1B8F46A0"/>
    <w:rsid w:val="1B917B2A"/>
    <w:rsid w:val="1B9533D7"/>
    <w:rsid w:val="1B96294F"/>
    <w:rsid w:val="1B970EB9"/>
    <w:rsid w:val="1BA0432B"/>
    <w:rsid w:val="1BB4366A"/>
    <w:rsid w:val="1BB77278"/>
    <w:rsid w:val="1BBA7D60"/>
    <w:rsid w:val="1BBE4EC6"/>
    <w:rsid w:val="1BC83389"/>
    <w:rsid w:val="1BD029B6"/>
    <w:rsid w:val="1BD313FD"/>
    <w:rsid w:val="1BD46CB0"/>
    <w:rsid w:val="1BD5178C"/>
    <w:rsid w:val="1BD725D3"/>
    <w:rsid w:val="1BD97A80"/>
    <w:rsid w:val="1BDB5678"/>
    <w:rsid w:val="1BE71058"/>
    <w:rsid w:val="1BE774DC"/>
    <w:rsid w:val="1BEB4C2C"/>
    <w:rsid w:val="1BEB7AB6"/>
    <w:rsid w:val="1BEF078D"/>
    <w:rsid w:val="1BF27CCF"/>
    <w:rsid w:val="1BFA3269"/>
    <w:rsid w:val="1C035F35"/>
    <w:rsid w:val="1C0434B2"/>
    <w:rsid w:val="1C056ECA"/>
    <w:rsid w:val="1C0A168B"/>
    <w:rsid w:val="1C115B48"/>
    <w:rsid w:val="1C121D74"/>
    <w:rsid w:val="1C157D90"/>
    <w:rsid w:val="1C1B43E7"/>
    <w:rsid w:val="1C1F6CF4"/>
    <w:rsid w:val="1C216234"/>
    <w:rsid w:val="1C2B7889"/>
    <w:rsid w:val="1C3B7046"/>
    <w:rsid w:val="1C3C7F27"/>
    <w:rsid w:val="1C3D13EB"/>
    <w:rsid w:val="1C4C143F"/>
    <w:rsid w:val="1C4F25DD"/>
    <w:rsid w:val="1C4F625B"/>
    <w:rsid w:val="1C617A22"/>
    <w:rsid w:val="1C65129F"/>
    <w:rsid w:val="1C6E2DCC"/>
    <w:rsid w:val="1C7437E0"/>
    <w:rsid w:val="1C7D08AC"/>
    <w:rsid w:val="1C7F13F7"/>
    <w:rsid w:val="1C803DBA"/>
    <w:rsid w:val="1C843076"/>
    <w:rsid w:val="1C86373D"/>
    <w:rsid w:val="1C8B02A0"/>
    <w:rsid w:val="1C8B27CB"/>
    <w:rsid w:val="1C8F2CAC"/>
    <w:rsid w:val="1C945E62"/>
    <w:rsid w:val="1C95113D"/>
    <w:rsid w:val="1C9B54DF"/>
    <w:rsid w:val="1CA4563B"/>
    <w:rsid w:val="1CA76EDA"/>
    <w:rsid w:val="1CA90EA4"/>
    <w:rsid w:val="1CAB6E93"/>
    <w:rsid w:val="1CAD5185"/>
    <w:rsid w:val="1CB17D58"/>
    <w:rsid w:val="1CB75B94"/>
    <w:rsid w:val="1CB772D9"/>
    <w:rsid w:val="1CBB5035"/>
    <w:rsid w:val="1CBE5564"/>
    <w:rsid w:val="1CC0422B"/>
    <w:rsid w:val="1CC45FA0"/>
    <w:rsid w:val="1CCA246C"/>
    <w:rsid w:val="1CCC703D"/>
    <w:rsid w:val="1CCE26B8"/>
    <w:rsid w:val="1CD06430"/>
    <w:rsid w:val="1CD63CAB"/>
    <w:rsid w:val="1CD840AA"/>
    <w:rsid w:val="1CE20E79"/>
    <w:rsid w:val="1CE343B6"/>
    <w:rsid w:val="1CE45EBD"/>
    <w:rsid w:val="1CE767B2"/>
    <w:rsid w:val="1CF10230"/>
    <w:rsid w:val="1CFA1714"/>
    <w:rsid w:val="1CFC7D16"/>
    <w:rsid w:val="1D040938"/>
    <w:rsid w:val="1D063C00"/>
    <w:rsid w:val="1D065F12"/>
    <w:rsid w:val="1D0E580F"/>
    <w:rsid w:val="1D0F4A6C"/>
    <w:rsid w:val="1D0F54EA"/>
    <w:rsid w:val="1D131783"/>
    <w:rsid w:val="1D13631D"/>
    <w:rsid w:val="1D1518E9"/>
    <w:rsid w:val="1D16215F"/>
    <w:rsid w:val="1D1F4CC2"/>
    <w:rsid w:val="1D201BEC"/>
    <w:rsid w:val="1D2623C9"/>
    <w:rsid w:val="1D28774B"/>
    <w:rsid w:val="1D2A5313"/>
    <w:rsid w:val="1D405181"/>
    <w:rsid w:val="1D504FA4"/>
    <w:rsid w:val="1D5507B0"/>
    <w:rsid w:val="1D57170B"/>
    <w:rsid w:val="1D5C1E36"/>
    <w:rsid w:val="1D5E0613"/>
    <w:rsid w:val="1D707689"/>
    <w:rsid w:val="1D8448B6"/>
    <w:rsid w:val="1D846372"/>
    <w:rsid w:val="1D975171"/>
    <w:rsid w:val="1D9A77F3"/>
    <w:rsid w:val="1D9D356A"/>
    <w:rsid w:val="1D9E440E"/>
    <w:rsid w:val="1DA26897"/>
    <w:rsid w:val="1DA82423"/>
    <w:rsid w:val="1DAC3AA0"/>
    <w:rsid w:val="1DAF24EA"/>
    <w:rsid w:val="1DB37CFA"/>
    <w:rsid w:val="1DBD5182"/>
    <w:rsid w:val="1DC82412"/>
    <w:rsid w:val="1DCA625A"/>
    <w:rsid w:val="1DCB4B1B"/>
    <w:rsid w:val="1DE1781B"/>
    <w:rsid w:val="1DEA0685"/>
    <w:rsid w:val="1DEC327A"/>
    <w:rsid w:val="1DEF076F"/>
    <w:rsid w:val="1DF92447"/>
    <w:rsid w:val="1E036FCE"/>
    <w:rsid w:val="1E0C2701"/>
    <w:rsid w:val="1E0E6AFA"/>
    <w:rsid w:val="1E0F7022"/>
    <w:rsid w:val="1E193E07"/>
    <w:rsid w:val="1E1C02AE"/>
    <w:rsid w:val="1E1C3098"/>
    <w:rsid w:val="1E1D398A"/>
    <w:rsid w:val="1E314DE2"/>
    <w:rsid w:val="1E322872"/>
    <w:rsid w:val="1E37321D"/>
    <w:rsid w:val="1E3A3838"/>
    <w:rsid w:val="1E3B28E3"/>
    <w:rsid w:val="1E3D2069"/>
    <w:rsid w:val="1E4104FD"/>
    <w:rsid w:val="1E412748"/>
    <w:rsid w:val="1E4163FC"/>
    <w:rsid w:val="1E4241EF"/>
    <w:rsid w:val="1E4419FE"/>
    <w:rsid w:val="1E4523D8"/>
    <w:rsid w:val="1E4E1A57"/>
    <w:rsid w:val="1E4E34C7"/>
    <w:rsid w:val="1E4E4A3D"/>
    <w:rsid w:val="1E581686"/>
    <w:rsid w:val="1E5B4AA6"/>
    <w:rsid w:val="1E5B7F7C"/>
    <w:rsid w:val="1E6500BF"/>
    <w:rsid w:val="1E690A57"/>
    <w:rsid w:val="1E6B5617"/>
    <w:rsid w:val="1E6E0489"/>
    <w:rsid w:val="1E6F7DA5"/>
    <w:rsid w:val="1E716C11"/>
    <w:rsid w:val="1E74426A"/>
    <w:rsid w:val="1E82066D"/>
    <w:rsid w:val="1E850848"/>
    <w:rsid w:val="1E943E4C"/>
    <w:rsid w:val="1E987366"/>
    <w:rsid w:val="1EB3600A"/>
    <w:rsid w:val="1EB82435"/>
    <w:rsid w:val="1EBA2573"/>
    <w:rsid w:val="1EBE453C"/>
    <w:rsid w:val="1EC25CD2"/>
    <w:rsid w:val="1EC27FFB"/>
    <w:rsid w:val="1ECA4FED"/>
    <w:rsid w:val="1ED36602"/>
    <w:rsid w:val="1ED3667D"/>
    <w:rsid w:val="1ED460BE"/>
    <w:rsid w:val="1ED918F0"/>
    <w:rsid w:val="1EDF6C2C"/>
    <w:rsid w:val="1EE06C8F"/>
    <w:rsid w:val="1EEB5D4D"/>
    <w:rsid w:val="1EED77D2"/>
    <w:rsid w:val="1EF24653"/>
    <w:rsid w:val="1EF24C05"/>
    <w:rsid w:val="1EF97345"/>
    <w:rsid w:val="1EFA6C70"/>
    <w:rsid w:val="1F0C0694"/>
    <w:rsid w:val="1F0E1E46"/>
    <w:rsid w:val="1F147ED5"/>
    <w:rsid w:val="1F181798"/>
    <w:rsid w:val="1F194C3F"/>
    <w:rsid w:val="1F1D0099"/>
    <w:rsid w:val="1F1D6F2E"/>
    <w:rsid w:val="1F233E4E"/>
    <w:rsid w:val="1F247CB0"/>
    <w:rsid w:val="1F284C6B"/>
    <w:rsid w:val="1F2A6433"/>
    <w:rsid w:val="1F3472CB"/>
    <w:rsid w:val="1F3B0C11"/>
    <w:rsid w:val="1F3F7B73"/>
    <w:rsid w:val="1F44301F"/>
    <w:rsid w:val="1F467EB2"/>
    <w:rsid w:val="1F4B15BC"/>
    <w:rsid w:val="1F4E6D6B"/>
    <w:rsid w:val="1F506314"/>
    <w:rsid w:val="1F5533D5"/>
    <w:rsid w:val="1F5737FD"/>
    <w:rsid w:val="1F5B0028"/>
    <w:rsid w:val="1F7B40B6"/>
    <w:rsid w:val="1F7E2174"/>
    <w:rsid w:val="1F8049DF"/>
    <w:rsid w:val="1F8A6CC2"/>
    <w:rsid w:val="1F903753"/>
    <w:rsid w:val="1F941997"/>
    <w:rsid w:val="1F9610B3"/>
    <w:rsid w:val="1F9772EB"/>
    <w:rsid w:val="1F9B1D74"/>
    <w:rsid w:val="1F9E2816"/>
    <w:rsid w:val="1FA03796"/>
    <w:rsid w:val="1FA318D5"/>
    <w:rsid w:val="1FA7646C"/>
    <w:rsid w:val="1FB13D6B"/>
    <w:rsid w:val="1FB47A2F"/>
    <w:rsid w:val="1FB7103A"/>
    <w:rsid w:val="1FBA2CF7"/>
    <w:rsid w:val="1FE52321"/>
    <w:rsid w:val="1FE70D17"/>
    <w:rsid w:val="1FE927A6"/>
    <w:rsid w:val="1FEA15B7"/>
    <w:rsid w:val="1FF5147F"/>
    <w:rsid w:val="20014E73"/>
    <w:rsid w:val="20036D5E"/>
    <w:rsid w:val="20076AE7"/>
    <w:rsid w:val="20096000"/>
    <w:rsid w:val="20197940"/>
    <w:rsid w:val="203678B1"/>
    <w:rsid w:val="20410870"/>
    <w:rsid w:val="20476A09"/>
    <w:rsid w:val="204B16C3"/>
    <w:rsid w:val="204D5FEA"/>
    <w:rsid w:val="20592BE1"/>
    <w:rsid w:val="20677BEA"/>
    <w:rsid w:val="206C2809"/>
    <w:rsid w:val="206E7D70"/>
    <w:rsid w:val="206F43D6"/>
    <w:rsid w:val="20791826"/>
    <w:rsid w:val="207C324D"/>
    <w:rsid w:val="207E424C"/>
    <w:rsid w:val="207F53D7"/>
    <w:rsid w:val="208023C9"/>
    <w:rsid w:val="208828C6"/>
    <w:rsid w:val="20945EC6"/>
    <w:rsid w:val="209C39D5"/>
    <w:rsid w:val="20A91472"/>
    <w:rsid w:val="20A929C8"/>
    <w:rsid w:val="20B10327"/>
    <w:rsid w:val="20B36E9E"/>
    <w:rsid w:val="20B53B26"/>
    <w:rsid w:val="20BA367F"/>
    <w:rsid w:val="20C841BD"/>
    <w:rsid w:val="20D03CA3"/>
    <w:rsid w:val="20D04190"/>
    <w:rsid w:val="20D2281D"/>
    <w:rsid w:val="20D95B86"/>
    <w:rsid w:val="20EB0D84"/>
    <w:rsid w:val="20ED6CE8"/>
    <w:rsid w:val="20F30FEF"/>
    <w:rsid w:val="20FA3A7C"/>
    <w:rsid w:val="20FE3FDE"/>
    <w:rsid w:val="210532AF"/>
    <w:rsid w:val="21083C57"/>
    <w:rsid w:val="21126B23"/>
    <w:rsid w:val="21170FBB"/>
    <w:rsid w:val="21192317"/>
    <w:rsid w:val="212D740B"/>
    <w:rsid w:val="21321A13"/>
    <w:rsid w:val="2133604F"/>
    <w:rsid w:val="21345016"/>
    <w:rsid w:val="2136082C"/>
    <w:rsid w:val="21390795"/>
    <w:rsid w:val="214404C9"/>
    <w:rsid w:val="21450107"/>
    <w:rsid w:val="2147236C"/>
    <w:rsid w:val="21490C41"/>
    <w:rsid w:val="214E496B"/>
    <w:rsid w:val="21552CB5"/>
    <w:rsid w:val="215C3726"/>
    <w:rsid w:val="215C78D1"/>
    <w:rsid w:val="216C31AA"/>
    <w:rsid w:val="216E7132"/>
    <w:rsid w:val="21717AB6"/>
    <w:rsid w:val="21747CD2"/>
    <w:rsid w:val="217A3AD7"/>
    <w:rsid w:val="21813113"/>
    <w:rsid w:val="21837F15"/>
    <w:rsid w:val="218615EC"/>
    <w:rsid w:val="21871088"/>
    <w:rsid w:val="21883C8D"/>
    <w:rsid w:val="218B7B38"/>
    <w:rsid w:val="218C2F9C"/>
    <w:rsid w:val="219A43F9"/>
    <w:rsid w:val="21A47E8B"/>
    <w:rsid w:val="21A56AF5"/>
    <w:rsid w:val="21B86CA6"/>
    <w:rsid w:val="21B87493"/>
    <w:rsid w:val="21C71244"/>
    <w:rsid w:val="21D74795"/>
    <w:rsid w:val="21E13C58"/>
    <w:rsid w:val="21E5308A"/>
    <w:rsid w:val="21E761D0"/>
    <w:rsid w:val="21F030D1"/>
    <w:rsid w:val="22001C9F"/>
    <w:rsid w:val="220138FF"/>
    <w:rsid w:val="22020F9C"/>
    <w:rsid w:val="22031056"/>
    <w:rsid w:val="22033DA0"/>
    <w:rsid w:val="220F5C44"/>
    <w:rsid w:val="22153CEF"/>
    <w:rsid w:val="221C2118"/>
    <w:rsid w:val="222B0537"/>
    <w:rsid w:val="22311C10"/>
    <w:rsid w:val="22342FBD"/>
    <w:rsid w:val="22394A78"/>
    <w:rsid w:val="22422982"/>
    <w:rsid w:val="224607EA"/>
    <w:rsid w:val="22480700"/>
    <w:rsid w:val="224A108D"/>
    <w:rsid w:val="224A76E8"/>
    <w:rsid w:val="224C3665"/>
    <w:rsid w:val="224E530E"/>
    <w:rsid w:val="226442A5"/>
    <w:rsid w:val="227118C4"/>
    <w:rsid w:val="227A2634"/>
    <w:rsid w:val="22857CBD"/>
    <w:rsid w:val="228D2F50"/>
    <w:rsid w:val="2294211F"/>
    <w:rsid w:val="22993768"/>
    <w:rsid w:val="229A7EDD"/>
    <w:rsid w:val="229C3196"/>
    <w:rsid w:val="22A0444E"/>
    <w:rsid w:val="22A719E1"/>
    <w:rsid w:val="22AE0860"/>
    <w:rsid w:val="22BC0F4A"/>
    <w:rsid w:val="22C04851"/>
    <w:rsid w:val="22C14C18"/>
    <w:rsid w:val="22C2698E"/>
    <w:rsid w:val="22C348E5"/>
    <w:rsid w:val="22CD43A7"/>
    <w:rsid w:val="22CF2FA9"/>
    <w:rsid w:val="22D32D50"/>
    <w:rsid w:val="22D410CC"/>
    <w:rsid w:val="22E267F9"/>
    <w:rsid w:val="22E448F2"/>
    <w:rsid w:val="22EB7249"/>
    <w:rsid w:val="22F62179"/>
    <w:rsid w:val="22F9367A"/>
    <w:rsid w:val="230A382B"/>
    <w:rsid w:val="230B35F5"/>
    <w:rsid w:val="230B6414"/>
    <w:rsid w:val="230D3B9D"/>
    <w:rsid w:val="230D7DB3"/>
    <w:rsid w:val="23163498"/>
    <w:rsid w:val="231B3181"/>
    <w:rsid w:val="231B7AAA"/>
    <w:rsid w:val="232240F6"/>
    <w:rsid w:val="23381379"/>
    <w:rsid w:val="233829F3"/>
    <w:rsid w:val="23390503"/>
    <w:rsid w:val="233B27C1"/>
    <w:rsid w:val="234C3802"/>
    <w:rsid w:val="23505039"/>
    <w:rsid w:val="23594655"/>
    <w:rsid w:val="235F5429"/>
    <w:rsid w:val="23632BB8"/>
    <w:rsid w:val="23640FB0"/>
    <w:rsid w:val="23642049"/>
    <w:rsid w:val="2368268D"/>
    <w:rsid w:val="2371139D"/>
    <w:rsid w:val="237815D0"/>
    <w:rsid w:val="2378262C"/>
    <w:rsid w:val="23784833"/>
    <w:rsid w:val="23797F46"/>
    <w:rsid w:val="23836902"/>
    <w:rsid w:val="23872CE5"/>
    <w:rsid w:val="238C3EED"/>
    <w:rsid w:val="238C7F59"/>
    <w:rsid w:val="23932D62"/>
    <w:rsid w:val="23995E62"/>
    <w:rsid w:val="239E5DAB"/>
    <w:rsid w:val="239E7319"/>
    <w:rsid w:val="23A04AAE"/>
    <w:rsid w:val="23A16A0F"/>
    <w:rsid w:val="23B52D71"/>
    <w:rsid w:val="23BF14A7"/>
    <w:rsid w:val="23BF2D5B"/>
    <w:rsid w:val="23C24044"/>
    <w:rsid w:val="23CB16FF"/>
    <w:rsid w:val="23CD3C1F"/>
    <w:rsid w:val="23D06E28"/>
    <w:rsid w:val="23D108F4"/>
    <w:rsid w:val="23D2373C"/>
    <w:rsid w:val="23D30F57"/>
    <w:rsid w:val="23D427EC"/>
    <w:rsid w:val="23D52455"/>
    <w:rsid w:val="23DA5DE6"/>
    <w:rsid w:val="23E30FB9"/>
    <w:rsid w:val="23E55BB7"/>
    <w:rsid w:val="23E822B1"/>
    <w:rsid w:val="23E86947"/>
    <w:rsid w:val="23EB0E0A"/>
    <w:rsid w:val="23F93412"/>
    <w:rsid w:val="24003E36"/>
    <w:rsid w:val="2400556A"/>
    <w:rsid w:val="24025F67"/>
    <w:rsid w:val="24026973"/>
    <w:rsid w:val="24030E99"/>
    <w:rsid w:val="24082FFD"/>
    <w:rsid w:val="241035B6"/>
    <w:rsid w:val="241729C7"/>
    <w:rsid w:val="241B7F5E"/>
    <w:rsid w:val="242C4A12"/>
    <w:rsid w:val="243472A5"/>
    <w:rsid w:val="24360D1A"/>
    <w:rsid w:val="243E2796"/>
    <w:rsid w:val="243F33CD"/>
    <w:rsid w:val="24473F3B"/>
    <w:rsid w:val="24521E21"/>
    <w:rsid w:val="24540554"/>
    <w:rsid w:val="245A2573"/>
    <w:rsid w:val="245B5BB1"/>
    <w:rsid w:val="245C6C30"/>
    <w:rsid w:val="24626C85"/>
    <w:rsid w:val="246365BB"/>
    <w:rsid w:val="24661BF0"/>
    <w:rsid w:val="24691C87"/>
    <w:rsid w:val="246B71DD"/>
    <w:rsid w:val="24742544"/>
    <w:rsid w:val="24804C37"/>
    <w:rsid w:val="248165DC"/>
    <w:rsid w:val="2482483F"/>
    <w:rsid w:val="24965BCE"/>
    <w:rsid w:val="249D0F40"/>
    <w:rsid w:val="249E6E14"/>
    <w:rsid w:val="24A20325"/>
    <w:rsid w:val="24AE0576"/>
    <w:rsid w:val="24B842AD"/>
    <w:rsid w:val="24BC5873"/>
    <w:rsid w:val="24BD6B45"/>
    <w:rsid w:val="24C244BA"/>
    <w:rsid w:val="24C51397"/>
    <w:rsid w:val="24CC50D0"/>
    <w:rsid w:val="24CD4D69"/>
    <w:rsid w:val="24D807F5"/>
    <w:rsid w:val="24DB4FFF"/>
    <w:rsid w:val="24EB5AB1"/>
    <w:rsid w:val="24EE491C"/>
    <w:rsid w:val="24F363FF"/>
    <w:rsid w:val="24F87B69"/>
    <w:rsid w:val="24FC4ED2"/>
    <w:rsid w:val="25022566"/>
    <w:rsid w:val="25023CB2"/>
    <w:rsid w:val="250A6D88"/>
    <w:rsid w:val="251A293E"/>
    <w:rsid w:val="251A608E"/>
    <w:rsid w:val="251D24AE"/>
    <w:rsid w:val="252129F0"/>
    <w:rsid w:val="25223DB4"/>
    <w:rsid w:val="2524462C"/>
    <w:rsid w:val="25244912"/>
    <w:rsid w:val="252657F0"/>
    <w:rsid w:val="252C75B8"/>
    <w:rsid w:val="253359F2"/>
    <w:rsid w:val="25384E31"/>
    <w:rsid w:val="253F67E1"/>
    <w:rsid w:val="254B4B18"/>
    <w:rsid w:val="254C6617"/>
    <w:rsid w:val="25514417"/>
    <w:rsid w:val="25567657"/>
    <w:rsid w:val="255D0D14"/>
    <w:rsid w:val="25622A5F"/>
    <w:rsid w:val="2572244F"/>
    <w:rsid w:val="257738AF"/>
    <w:rsid w:val="257E35F2"/>
    <w:rsid w:val="257F4A05"/>
    <w:rsid w:val="258C6661"/>
    <w:rsid w:val="259721E1"/>
    <w:rsid w:val="259E71CD"/>
    <w:rsid w:val="25A662D7"/>
    <w:rsid w:val="25A86E75"/>
    <w:rsid w:val="25AE2938"/>
    <w:rsid w:val="25B31D75"/>
    <w:rsid w:val="25B62DE4"/>
    <w:rsid w:val="25BB0385"/>
    <w:rsid w:val="25BC2871"/>
    <w:rsid w:val="25CA0921"/>
    <w:rsid w:val="25CB0C18"/>
    <w:rsid w:val="25D13AEB"/>
    <w:rsid w:val="25D32EA1"/>
    <w:rsid w:val="25E2769B"/>
    <w:rsid w:val="25EB34F5"/>
    <w:rsid w:val="260439C2"/>
    <w:rsid w:val="261D13BC"/>
    <w:rsid w:val="26246463"/>
    <w:rsid w:val="262B6CE7"/>
    <w:rsid w:val="26342F3D"/>
    <w:rsid w:val="26355224"/>
    <w:rsid w:val="26432D0A"/>
    <w:rsid w:val="26455B3C"/>
    <w:rsid w:val="26481395"/>
    <w:rsid w:val="26491D5B"/>
    <w:rsid w:val="26502390"/>
    <w:rsid w:val="26564D95"/>
    <w:rsid w:val="26635755"/>
    <w:rsid w:val="2663733B"/>
    <w:rsid w:val="26663282"/>
    <w:rsid w:val="266C407E"/>
    <w:rsid w:val="266D5DB7"/>
    <w:rsid w:val="266F1818"/>
    <w:rsid w:val="26765306"/>
    <w:rsid w:val="26776AED"/>
    <w:rsid w:val="26784417"/>
    <w:rsid w:val="26831E62"/>
    <w:rsid w:val="268732F1"/>
    <w:rsid w:val="26873A39"/>
    <w:rsid w:val="26886FB3"/>
    <w:rsid w:val="268C4B6E"/>
    <w:rsid w:val="268D5392"/>
    <w:rsid w:val="268F769A"/>
    <w:rsid w:val="26907D50"/>
    <w:rsid w:val="269C2A2E"/>
    <w:rsid w:val="269F0E4A"/>
    <w:rsid w:val="26A76454"/>
    <w:rsid w:val="26A96406"/>
    <w:rsid w:val="26AE3074"/>
    <w:rsid w:val="26B038E9"/>
    <w:rsid w:val="26C2328E"/>
    <w:rsid w:val="26C568DA"/>
    <w:rsid w:val="26C61FE4"/>
    <w:rsid w:val="26C708A4"/>
    <w:rsid w:val="26CA7121"/>
    <w:rsid w:val="26D0702D"/>
    <w:rsid w:val="26D54139"/>
    <w:rsid w:val="26DE480D"/>
    <w:rsid w:val="26E42734"/>
    <w:rsid w:val="26E44D57"/>
    <w:rsid w:val="26E524AA"/>
    <w:rsid w:val="26EE1993"/>
    <w:rsid w:val="26EE3EA9"/>
    <w:rsid w:val="26F55BF7"/>
    <w:rsid w:val="27016CF5"/>
    <w:rsid w:val="27020328"/>
    <w:rsid w:val="270255B9"/>
    <w:rsid w:val="270D202F"/>
    <w:rsid w:val="270D2469"/>
    <w:rsid w:val="27147861"/>
    <w:rsid w:val="271725DF"/>
    <w:rsid w:val="271B7370"/>
    <w:rsid w:val="271C25AF"/>
    <w:rsid w:val="271D191F"/>
    <w:rsid w:val="272969A2"/>
    <w:rsid w:val="27316337"/>
    <w:rsid w:val="27494C9F"/>
    <w:rsid w:val="274A3283"/>
    <w:rsid w:val="274A6DDF"/>
    <w:rsid w:val="27521FCE"/>
    <w:rsid w:val="2756711B"/>
    <w:rsid w:val="27571033"/>
    <w:rsid w:val="275C3ED9"/>
    <w:rsid w:val="275C7EA9"/>
    <w:rsid w:val="275D10E9"/>
    <w:rsid w:val="27602319"/>
    <w:rsid w:val="27627383"/>
    <w:rsid w:val="276655F9"/>
    <w:rsid w:val="2770196E"/>
    <w:rsid w:val="2774770C"/>
    <w:rsid w:val="277664C2"/>
    <w:rsid w:val="277E6196"/>
    <w:rsid w:val="278F67EF"/>
    <w:rsid w:val="27902370"/>
    <w:rsid w:val="279132F5"/>
    <w:rsid w:val="279273E5"/>
    <w:rsid w:val="279957D8"/>
    <w:rsid w:val="279A5F86"/>
    <w:rsid w:val="279C5A38"/>
    <w:rsid w:val="27A512B4"/>
    <w:rsid w:val="27AC3F4C"/>
    <w:rsid w:val="27B11BCE"/>
    <w:rsid w:val="27B22C99"/>
    <w:rsid w:val="27B37CFF"/>
    <w:rsid w:val="27B7060C"/>
    <w:rsid w:val="27C75290"/>
    <w:rsid w:val="27C83884"/>
    <w:rsid w:val="27D35027"/>
    <w:rsid w:val="27D75754"/>
    <w:rsid w:val="27DD44BD"/>
    <w:rsid w:val="27DE44F3"/>
    <w:rsid w:val="27E00E49"/>
    <w:rsid w:val="27E025E3"/>
    <w:rsid w:val="27E31C81"/>
    <w:rsid w:val="27E6498C"/>
    <w:rsid w:val="27E87EB2"/>
    <w:rsid w:val="27F843F9"/>
    <w:rsid w:val="27FC037A"/>
    <w:rsid w:val="27FC77A0"/>
    <w:rsid w:val="27FF406E"/>
    <w:rsid w:val="280011EB"/>
    <w:rsid w:val="28037FA1"/>
    <w:rsid w:val="28077C52"/>
    <w:rsid w:val="280A77E0"/>
    <w:rsid w:val="28165B2E"/>
    <w:rsid w:val="281E15DD"/>
    <w:rsid w:val="28232CBE"/>
    <w:rsid w:val="28273885"/>
    <w:rsid w:val="2832361F"/>
    <w:rsid w:val="283915C3"/>
    <w:rsid w:val="283D65AE"/>
    <w:rsid w:val="28457D0E"/>
    <w:rsid w:val="2847022F"/>
    <w:rsid w:val="284C53A3"/>
    <w:rsid w:val="28537D18"/>
    <w:rsid w:val="285904B0"/>
    <w:rsid w:val="28633F56"/>
    <w:rsid w:val="28695301"/>
    <w:rsid w:val="286C5825"/>
    <w:rsid w:val="28754330"/>
    <w:rsid w:val="28800D94"/>
    <w:rsid w:val="2884790D"/>
    <w:rsid w:val="288527C5"/>
    <w:rsid w:val="288904C9"/>
    <w:rsid w:val="28974527"/>
    <w:rsid w:val="28983C59"/>
    <w:rsid w:val="289B7222"/>
    <w:rsid w:val="28A048D2"/>
    <w:rsid w:val="28A33108"/>
    <w:rsid w:val="28A42A77"/>
    <w:rsid w:val="28A51801"/>
    <w:rsid w:val="28AA34FB"/>
    <w:rsid w:val="28B317AE"/>
    <w:rsid w:val="28B7401B"/>
    <w:rsid w:val="28B9156D"/>
    <w:rsid w:val="28BA1D43"/>
    <w:rsid w:val="28BA5168"/>
    <w:rsid w:val="28BB4BB3"/>
    <w:rsid w:val="28BD68E5"/>
    <w:rsid w:val="28C52C6B"/>
    <w:rsid w:val="28C6693F"/>
    <w:rsid w:val="28C72AD9"/>
    <w:rsid w:val="28C85178"/>
    <w:rsid w:val="28DC6197"/>
    <w:rsid w:val="28EA087A"/>
    <w:rsid w:val="28EC3187"/>
    <w:rsid w:val="28F20CD2"/>
    <w:rsid w:val="28F32944"/>
    <w:rsid w:val="28FD1EEC"/>
    <w:rsid w:val="28FD64D7"/>
    <w:rsid w:val="290A5C6F"/>
    <w:rsid w:val="290D35E1"/>
    <w:rsid w:val="29121205"/>
    <w:rsid w:val="29153DEE"/>
    <w:rsid w:val="29211DC2"/>
    <w:rsid w:val="292909F1"/>
    <w:rsid w:val="292B3B12"/>
    <w:rsid w:val="293107D2"/>
    <w:rsid w:val="29342395"/>
    <w:rsid w:val="293D4E4D"/>
    <w:rsid w:val="29423EF2"/>
    <w:rsid w:val="29437D99"/>
    <w:rsid w:val="29464ACE"/>
    <w:rsid w:val="29491CED"/>
    <w:rsid w:val="294D2BB7"/>
    <w:rsid w:val="29543CD6"/>
    <w:rsid w:val="29587DFA"/>
    <w:rsid w:val="29592BB1"/>
    <w:rsid w:val="295E36CF"/>
    <w:rsid w:val="296177A4"/>
    <w:rsid w:val="2965703F"/>
    <w:rsid w:val="296A3063"/>
    <w:rsid w:val="296D56EA"/>
    <w:rsid w:val="296E3DDF"/>
    <w:rsid w:val="29703302"/>
    <w:rsid w:val="297154B3"/>
    <w:rsid w:val="29763734"/>
    <w:rsid w:val="297A56A8"/>
    <w:rsid w:val="298C5D80"/>
    <w:rsid w:val="2990451B"/>
    <w:rsid w:val="29910CF5"/>
    <w:rsid w:val="29A205DE"/>
    <w:rsid w:val="29AA5B4C"/>
    <w:rsid w:val="29AE6870"/>
    <w:rsid w:val="29B26810"/>
    <w:rsid w:val="29B570DA"/>
    <w:rsid w:val="29BA5809"/>
    <w:rsid w:val="29BB5D72"/>
    <w:rsid w:val="29BC791C"/>
    <w:rsid w:val="29C25353"/>
    <w:rsid w:val="29C5403A"/>
    <w:rsid w:val="29C64E2E"/>
    <w:rsid w:val="29CC5C28"/>
    <w:rsid w:val="29D00231"/>
    <w:rsid w:val="29D1351A"/>
    <w:rsid w:val="29D22306"/>
    <w:rsid w:val="29D23DD9"/>
    <w:rsid w:val="29D73B83"/>
    <w:rsid w:val="29EA7835"/>
    <w:rsid w:val="29EE6E5C"/>
    <w:rsid w:val="29F642BA"/>
    <w:rsid w:val="29F925DD"/>
    <w:rsid w:val="29F950BF"/>
    <w:rsid w:val="29FF2DE0"/>
    <w:rsid w:val="2A025CA4"/>
    <w:rsid w:val="2A120A71"/>
    <w:rsid w:val="2A131E21"/>
    <w:rsid w:val="2A17684F"/>
    <w:rsid w:val="2A192D9F"/>
    <w:rsid w:val="2A1A0CA3"/>
    <w:rsid w:val="2A1D315E"/>
    <w:rsid w:val="2A1E360D"/>
    <w:rsid w:val="2A1F7557"/>
    <w:rsid w:val="2A241B69"/>
    <w:rsid w:val="2A272C3F"/>
    <w:rsid w:val="2A2B739C"/>
    <w:rsid w:val="2A3215FA"/>
    <w:rsid w:val="2A3427D0"/>
    <w:rsid w:val="2A3D1040"/>
    <w:rsid w:val="2A3D200C"/>
    <w:rsid w:val="2A407BE7"/>
    <w:rsid w:val="2A462E4E"/>
    <w:rsid w:val="2A4717DC"/>
    <w:rsid w:val="2A4A1A01"/>
    <w:rsid w:val="2A50295E"/>
    <w:rsid w:val="2A5B1EFD"/>
    <w:rsid w:val="2A5C7555"/>
    <w:rsid w:val="2A612DBE"/>
    <w:rsid w:val="2A67008A"/>
    <w:rsid w:val="2A6A463C"/>
    <w:rsid w:val="2A6B4CF3"/>
    <w:rsid w:val="2A7409D2"/>
    <w:rsid w:val="2A742098"/>
    <w:rsid w:val="2A7F4D44"/>
    <w:rsid w:val="2A7F65E1"/>
    <w:rsid w:val="2A830F13"/>
    <w:rsid w:val="2A83282A"/>
    <w:rsid w:val="2A8329FA"/>
    <w:rsid w:val="2A846B58"/>
    <w:rsid w:val="2A8A6BFC"/>
    <w:rsid w:val="2A8B7A34"/>
    <w:rsid w:val="2A94182E"/>
    <w:rsid w:val="2A9635DD"/>
    <w:rsid w:val="2A967FBC"/>
    <w:rsid w:val="2A97776F"/>
    <w:rsid w:val="2A996835"/>
    <w:rsid w:val="2A9C0585"/>
    <w:rsid w:val="2A9C66BF"/>
    <w:rsid w:val="2A9C76F4"/>
    <w:rsid w:val="2AA5589B"/>
    <w:rsid w:val="2AA7296D"/>
    <w:rsid w:val="2AC22ABA"/>
    <w:rsid w:val="2AD01CF1"/>
    <w:rsid w:val="2AD20567"/>
    <w:rsid w:val="2AD40439"/>
    <w:rsid w:val="2AD405B4"/>
    <w:rsid w:val="2AD636E3"/>
    <w:rsid w:val="2AD72C13"/>
    <w:rsid w:val="2AD90BA6"/>
    <w:rsid w:val="2ADC41F2"/>
    <w:rsid w:val="2ADE501D"/>
    <w:rsid w:val="2AE046A9"/>
    <w:rsid w:val="2AE5634E"/>
    <w:rsid w:val="2AE9690F"/>
    <w:rsid w:val="2AEE3472"/>
    <w:rsid w:val="2AF03F94"/>
    <w:rsid w:val="2AF1578A"/>
    <w:rsid w:val="2AF43EF4"/>
    <w:rsid w:val="2AF54800"/>
    <w:rsid w:val="2B083D0D"/>
    <w:rsid w:val="2B124AAA"/>
    <w:rsid w:val="2B217AF7"/>
    <w:rsid w:val="2B237F61"/>
    <w:rsid w:val="2B256729"/>
    <w:rsid w:val="2B2C7381"/>
    <w:rsid w:val="2B304B98"/>
    <w:rsid w:val="2B356B66"/>
    <w:rsid w:val="2B41674B"/>
    <w:rsid w:val="2B430715"/>
    <w:rsid w:val="2B4749DA"/>
    <w:rsid w:val="2B485E04"/>
    <w:rsid w:val="2B4A732D"/>
    <w:rsid w:val="2B4F7637"/>
    <w:rsid w:val="2B604AAA"/>
    <w:rsid w:val="2B614186"/>
    <w:rsid w:val="2B6233E8"/>
    <w:rsid w:val="2B667F60"/>
    <w:rsid w:val="2B7645A4"/>
    <w:rsid w:val="2B78024E"/>
    <w:rsid w:val="2B7B1C5D"/>
    <w:rsid w:val="2B80401C"/>
    <w:rsid w:val="2B82123D"/>
    <w:rsid w:val="2B823A00"/>
    <w:rsid w:val="2B9569B0"/>
    <w:rsid w:val="2B960845"/>
    <w:rsid w:val="2B9C6A40"/>
    <w:rsid w:val="2B9D0D74"/>
    <w:rsid w:val="2BA2070E"/>
    <w:rsid w:val="2BAA5FAA"/>
    <w:rsid w:val="2BB86AF1"/>
    <w:rsid w:val="2BBD1B76"/>
    <w:rsid w:val="2BC0427F"/>
    <w:rsid w:val="2BC127E4"/>
    <w:rsid w:val="2BC52E78"/>
    <w:rsid w:val="2BC94187"/>
    <w:rsid w:val="2BCD636C"/>
    <w:rsid w:val="2BD01B21"/>
    <w:rsid w:val="2BD3451A"/>
    <w:rsid w:val="2BDA1365"/>
    <w:rsid w:val="2BDC196B"/>
    <w:rsid w:val="2BE27C9A"/>
    <w:rsid w:val="2BE934F0"/>
    <w:rsid w:val="2BE95597"/>
    <w:rsid w:val="2BEA77B5"/>
    <w:rsid w:val="2BEC4909"/>
    <w:rsid w:val="2BEC6A86"/>
    <w:rsid w:val="2BFB4B4C"/>
    <w:rsid w:val="2BFB7E49"/>
    <w:rsid w:val="2C011E18"/>
    <w:rsid w:val="2C030F60"/>
    <w:rsid w:val="2C075127"/>
    <w:rsid w:val="2C082A04"/>
    <w:rsid w:val="2C0B3D13"/>
    <w:rsid w:val="2C1048F5"/>
    <w:rsid w:val="2C1051E7"/>
    <w:rsid w:val="2C136339"/>
    <w:rsid w:val="2C162F47"/>
    <w:rsid w:val="2C1B2283"/>
    <w:rsid w:val="2C1E7C3A"/>
    <w:rsid w:val="2C24291A"/>
    <w:rsid w:val="2C3144A1"/>
    <w:rsid w:val="2C335357"/>
    <w:rsid w:val="2C336E27"/>
    <w:rsid w:val="2C3C1309"/>
    <w:rsid w:val="2C42026C"/>
    <w:rsid w:val="2C464EB8"/>
    <w:rsid w:val="2C49519C"/>
    <w:rsid w:val="2C586DD5"/>
    <w:rsid w:val="2C593391"/>
    <w:rsid w:val="2C5A286A"/>
    <w:rsid w:val="2C5B065F"/>
    <w:rsid w:val="2C5C6C9B"/>
    <w:rsid w:val="2C633786"/>
    <w:rsid w:val="2C654010"/>
    <w:rsid w:val="2C691C5B"/>
    <w:rsid w:val="2C6E3EE3"/>
    <w:rsid w:val="2C740550"/>
    <w:rsid w:val="2C743F88"/>
    <w:rsid w:val="2C7953B4"/>
    <w:rsid w:val="2C7D0E44"/>
    <w:rsid w:val="2C7E7C57"/>
    <w:rsid w:val="2C840B52"/>
    <w:rsid w:val="2C8433C2"/>
    <w:rsid w:val="2C8525C3"/>
    <w:rsid w:val="2C8B7151"/>
    <w:rsid w:val="2C970CA7"/>
    <w:rsid w:val="2CA27F24"/>
    <w:rsid w:val="2CA33170"/>
    <w:rsid w:val="2CA6175D"/>
    <w:rsid w:val="2CA707FF"/>
    <w:rsid w:val="2CA77070"/>
    <w:rsid w:val="2CAD2974"/>
    <w:rsid w:val="2CB15D8C"/>
    <w:rsid w:val="2CB52F4D"/>
    <w:rsid w:val="2CB57D32"/>
    <w:rsid w:val="2CB66439"/>
    <w:rsid w:val="2CC04B44"/>
    <w:rsid w:val="2CC80BFF"/>
    <w:rsid w:val="2CCC3A8A"/>
    <w:rsid w:val="2CCE150A"/>
    <w:rsid w:val="2CCE2260"/>
    <w:rsid w:val="2CD25A9F"/>
    <w:rsid w:val="2CD25FF6"/>
    <w:rsid w:val="2CD6501A"/>
    <w:rsid w:val="2CDB10EB"/>
    <w:rsid w:val="2CE8284E"/>
    <w:rsid w:val="2CEA2372"/>
    <w:rsid w:val="2CEB4EE3"/>
    <w:rsid w:val="2CF84372"/>
    <w:rsid w:val="2CF85B39"/>
    <w:rsid w:val="2D1234FB"/>
    <w:rsid w:val="2D174923"/>
    <w:rsid w:val="2D184CBE"/>
    <w:rsid w:val="2D1F486A"/>
    <w:rsid w:val="2D215FE2"/>
    <w:rsid w:val="2D225E32"/>
    <w:rsid w:val="2D264863"/>
    <w:rsid w:val="2D2816D8"/>
    <w:rsid w:val="2D2A5CD1"/>
    <w:rsid w:val="2D3270DB"/>
    <w:rsid w:val="2D40787B"/>
    <w:rsid w:val="2D4349FC"/>
    <w:rsid w:val="2D4459A4"/>
    <w:rsid w:val="2D4A64C1"/>
    <w:rsid w:val="2D656C20"/>
    <w:rsid w:val="2D6575EC"/>
    <w:rsid w:val="2D6B5FF8"/>
    <w:rsid w:val="2D7153BC"/>
    <w:rsid w:val="2D764AE5"/>
    <w:rsid w:val="2D7C6E5F"/>
    <w:rsid w:val="2D8114FB"/>
    <w:rsid w:val="2D843F2A"/>
    <w:rsid w:val="2D8A43D9"/>
    <w:rsid w:val="2DA21756"/>
    <w:rsid w:val="2DAA3BFC"/>
    <w:rsid w:val="2DAA5620"/>
    <w:rsid w:val="2DAA6907"/>
    <w:rsid w:val="2DAF763F"/>
    <w:rsid w:val="2DB23579"/>
    <w:rsid w:val="2DB63D6A"/>
    <w:rsid w:val="2DB93818"/>
    <w:rsid w:val="2DC5342D"/>
    <w:rsid w:val="2DD33A33"/>
    <w:rsid w:val="2DD45655"/>
    <w:rsid w:val="2DD5339A"/>
    <w:rsid w:val="2DD862A4"/>
    <w:rsid w:val="2DD903F7"/>
    <w:rsid w:val="2DD970F1"/>
    <w:rsid w:val="2DDC3D01"/>
    <w:rsid w:val="2DDD275B"/>
    <w:rsid w:val="2DDF4725"/>
    <w:rsid w:val="2DE079CF"/>
    <w:rsid w:val="2DE2461C"/>
    <w:rsid w:val="2DE2701D"/>
    <w:rsid w:val="2DE34026"/>
    <w:rsid w:val="2DED7DFA"/>
    <w:rsid w:val="2DF14458"/>
    <w:rsid w:val="2DF16206"/>
    <w:rsid w:val="2DF401A3"/>
    <w:rsid w:val="2DF939FD"/>
    <w:rsid w:val="2DFD7E04"/>
    <w:rsid w:val="2DFF6B75"/>
    <w:rsid w:val="2E010F22"/>
    <w:rsid w:val="2E014A7A"/>
    <w:rsid w:val="2E0221C2"/>
    <w:rsid w:val="2E0507F6"/>
    <w:rsid w:val="2E0A760D"/>
    <w:rsid w:val="2E0D76F4"/>
    <w:rsid w:val="2E3879E1"/>
    <w:rsid w:val="2E3D462D"/>
    <w:rsid w:val="2E400F3C"/>
    <w:rsid w:val="2E430E39"/>
    <w:rsid w:val="2E432091"/>
    <w:rsid w:val="2E48750F"/>
    <w:rsid w:val="2E4B5A0E"/>
    <w:rsid w:val="2E4E2BC8"/>
    <w:rsid w:val="2E534CCE"/>
    <w:rsid w:val="2E561ED3"/>
    <w:rsid w:val="2E5C008E"/>
    <w:rsid w:val="2E5E5D0F"/>
    <w:rsid w:val="2E5F109C"/>
    <w:rsid w:val="2E740382"/>
    <w:rsid w:val="2E7C01C6"/>
    <w:rsid w:val="2E7F46DA"/>
    <w:rsid w:val="2E80440C"/>
    <w:rsid w:val="2E813902"/>
    <w:rsid w:val="2E861E29"/>
    <w:rsid w:val="2E872E3D"/>
    <w:rsid w:val="2E8F38D6"/>
    <w:rsid w:val="2E9345AB"/>
    <w:rsid w:val="2E9921C7"/>
    <w:rsid w:val="2E996742"/>
    <w:rsid w:val="2EA064A0"/>
    <w:rsid w:val="2EA11458"/>
    <w:rsid w:val="2EA40F80"/>
    <w:rsid w:val="2EAE1185"/>
    <w:rsid w:val="2EB406CC"/>
    <w:rsid w:val="2EB51BB6"/>
    <w:rsid w:val="2EC1207D"/>
    <w:rsid w:val="2EC50D4B"/>
    <w:rsid w:val="2ECC0180"/>
    <w:rsid w:val="2EDA3E8E"/>
    <w:rsid w:val="2EDA55A5"/>
    <w:rsid w:val="2EDD289E"/>
    <w:rsid w:val="2EE23DA1"/>
    <w:rsid w:val="2EE40C4C"/>
    <w:rsid w:val="2EED35EE"/>
    <w:rsid w:val="2EF56EE3"/>
    <w:rsid w:val="2EFA4801"/>
    <w:rsid w:val="2F01313C"/>
    <w:rsid w:val="2F03725B"/>
    <w:rsid w:val="2F042284"/>
    <w:rsid w:val="2F066438"/>
    <w:rsid w:val="2F103761"/>
    <w:rsid w:val="2F1E6BFC"/>
    <w:rsid w:val="2F251F8C"/>
    <w:rsid w:val="2F2D5882"/>
    <w:rsid w:val="2F320664"/>
    <w:rsid w:val="2F344610"/>
    <w:rsid w:val="2F3762E5"/>
    <w:rsid w:val="2F395B2B"/>
    <w:rsid w:val="2F3D3B9C"/>
    <w:rsid w:val="2F405C8F"/>
    <w:rsid w:val="2F4525F6"/>
    <w:rsid w:val="2F5644FF"/>
    <w:rsid w:val="2F566BAD"/>
    <w:rsid w:val="2F5B6E32"/>
    <w:rsid w:val="2F6649D2"/>
    <w:rsid w:val="2F686CCC"/>
    <w:rsid w:val="2F6A2EA4"/>
    <w:rsid w:val="2F7B5A96"/>
    <w:rsid w:val="2F924CF6"/>
    <w:rsid w:val="2F9C312F"/>
    <w:rsid w:val="2F9C6B51"/>
    <w:rsid w:val="2FA14E9F"/>
    <w:rsid w:val="2FA855E5"/>
    <w:rsid w:val="2FBB6ACC"/>
    <w:rsid w:val="2FC34275"/>
    <w:rsid w:val="2FC45ECF"/>
    <w:rsid w:val="2FC54BBA"/>
    <w:rsid w:val="2FC811E9"/>
    <w:rsid w:val="2FD04502"/>
    <w:rsid w:val="2FDB3AD2"/>
    <w:rsid w:val="2FDC2BFB"/>
    <w:rsid w:val="2FDD3AA9"/>
    <w:rsid w:val="2FDE3265"/>
    <w:rsid w:val="2FE36023"/>
    <w:rsid w:val="2FEC6752"/>
    <w:rsid w:val="2FF41FDE"/>
    <w:rsid w:val="2FF93D83"/>
    <w:rsid w:val="2FFA2F0A"/>
    <w:rsid w:val="2FFD0E93"/>
    <w:rsid w:val="30000983"/>
    <w:rsid w:val="30112B90"/>
    <w:rsid w:val="3018672B"/>
    <w:rsid w:val="301C4002"/>
    <w:rsid w:val="301D1CA0"/>
    <w:rsid w:val="302C3041"/>
    <w:rsid w:val="30344AD4"/>
    <w:rsid w:val="3038167C"/>
    <w:rsid w:val="303C2806"/>
    <w:rsid w:val="30402A75"/>
    <w:rsid w:val="3045414B"/>
    <w:rsid w:val="30467B28"/>
    <w:rsid w:val="30481219"/>
    <w:rsid w:val="30593A52"/>
    <w:rsid w:val="305940FD"/>
    <w:rsid w:val="305A18DA"/>
    <w:rsid w:val="305C3CC8"/>
    <w:rsid w:val="305C5377"/>
    <w:rsid w:val="306B7AE0"/>
    <w:rsid w:val="3071032F"/>
    <w:rsid w:val="30711C90"/>
    <w:rsid w:val="307556CD"/>
    <w:rsid w:val="30764F63"/>
    <w:rsid w:val="307B5C11"/>
    <w:rsid w:val="30884C0A"/>
    <w:rsid w:val="308D4056"/>
    <w:rsid w:val="30915A7F"/>
    <w:rsid w:val="30957205"/>
    <w:rsid w:val="30972B8C"/>
    <w:rsid w:val="30981DAD"/>
    <w:rsid w:val="309C445C"/>
    <w:rsid w:val="309D08C8"/>
    <w:rsid w:val="30A237E4"/>
    <w:rsid w:val="30AB443C"/>
    <w:rsid w:val="30B5176D"/>
    <w:rsid w:val="30BD2FFD"/>
    <w:rsid w:val="30C97165"/>
    <w:rsid w:val="30D2231F"/>
    <w:rsid w:val="30D63F77"/>
    <w:rsid w:val="30D8545C"/>
    <w:rsid w:val="30DB6CFA"/>
    <w:rsid w:val="30DD2A72"/>
    <w:rsid w:val="30DD6F16"/>
    <w:rsid w:val="30E51454"/>
    <w:rsid w:val="30E608E3"/>
    <w:rsid w:val="30E65DCB"/>
    <w:rsid w:val="30ED7769"/>
    <w:rsid w:val="30EF1A4A"/>
    <w:rsid w:val="30F22F2C"/>
    <w:rsid w:val="30F77FF5"/>
    <w:rsid w:val="30FE3126"/>
    <w:rsid w:val="3101110A"/>
    <w:rsid w:val="3108169F"/>
    <w:rsid w:val="31081F14"/>
    <w:rsid w:val="310A3619"/>
    <w:rsid w:val="3110617B"/>
    <w:rsid w:val="31156C01"/>
    <w:rsid w:val="311606E0"/>
    <w:rsid w:val="3116221C"/>
    <w:rsid w:val="312A0FB5"/>
    <w:rsid w:val="313528AE"/>
    <w:rsid w:val="31435E7E"/>
    <w:rsid w:val="31454093"/>
    <w:rsid w:val="314F3F2F"/>
    <w:rsid w:val="31516EE6"/>
    <w:rsid w:val="31540BBC"/>
    <w:rsid w:val="315E1885"/>
    <w:rsid w:val="315E509F"/>
    <w:rsid w:val="31600CAE"/>
    <w:rsid w:val="316767CD"/>
    <w:rsid w:val="316F553D"/>
    <w:rsid w:val="317C6EC4"/>
    <w:rsid w:val="317E0F6C"/>
    <w:rsid w:val="318008AB"/>
    <w:rsid w:val="318329F8"/>
    <w:rsid w:val="318A3E34"/>
    <w:rsid w:val="318C0616"/>
    <w:rsid w:val="319606F5"/>
    <w:rsid w:val="319C5DFB"/>
    <w:rsid w:val="319D7433"/>
    <w:rsid w:val="31A237ED"/>
    <w:rsid w:val="31A62942"/>
    <w:rsid w:val="31A81FEB"/>
    <w:rsid w:val="31AC549E"/>
    <w:rsid w:val="31B457D3"/>
    <w:rsid w:val="31B804D9"/>
    <w:rsid w:val="31C37EBA"/>
    <w:rsid w:val="31C40A54"/>
    <w:rsid w:val="31C52EC0"/>
    <w:rsid w:val="31CA592E"/>
    <w:rsid w:val="31CF4AB1"/>
    <w:rsid w:val="31D2079F"/>
    <w:rsid w:val="31DD3C7A"/>
    <w:rsid w:val="31E22F4B"/>
    <w:rsid w:val="31E51A73"/>
    <w:rsid w:val="31E6099A"/>
    <w:rsid w:val="31E92DD9"/>
    <w:rsid w:val="31EC0661"/>
    <w:rsid w:val="31F434B3"/>
    <w:rsid w:val="31FA3E15"/>
    <w:rsid w:val="320461F5"/>
    <w:rsid w:val="320A693D"/>
    <w:rsid w:val="320F5741"/>
    <w:rsid w:val="32124F08"/>
    <w:rsid w:val="3213790C"/>
    <w:rsid w:val="32235C25"/>
    <w:rsid w:val="32261397"/>
    <w:rsid w:val="322C1F03"/>
    <w:rsid w:val="322D5174"/>
    <w:rsid w:val="322F554F"/>
    <w:rsid w:val="32323931"/>
    <w:rsid w:val="32335040"/>
    <w:rsid w:val="32356386"/>
    <w:rsid w:val="32356C79"/>
    <w:rsid w:val="323C4918"/>
    <w:rsid w:val="323D419D"/>
    <w:rsid w:val="32432DA9"/>
    <w:rsid w:val="32531849"/>
    <w:rsid w:val="325E5120"/>
    <w:rsid w:val="32671C48"/>
    <w:rsid w:val="326A20D3"/>
    <w:rsid w:val="32701994"/>
    <w:rsid w:val="32781D39"/>
    <w:rsid w:val="327A531D"/>
    <w:rsid w:val="32806122"/>
    <w:rsid w:val="328B290A"/>
    <w:rsid w:val="328D7D73"/>
    <w:rsid w:val="32901F1E"/>
    <w:rsid w:val="3293788C"/>
    <w:rsid w:val="32965176"/>
    <w:rsid w:val="32A13F64"/>
    <w:rsid w:val="32A41A99"/>
    <w:rsid w:val="32A74F77"/>
    <w:rsid w:val="32AC3044"/>
    <w:rsid w:val="32AF7663"/>
    <w:rsid w:val="32B0079C"/>
    <w:rsid w:val="32B80FE0"/>
    <w:rsid w:val="32BC6F66"/>
    <w:rsid w:val="32C616AF"/>
    <w:rsid w:val="32CD20E1"/>
    <w:rsid w:val="32CD2F5C"/>
    <w:rsid w:val="32D70DCE"/>
    <w:rsid w:val="32D72C89"/>
    <w:rsid w:val="32DB6032"/>
    <w:rsid w:val="32DC6C3D"/>
    <w:rsid w:val="32E04869"/>
    <w:rsid w:val="32E12CEE"/>
    <w:rsid w:val="32EF4CA4"/>
    <w:rsid w:val="33012173"/>
    <w:rsid w:val="33121D46"/>
    <w:rsid w:val="33170AD4"/>
    <w:rsid w:val="331C7249"/>
    <w:rsid w:val="331E6519"/>
    <w:rsid w:val="331F1BF8"/>
    <w:rsid w:val="332762C3"/>
    <w:rsid w:val="332A16B7"/>
    <w:rsid w:val="333F6B5C"/>
    <w:rsid w:val="334E278D"/>
    <w:rsid w:val="33501410"/>
    <w:rsid w:val="3350577D"/>
    <w:rsid w:val="336854EE"/>
    <w:rsid w:val="33703E0D"/>
    <w:rsid w:val="337656C6"/>
    <w:rsid w:val="33770DE9"/>
    <w:rsid w:val="337E68E1"/>
    <w:rsid w:val="338134CA"/>
    <w:rsid w:val="338874CA"/>
    <w:rsid w:val="339047DC"/>
    <w:rsid w:val="339174E4"/>
    <w:rsid w:val="33922BA4"/>
    <w:rsid w:val="3395257E"/>
    <w:rsid w:val="33962013"/>
    <w:rsid w:val="33977CCF"/>
    <w:rsid w:val="339877B9"/>
    <w:rsid w:val="339C1778"/>
    <w:rsid w:val="339D721B"/>
    <w:rsid w:val="33BB3369"/>
    <w:rsid w:val="33BC7DB8"/>
    <w:rsid w:val="33BD487F"/>
    <w:rsid w:val="33BE22DC"/>
    <w:rsid w:val="33BE5883"/>
    <w:rsid w:val="33C1244A"/>
    <w:rsid w:val="33C3618A"/>
    <w:rsid w:val="33D564A5"/>
    <w:rsid w:val="33DF67D8"/>
    <w:rsid w:val="33EC331A"/>
    <w:rsid w:val="33EC6FB6"/>
    <w:rsid w:val="33EF5E6B"/>
    <w:rsid w:val="33F32E69"/>
    <w:rsid w:val="33FB5FA1"/>
    <w:rsid w:val="33FE17FC"/>
    <w:rsid w:val="340A74A4"/>
    <w:rsid w:val="340B2524"/>
    <w:rsid w:val="340D6A5E"/>
    <w:rsid w:val="340F3735"/>
    <w:rsid w:val="3415709E"/>
    <w:rsid w:val="34181F9A"/>
    <w:rsid w:val="341954B7"/>
    <w:rsid w:val="3422536C"/>
    <w:rsid w:val="342B004A"/>
    <w:rsid w:val="343A2C67"/>
    <w:rsid w:val="344C3DD6"/>
    <w:rsid w:val="344F1ED9"/>
    <w:rsid w:val="345901E2"/>
    <w:rsid w:val="345B0C87"/>
    <w:rsid w:val="345B612A"/>
    <w:rsid w:val="345E75D2"/>
    <w:rsid w:val="34610E0E"/>
    <w:rsid w:val="346A5680"/>
    <w:rsid w:val="34776B38"/>
    <w:rsid w:val="347D0F19"/>
    <w:rsid w:val="348A53AC"/>
    <w:rsid w:val="348A615B"/>
    <w:rsid w:val="348D5440"/>
    <w:rsid w:val="34960CBE"/>
    <w:rsid w:val="34996154"/>
    <w:rsid w:val="349A604A"/>
    <w:rsid w:val="349A69EF"/>
    <w:rsid w:val="349F18E8"/>
    <w:rsid w:val="34AA4679"/>
    <w:rsid w:val="34AE1165"/>
    <w:rsid w:val="34B65AB4"/>
    <w:rsid w:val="34C3798A"/>
    <w:rsid w:val="34C41DDC"/>
    <w:rsid w:val="34C52EA2"/>
    <w:rsid w:val="34C60D9C"/>
    <w:rsid w:val="34D459C8"/>
    <w:rsid w:val="34DB32BB"/>
    <w:rsid w:val="34DC4CD4"/>
    <w:rsid w:val="34F211E2"/>
    <w:rsid w:val="34F35D01"/>
    <w:rsid w:val="35002A15"/>
    <w:rsid w:val="35102070"/>
    <w:rsid w:val="35124A0D"/>
    <w:rsid w:val="351B2D65"/>
    <w:rsid w:val="351B43C7"/>
    <w:rsid w:val="3522373A"/>
    <w:rsid w:val="353C526C"/>
    <w:rsid w:val="35434307"/>
    <w:rsid w:val="354658AF"/>
    <w:rsid w:val="35497AB7"/>
    <w:rsid w:val="35523C5E"/>
    <w:rsid w:val="355657C0"/>
    <w:rsid w:val="355C7996"/>
    <w:rsid w:val="355D6155"/>
    <w:rsid w:val="355D7032"/>
    <w:rsid w:val="355F0732"/>
    <w:rsid w:val="356C3F81"/>
    <w:rsid w:val="356D3631"/>
    <w:rsid w:val="356E1072"/>
    <w:rsid w:val="356F6271"/>
    <w:rsid w:val="35703816"/>
    <w:rsid w:val="35764F4A"/>
    <w:rsid w:val="357D172C"/>
    <w:rsid w:val="35812D9B"/>
    <w:rsid w:val="358304AB"/>
    <w:rsid w:val="359D708C"/>
    <w:rsid w:val="359F0C3E"/>
    <w:rsid w:val="359F7869"/>
    <w:rsid w:val="35A160DC"/>
    <w:rsid w:val="35A20420"/>
    <w:rsid w:val="35A5058B"/>
    <w:rsid w:val="35B36EFA"/>
    <w:rsid w:val="35B549A8"/>
    <w:rsid w:val="35B80496"/>
    <w:rsid w:val="35BC4B27"/>
    <w:rsid w:val="35BD2792"/>
    <w:rsid w:val="35BE131A"/>
    <w:rsid w:val="35BF2B97"/>
    <w:rsid w:val="35C94AEF"/>
    <w:rsid w:val="35DB5088"/>
    <w:rsid w:val="35E37515"/>
    <w:rsid w:val="35E40A76"/>
    <w:rsid w:val="35E65FA8"/>
    <w:rsid w:val="35EB3E83"/>
    <w:rsid w:val="35ED7839"/>
    <w:rsid w:val="35F60392"/>
    <w:rsid w:val="35FA442E"/>
    <w:rsid w:val="35FA51A5"/>
    <w:rsid w:val="35FB502F"/>
    <w:rsid w:val="35FD3490"/>
    <w:rsid w:val="360B0081"/>
    <w:rsid w:val="360E16AE"/>
    <w:rsid w:val="36176647"/>
    <w:rsid w:val="363357CB"/>
    <w:rsid w:val="363E58CF"/>
    <w:rsid w:val="363F76AB"/>
    <w:rsid w:val="364066FB"/>
    <w:rsid w:val="36495C0A"/>
    <w:rsid w:val="364F5A2A"/>
    <w:rsid w:val="365519F4"/>
    <w:rsid w:val="36595DF6"/>
    <w:rsid w:val="36614384"/>
    <w:rsid w:val="366204B8"/>
    <w:rsid w:val="36631CA0"/>
    <w:rsid w:val="3666580B"/>
    <w:rsid w:val="36717C5A"/>
    <w:rsid w:val="36774942"/>
    <w:rsid w:val="36881634"/>
    <w:rsid w:val="36892E3C"/>
    <w:rsid w:val="368C76FA"/>
    <w:rsid w:val="368D79CD"/>
    <w:rsid w:val="368F76FA"/>
    <w:rsid w:val="36923F9D"/>
    <w:rsid w:val="36A06A1C"/>
    <w:rsid w:val="36B12624"/>
    <w:rsid w:val="36B660E9"/>
    <w:rsid w:val="36B71B89"/>
    <w:rsid w:val="36C4271F"/>
    <w:rsid w:val="36CC5C52"/>
    <w:rsid w:val="36D578D1"/>
    <w:rsid w:val="36D925A0"/>
    <w:rsid w:val="36DA62AB"/>
    <w:rsid w:val="36E53AF8"/>
    <w:rsid w:val="36E725F1"/>
    <w:rsid w:val="36F101A1"/>
    <w:rsid w:val="370547E7"/>
    <w:rsid w:val="37060463"/>
    <w:rsid w:val="370A5E5F"/>
    <w:rsid w:val="370D0235"/>
    <w:rsid w:val="370F1C03"/>
    <w:rsid w:val="37143AAA"/>
    <w:rsid w:val="372B669C"/>
    <w:rsid w:val="372E3079"/>
    <w:rsid w:val="373B1EBD"/>
    <w:rsid w:val="37465815"/>
    <w:rsid w:val="374A4373"/>
    <w:rsid w:val="374B2493"/>
    <w:rsid w:val="374E59E2"/>
    <w:rsid w:val="37520F54"/>
    <w:rsid w:val="37570BCB"/>
    <w:rsid w:val="375B2943"/>
    <w:rsid w:val="375B67B8"/>
    <w:rsid w:val="37661CB3"/>
    <w:rsid w:val="376C22F6"/>
    <w:rsid w:val="376D21A7"/>
    <w:rsid w:val="377071F8"/>
    <w:rsid w:val="37707FE0"/>
    <w:rsid w:val="37717766"/>
    <w:rsid w:val="37727E4D"/>
    <w:rsid w:val="3773519C"/>
    <w:rsid w:val="377452B8"/>
    <w:rsid w:val="37773CD2"/>
    <w:rsid w:val="37820035"/>
    <w:rsid w:val="37826121"/>
    <w:rsid w:val="37894E57"/>
    <w:rsid w:val="378F792B"/>
    <w:rsid w:val="37921EAB"/>
    <w:rsid w:val="379261E6"/>
    <w:rsid w:val="379A16BD"/>
    <w:rsid w:val="37A21FE2"/>
    <w:rsid w:val="37AF3A9B"/>
    <w:rsid w:val="37B90A5F"/>
    <w:rsid w:val="37C61413"/>
    <w:rsid w:val="37D71019"/>
    <w:rsid w:val="37D71B9E"/>
    <w:rsid w:val="37D95BC3"/>
    <w:rsid w:val="37DB1B4A"/>
    <w:rsid w:val="37E42938"/>
    <w:rsid w:val="37EA3D1D"/>
    <w:rsid w:val="37EB0E72"/>
    <w:rsid w:val="37FA1A3C"/>
    <w:rsid w:val="37FA3A5D"/>
    <w:rsid w:val="37FA57F6"/>
    <w:rsid w:val="38032ADD"/>
    <w:rsid w:val="38054534"/>
    <w:rsid w:val="380F70A0"/>
    <w:rsid w:val="38181651"/>
    <w:rsid w:val="381A129D"/>
    <w:rsid w:val="381B3AE1"/>
    <w:rsid w:val="382D42DF"/>
    <w:rsid w:val="38401E97"/>
    <w:rsid w:val="384445D2"/>
    <w:rsid w:val="38466BC9"/>
    <w:rsid w:val="38523D46"/>
    <w:rsid w:val="385979C8"/>
    <w:rsid w:val="38621032"/>
    <w:rsid w:val="386C17FE"/>
    <w:rsid w:val="386F71C2"/>
    <w:rsid w:val="38864EE1"/>
    <w:rsid w:val="388D26FF"/>
    <w:rsid w:val="389007B4"/>
    <w:rsid w:val="389525C6"/>
    <w:rsid w:val="389C3F60"/>
    <w:rsid w:val="389E28DB"/>
    <w:rsid w:val="38A03DDB"/>
    <w:rsid w:val="38A256ED"/>
    <w:rsid w:val="38A93DE1"/>
    <w:rsid w:val="38B04943"/>
    <w:rsid w:val="38B0624E"/>
    <w:rsid w:val="38B4706D"/>
    <w:rsid w:val="38B60D7F"/>
    <w:rsid w:val="38B6531C"/>
    <w:rsid w:val="38BA0EE3"/>
    <w:rsid w:val="38BA4416"/>
    <w:rsid w:val="38C10BE9"/>
    <w:rsid w:val="38C4603C"/>
    <w:rsid w:val="38D45CEE"/>
    <w:rsid w:val="38D5662A"/>
    <w:rsid w:val="38E1369C"/>
    <w:rsid w:val="38E62CB4"/>
    <w:rsid w:val="38F02352"/>
    <w:rsid w:val="38F60C3D"/>
    <w:rsid w:val="38F66DC7"/>
    <w:rsid w:val="390078F4"/>
    <w:rsid w:val="39061936"/>
    <w:rsid w:val="391754AA"/>
    <w:rsid w:val="391F67F6"/>
    <w:rsid w:val="39236CE5"/>
    <w:rsid w:val="39251316"/>
    <w:rsid w:val="39273592"/>
    <w:rsid w:val="392B6496"/>
    <w:rsid w:val="39312A65"/>
    <w:rsid w:val="39373552"/>
    <w:rsid w:val="393B0C7E"/>
    <w:rsid w:val="39404B30"/>
    <w:rsid w:val="3943543F"/>
    <w:rsid w:val="394F4956"/>
    <w:rsid w:val="39585980"/>
    <w:rsid w:val="395B4F36"/>
    <w:rsid w:val="395D0308"/>
    <w:rsid w:val="39614E4F"/>
    <w:rsid w:val="39652C73"/>
    <w:rsid w:val="39697599"/>
    <w:rsid w:val="39730397"/>
    <w:rsid w:val="397828E0"/>
    <w:rsid w:val="39800ACE"/>
    <w:rsid w:val="398B6032"/>
    <w:rsid w:val="39910700"/>
    <w:rsid w:val="39980CE2"/>
    <w:rsid w:val="39A64751"/>
    <w:rsid w:val="39A95BE7"/>
    <w:rsid w:val="39AA339F"/>
    <w:rsid w:val="39AB53AE"/>
    <w:rsid w:val="39B83678"/>
    <w:rsid w:val="39BA1BA2"/>
    <w:rsid w:val="39BC458C"/>
    <w:rsid w:val="39C37633"/>
    <w:rsid w:val="39C456FF"/>
    <w:rsid w:val="39D013C6"/>
    <w:rsid w:val="39D0636E"/>
    <w:rsid w:val="39D17CDD"/>
    <w:rsid w:val="39D83AD0"/>
    <w:rsid w:val="39E60BE9"/>
    <w:rsid w:val="39F44362"/>
    <w:rsid w:val="39F62389"/>
    <w:rsid w:val="39F63B7B"/>
    <w:rsid w:val="39F925EC"/>
    <w:rsid w:val="3A010D4B"/>
    <w:rsid w:val="3A035D99"/>
    <w:rsid w:val="3A0E4679"/>
    <w:rsid w:val="3A105C66"/>
    <w:rsid w:val="3A185146"/>
    <w:rsid w:val="3A196427"/>
    <w:rsid w:val="3A1B7A36"/>
    <w:rsid w:val="3A1F2B4F"/>
    <w:rsid w:val="3A220E5F"/>
    <w:rsid w:val="3A222B60"/>
    <w:rsid w:val="3A2644AB"/>
    <w:rsid w:val="3A30298D"/>
    <w:rsid w:val="3A331955"/>
    <w:rsid w:val="3A3862B4"/>
    <w:rsid w:val="3A3B0871"/>
    <w:rsid w:val="3A3C1A7E"/>
    <w:rsid w:val="3A3C7D6C"/>
    <w:rsid w:val="3A3D6E67"/>
    <w:rsid w:val="3A485400"/>
    <w:rsid w:val="3A4936E3"/>
    <w:rsid w:val="3A4A0C98"/>
    <w:rsid w:val="3A4F7A71"/>
    <w:rsid w:val="3A58374B"/>
    <w:rsid w:val="3A5941F6"/>
    <w:rsid w:val="3A596DA8"/>
    <w:rsid w:val="3A5A1D9E"/>
    <w:rsid w:val="3A5A6C2B"/>
    <w:rsid w:val="3A5B22E9"/>
    <w:rsid w:val="3A5E32F8"/>
    <w:rsid w:val="3A611DF3"/>
    <w:rsid w:val="3A624674"/>
    <w:rsid w:val="3A685AA2"/>
    <w:rsid w:val="3A6D58D7"/>
    <w:rsid w:val="3A714BF8"/>
    <w:rsid w:val="3A731F3E"/>
    <w:rsid w:val="3A7572A8"/>
    <w:rsid w:val="3A7D7079"/>
    <w:rsid w:val="3A7E046D"/>
    <w:rsid w:val="3A7F656F"/>
    <w:rsid w:val="3A83464D"/>
    <w:rsid w:val="3A841F02"/>
    <w:rsid w:val="3A9155E6"/>
    <w:rsid w:val="3A954B7A"/>
    <w:rsid w:val="3A971ABC"/>
    <w:rsid w:val="3A9B03FB"/>
    <w:rsid w:val="3A9B50DC"/>
    <w:rsid w:val="3A9C4E84"/>
    <w:rsid w:val="3AA11C63"/>
    <w:rsid w:val="3AA1646B"/>
    <w:rsid w:val="3AA35C36"/>
    <w:rsid w:val="3AA9087F"/>
    <w:rsid w:val="3AAA4AD8"/>
    <w:rsid w:val="3AAB7D8C"/>
    <w:rsid w:val="3AB37C0B"/>
    <w:rsid w:val="3ABE3914"/>
    <w:rsid w:val="3AC07099"/>
    <w:rsid w:val="3AC62163"/>
    <w:rsid w:val="3AC90541"/>
    <w:rsid w:val="3AD0154B"/>
    <w:rsid w:val="3AD26502"/>
    <w:rsid w:val="3AD32BE2"/>
    <w:rsid w:val="3AD735A4"/>
    <w:rsid w:val="3ADB5B92"/>
    <w:rsid w:val="3AE335C6"/>
    <w:rsid w:val="3AEB165A"/>
    <w:rsid w:val="3AED053C"/>
    <w:rsid w:val="3AF2204F"/>
    <w:rsid w:val="3AF56227"/>
    <w:rsid w:val="3AF657E1"/>
    <w:rsid w:val="3AF97E01"/>
    <w:rsid w:val="3B0032A7"/>
    <w:rsid w:val="3B03752F"/>
    <w:rsid w:val="3B037579"/>
    <w:rsid w:val="3B0F2390"/>
    <w:rsid w:val="3B1220C7"/>
    <w:rsid w:val="3B172E96"/>
    <w:rsid w:val="3B247C1B"/>
    <w:rsid w:val="3B3073C6"/>
    <w:rsid w:val="3B352556"/>
    <w:rsid w:val="3B360092"/>
    <w:rsid w:val="3B385190"/>
    <w:rsid w:val="3B3E7FD4"/>
    <w:rsid w:val="3B4278FE"/>
    <w:rsid w:val="3B443EC3"/>
    <w:rsid w:val="3B44637B"/>
    <w:rsid w:val="3B4B0135"/>
    <w:rsid w:val="3B504E40"/>
    <w:rsid w:val="3B50513E"/>
    <w:rsid w:val="3B5E56AF"/>
    <w:rsid w:val="3B5F7815"/>
    <w:rsid w:val="3B60677A"/>
    <w:rsid w:val="3B6413E7"/>
    <w:rsid w:val="3B6F3AF2"/>
    <w:rsid w:val="3B787F67"/>
    <w:rsid w:val="3B8D6917"/>
    <w:rsid w:val="3B8D693F"/>
    <w:rsid w:val="3B98772E"/>
    <w:rsid w:val="3BA40788"/>
    <w:rsid w:val="3BB02276"/>
    <w:rsid w:val="3BB3643D"/>
    <w:rsid w:val="3BB41E71"/>
    <w:rsid w:val="3BB53CBC"/>
    <w:rsid w:val="3BBC1A25"/>
    <w:rsid w:val="3BC1546A"/>
    <w:rsid w:val="3BC56E05"/>
    <w:rsid w:val="3BD938AF"/>
    <w:rsid w:val="3BDF0887"/>
    <w:rsid w:val="3BE12208"/>
    <w:rsid w:val="3BE178BA"/>
    <w:rsid w:val="3BE45065"/>
    <w:rsid w:val="3BF847AA"/>
    <w:rsid w:val="3BFA0259"/>
    <w:rsid w:val="3BFA371F"/>
    <w:rsid w:val="3C0309FF"/>
    <w:rsid w:val="3C042E3E"/>
    <w:rsid w:val="3C050C40"/>
    <w:rsid w:val="3C072663"/>
    <w:rsid w:val="3C0B2E45"/>
    <w:rsid w:val="3C17152E"/>
    <w:rsid w:val="3C1732DC"/>
    <w:rsid w:val="3C1A4E8D"/>
    <w:rsid w:val="3C1F76F3"/>
    <w:rsid w:val="3C217D8B"/>
    <w:rsid w:val="3C257B71"/>
    <w:rsid w:val="3C2841B0"/>
    <w:rsid w:val="3C3C186F"/>
    <w:rsid w:val="3C3D7E2F"/>
    <w:rsid w:val="3C450BC5"/>
    <w:rsid w:val="3C47574F"/>
    <w:rsid w:val="3C4B567C"/>
    <w:rsid w:val="3C5110CE"/>
    <w:rsid w:val="3C577B7C"/>
    <w:rsid w:val="3C6242D8"/>
    <w:rsid w:val="3C681D8A"/>
    <w:rsid w:val="3C6E4EC6"/>
    <w:rsid w:val="3C784DBC"/>
    <w:rsid w:val="3C7923FD"/>
    <w:rsid w:val="3C7E21FC"/>
    <w:rsid w:val="3C835139"/>
    <w:rsid w:val="3C8E55CD"/>
    <w:rsid w:val="3C8E5872"/>
    <w:rsid w:val="3C913F59"/>
    <w:rsid w:val="3C943C7F"/>
    <w:rsid w:val="3C9D3203"/>
    <w:rsid w:val="3C9E76A6"/>
    <w:rsid w:val="3C9E7D39"/>
    <w:rsid w:val="3C9F5433"/>
    <w:rsid w:val="3CA05E3F"/>
    <w:rsid w:val="3CA105FF"/>
    <w:rsid w:val="3CA60FF0"/>
    <w:rsid w:val="3CAF5049"/>
    <w:rsid w:val="3CB17B91"/>
    <w:rsid w:val="3CC01BC6"/>
    <w:rsid w:val="3CC037D9"/>
    <w:rsid w:val="3CC96E22"/>
    <w:rsid w:val="3CCC3FAB"/>
    <w:rsid w:val="3CD20233"/>
    <w:rsid w:val="3CD23409"/>
    <w:rsid w:val="3CD92C87"/>
    <w:rsid w:val="3CDA5E44"/>
    <w:rsid w:val="3CDF248B"/>
    <w:rsid w:val="3CE24DF8"/>
    <w:rsid w:val="3CF33D49"/>
    <w:rsid w:val="3CF80F5E"/>
    <w:rsid w:val="3CF94FA8"/>
    <w:rsid w:val="3CFA11B8"/>
    <w:rsid w:val="3CFD5614"/>
    <w:rsid w:val="3CFF0CB4"/>
    <w:rsid w:val="3D061853"/>
    <w:rsid w:val="3D083D85"/>
    <w:rsid w:val="3D094A3E"/>
    <w:rsid w:val="3D107860"/>
    <w:rsid w:val="3D17730C"/>
    <w:rsid w:val="3D183C46"/>
    <w:rsid w:val="3D2346F2"/>
    <w:rsid w:val="3D24777C"/>
    <w:rsid w:val="3D2832C7"/>
    <w:rsid w:val="3D2A5291"/>
    <w:rsid w:val="3D2B7651"/>
    <w:rsid w:val="3D2C6DEC"/>
    <w:rsid w:val="3D3F6F8E"/>
    <w:rsid w:val="3D3F7B7E"/>
    <w:rsid w:val="3D415BFE"/>
    <w:rsid w:val="3D464AD9"/>
    <w:rsid w:val="3D466470"/>
    <w:rsid w:val="3D4A5933"/>
    <w:rsid w:val="3D531698"/>
    <w:rsid w:val="3D5F59D0"/>
    <w:rsid w:val="3D631F45"/>
    <w:rsid w:val="3D8E6EF8"/>
    <w:rsid w:val="3D9745C5"/>
    <w:rsid w:val="3D980D16"/>
    <w:rsid w:val="3D9831E5"/>
    <w:rsid w:val="3D9B1367"/>
    <w:rsid w:val="3DA212CB"/>
    <w:rsid w:val="3DA638E7"/>
    <w:rsid w:val="3DA71209"/>
    <w:rsid w:val="3DBFA8D0"/>
    <w:rsid w:val="3DC81317"/>
    <w:rsid w:val="3DC945C0"/>
    <w:rsid w:val="3DCE0347"/>
    <w:rsid w:val="3DCF044A"/>
    <w:rsid w:val="3DE875DA"/>
    <w:rsid w:val="3DED7C84"/>
    <w:rsid w:val="3DFE745B"/>
    <w:rsid w:val="3E012F06"/>
    <w:rsid w:val="3E0516F6"/>
    <w:rsid w:val="3E062C93"/>
    <w:rsid w:val="3E0B26EA"/>
    <w:rsid w:val="3E136367"/>
    <w:rsid w:val="3E1667F0"/>
    <w:rsid w:val="3E170E9A"/>
    <w:rsid w:val="3E175815"/>
    <w:rsid w:val="3E1A07C5"/>
    <w:rsid w:val="3E1C3D68"/>
    <w:rsid w:val="3E225D40"/>
    <w:rsid w:val="3E235573"/>
    <w:rsid w:val="3E25375E"/>
    <w:rsid w:val="3E257108"/>
    <w:rsid w:val="3E297DA1"/>
    <w:rsid w:val="3E2A2C0A"/>
    <w:rsid w:val="3E2E03FF"/>
    <w:rsid w:val="3E37784B"/>
    <w:rsid w:val="3E381EA5"/>
    <w:rsid w:val="3E3846AB"/>
    <w:rsid w:val="3E434C61"/>
    <w:rsid w:val="3E4879B3"/>
    <w:rsid w:val="3E4A4CB2"/>
    <w:rsid w:val="3E4E7D71"/>
    <w:rsid w:val="3E4F147F"/>
    <w:rsid w:val="3E522624"/>
    <w:rsid w:val="3E597253"/>
    <w:rsid w:val="3E5A3610"/>
    <w:rsid w:val="3E616240"/>
    <w:rsid w:val="3E63157B"/>
    <w:rsid w:val="3E672C02"/>
    <w:rsid w:val="3E702BB8"/>
    <w:rsid w:val="3E7060A2"/>
    <w:rsid w:val="3E807C4C"/>
    <w:rsid w:val="3E810402"/>
    <w:rsid w:val="3E8310AF"/>
    <w:rsid w:val="3EA13331"/>
    <w:rsid w:val="3EB761D7"/>
    <w:rsid w:val="3EC40C65"/>
    <w:rsid w:val="3ECB1717"/>
    <w:rsid w:val="3ED92DDA"/>
    <w:rsid w:val="3EE7761A"/>
    <w:rsid w:val="3EF17DA4"/>
    <w:rsid w:val="3EF2332E"/>
    <w:rsid w:val="3EF2654D"/>
    <w:rsid w:val="3EF56437"/>
    <w:rsid w:val="3EFB607B"/>
    <w:rsid w:val="3EFF7197"/>
    <w:rsid w:val="3F035498"/>
    <w:rsid w:val="3F055C54"/>
    <w:rsid w:val="3F0C5BCE"/>
    <w:rsid w:val="3F114F57"/>
    <w:rsid w:val="3F117156"/>
    <w:rsid w:val="3F1D2AEF"/>
    <w:rsid w:val="3F201122"/>
    <w:rsid w:val="3F22062E"/>
    <w:rsid w:val="3F2B0046"/>
    <w:rsid w:val="3F2C3542"/>
    <w:rsid w:val="3F2F40D7"/>
    <w:rsid w:val="3F300CAC"/>
    <w:rsid w:val="3F303FAB"/>
    <w:rsid w:val="3F3222E3"/>
    <w:rsid w:val="3F352F72"/>
    <w:rsid w:val="3F3774CD"/>
    <w:rsid w:val="3F416176"/>
    <w:rsid w:val="3F43088C"/>
    <w:rsid w:val="3F532102"/>
    <w:rsid w:val="3F5575F7"/>
    <w:rsid w:val="3F576FA1"/>
    <w:rsid w:val="3F580906"/>
    <w:rsid w:val="3F5A3EFB"/>
    <w:rsid w:val="3F5A4D5E"/>
    <w:rsid w:val="3F6F2391"/>
    <w:rsid w:val="3F7006D6"/>
    <w:rsid w:val="3F7329C5"/>
    <w:rsid w:val="3F757F03"/>
    <w:rsid w:val="3F79679A"/>
    <w:rsid w:val="3F8C3C09"/>
    <w:rsid w:val="3F95733A"/>
    <w:rsid w:val="3F9908B0"/>
    <w:rsid w:val="3F9E363A"/>
    <w:rsid w:val="3FA367A0"/>
    <w:rsid w:val="3FA84EB2"/>
    <w:rsid w:val="3FA85DB5"/>
    <w:rsid w:val="3FAA7193"/>
    <w:rsid w:val="3FAD4B3B"/>
    <w:rsid w:val="3FB34E43"/>
    <w:rsid w:val="3FB70E7D"/>
    <w:rsid w:val="3FC0345D"/>
    <w:rsid w:val="3FC0576C"/>
    <w:rsid w:val="3FC24499"/>
    <w:rsid w:val="3FC96CE0"/>
    <w:rsid w:val="3FD03D01"/>
    <w:rsid w:val="3FD4498A"/>
    <w:rsid w:val="3FD64800"/>
    <w:rsid w:val="3FDA5EAF"/>
    <w:rsid w:val="3FDC701A"/>
    <w:rsid w:val="3FE0553B"/>
    <w:rsid w:val="3FE11A0A"/>
    <w:rsid w:val="3FE135FB"/>
    <w:rsid w:val="3FE221D2"/>
    <w:rsid w:val="3FE87D28"/>
    <w:rsid w:val="3FEA089A"/>
    <w:rsid w:val="3FEE60A4"/>
    <w:rsid w:val="3FEF6D26"/>
    <w:rsid w:val="3FF54F69"/>
    <w:rsid w:val="3FF81676"/>
    <w:rsid w:val="3FFA44C9"/>
    <w:rsid w:val="3FFD4EDF"/>
    <w:rsid w:val="400533B5"/>
    <w:rsid w:val="4006719B"/>
    <w:rsid w:val="400759D9"/>
    <w:rsid w:val="400969C4"/>
    <w:rsid w:val="400A5241"/>
    <w:rsid w:val="400D4847"/>
    <w:rsid w:val="401A368E"/>
    <w:rsid w:val="401E5225"/>
    <w:rsid w:val="40200EC2"/>
    <w:rsid w:val="4033445D"/>
    <w:rsid w:val="40376069"/>
    <w:rsid w:val="40387BC5"/>
    <w:rsid w:val="403D4406"/>
    <w:rsid w:val="403E6AA8"/>
    <w:rsid w:val="40400879"/>
    <w:rsid w:val="40402847"/>
    <w:rsid w:val="40414F3F"/>
    <w:rsid w:val="404C0609"/>
    <w:rsid w:val="40501179"/>
    <w:rsid w:val="40502545"/>
    <w:rsid w:val="405D53FA"/>
    <w:rsid w:val="405E7E1E"/>
    <w:rsid w:val="40612A0F"/>
    <w:rsid w:val="406435E5"/>
    <w:rsid w:val="40644F5E"/>
    <w:rsid w:val="40657EEF"/>
    <w:rsid w:val="40714F85"/>
    <w:rsid w:val="407D716D"/>
    <w:rsid w:val="407D753B"/>
    <w:rsid w:val="40806E1B"/>
    <w:rsid w:val="40864AE2"/>
    <w:rsid w:val="40906E9B"/>
    <w:rsid w:val="409207A7"/>
    <w:rsid w:val="40940958"/>
    <w:rsid w:val="40A56E0D"/>
    <w:rsid w:val="40AF5A59"/>
    <w:rsid w:val="40B565DA"/>
    <w:rsid w:val="40BA51BE"/>
    <w:rsid w:val="40BD00BB"/>
    <w:rsid w:val="40BE25B2"/>
    <w:rsid w:val="40C014A7"/>
    <w:rsid w:val="40C177AA"/>
    <w:rsid w:val="40C31C84"/>
    <w:rsid w:val="40C63523"/>
    <w:rsid w:val="40CA0821"/>
    <w:rsid w:val="40DE261A"/>
    <w:rsid w:val="40E56C11"/>
    <w:rsid w:val="40E90A23"/>
    <w:rsid w:val="40EE51A8"/>
    <w:rsid w:val="40F20B1F"/>
    <w:rsid w:val="40F86916"/>
    <w:rsid w:val="40FA321B"/>
    <w:rsid w:val="40FF0DBB"/>
    <w:rsid w:val="4101607F"/>
    <w:rsid w:val="41022D94"/>
    <w:rsid w:val="41082DC3"/>
    <w:rsid w:val="412170B1"/>
    <w:rsid w:val="4123014B"/>
    <w:rsid w:val="412B6C2E"/>
    <w:rsid w:val="41301C9A"/>
    <w:rsid w:val="41341E40"/>
    <w:rsid w:val="4139028D"/>
    <w:rsid w:val="413A53EA"/>
    <w:rsid w:val="413D6260"/>
    <w:rsid w:val="413E270C"/>
    <w:rsid w:val="414214F9"/>
    <w:rsid w:val="4149251B"/>
    <w:rsid w:val="414C7DE9"/>
    <w:rsid w:val="415037DD"/>
    <w:rsid w:val="41526D4A"/>
    <w:rsid w:val="415646EB"/>
    <w:rsid w:val="415F730C"/>
    <w:rsid w:val="41621B71"/>
    <w:rsid w:val="416E4747"/>
    <w:rsid w:val="41744D2D"/>
    <w:rsid w:val="41811A80"/>
    <w:rsid w:val="41831B93"/>
    <w:rsid w:val="418C5377"/>
    <w:rsid w:val="418D7C08"/>
    <w:rsid w:val="418F600A"/>
    <w:rsid w:val="419165DA"/>
    <w:rsid w:val="41945E2E"/>
    <w:rsid w:val="41AA0EFE"/>
    <w:rsid w:val="41AE6491"/>
    <w:rsid w:val="41B32848"/>
    <w:rsid w:val="41B3723D"/>
    <w:rsid w:val="41C3570F"/>
    <w:rsid w:val="41C65E0E"/>
    <w:rsid w:val="41C954F1"/>
    <w:rsid w:val="41D659E7"/>
    <w:rsid w:val="41D92815"/>
    <w:rsid w:val="41E33C60"/>
    <w:rsid w:val="41EB6338"/>
    <w:rsid w:val="41EE1F6D"/>
    <w:rsid w:val="41FC7345"/>
    <w:rsid w:val="41FF7A7E"/>
    <w:rsid w:val="420267DC"/>
    <w:rsid w:val="42055BCF"/>
    <w:rsid w:val="42062C90"/>
    <w:rsid w:val="420D35D1"/>
    <w:rsid w:val="42124FEB"/>
    <w:rsid w:val="421E19DD"/>
    <w:rsid w:val="42201ADB"/>
    <w:rsid w:val="42236C51"/>
    <w:rsid w:val="42243ADD"/>
    <w:rsid w:val="4226140E"/>
    <w:rsid w:val="42262641"/>
    <w:rsid w:val="422A6BE5"/>
    <w:rsid w:val="422D7D03"/>
    <w:rsid w:val="42310E70"/>
    <w:rsid w:val="42387360"/>
    <w:rsid w:val="423A512B"/>
    <w:rsid w:val="42417305"/>
    <w:rsid w:val="424E09DB"/>
    <w:rsid w:val="424F14CB"/>
    <w:rsid w:val="425830C6"/>
    <w:rsid w:val="425C6098"/>
    <w:rsid w:val="42646511"/>
    <w:rsid w:val="4265214F"/>
    <w:rsid w:val="426703CA"/>
    <w:rsid w:val="426724A2"/>
    <w:rsid w:val="428D023C"/>
    <w:rsid w:val="428D5E99"/>
    <w:rsid w:val="428E62C2"/>
    <w:rsid w:val="429007CB"/>
    <w:rsid w:val="42942831"/>
    <w:rsid w:val="4298297C"/>
    <w:rsid w:val="429953F0"/>
    <w:rsid w:val="42A826E7"/>
    <w:rsid w:val="42AE6807"/>
    <w:rsid w:val="42B20202"/>
    <w:rsid w:val="42B216F1"/>
    <w:rsid w:val="42C30985"/>
    <w:rsid w:val="42CE5721"/>
    <w:rsid w:val="42CF2B62"/>
    <w:rsid w:val="42D27F5D"/>
    <w:rsid w:val="42D83185"/>
    <w:rsid w:val="42DA1044"/>
    <w:rsid w:val="42E04F76"/>
    <w:rsid w:val="42E22233"/>
    <w:rsid w:val="42E27E52"/>
    <w:rsid w:val="42E44134"/>
    <w:rsid w:val="42F867E3"/>
    <w:rsid w:val="42F96836"/>
    <w:rsid w:val="42FC1238"/>
    <w:rsid w:val="43065E58"/>
    <w:rsid w:val="43081AD9"/>
    <w:rsid w:val="43187E3B"/>
    <w:rsid w:val="43271B07"/>
    <w:rsid w:val="43280811"/>
    <w:rsid w:val="43284A6A"/>
    <w:rsid w:val="432F2506"/>
    <w:rsid w:val="43326C4D"/>
    <w:rsid w:val="43340E51"/>
    <w:rsid w:val="43381992"/>
    <w:rsid w:val="433A3D54"/>
    <w:rsid w:val="433F23BF"/>
    <w:rsid w:val="434E67E9"/>
    <w:rsid w:val="43501147"/>
    <w:rsid w:val="43527EA5"/>
    <w:rsid w:val="43621575"/>
    <w:rsid w:val="436624A8"/>
    <w:rsid w:val="43666F3B"/>
    <w:rsid w:val="436C03B1"/>
    <w:rsid w:val="436C0A55"/>
    <w:rsid w:val="436D064B"/>
    <w:rsid w:val="43726256"/>
    <w:rsid w:val="437460FA"/>
    <w:rsid w:val="43754D8C"/>
    <w:rsid w:val="437D37BF"/>
    <w:rsid w:val="437D5D97"/>
    <w:rsid w:val="438364F6"/>
    <w:rsid w:val="43837506"/>
    <w:rsid w:val="43877E89"/>
    <w:rsid w:val="438B5FFE"/>
    <w:rsid w:val="43996CCD"/>
    <w:rsid w:val="43A63197"/>
    <w:rsid w:val="43A7232B"/>
    <w:rsid w:val="43A86F10"/>
    <w:rsid w:val="43AF03C9"/>
    <w:rsid w:val="43B12337"/>
    <w:rsid w:val="43B14470"/>
    <w:rsid w:val="43B43EDE"/>
    <w:rsid w:val="43B47D4C"/>
    <w:rsid w:val="43B74B3C"/>
    <w:rsid w:val="43B906FC"/>
    <w:rsid w:val="43C471BD"/>
    <w:rsid w:val="43CB16B2"/>
    <w:rsid w:val="43DF7E96"/>
    <w:rsid w:val="43E04F09"/>
    <w:rsid w:val="43E17880"/>
    <w:rsid w:val="43E30165"/>
    <w:rsid w:val="43E4084E"/>
    <w:rsid w:val="43E800C6"/>
    <w:rsid w:val="43F52C05"/>
    <w:rsid w:val="43FB3CC9"/>
    <w:rsid w:val="43FB7DF3"/>
    <w:rsid w:val="43FC346C"/>
    <w:rsid w:val="44062548"/>
    <w:rsid w:val="440E5844"/>
    <w:rsid w:val="44117846"/>
    <w:rsid w:val="441A7E0D"/>
    <w:rsid w:val="442073EE"/>
    <w:rsid w:val="44257D8E"/>
    <w:rsid w:val="442A5D06"/>
    <w:rsid w:val="442B20C0"/>
    <w:rsid w:val="442E5908"/>
    <w:rsid w:val="4439540E"/>
    <w:rsid w:val="44427364"/>
    <w:rsid w:val="44512364"/>
    <w:rsid w:val="44560305"/>
    <w:rsid w:val="445D5F4C"/>
    <w:rsid w:val="446636C5"/>
    <w:rsid w:val="44707B06"/>
    <w:rsid w:val="447D1640"/>
    <w:rsid w:val="4480296D"/>
    <w:rsid w:val="448166E9"/>
    <w:rsid w:val="448678B2"/>
    <w:rsid w:val="448B2374"/>
    <w:rsid w:val="448E51CC"/>
    <w:rsid w:val="4494624E"/>
    <w:rsid w:val="449848C7"/>
    <w:rsid w:val="44AF4BA1"/>
    <w:rsid w:val="44B253BE"/>
    <w:rsid w:val="44B2632E"/>
    <w:rsid w:val="44B2697E"/>
    <w:rsid w:val="44B33DBE"/>
    <w:rsid w:val="44B55895"/>
    <w:rsid w:val="44BC1818"/>
    <w:rsid w:val="44BC1ADC"/>
    <w:rsid w:val="44BC6084"/>
    <w:rsid w:val="44C33C1C"/>
    <w:rsid w:val="44C77FE4"/>
    <w:rsid w:val="44CE7E45"/>
    <w:rsid w:val="44D11736"/>
    <w:rsid w:val="44D55756"/>
    <w:rsid w:val="44D67928"/>
    <w:rsid w:val="44DC72E5"/>
    <w:rsid w:val="44E00E0F"/>
    <w:rsid w:val="44E132FE"/>
    <w:rsid w:val="44E73A68"/>
    <w:rsid w:val="44E915E3"/>
    <w:rsid w:val="44F70F49"/>
    <w:rsid w:val="44FA649B"/>
    <w:rsid w:val="44FB7CD7"/>
    <w:rsid w:val="44FE7B0F"/>
    <w:rsid w:val="45083201"/>
    <w:rsid w:val="450939CD"/>
    <w:rsid w:val="450B3CA0"/>
    <w:rsid w:val="4510454F"/>
    <w:rsid w:val="45156827"/>
    <w:rsid w:val="45185AF4"/>
    <w:rsid w:val="45206383"/>
    <w:rsid w:val="45213D1D"/>
    <w:rsid w:val="45234637"/>
    <w:rsid w:val="452D38D3"/>
    <w:rsid w:val="453942C3"/>
    <w:rsid w:val="453D64FE"/>
    <w:rsid w:val="453E4193"/>
    <w:rsid w:val="454255CA"/>
    <w:rsid w:val="45487968"/>
    <w:rsid w:val="45577395"/>
    <w:rsid w:val="4558522E"/>
    <w:rsid w:val="4561316A"/>
    <w:rsid w:val="45633AE3"/>
    <w:rsid w:val="45644225"/>
    <w:rsid w:val="45655BD9"/>
    <w:rsid w:val="4578199F"/>
    <w:rsid w:val="457E599C"/>
    <w:rsid w:val="4582605D"/>
    <w:rsid w:val="4584775C"/>
    <w:rsid w:val="458978FD"/>
    <w:rsid w:val="45916EEF"/>
    <w:rsid w:val="459B392A"/>
    <w:rsid w:val="45A20CE2"/>
    <w:rsid w:val="45A81950"/>
    <w:rsid w:val="45AB2840"/>
    <w:rsid w:val="45AB71DA"/>
    <w:rsid w:val="45B80B4A"/>
    <w:rsid w:val="45B92244"/>
    <w:rsid w:val="45BA29C7"/>
    <w:rsid w:val="45BE4FDB"/>
    <w:rsid w:val="45BE62C2"/>
    <w:rsid w:val="45C0705E"/>
    <w:rsid w:val="45E27A68"/>
    <w:rsid w:val="45E42F61"/>
    <w:rsid w:val="45EC2392"/>
    <w:rsid w:val="45F01DCD"/>
    <w:rsid w:val="45F4643C"/>
    <w:rsid w:val="45F5651F"/>
    <w:rsid w:val="45F62E65"/>
    <w:rsid w:val="45FD74ED"/>
    <w:rsid w:val="45FF5F92"/>
    <w:rsid w:val="460149F1"/>
    <w:rsid w:val="46050349"/>
    <w:rsid w:val="460B16A1"/>
    <w:rsid w:val="461D3BE5"/>
    <w:rsid w:val="461E3F3C"/>
    <w:rsid w:val="46206E94"/>
    <w:rsid w:val="46221289"/>
    <w:rsid w:val="4628335F"/>
    <w:rsid w:val="4628691C"/>
    <w:rsid w:val="462D194E"/>
    <w:rsid w:val="46324558"/>
    <w:rsid w:val="46365564"/>
    <w:rsid w:val="46382CF3"/>
    <w:rsid w:val="463E4B6F"/>
    <w:rsid w:val="46412901"/>
    <w:rsid w:val="46430660"/>
    <w:rsid w:val="464B1905"/>
    <w:rsid w:val="4658217D"/>
    <w:rsid w:val="46582EB5"/>
    <w:rsid w:val="46610538"/>
    <w:rsid w:val="466C778C"/>
    <w:rsid w:val="4670530F"/>
    <w:rsid w:val="467F1EF6"/>
    <w:rsid w:val="468676F9"/>
    <w:rsid w:val="46910093"/>
    <w:rsid w:val="46AB4DBE"/>
    <w:rsid w:val="46AF5FB8"/>
    <w:rsid w:val="46B35B9F"/>
    <w:rsid w:val="46BF115D"/>
    <w:rsid w:val="46C44CB7"/>
    <w:rsid w:val="46C5380C"/>
    <w:rsid w:val="46C96A6C"/>
    <w:rsid w:val="46CB603F"/>
    <w:rsid w:val="46D21F34"/>
    <w:rsid w:val="46D54FF2"/>
    <w:rsid w:val="46D63D94"/>
    <w:rsid w:val="46DA7D28"/>
    <w:rsid w:val="46E614E1"/>
    <w:rsid w:val="46F05271"/>
    <w:rsid w:val="46F100B8"/>
    <w:rsid w:val="46F21928"/>
    <w:rsid w:val="46F75E6E"/>
    <w:rsid w:val="46FA7FB8"/>
    <w:rsid w:val="47002DEF"/>
    <w:rsid w:val="47037841"/>
    <w:rsid w:val="470B0531"/>
    <w:rsid w:val="471D158B"/>
    <w:rsid w:val="471F3210"/>
    <w:rsid w:val="47336C6F"/>
    <w:rsid w:val="473867FC"/>
    <w:rsid w:val="473F7F3D"/>
    <w:rsid w:val="47402DAA"/>
    <w:rsid w:val="47471F09"/>
    <w:rsid w:val="474750DC"/>
    <w:rsid w:val="474A6C5C"/>
    <w:rsid w:val="474C419A"/>
    <w:rsid w:val="474E6907"/>
    <w:rsid w:val="474E7A5D"/>
    <w:rsid w:val="47567017"/>
    <w:rsid w:val="475E0087"/>
    <w:rsid w:val="475E3976"/>
    <w:rsid w:val="476140B1"/>
    <w:rsid w:val="476269FC"/>
    <w:rsid w:val="47666D38"/>
    <w:rsid w:val="476F6838"/>
    <w:rsid w:val="47763FFA"/>
    <w:rsid w:val="47775577"/>
    <w:rsid w:val="477A6363"/>
    <w:rsid w:val="4780263C"/>
    <w:rsid w:val="478104EB"/>
    <w:rsid w:val="47863271"/>
    <w:rsid w:val="478839AE"/>
    <w:rsid w:val="478857C3"/>
    <w:rsid w:val="47896D4F"/>
    <w:rsid w:val="47975C19"/>
    <w:rsid w:val="47982A36"/>
    <w:rsid w:val="47A21D03"/>
    <w:rsid w:val="47AB6FCE"/>
    <w:rsid w:val="47AC4635"/>
    <w:rsid w:val="47AD79A7"/>
    <w:rsid w:val="47B45F77"/>
    <w:rsid w:val="47B601F9"/>
    <w:rsid w:val="47BE2659"/>
    <w:rsid w:val="47C65B11"/>
    <w:rsid w:val="47C80021"/>
    <w:rsid w:val="47C87B80"/>
    <w:rsid w:val="47CC159F"/>
    <w:rsid w:val="47CD163B"/>
    <w:rsid w:val="47D31B17"/>
    <w:rsid w:val="47D51828"/>
    <w:rsid w:val="47D604EF"/>
    <w:rsid w:val="47D64E19"/>
    <w:rsid w:val="47DD2D70"/>
    <w:rsid w:val="47E335C5"/>
    <w:rsid w:val="47E66258"/>
    <w:rsid w:val="47F00544"/>
    <w:rsid w:val="47F70466"/>
    <w:rsid w:val="47FA38B9"/>
    <w:rsid w:val="480712F5"/>
    <w:rsid w:val="482149DA"/>
    <w:rsid w:val="4826335E"/>
    <w:rsid w:val="482A6A56"/>
    <w:rsid w:val="482B534E"/>
    <w:rsid w:val="48314ADF"/>
    <w:rsid w:val="483639D2"/>
    <w:rsid w:val="483B0BC3"/>
    <w:rsid w:val="483C2771"/>
    <w:rsid w:val="48445D81"/>
    <w:rsid w:val="4844715C"/>
    <w:rsid w:val="484503C6"/>
    <w:rsid w:val="48492230"/>
    <w:rsid w:val="484C07B1"/>
    <w:rsid w:val="484D4424"/>
    <w:rsid w:val="485A3E9A"/>
    <w:rsid w:val="485C4105"/>
    <w:rsid w:val="48652AF4"/>
    <w:rsid w:val="486A61A5"/>
    <w:rsid w:val="486C0E54"/>
    <w:rsid w:val="48725180"/>
    <w:rsid w:val="487E153D"/>
    <w:rsid w:val="48802857"/>
    <w:rsid w:val="48817770"/>
    <w:rsid w:val="488D31C1"/>
    <w:rsid w:val="48971C07"/>
    <w:rsid w:val="489A3FC2"/>
    <w:rsid w:val="489A5DAA"/>
    <w:rsid w:val="48A27CAA"/>
    <w:rsid w:val="48A31B88"/>
    <w:rsid w:val="48A979B2"/>
    <w:rsid w:val="48AA49E6"/>
    <w:rsid w:val="48B23AEE"/>
    <w:rsid w:val="48BC04DD"/>
    <w:rsid w:val="48BE2CF0"/>
    <w:rsid w:val="48C15D8D"/>
    <w:rsid w:val="48C25955"/>
    <w:rsid w:val="48C955E5"/>
    <w:rsid w:val="48CA6810"/>
    <w:rsid w:val="48D13B36"/>
    <w:rsid w:val="48DA439B"/>
    <w:rsid w:val="48DC4702"/>
    <w:rsid w:val="48E44E43"/>
    <w:rsid w:val="48E4724D"/>
    <w:rsid w:val="48E53924"/>
    <w:rsid w:val="48E63F8B"/>
    <w:rsid w:val="48E94329"/>
    <w:rsid w:val="48EF0F23"/>
    <w:rsid w:val="48FB4BC3"/>
    <w:rsid w:val="48FB5804"/>
    <w:rsid w:val="49086D1B"/>
    <w:rsid w:val="4913307D"/>
    <w:rsid w:val="4915791B"/>
    <w:rsid w:val="491C3076"/>
    <w:rsid w:val="49206717"/>
    <w:rsid w:val="492412DB"/>
    <w:rsid w:val="492C413F"/>
    <w:rsid w:val="49324DD3"/>
    <w:rsid w:val="4939707B"/>
    <w:rsid w:val="493E5E9C"/>
    <w:rsid w:val="49414B4F"/>
    <w:rsid w:val="49435EA6"/>
    <w:rsid w:val="494A552B"/>
    <w:rsid w:val="495077AD"/>
    <w:rsid w:val="49532CF3"/>
    <w:rsid w:val="49581E86"/>
    <w:rsid w:val="4958391B"/>
    <w:rsid w:val="495D7302"/>
    <w:rsid w:val="496607B9"/>
    <w:rsid w:val="496C36CB"/>
    <w:rsid w:val="496D2BF3"/>
    <w:rsid w:val="4970360F"/>
    <w:rsid w:val="497B6C1C"/>
    <w:rsid w:val="49825EA3"/>
    <w:rsid w:val="49845D29"/>
    <w:rsid w:val="498A77E3"/>
    <w:rsid w:val="498B509D"/>
    <w:rsid w:val="499402FE"/>
    <w:rsid w:val="499B6E75"/>
    <w:rsid w:val="49A10911"/>
    <w:rsid w:val="49A13026"/>
    <w:rsid w:val="49A81F15"/>
    <w:rsid w:val="49AE2BAD"/>
    <w:rsid w:val="49B07C49"/>
    <w:rsid w:val="49B24B36"/>
    <w:rsid w:val="49B31060"/>
    <w:rsid w:val="49BA3A93"/>
    <w:rsid w:val="49BC5080"/>
    <w:rsid w:val="49BD004C"/>
    <w:rsid w:val="49BD1576"/>
    <w:rsid w:val="49BE7C01"/>
    <w:rsid w:val="49BF6B4D"/>
    <w:rsid w:val="49C97028"/>
    <w:rsid w:val="49CA5515"/>
    <w:rsid w:val="49DA5740"/>
    <w:rsid w:val="49DB093F"/>
    <w:rsid w:val="49DC0B0E"/>
    <w:rsid w:val="49DE64CC"/>
    <w:rsid w:val="49E13015"/>
    <w:rsid w:val="49F00F52"/>
    <w:rsid w:val="49F35183"/>
    <w:rsid w:val="49FD72CF"/>
    <w:rsid w:val="4A0A50DE"/>
    <w:rsid w:val="4A122E59"/>
    <w:rsid w:val="4A205A52"/>
    <w:rsid w:val="4A235C8A"/>
    <w:rsid w:val="4A292935"/>
    <w:rsid w:val="4A2E6BA5"/>
    <w:rsid w:val="4A33120A"/>
    <w:rsid w:val="4A35109E"/>
    <w:rsid w:val="4A360ACF"/>
    <w:rsid w:val="4A377A65"/>
    <w:rsid w:val="4A385EDB"/>
    <w:rsid w:val="4A397CF0"/>
    <w:rsid w:val="4A3E5075"/>
    <w:rsid w:val="4A3E5F17"/>
    <w:rsid w:val="4A471EB8"/>
    <w:rsid w:val="4A49367A"/>
    <w:rsid w:val="4A4A7180"/>
    <w:rsid w:val="4A4D16C6"/>
    <w:rsid w:val="4A4D331B"/>
    <w:rsid w:val="4A5509E6"/>
    <w:rsid w:val="4A5B4CDC"/>
    <w:rsid w:val="4A5F3427"/>
    <w:rsid w:val="4A6C0C97"/>
    <w:rsid w:val="4A8C7C76"/>
    <w:rsid w:val="4AA44519"/>
    <w:rsid w:val="4AAB34BB"/>
    <w:rsid w:val="4AAF54B1"/>
    <w:rsid w:val="4AB00AB1"/>
    <w:rsid w:val="4AB26985"/>
    <w:rsid w:val="4AB838E8"/>
    <w:rsid w:val="4AB86624"/>
    <w:rsid w:val="4ABC5097"/>
    <w:rsid w:val="4ABE4768"/>
    <w:rsid w:val="4AC07A88"/>
    <w:rsid w:val="4AC34B56"/>
    <w:rsid w:val="4AC568E5"/>
    <w:rsid w:val="4AC72371"/>
    <w:rsid w:val="4AD31BF7"/>
    <w:rsid w:val="4AD578A7"/>
    <w:rsid w:val="4AD85CF3"/>
    <w:rsid w:val="4AE12695"/>
    <w:rsid w:val="4AE5063F"/>
    <w:rsid w:val="4AEB4287"/>
    <w:rsid w:val="4AEC002A"/>
    <w:rsid w:val="4AF201D5"/>
    <w:rsid w:val="4AF61B05"/>
    <w:rsid w:val="4AF87CD0"/>
    <w:rsid w:val="4AFD1ED3"/>
    <w:rsid w:val="4B0453E7"/>
    <w:rsid w:val="4B052044"/>
    <w:rsid w:val="4B124BB6"/>
    <w:rsid w:val="4B162370"/>
    <w:rsid w:val="4B1969EA"/>
    <w:rsid w:val="4B1D4D58"/>
    <w:rsid w:val="4B1E3E9D"/>
    <w:rsid w:val="4B201A81"/>
    <w:rsid w:val="4B2373E8"/>
    <w:rsid w:val="4B247B19"/>
    <w:rsid w:val="4B28699B"/>
    <w:rsid w:val="4B30654A"/>
    <w:rsid w:val="4B313770"/>
    <w:rsid w:val="4B337729"/>
    <w:rsid w:val="4B37776E"/>
    <w:rsid w:val="4B3D274E"/>
    <w:rsid w:val="4B415F6D"/>
    <w:rsid w:val="4B53794C"/>
    <w:rsid w:val="4B5847DE"/>
    <w:rsid w:val="4B5F2399"/>
    <w:rsid w:val="4B6235A7"/>
    <w:rsid w:val="4B742639"/>
    <w:rsid w:val="4B771FE9"/>
    <w:rsid w:val="4B817735"/>
    <w:rsid w:val="4B863FDA"/>
    <w:rsid w:val="4B8938A4"/>
    <w:rsid w:val="4B8A6570"/>
    <w:rsid w:val="4B947A37"/>
    <w:rsid w:val="4B990B42"/>
    <w:rsid w:val="4BA21CED"/>
    <w:rsid w:val="4BA47014"/>
    <w:rsid w:val="4BA56959"/>
    <w:rsid w:val="4BA56AD4"/>
    <w:rsid w:val="4BAA137B"/>
    <w:rsid w:val="4BAA58CE"/>
    <w:rsid w:val="4BB26B7D"/>
    <w:rsid w:val="4BB5041C"/>
    <w:rsid w:val="4BB560F4"/>
    <w:rsid w:val="4BB64CD0"/>
    <w:rsid w:val="4BBF107F"/>
    <w:rsid w:val="4BC12085"/>
    <w:rsid w:val="4BC41A56"/>
    <w:rsid w:val="4BC65FDF"/>
    <w:rsid w:val="4BC859C1"/>
    <w:rsid w:val="4BCC20D6"/>
    <w:rsid w:val="4BD40AAB"/>
    <w:rsid w:val="4BE25AD4"/>
    <w:rsid w:val="4BE84CBE"/>
    <w:rsid w:val="4BEA6922"/>
    <w:rsid w:val="4BEB2C94"/>
    <w:rsid w:val="4BF1099C"/>
    <w:rsid w:val="4BF24EAD"/>
    <w:rsid w:val="4BF623B0"/>
    <w:rsid w:val="4BF86D6D"/>
    <w:rsid w:val="4BFB0607"/>
    <w:rsid w:val="4C0007D3"/>
    <w:rsid w:val="4C00522E"/>
    <w:rsid w:val="4C0118B3"/>
    <w:rsid w:val="4C051F8F"/>
    <w:rsid w:val="4C08466C"/>
    <w:rsid w:val="4C085165"/>
    <w:rsid w:val="4C0A0767"/>
    <w:rsid w:val="4C12207D"/>
    <w:rsid w:val="4C141F88"/>
    <w:rsid w:val="4C1471C6"/>
    <w:rsid w:val="4C152CAE"/>
    <w:rsid w:val="4C1604D1"/>
    <w:rsid w:val="4C2757BD"/>
    <w:rsid w:val="4C27778C"/>
    <w:rsid w:val="4C28045F"/>
    <w:rsid w:val="4C303F46"/>
    <w:rsid w:val="4C353FDB"/>
    <w:rsid w:val="4C39729F"/>
    <w:rsid w:val="4C3F1A17"/>
    <w:rsid w:val="4C3F668A"/>
    <w:rsid w:val="4C4125D9"/>
    <w:rsid w:val="4C4437AE"/>
    <w:rsid w:val="4C4E5B23"/>
    <w:rsid w:val="4C50471A"/>
    <w:rsid w:val="4C516396"/>
    <w:rsid w:val="4C534C86"/>
    <w:rsid w:val="4C534FDF"/>
    <w:rsid w:val="4C5D11D7"/>
    <w:rsid w:val="4C5E3199"/>
    <w:rsid w:val="4C5E6ACF"/>
    <w:rsid w:val="4C632FB1"/>
    <w:rsid w:val="4C686D9D"/>
    <w:rsid w:val="4C6B2FE2"/>
    <w:rsid w:val="4C7239B7"/>
    <w:rsid w:val="4C787885"/>
    <w:rsid w:val="4C7E409F"/>
    <w:rsid w:val="4C807EFC"/>
    <w:rsid w:val="4C831751"/>
    <w:rsid w:val="4C921493"/>
    <w:rsid w:val="4C96075E"/>
    <w:rsid w:val="4C960838"/>
    <w:rsid w:val="4C9C4DA0"/>
    <w:rsid w:val="4CA563AA"/>
    <w:rsid w:val="4CB210AA"/>
    <w:rsid w:val="4CB4376C"/>
    <w:rsid w:val="4CBD0B1F"/>
    <w:rsid w:val="4CBF37E7"/>
    <w:rsid w:val="4CC0639D"/>
    <w:rsid w:val="4CC22A4A"/>
    <w:rsid w:val="4CC64FB8"/>
    <w:rsid w:val="4CCA40FA"/>
    <w:rsid w:val="4CE87889"/>
    <w:rsid w:val="4CED710E"/>
    <w:rsid w:val="4CF17AA4"/>
    <w:rsid w:val="4CF87AFD"/>
    <w:rsid w:val="4D003857"/>
    <w:rsid w:val="4D05521E"/>
    <w:rsid w:val="4D076FF3"/>
    <w:rsid w:val="4D08414A"/>
    <w:rsid w:val="4D092506"/>
    <w:rsid w:val="4D0B5FEA"/>
    <w:rsid w:val="4D183358"/>
    <w:rsid w:val="4D1D096E"/>
    <w:rsid w:val="4D200666"/>
    <w:rsid w:val="4D3453B4"/>
    <w:rsid w:val="4D3A7012"/>
    <w:rsid w:val="4D3D19D7"/>
    <w:rsid w:val="4D3D691B"/>
    <w:rsid w:val="4D412977"/>
    <w:rsid w:val="4D451508"/>
    <w:rsid w:val="4D47346B"/>
    <w:rsid w:val="4D495DF4"/>
    <w:rsid w:val="4D581CBD"/>
    <w:rsid w:val="4D5A3970"/>
    <w:rsid w:val="4D69316A"/>
    <w:rsid w:val="4D7234EB"/>
    <w:rsid w:val="4D732E47"/>
    <w:rsid w:val="4D785A58"/>
    <w:rsid w:val="4D853E44"/>
    <w:rsid w:val="4D8744C7"/>
    <w:rsid w:val="4D970124"/>
    <w:rsid w:val="4D992749"/>
    <w:rsid w:val="4D9E28E6"/>
    <w:rsid w:val="4DAF745E"/>
    <w:rsid w:val="4DBE5CAD"/>
    <w:rsid w:val="4DC2477B"/>
    <w:rsid w:val="4DC37AAD"/>
    <w:rsid w:val="4DD03A81"/>
    <w:rsid w:val="4DE1012A"/>
    <w:rsid w:val="4DE56472"/>
    <w:rsid w:val="4DE568B7"/>
    <w:rsid w:val="4DE66FB2"/>
    <w:rsid w:val="4DE726B1"/>
    <w:rsid w:val="4DEA16B8"/>
    <w:rsid w:val="4DF17ECD"/>
    <w:rsid w:val="4DF27705"/>
    <w:rsid w:val="4DF65554"/>
    <w:rsid w:val="4DFA077E"/>
    <w:rsid w:val="4DFC1243"/>
    <w:rsid w:val="4DFE60AA"/>
    <w:rsid w:val="4E02229A"/>
    <w:rsid w:val="4E07119F"/>
    <w:rsid w:val="4E116B08"/>
    <w:rsid w:val="4E132BF4"/>
    <w:rsid w:val="4E162BA9"/>
    <w:rsid w:val="4E1B4E0F"/>
    <w:rsid w:val="4E1E0460"/>
    <w:rsid w:val="4E1F2098"/>
    <w:rsid w:val="4E245FCD"/>
    <w:rsid w:val="4E2A37D7"/>
    <w:rsid w:val="4E2C0F3C"/>
    <w:rsid w:val="4E2E487D"/>
    <w:rsid w:val="4E2F4F0E"/>
    <w:rsid w:val="4E3F0D8B"/>
    <w:rsid w:val="4E452F68"/>
    <w:rsid w:val="4E4F4B57"/>
    <w:rsid w:val="4E4F602D"/>
    <w:rsid w:val="4E521DCC"/>
    <w:rsid w:val="4E563A79"/>
    <w:rsid w:val="4E585C19"/>
    <w:rsid w:val="4E5D37BF"/>
    <w:rsid w:val="4E5E7854"/>
    <w:rsid w:val="4E60113A"/>
    <w:rsid w:val="4E6925EF"/>
    <w:rsid w:val="4E720846"/>
    <w:rsid w:val="4E7861E5"/>
    <w:rsid w:val="4E7C40A4"/>
    <w:rsid w:val="4E8267E7"/>
    <w:rsid w:val="4E826B8B"/>
    <w:rsid w:val="4E8902BA"/>
    <w:rsid w:val="4E8B1908"/>
    <w:rsid w:val="4E8C7B5A"/>
    <w:rsid w:val="4E915C83"/>
    <w:rsid w:val="4E920755"/>
    <w:rsid w:val="4E980798"/>
    <w:rsid w:val="4E9A5427"/>
    <w:rsid w:val="4E9A7B73"/>
    <w:rsid w:val="4E9B0F4C"/>
    <w:rsid w:val="4E9C1683"/>
    <w:rsid w:val="4E9E6AA4"/>
    <w:rsid w:val="4EA244DC"/>
    <w:rsid w:val="4EA3784C"/>
    <w:rsid w:val="4EA418E8"/>
    <w:rsid w:val="4EB951BF"/>
    <w:rsid w:val="4EBB4EBF"/>
    <w:rsid w:val="4EBB7642"/>
    <w:rsid w:val="4EBF6B54"/>
    <w:rsid w:val="4EC015B1"/>
    <w:rsid w:val="4EC0678A"/>
    <w:rsid w:val="4EC15329"/>
    <w:rsid w:val="4EC16EB7"/>
    <w:rsid w:val="4EC217CD"/>
    <w:rsid w:val="4EC512BE"/>
    <w:rsid w:val="4EC935CE"/>
    <w:rsid w:val="4ECC6563"/>
    <w:rsid w:val="4ECD2EF2"/>
    <w:rsid w:val="4ED11C95"/>
    <w:rsid w:val="4ED15594"/>
    <w:rsid w:val="4EDB4BC8"/>
    <w:rsid w:val="4EDC019B"/>
    <w:rsid w:val="4EDD798C"/>
    <w:rsid w:val="4EE27137"/>
    <w:rsid w:val="4EEB6A39"/>
    <w:rsid w:val="4EF44D23"/>
    <w:rsid w:val="4EF844EA"/>
    <w:rsid w:val="4EFB4CDF"/>
    <w:rsid w:val="4EFB744F"/>
    <w:rsid w:val="4EFC3112"/>
    <w:rsid w:val="4EFD1701"/>
    <w:rsid w:val="4EFF66FB"/>
    <w:rsid w:val="4F011110"/>
    <w:rsid w:val="4F040683"/>
    <w:rsid w:val="4F0B603C"/>
    <w:rsid w:val="4F130C17"/>
    <w:rsid w:val="4F166D4A"/>
    <w:rsid w:val="4F1D55DD"/>
    <w:rsid w:val="4F270D2D"/>
    <w:rsid w:val="4F2737C5"/>
    <w:rsid w:val="4F3124AF"/>
    <w:rsid w:val="4F31723C"/>
    <w:rsid w:val="4F340C63"/>
    <w:rsid w:val="4F3E1BA7"/>
    <w:rsid w:val="4F527868"/>
    <w:rsid w:val="4F574054"/>
    <w:rsid w:val="4F6709AC"/>
    <w:rsid w:val="4F6D642E"/>
    <w:rsid w:val="4F6F762E"/>
    <w:rsid w:val="4F767689"/>
    <w:rsid w:val="4F7B372A"/>
    <w:rsid w:val="4F89488A"/>
    <w:rsid w:val="4F926827"/>
    <w:rsid w:val="4F98633D"/>
    <w:rsid w:val="4FA4623D"/>
    <w:rsid w:val="4FA86461"/>
    <w:rsid w:val="4FA9473B"/>
    <w:rsid w:val="4FAA16EE"/>
    <w:rsid w:val="4FAB620C"/>
    <w:rsid w:val="4FAE2F1D"/>
    <w:rsid w:val="4FB25D36"/>
    <w:rsid w:val="4FB55FF8"/>
    <w:rsid w:val="4FC3659A"/>
    <w:rsid w:val="4FCC3F86"/>
    <w:rsid w:val="4FCF79B6"/>
    <w:rsid w:val="4FD03A76"/>
    <w:rsid w:val="4FD73723"/>
    <w:rsid w:val="4FDC54E3"/>
    <w:rsid w:val="4FE06869"/>
    <w:rsid w:val="4FE17A31"/>
    <w:rsid w:val="4FE27BEA"/>
    <w:rsid w:val="4FE9200A"/>
    <w:rsid w:val="4FF42752"/>
    <w:rsid w:val="4FF67560"/>
    <w:rsid w:val="4FF87BDA"/>
    <w:rsid w:val="4FFD4205"/>
    <w:rsid w:val="4FFF5603"/>
    <w:rsid w:val="500035DB"/>
    <w:rsid w:val="500554BB"/>
    <w:rsid w:val="50082791"/>
    <w:rsid w:val="500A21E7"/>
    <w:rsid w:val="5010424F"/>
    <w:rsid w:val="50153705"/>
    <w:rsid w:val="50222B1C"/>
    <w:rsid w:val="502318E5"/>
    <w:rsid w:val="502456DC"/>
    <w:rsid w:val="502C1D24"/>
    <w:rsid w:val="502E1C8A"/>
    <w:rsid w:val="502E37C2"/>
    <w:rsid w:val="502E50F4"/>
    <w:rsid w:val="503066A3"/>
    <w:rsid w:val="50332E67"/>
    <w:rsid w:val="503C55AF"/>
    <w:rsid w:val="503E77A0"/>
    <w:rsid w:val="504967D4"/>
    <w:rsid w:val="504C56EA"/>
    <w:rsid w:val="50506965"/>
    <w:rsid w:val="50523597"/>
    <w:rsid w:val="50537E95"/>
    <w:rsid w:val="50562C2E"/>
    <w:rsid w:val="50583896"/>
    <w:rsid w:val="50585CC6"/>
    <w:rsid w:val="5059113E"/>
    <w:rsid w:val="506871A6"/>
    <w:rsid w:val="506B39C8"/>
    <w:rsid w:val="50757758"/>
    <w:rsid w:val="507B54D2"/>
    <w:rsid w:val="507C7479"/>
    <w:rsid w:val="507E4835"/>
    <w:rsid w:val="50807FAC"/>
    <w:rsid w:val="508159F6"/>
    <w:rsid w:val="50841FF1"/>
    <w:rsid w:val="508605D9"/>
    <w:rsid w:val="50984F92"/>
    <w:rsid w:val="509E4F4D"/>
    <w:rsid w:val="50A07C67"/>
    <w:rsid w:val="50A1286C"/>
    <w:rsid w:val="50A3118B"/>
    <w:rsid w:val="50AB3259"/>
    <w:rsid w:val="50AC4DAF"/>
    <w:rsid w:val="50B568B9"/>
    <w:rsid w:val="50B665B4"/>
    <w:rsid w:val="50B926E0"/>
    <w:rsid w:val="50C069B4"/>
    <w:rsid w:val="50CF168F"/>
    <w:rsid w:val="50D079F5"/>
    <w:rsid w:val="50D101AA"/>
    <w:rsid w:val="50D71075"/>
    <w:rsid w:val="50D97285"/>
    <w:rsid w:val="50DF50C5"/>
    <w:rsid w:val="50E32A6C"/>
    <w:rsid w:val="50E67640"/>
    <w:rsid w:val="50E817D4"/>
    <w:rsid w:val="50E93B81"/>
    <w:rsid w:val="50F6750C"/>
    <w:rsid w:val="50FE4613"/>
    <w:rsid w:val="510530E4"/>
    <w:rsid w:val="510936E3"/>
    <w:rsid w:val="510D3CD7"/>
    <w:rsid w:val="5112329F"/>
    <w:rsid w:val="51161C4E"/>
    <w:rsid w:val="511848E8"/>
    <w:rsid w:val="511E4CB5"/>
    <w:rsid w:val="51205736"/>
    <w:rsid w:val="51242D1A"/>
    <w:rsid w:val="51275130"/>
    <w:rsid w:val="51332596"/>
    <w:rsid w:val="51344E18"/>
    <w:rsid w:val="51346007"/>
    <w:rsid w:val="51360B87"/>
    <w:rsid w:val="513938C9"/>
    <w:rsid w:val="51394095"/>
    <w:rsid w:val="513A2A02"/>
    <w:rsid w:val="513E3F26"/>
    <w:rsid w:val="51401058"/>
    <w:rsid w:val="51475FBA"/>
    <w:rsid w:val="51490CE0"/>
    <w:rsid w:val="514A5AAA"/>
    <w:rsid w:val="514C1FED"/>
    <w:rsid w:val="514E5AEA"/>
    <w:rsid w:val="5156081F"/>
    <w:rsid w:val="51600E24"/>
    <w:rsid w:val="51602B30"/>
    <w:rsid w:val="51657342"/>
    <w:rsid w:val="51722A42"/>
    <w:rsid w:val="5173706F"/>
    <w:rsid w:val="51764AF1"/>
    <w:rsid w:val="51774780"/>
    <w:rsid w:val="51853637"/>
    <w:rsid w:val="518A2050"/>
    <w:rsid w:val="518D1F26"/>
    <w:rsid w:val="519E2B14"/>
    <w:rsid w:val="51A055DC"/>
    <w:rsid w:val="51AA5DE3"/>
    <w:rsid w:val="51AC6764"/>
    <w:rsid w:val="51AD4B3B"/>
    <w:rsid w:val="51B52056"/>
    <w:rsid w:val="51B74F5A"/>
    <w:rsid w:val="51C36CCB"/>
    <w:rsid w:val="51C471B1"/>
    <w:rsid w:val="51CA613D"/>
    <w:rsid w:val="51DB1C8D"/>
    <w:rsid w:val="51E82B6A"/>
    <w:rsid w:val="51EA4CB0"/>
    <w:rsid w:val="51EC1D13"/>
    <w:rsid w:val="51EE435D"/>
    <w:rsid w:val="52000617"/>
    <w:rsid w:val="520A4783"/>
    <w:rsid w:val="520D4FCD"/>
    <w:rsid w:val="520E4EF5"/>
    <w:rsid w:val="520F69D2"/>
    <w:rsid w:val="5212481A"/>
    <w:rsid w:val="52145799"/>
    <w:rsid w:val="521570C5"/>
    <w:rsid w:val="52195BA8"/>
    <w:rsid w:val="521D24AF"/>
    <w:rsid w:val="5221709D"/>
    <w:rsid w:val="52242841"/>
    <w:rsid w:val="52277D53"/>
    <w:rsid w:val="52290E04"/>
    <w:rsid w:val="522B352E"/>
    <w:rsid w:val="522F41A9"/>
    <w:rsid w:val="52306A4E"/>
    <w:rsid w:val="523E6D57"/>
    <w:rsid w:val="52417FCE"/>
    <w:rsid w:val="5244074B"/>
    <w:rsid w:val="52474E72"/>
    <w:rsid w:val="524B6455"/>
    <w:rsid w:val="52517014"/>
    <w:rsid w:val="525E1819"/>
    <w:rsid w:val="52656D4B"/>
    <w:rsid w:val="52690A8A"/>
    <w:rsid w:val="52702CC3"/>
    <w:rsid w:val="527C0553"/>
    <w:rsid w:val="528C00EF"/>
    <w:rsid w:val="52994479"/>
    <w:rsid w:val="529C787B"/>
    <w:rsid w:val="52A118F2"/>
    <w:rsid w:val="52A62910"/>
    <w:rsid w:val="52AC196F"/>
    <w:rsid w:val="52B13167"/>
    <w:rsid w:val="52BB751E"/>
    <w:rsid w:val="52BF0C6B"/>
    <w:rsid w:val="52BF7616"/>
    <w:rsid w:val="52C8312A"/>
    <w:rsid w:val="52D302DE"/>
    <w:rsid w:val="52D7336D"/>
    <w:rsid w:val="52DB37D2"/>
    <w:rsid w:val="52E112D6"/>
    <w:rsid w:val="52EB22F4"/>
    <w:rsid w:val="52EF771A"/>
    <w:rsid w:val="52F23609"/>
    <w:rsid w:val="52F725D3"/>
    <w:rsid w:val="530C71FC"/>
    <w:rsid w:val="53155FA7"/>
    <w:rsid w:val="5318161A"/>
    <w:rsid w:val="531C1040"/>
    <w:rsid w:val="5322283B"/>
    <w:rsid w:val="53243A84"/>
    <w:rsid w:val="532742F5"/>
    <w:rsid w:val="532C2893"/>
    <w:rsid w:val="532E7557"/>
    <w:rsid w:val="53315C4B"/>
    <w:rsid w:val="533A00AA"/>
    <w:rsid w:val="533C7D22"/>
    <w:rsid w:val="53476182"/>
    <w:rsid w:val="534971D2"/>
    <w:rsid w:val="534C3D5B"/>
    <w:rsid w:val="534F7E64"/>
    <w:rsid w:val="53575365"/>
    <w:rsid w:val="53582DCC"/>
    <w:rsid w:val="5359399F"/>
    <w:rsid w:val="53620E89"/>
    <w:rsid w:val="536F51A3"/>
    <w:rsid w:val="537321AC"/>
    <w:rsid w:val="53743ED1"/>
    <w:rsid w:val="53752E08"/>
    <w:rsid w:val="537D120F"/>
    <w:rsid w:val="53920585"/>
    <w:rsid w:val="5396301E"/>
    <w:rsid w:val="539831F9"/>
    <w:rsid w:val="539A41B3"/>
    <w:rsid w:val="53A87319"/>
    <w:rsid w:val="53AA17A9"/>
    <w:rsid w:val="53B842AC"/>
    <w:rsid w:val="53BB5C95"/>
    <w:rsid w:val="53BE5711"/>
    <w:rsid w:val="53C42C43"/>
    <w:rsid w:val="53CB12B0"/>
    <w:rsid w:val="53EC1ECF"/>
    <w:rsid w:val="53F74AF6"/>
    <w:rsid w:val="53FD311C"/>
    <w:rsid w:val="53FD3B90"/>
    <w:rsid w:val="53FE09DA"/>
    <w:rsid w:val="54084EF7"/>
    <w:rsid w:val="540A305C"/>
    <w:rsid w:val="5410110C"/>
    <w:rsid w:val="541109CD"/>
    <w:rsid w:val="54131912"/>
    <w:rsid w:val="541B4009"/>
    <w:rsid w:val="541C1529"/>
    <w:rsid w:val="541F4FCC"/>
    <w:rsid w:val="54222228"/>
    <w:rsid w:val="5422763A"/>
    <w:rsid w:val="5429409D"/>
    <w:rsid w:val="542A4CF1"/>
    <w:rsid w:val="54322F51"/>
    <w:rsid w:val="54393B83"/>
    <w:rsid w:val="544615CD"/>
    <w:rsid w:val="544876E4"/>
    <w:rsid w:val="54510C43"/>
    <w:rsid w:val="54517EF0"/>
    <w:rsid w:val="54521272"/>
    <w:rsid w:val="54521A63"/>
    <w:rsid w:val="5456526D"/>
    <w:rsid w:val="545E0B04"/>
    <w:rsid w:val="546135C3"/>
    <w:rsid w:val="54621F68"/>
    <w:rsid w:val="54656E58"/>
    <w:rsid w:val="546B3A7C"/>
    <w:rsid w:val="546E71A0"/>
    <w:rsid w:val="54701CCD"/>
    <w:rsid w:val="547145DD"/>
    <w:rsid w:val="547609DD"/>
    <w:rsid w:val="547B5D3D"/>
    <w:rsid w:val="547D32A0"/>
    <w:rsid w:val="54805EAC"/>
    <w:rsid w:val="5482587D"/>
    <w:rsid w:val="548341C1"/>
    <w:rsid w:val="5484104F"/>
    <w:rsid w:val="54886400"/>
    <w:rsid w:val="54922940"/>
    <w:rsid w:val="54923C71"/>
    <w:rsid w:val="549E05E7"/>
    <w:rsid w:val="54A75B90"/>
    <w:rsid w:val="54AE280E"/>
    <w:rsid w:val="54B3060F"/>
    <w:rsid w:val="54B40DB1"/>
    <w:rsid w:val="54B4518C"/>
    <w:rsid w:val="54B576DE"/>
    <w:rsid w:val="54B81851"/>
    <w:rsid w:val="54B95A1A"/>
    <w:rsid w:val="54BE461A"/>
    <w:rsid w:val="54BF230B"/>
    <w:rsid w:val="54C23274"/>
    <w:rsid w:val="54C94F38"/>
    <w:rsid w:val="54D26341"/>
    <w:rsid w:val="54D45BC4"/>
    <w:rsid w:val="54DA5CB2"/>
    <w:rsid w:val="54DB49C4"/>
    <w:rsid w:val="54DC1C2B"/>
    <w:rsid w:val="54DE1184"/>
    <w:rsid w:val="54DE7576"/>
    <w:rsid w:val="54E212F4"/>
    <w:rsid w:val="54E92EA3"/>
    <w:rsid w:val="54F46459"/>
    <w:rsid w:val="54FB018C"/>
    <w:rsid w:val="54FC2D67"/>
    <w:rsid w:val="550109C1"/>
    <w:rsid w:val="55054110"/>
    <w:rsid w:val="5508132B"/>
    <w:rsid w:val="55100B6A"/>
    <w:rsid w:val="55122FCC"/>
    <w:rsid w:val="55131049"/>
    <w:rsid w:val="5516017D"/>
    <w:rsid w:val="55164C9A"/>
    <w:rsid w:val="551A15C6"/>
    <w:rsid w:val="551F2C7C"/>
    <w:rsid w:val="552F12F5"/>
    <w:rsid w:val="553A18C8"/>
    <w:rsid w:val="553B6FD3"/>
    <w:rsid w:val="553F43DA"/>
    <w:rsid w:val="5546256D"/>
    <w:rsid w:val="554F7B33"/>
    <w:rsid w:val="555946AB"/>
    <w:rsid w:val="555C3C55"/>
    <w:rsid w:val="555C3E9A"/>
    <w:rsid w:val="555D0A34"/>
    <w:rsid w:val="555E7D76"/>
    <w:rsid w:val="556100F8"/>
    <w:rsid w:val="55627B08"/>
    <w:rsid w:val="5565088E"/>
    <w:rsid w:val="556D2C0F"/>
    <w:rsid w:val="556F7375"/>
    <w:rsid w:val="55713605"/>
    <w:rsid w:val="55721481"/>
    <w:rsid w:val="5579157E"/>
    <w:rsid w:val="5580275A"/>
    <w:rsid w:val="55825812"/>
    <w:rsid w:val="55911E19"/>
    <w:rsid w:val="55923D62"/>
    <w:rsid w:val="559601F5"/>
    <w:rsid w:val="559B253D"/>
    <w:rsid w:val="559E2967"/>
    <w:rsid w:val="559F620B"/>
    <w:rsid w:val="55A03621"/>
    <w:rsid w:val="55A17B91"/>
    <w:rsid w:val="55AD5540"/>
    <w:rsid w:val="55B57B72"/>
    <w:rsid w:val="55B738CC"/>
    <w:rsid w:val="55BB3061"/>
    <w:rsid w:val="55C37CDE"/>
    <w:rsid w:val="55D22539"/>
    <w:rsid w:val="55E34C3E"/>
    <w:rsid w:val="55E53845"/>
    <w:rsid w:val="55E53FF3"/>
    <w:rsid w:val="55E61A70"/>
    <w:rsid w:val="55F720C6"/>
    <w:rsid w:val="55F83D27"/>
    <w:rsid w:val="55F876C4"/>
    <w:rsid w:val="56045B27"/>
    <w:rsid w:val="5607285D"/>
    <w:rsid w:val="560C332E"/>
    <w:rsid w:val="560F2F20"/>
    <w:rsid w:val="56120991"/>
    <w:rsid w:val="561B17C3"/>
    <w:rsid w:val="561F7B69"/>
    <w:rsid w:val="56204218"/>
    <w:rsid w:val="562D50DC"/>
    <w:rsid w:val="563D46B2"/>
    <w:rsid w:val="56457704"/>
    <w:rsid w:val="5648287B"/>
    <w:rsid w:val="564C1367"/>
    <w:rsid w:val="565371AF"/>
    <w:rsid w:val="5658153C"/>
    <w:rsid w:val="5667179F"/>
    <w:rsid w:val="5669552B"/>
    <w:rsid w:val="56756FEE"/>
    <w:rsid w:val="567A14B2"/>
    <w:rsid w:val="568114B1"/>
    <w:rsid w:val="568B0655"/>
    <w:rsid w:val="568D48D7"/>
    <w:rsid w:val="568F6105"/>
    <w:rsid w:val="569340BF"/>
    <w:rsid w:val="569D7032"/>
    <w:rsid w:val="56A26CA4"/>
    <w:rsid w:val="56A769A9"/>
    <w:rsid w:val="56A90163"/>
    <w:rsid w:val="56AD22B9"/>
    <w:rsid w:val="56BA554A"/>
    <w:rsid w:val="56BC6B02"/>
    <w:rsid w:val="56C768C1"/>
    <w:rsid w:val="56CA40F1"/>
    <w:rsid w:val="56CB20C5"/>
    <w:rsid w:val="56CF17A9"/>
    <w:rsid w:val="56DA342C"/>
    <w:rsid w:val="56DE774E"/>
    <w:rsid w:val="56E76C61"/>
    <w:rsid w:val="56E9366F"/>
    <w:rsid w:val="56ED3AE9"/>
    <w:rsid w:val="56EF6AA9"/>
    <w:rsid w:val="56F053D1"/>
    <w:rsid w:val="56F232A6"/>
    <w:rsid w:val="56FB3DE8"/>
    <w:rsid w:val="570235A6"/>
    <w:rsid w:val="57101D0B"/>
    <w:rsid w:val="5711312B"/>
    <w:rsid w:val="57131037"/>
    <w:rsid w:val="571C52AD"/>
    <w:rsid w:val="57220CB6"/>
    <w:rsid w:val="57261A4D"/>
    <w:rsid w:val="57293E3B"/>
    <w:rsid w:val="572C24E1"/>
    <w:rsid w:val="57340D8E"/>
    <w:rsid w:val="573556C2"/>
    <w:rsid w:val="574C2587"/>
    <w:rsid w:val="575632CC"/>
    <w:rsid w:val="575B5C43"/>
    <w:rsid w:val="57606F87"/>
    <w:rsid w:val="57742049"/>
    <w:rsid w:val="577A6828"/>
    <w:rsid w:val="577A6D2E"/>
    <w:rsid w:val="577E0893"/>
    <w:rsid w:val="577F0575"/>
    <w:rsid w:val="57850521"/>
    <w:rsid w:val="578840B1"/>
    <w:rsid w:val="57927711"/>
    <w:rsid w:val="57945726"/>
    <w:rsid w:val="579730CB"/>
    <w:rsid w:val="579B425B"/>
    <w:rsid w:val="579D34A4"/>
    <w:rsid w:val="579E061E"/>
    <w:rsid w:val="57A75A04"/>
    <w:rsid w:val="57AC7F76"/>
    <w:rsid w:val="57B17ABA"/>
    <w:rsid w:val="57B336AE"/>
    <w:rsid w:val="57B37249"/>
    <w:rsid w:val="57B528A1"/>
    <w:rsid w:val="57B95737"/>
    <w:rsid w:val="57BC18F9"/>
    <w:rsid w:val="57BF6AF8"/>
    <w:rsid w:val="57C969E3"/>
    <w:rsid w:val="57D57D2F"/>
    <w:rsid w:val="57D60714"/>
    <w:rsid w:val="57D94111"/>
    <w:rsid w:val="57DB745C"/>
    <w:rsid w:val="57DC2BAD"/>
    <w:rsid w:val="57F15865"/>
    <w:rsid w:val="57F67D0A"/>
    <w:rsid w:val="57FD125F"/>
    <w:rsid w:val="57FF2C6E"/>
    <w:rsid w:val="580112DD"/>
    <w:rsid w:val="58057B99"/>
    <w:rsid w:val="580815FA"/>
    <w:rsid w:val="5808676D"/>
    <w:rsid w:val="58164CFD"/>
    <w:rsid w:val="581800F1"/>
    <w:rsid w:val="581E6DFC"/>
    <w:rsid w:val="58201D40"/>
    <w:rsid w:val="583A3C22"/>
    <w:rsid w:val="58430D07"/>
    <w:rsid w:val="584326B5"/>
    <w:rsid w:val="58611D04"/>
    <w:rsid w:val="586846EF"/>
    <w:rsid w:val="586D2962"/>
    <w:rsid w:val="5872759C"/>
    <w:rsid w:val="58812F33"/>
    <w:rsid w:val="58872F30"/>
    <w:rsid w:val="588B353C"/>
    <w:rsid w:val="588B7142"/>
    <w:rsid w:val="58954C67"/>
    <w:rsid w:val="589B5B49"/>
    <w:rsid w:val="589E3418"/>
    <w:rsid w:val="58AB3672"/>
    <w:rsid w:val="58AF3175"/>
    <w:rsid w:val="58B67BEB"/>
    <w:rsid w:val="58BE62E1"/>
    <w:rsid w:val="58C00689"/>
    <w:rsid w:val="58CC7366"/>
    <w:rsid w:val="58CF1EE7"/>
    <w:rsid w:val="58DF2335"/>
    <w:rsid w:val="58E3120B"/>
    <w:rsid w:val="58ED24DC"/>
    <w:rsid w:val="58EE7F4C"/>
    <w:rsid w:val="58F05189"/>
    <w:rsid w:val="58F46DEA"/>
    <w:rsid w:val="58F9403E"/>
    <w:rsid w:val="58FB7105"/>
    <w:rsid w:val="59043332"/>
    <w:rsid w:val="590B158E"/>
    <w:rsid w:val="59107FD3"/>
    <w:rsid w:val="591401BA"/>
    <w:rsid w:val="591B16E2"/>
    <w:rsid w:val="5924627E"/>
    <w:rsid w:val="59283577"/>
    <w:rsid w:val="592C532E"/>
    <w:rsid w:val="592D4E59"/>
    <w:rsid w:val="59495D0A"/>
    <w:rsid w:val="594A0F1E"/>
    <w:rsid w:val="594B2650"/>
    <w:rsid w:val="59523610"/>
    <w:rsid w:val="59550077"/>
    <w:rsid w:val="595D42F7"/>
    <w:rsid w:val="59626D44"/>
    <w:rsid w:val="59695B0E"/>
    <w:rsid w:val="596B480F"/>
    <w:rsid w:val="596D4A2C"/>
    <w:rsid w:val="596F2552"/>
    <w:rsid w:val="597900D1"/>
    <w:rsid w:val="5984766D"/>
    <w:rsid w:val="59882AC5"/>
    <w:rsid w:val="598D1CE2"/>
    <w:rsid w:val="598E4FCF"/>
    <w:rsid w:val="59941933"/>
    <w:rsid w:val="59A114F8"/>
    <w:rsid w:val="59A3309B"/>
    <w:rsid w:val="59A44352"/>
    <w:rsid w:val="59AD460E"/>
    <w:rsid w:val="59AD6BD6"/>
    <w:rsid w:val="59B15C12"/>
    <w:rsid w:val="59B764D9"/>
    <w:rsid w:val="59BA7DD3"/>
    <w:rsid w:val="59BF0470"/>
    <w:rsid w:val="59C12B00"/>
    <w:rsid w:val="59C5315A"/>
    <w:rsid w:val="59C85BBA"/>
    <w:rsid w:val="59CC3500"/>
    <w:rsid w:val="59CE54CA"/>
    <w:rsid w:val="59DA1A0D"/>
    <w:rsid w:val="59DB1DC1"/>
    <w:rsid w:val="59DF73D7"/>
    <w:rsid w:val="59E01997"/>
    <w:rsid w:val="59E113E6"/>
    <w:rsid w:val="59F00790"/>
    <w:rsid w:val="59F112FE"/>
    <w:rsid w:val="59F26158"/>
    <w:rsid w:val="59FA1FEC"/>
    <w:rsid w:val="59FB7EC1"/>
    <w:rsid w:val="5A0B62FC"/>
    <w:rsid w:val="5A0C522E"/>
    <w:rsid w:val="5A136829"/>
    <w:rsid w:val="5A143FBA"/>
    <w:rsid w:val="5A1E7769"/>
    <w:rsid w:val="5A2643CB"/>
    <w:rsid w:val="5A2E41BB"/>
    <w:rsid w:val="5A315A59"/>
    <w:rsid w:val="5A317807"/>
    <w:rsid w:val="5A346880"/>
    <w:rsid w:val="5A373C36"/>
    <w:rsid w:val="5A397DDF"/>
    <w:rsid w:val="5A3B5997"/>
    <w:rsid w:val="5A3C6FCA"/>
    <w:rsid w:val="5A3D43FE"/>
    <w:rsid w:val="5A4D708A"/>
    <w:rsid w:val="5A516DBA"/>
    <w:rsid w:val="5A5F6122"/>
    <w:rsid w:val="5A5F6904"/>
    <w:rsid w:val="5A605FBD"/>
    <w:rsid w:val="5A690D4F"/>
    <w:rsid w:val="5A754462"/>
    <w:rsid w:val="5A761225"/>
    <w:rsid w:val="5A8A4153"/>
    <w:rsid w:val="5A8A6B2B"/>
    <w:rsid w:val="5A8F4ABF"/>
    <w:rsid w:val="5A9038A8"/>
    <w:rsid w:val="5A9222D8"/>
    <w:rsid w:val="5A9D30EE"/>
    <w:rsid w:val="5AB3439C"/>
    <w:rsid w:val="5AB62857"/>
    <w:rsid w:val="5AB67988"/>
    <w:rsid w:val="5AB91724"/>
    <w:rsid w:val="5ABA5A4E"/>
    <w:rsid w:val="5ABF5901"/>
    <w:rsid w:val="5ABF7D64"/>
    <w:rsid w:val="5ACA5953"/>
    <w:rsid w:val="5ACB3A4A"/>
    <w:rsid w:val="5ACD11E7"/>
    <w:rsid w:val="5ACF19E6"/>
    <w:rsid w:val="5AD47477"/>
    <w:rsid w:val="5AD842E4"/>
    <w:rsid w:val="5ADC7773"/>
    <w:rsid w:val="5ADD173D"/>
    <w:rsid w:val="5AE3217B"/>
    <w:rsid w:val="5AE57817"/>
    <w:rsid w:val="5AE60D3F"/>
    <w:rsid w:val="5AE70490"/>
    <w:rsid w:val="5AF50BD0"/>
    <w:rsid w:val="5AF65971"/>
    <w:rsid w:val="5B06430D"/>
    <w:rsid w:val="5B083222"/>
    <w:rsid w:val="5B0C1DEE"/>
    <w:rsid w:val="5B10408E"/>
    <w:rsid w:val="5B120263"/>
    <w:rsid w:val="5B1533D9"/>
    <w:rsid w:val="5B173253"/>
    <w:rsid w:val="5B26453F"/>
    <w:rsid w:val="5B2A49AD"/>
    <w:rsid w:val="5B43724B"/>
    <w:rsid w:val="5B476CB1"/>
    <w:rsid w:val="5B4C1C68"/>
    <w:rsid w:val="5B5437AD"/>
    <w:rsid w:val="5B59062D"/>
    <w:rsid w:val="5B6451A6"/>
    <w:rsid w:val="5B75731B"/>
    <w:rsid w:val="5B7E1EB2"/>
    <w:rsid w:val="5B7E4CCE"/>
    <w:rsid w:val="5B834092"/>
    <w:rsid w:val="5B847D3D"/>
    <w:rsid w:val="5B861444"/>
    <w:rsid w:val="5B8A50DE"/>
    <w:rsid w:val="5B912B50"/>
    <w:rsid w:val="5B953ED2"/>
    <w:rsid w:val="5B993928"/>
    <w:rsid w:val="5B9955E8"/>
    <w:rsid w:val="5B9A5925"/>
    <w:rsid w:val="5B9B4306"/>
    <w:rsid w:val="5B9E436E"/>
    <w:rsid w:val="5BA13C73"/>
    <w:rsid w:val="5BAA0E05"/>
    <w:rsid w:val="5BB3110B"/>
    <w:rsid w:val="5BB50DF9"/>
    <w:rsid w:val="5BBC76E7"/>
    <w:rsid w:val="5BC07095"/>
    <w:rsid w:val="5BC2290D"/>
    <w:rsid w:val="5BC53789"/>
    <w:rsid w:val="5BC90992"/>
    <w:rsid w:val="5BCB2B90"/>
    <w:rsid w:val="5BD81FA8"/>
    <w:rsid w:val="5BE26FB3"/>
    <w:rsid w:val="5BE72873"/>
    <w:rsid w:val="5BED5D88"/>
    <w:rsid w:val="5BF204A7"/>
    <w:rsid w:val="5BF53049"/>
    <w:rsid w:val="5BF53B3D"/>
    <w:rsid w:val="5BFB7164"/>
    <w:rsid w:val="5C036F81"/>
    <w:rsid w:val="5C0B1C47"/>
    <w:rsid w:val="5C0B2E25"/>
    <w:rsid w:val="5C0C4088"/>
    <w:rsid w:val="5C0D1C67"/>
    <w:rsid w:val="5C0E0F8B"/>
    <w:rsid w:val="5C17648D"/>
    <w:rsid w:val="5C1A310B"/>
    <w:rsid w:val="5C1A753A"/>
    <w:rsid w:val="5C202F01"/>
    <w:rsid w:val="5C236E8E"/>
    <w:rsid w:val="5C28799F"/>
    <w:rsid w:val="5C312060"/>
    <w:rsid w:val="5C3C4775"/>
    <w:rsid w:val="5C401F83"/>
    <w:rsid w:val="5C461A91"/>
    <w:rsid w:val="5C4639E1"/>
    <w:rsid w:val="5C497FA1"/>
    <w:rsid w:val="5C4B3F8B"/>
    <w:rsid w:val="5C5613A0"/>
    <w:rsid w:val="5C58107B"/>
    <w:rsid w:val="5C583E24"/>
    <w:rsid w:val="5C60208A"/>
    <w:rsid w:val="5C66535C"/>
    <w:rsid w:val="5C6B7863"/>
    <w:rsid w:val="5C6C7621"/>
    <w:rsid w:val="5C6D424E"/>
    <w:rsid w:val="5C727C32"/>
    <w:rsid w:val="5C774020"/>
    <w:rsid w:val="5C796BAF"/>
    <w:rsid w:val="5C836D63"/>
    <w:rsid w:val="5C847D9F"/>
    <w:rsid w:val="5C8A0E37"/>
    <w:rsid w:val="5C8A1257"/>
    <w:rsid w:val="5C8D1D91"/>
    <w:rsid w:val="5C93198C"/>
    <w:rsid w:val="5C98042B"/>
    <w:rsid w:val="5C9913E2"/>
    <w:rsid w:val="5CA66466"/>
    <w:rsid w:val="5CAD630E"/>
    <w:rsid w:val="5CAF2C65"/>
    <w:rsid w:val="5CB33015"/>
    <w:rsid w:val="5CB46F5A"/>
    <w:rsid w:val="5CB71FB5"/>
    <w:rsid w:val="5CB7639B"/>
    <w:rsid w:val="5CBA75FE"/>
    <w:rsid w:val="5CD91E24"/>
    <w:rsid w:val="5CDE0C87"/>
    <w:rsid w:val="5CDF1DCE"/>
    <w:rsid w:val="5CE33758"/>
    <w:rsid w:val="5CE96194"/>
    <w:rsid w:val="5CF319DE"/>
    <w:rsid w:val="5CF50E0C"/>
    <w:rsid w:val="5CFA287B"/>
    <w:rsid w:val="5CFA2EAA"/>
    <w:rsid w:val="5D041404"/>
    <w:rsid w:val="5D05702F"/>
    <w:rsid w:val="5D0819AF"/>
    <w:rsid w:val="5D0B3DB3"/>
    <w:rsid w:val="5D131B22"/>
    <w:rsid w:val="5D15609A"/>
    <w:rsid w:val="5D177188"/>
    <w:rsid w:val="5D1F0193"/>
    <w:rsid w:val="5D243C94"/>
    <w:rsid w:val="5D246DB0"/>
    <w:rsid w:val="5D264973"/>
    <w:rsid w:val="5D283218"/>
    <w:rsid w:val="5D2A41F3"/>
    <w:rsid w:val="5D3715D8"/>
    <w:rsid w:val="5D3C3250"/>
    <w:rsid w:val="5D3E70CC"/>
    <w:rsid w:val="5D412E9E"/>
    <w:rsid w:val="5D503C55"/>
    <w:rsid w:val="5D5531B4"/>
    <w:rsid w:val="5D5E4BD3"/>
    <w:rsid w:val="5D610FBA"/>
    <w:rsid w:val="5D6D4FFA"/>
    <w:rsid w:val="5D73062F"/>
    <w:rsid w:val="5D7519FB"/>
    <w:rsid w:val="5D754359"/>
    <w:rsid w:val="5D7A4270"/>
    <w:rsid w:val="5D7D61FF"/>
    <w:rsid w:val="5D7E072C"/>
    <w:rsid w:val="5D7F5B3F"/>
    <w:rsid w:val="5D8374DA"/>
    <w:rsid w:val="5D9043C5"/>
    <w:rsid w:val="5D9166E1"/>
    <w:rsid w:val="5D917380"/>
    <w:rsid w:val="5D976281"/>
    <w:rsid w:val="5D9F66F5"/>
    <w:rsid w:val="5DA444F5"/>
    <w:rsid w:val="5DA71029"/>
    <w:rsid w:val="5DBF03EB"/>
    <w:rsid w:val="5DBF5867"/>
    <w:rsid w:val="5DC04997"/>
    <w:rsid w:val="5DC44337"/>
    <w:rsid w:val="5DC53591"/>
    <w:rsid w:val="5DC80482"/>
    <w:rsid w:val="5DC85744"/>
    <w:rsid w:val="5DCF2F34"/>
    <w:rsid w:val="5DD2534B"/>
    <w:rsid w:val="5DEB2D6E"/>
    <w:rsid w:val="5DF85FBA"/>
    <w:rsid w:val="5DF97B7F"/>
    <w:rsid w:val="5DFC2939"/>
    <w:rsid w:val="5DFC45BE"/>
    <w:rsid w:val="5E0051BA"/>
    <w:rsid w:val="5E006096"/>
    <w:rsid w:val="5E027BA8"/>
    <w:rsid w:val="5E031047"/>
    <w:rsid w:val="5E0A0BB4"/>
    <w:rsid w:val="5E0A3A10"/>
    <w:rsid w:val="5E134C8C"/>
    <w:rsid w:val="5E2751A9"/>
    <w:rsid w:val="5E2860C8"/>
    <w:rsid w:val="5E2A0754"/>
    <w:rsid w:val="5E2B3F5E"/>
    <w:rsid w:val="5E2C163C"/>
    <w:rsid w:val="5E384323"/>
    <w:rsid w:val="5E3B2009"/>
    <w:rsid w:val="5E3B3903"/>
    <w:rsid w:val="5E3C3CAB"/>
    <w:rsid w:val="5E3E2839"/>
    <w:rsid w:val="5E425E09"/>
    <w:rsid w:val="5E437B09"/>
    <w:rsid w:val="5E445E81"/>
    <w:rsid w:val="5E483371"/>
    <w:rsid w:val="5E4E3305"/>
    <w:rsid w:val="5E53315A"/>
    <w:rsid w:val="5E541B75"/>
    <w:rsid w:val="5E561E50"/>
    <w:rsid w:val="5E5844B5"/>
    <w:rsid w:val="5E6308D2"/>
    <w:rsid w:val="5E6D2BC6"/>
    <w:rsid w:val="5E7516A9"/>
    <w:rsid w:val="5E757973"/>
    <w:rsid w:val="5E8200CA"/>
    <w:rsid w:val="5E8A5738"/>
    <w:rsid w:val="5E8B5B78"/>
    <w:rsid w:val="5E8D40BB"/>
    <w:rsid w:val="5E8E5228"/>
    <w:rsid w:val="5E8F14F8"/>
    <w:rsid w:val="5E912506"/>
    <w:rsid w:val="5EA0790D"/>
    <w:rsid w:val="5EA20FD9"/>
    <w:rsid w:val="5EA96EBE"/>
    <w:rsid w:val="5EAC37CE"/>
    <w:rsid w:val="5EB47C6B"/>
    <w:rsid w:val="5EB505C8"/>
    <w:rsid w:val="5EB97BFE"/>
    <w:rsid w:val="5EBB4529"/>
    <w:rsid w:val="5EBC4050"/>
    <w:rsid w:val="5EBD6D92"/>
    <w:rsid w:val="5EC92CDF"/>
    <w:rsid w:val="5EC944B2"/>
    <w:rsid w:val="5ECC5D50"/>
    <w:rsid w:val="5ECE4AD3"/>
    <w:rsid w:val="5ED370DF"/>
    <w:rsid w:val="5ED6597D"/>
    <w:rsid w:val="5ED74E21"/>
    <w:rsid w:val="5ED90A4F"/>
    <w:rsid w:val="5EDB5760"/>
    <w:rsid w:val="5EE035AA"/>
    <w:rsid w:val="5EF04834"/>
    <w:rsid w:val="5EF77A28"/>
    <w:rsid w:val="5EFA508F"/>
    <w:rsid w:val="5F1A537B"/>
    <w:rsid w:val="5F1D3DA3"/>
    <w:rsid w:val="5F1E6215"/>
    <w:rsid w:val="5F207D18"/>
    <w:rsid w:val="5F22545D"/>
    <w:rsid w:val="5F24765D"/>
    <w:rsid w:val="5F290D15"/>
    <w:rsid w:val="5F2B466E"/>
    <w:rsid w:val="5F4209AC"/>
    <w:rsid w:val="5F424C71"/>
    <w:rsid w:val="5F432EAB"/>
    <w:rsid w:val="5F4420C1"/>
    <w:rsid w:val="5F4E1724"/>
    <w:rsid w:val="5F58372D"/>
    <w:rsid w:val="5F5C17A0"/>
    <w:rsid w:val="5F5C28E2"/>
    <w:rsid w:val="5F654B11"/>
    <w:rsid w:val="5F6649D0"/>
    <w:rsid w:val="5F67640E"/>
    <w:rsid w:val="5F755CC4"/>
    <w:rsid w:val="5F7A430A"/>
    <w:rsid w:val="5F7F18C1"/>
    <w:rsid w:val="5F8124DD"/>
    <w:rsid w:val="5F89674D"/>
    <w:rsid w:val="5F8B58BB"/>
    <w:rsid w:val="5F94225B"/>
    <w:rsid w:val="5F9840E4"/>
    <w:rsid w:val="5FAB0881"/>
    <w:rsid w:val="5FB62BC7"/>
    <w:rsid w:val="5FB872AD"/>
    <w:rsid w:val="5FBA585B"/>
    <w:rsid w:val="5FC111DF"/>
    <w:rsid w:val="5FC627A0"/>
    <w:rsid w:val="5FD41360"/>
    <w:rsid w:val="5FD6077A"/>
    <w:rsid w:val="5FD845D7"/>
    <w:rsid w:val="5FD90725"/>
    <w:rsid w:val="5FD91EC4"/>
    <w:rsid w:val="5FDA00BB"/>
    <w:rsid w:val="5FDC6830"/>
    <w:rsid w:val="5FDE2C7C"/>
    <w:rsid w:val="5FE57F90"/>
    <w:rsid w:val="5FEC6894"/>
    <w:rsid w:val="5FF842D2"/>
    <w:rsid w:val="5FF96B92"/>
    <w:rsid w:val="5FFD3E14"/>
    <w:rsid w:val="5FFF6B3B"/>
    <w:rsid w:val="60010018"/>
    <w:rsid w:val="60016960"/>
    <w:rsid w:val="60017C7C"/>
    <w:rsid w:val="60033EF8"/>
    <w:rsid w:val="60103832"/>
    <w:rsid w:val="6011375B"/>
    <w:rsid w:val="60170FDD"/>
    <w:rsid w:val="601A4CAC"/>
    <w:rsid w:val="601B2AEB"/>
    <w:rsid w:val="602A33E5"/>
    <w:rsid w:val="602D12EB"/>
    <w:rsid w:val="60354303"/>
    <w:rsid w:val="60381E7E"/>
    <w:rsid w:val="603B2C6F"/>
    <w:rsid w:val="603B39E3"/>
    <w:rsid w:val="603D123C"/>
    <w:rsid w:val="603F047E"/>
    <w:rsid w:val="60405096"/>
    <w:rsid w:val="60430916"/>
    <w:rsid w:val="60433F1A"/>
    <w:rsid w:val="604638DA"/>
    <w:rsid w:val="604643F0"/>
    <w:rsid w:val="604B2C00"/>
    <w:rsid w:val="604F135E"/>
    <w:rsid w:val="60531BBE"/>
    <w:rsid w:val="605A2653"/>
    <w:rsid w:val="605B16EF"/>
    <w:rsid w:val="606030AA"/>
    <w:rsid w:val="607029FA"/>
    <w:rsid w:val="60734ED1"/>
    <w:rsid w:val="60743486"/>
    <w:rsid w:val="60771CEC"/>
    <w:rsid w:val="607B3705"/>
    <w:rsid w:val="607B5C80"/>
    <w:rsid w:val="60820079"/>
    <w:rsid w:val="608416F8"/>
    <w:rsid w:val="60866FAA"/>
    <w:rsid w:val="608951D9"/>
    <w:rsid w:val="608A3E83"/>
    <w:rsid w:val="608B498F"/>
    <w:rsid w:val="60911AB1"/>
    <w:rsid w:val="60914E6D"/>
    <w:rsid w:val="60923468"/>
    <w:rsid w:val="60967909"/>
    <w:rsid w:val="609D4A67"/>
    <w:rsid w:val="60A31E12"/>
    <w:rsid w:val="60AB53BD"/>
    <w:rsid w:val="60AE1332"/>
    <w:rsid w:val="60B06382"/>
    <w:rsid w:val="60B238E8"/>
    <w:rsid w:val="60B50B3A"/>
    <w:rsid w:val="60C35D0E"/>
    <w:rsid w:val="60C56A58"/>
    <w:rsid w:val="60CA2471"/>
    <w:rsid w:val="60CB62BD"/>
    <w:rsid w:val="60D05951"/>
    <w:rsid w:val="60D072CA"/>
    <w:rsid w:val="60E3046B"/>
    <w:rsid w:val="60E40FCB"/>
    <w:rsid w:val="60E727D0"/>
    <w:rsid w:val="60F431B6"/>
    <w:rsid w:val="60F57145"/>
    <w:rsid w:val="60F80E08"/>
    <w:rsid w:val="60F80F7E"/>
    <w:rsid w:val="6109328C"/>
    <w:rsid w:val="61101393"/>
    <w:rsid w:val="6117277E"/>
    <w:rsid w:val="61294D93"/>
    <w:rsid w:val="612C36F1"/>
    <w:rsid w:val="613436B2"/>
    <w:rsid w:val="613624C4"/>
    <w:rsid w:val="613B28D7"/>
    <w:rsid w:val="613C2142"/>
    <w:rsid w:val="613D4B85"/>
    <w:rsid w:val="61411BD9"/>
    <w:rsid w:val="6144456B"/>
    <w:rsid w:val="6151699A"/>
    <w:rsid w:val="61520F1C"/>
    <w:rsid w:val="615858BA"/>
    <w:rsid w:val="615C2A71"/>
    <w:rsid w:val="61620211"/>
    <w:rsid w:val="616273AE"/>
    <w:rsid w:val="61647FDF"/>
    <w:rsid w:val="61651EDD"/>
    <w:rsid w:val="616D3F1F"/>
    <w:rsid w:val="616F7D6C"/>
    <w:rsid w:val="617B185C"/>
    <w:rsid w:val="6182718B"/>
    <w:rsid w:val="618A05AC"/>
    <w:rsid w:val="618B6600"/>
    <w:rsid w:val="618F3B50"/>
    <w:rsid w:val="619176D1"/>
    <w:rsid w:val="61952A3A"/>
    <w:rsid w:val="619B1D96"/>
    <w:rsid w:val="619D5782"/>
    <w:rsid w:val="619E3328"/>
    <w:rsid w:val="61A84FD3"/>
    <w:rsid w:val="61AA1846"/>
    <w:rsid w:val="61AD6547"/>
    <w:rsid w:val="61B629E5"/>
    <w:rsid w:val="61BA64FF"/>
    <w:rsid w:val="61BE455F"/>
    <w:rsid w:val="61C16E98"/>
    <w:rsid w:val="61D23F0F"/>
    <w:rsid w:val="61D67110"/>
    <w:rsid w:val="61D758C9"/>
    <w:rsid w:val="61E044C2"/>
    <w:rsid w:val="61E54BC6"/>
    <w:rsid w:val="61E61E86"/>
    <w:rsid w:val="61EF48CA"/>
    <w:rsid w:val="61F05AA1"/>
    <w:rsid w:val="61F14599"/>
    <w:rsid w:val="61FA0D76"/>
    <w:rsid w:val="61FD12D7"/>
    <w:rsid w:val="6202633D"/>
    <w:rsid w:val="62067684"/>
    <w:rsid w:val="62071713"/>
    <w:rsid w:val="62072558"/>
    <w:rsid w:val="620956CC"/>
    <w:rsid w:val="620B0F65"/>
    <w:rsid w:val="620D48D5"/>
    <w:rsid w:val="62125C14"/>
    <w:rsid w:val="621662C2"/>
    <w:rsid w:val="62193481"/>
    <w:rsid w:val="622802D4"/>
    <w:rsid w:val="622C1692"/>
    <w:rsid w:val="622C60B8"/>
    <w:rsid w:val="622F0784"/>
    <w:rsid w:val="62353C0D"/>
    <w:rsid w:val="62362DC2"/>
    <w:rsid w:val="62365A7B"/>
    <w:rsid w:val="623855AA"/>
    <w:rsid w:val="62421627"/>
    <w:rsid w:val="62434609"/>
    <w:rsid w:val="624779E5"/>
    <w:rsid w:val="62487455"/>
    <w:rsid w:val="624A7EEB"/>
    <w:rsid w:val="62561825"/>
    <w:rsid w:val="625A4EAE"/>
    <w:rsid w:val="62600C89"/>
    <w:rsid w:val="62632E08"/>
    <w:rsid w:val="626E2769"/>
    <w:rsid w:val="6270492E"/>
    <w:rsid w:val="627358D5"/>
    <w:rsid w:val="6276629E"/>
    <w:rsid w:val="627B3D15"/>
    <w:rsid w:val="627E55B4"/>
    <w:rsid w:val="627F535F"/>
    <w:rsid w:val="6280757E"/>
    <w:rsid w:val="62853302"/>
    <w:rsid w:val="6287237F"/>
    <w:rsid w:val="628841ED"/>
    <w:rsid w:val="62894017"/>
    <w:rsid w:val="628C7CD0"/>
    <w:rsid w:val="628D497B"/>
    <w:rsid w:val="628D57F7"/>
    <w:rsid w:val="62915BF9"/>
    <w:rsid w:val="62935911"/>
    <w:rsid w:val="629B2D2F"/>
    <w:rsid w:val="629F4FFC"/>
    <w:rsid w:val="62A014DD"/>
    <w:rsid w:val="62A151BC"/>
    <w:rsid w:val="62A80882"/>
    <w:rsid w:val="62AE35A5"/>
    <w:rsid w:val="62AF758F"/>
    <w:rsid w:val="62B74707"/>
    <w:rsid w:val="62B94CB8"/>
    <w:rsid w:val="62C4751A"/>
    <w:rsid w:val="62C50258"/>
    <w:rsid w:val="62C70051"/>
    <w:rsid w:val="62CC1A55"/>
    <w:rsid w:val="62D033D7"/>
    <w:rsid w:val="62D24E91"/>
    <w:rsid w:val="62D56E87"/>
    <w:rsid w:val="62D64631"/>
    <w:rsid w:val="62DB42A1"/>
    <w:rsid w:val="62DC7633"/>
    <w:rsid w:val="62E4189E"/>
    <w:rsid w:val="62E65EA4"/>
    <w:rsid w:val="62EC7001"/>
    <w:rsid w:val="62F35A7A"/>
    <w:rsid w:val="62F771FD"/>
    <w:rsid w:val="6300533B"/>
    <w:rsid w:val="63005D3D"/>
    <w:rsid w:val="630F3E93"/>
    <w:rsid w:val="631779FB"/>
    <w:rsid w:val="63181EE7"/>
    <w:rsid w:val="631D0BDB"/>
    <w:rsid w:val="632150B7"/>
    <w:rsid w:val="63241AB4"/>
    <w:rsid w:val="63282367"/>
    <w:rsid w:val="63292FE2"/>
    <w:rsid w:val="634250D9"/>
    <w:rsid w:val="634316F9"/>
    <w:rsid w:val="63436FC8"/>
    <w:rsid w:val="634B54BD"/>
    <w:rsid w:val="634B676D"/>
    <w:rsid w:val="634F4786"/>
    <w:rsid w:val="63650559"/>
    <w:rsid w:val="63654F5B"/>
    <w:rsid w:val="6365621B"/>
    <w:rsid w:val="63690152"/>
    <w:rsid w:val="636B401B"/>
    <w:rsid w:val="636C5ADF"/>
    <w:rsid w:val="636D5B47"/>
    <w:rsid w:val="637356EA"/>
    <w:rsid w:val="63743354"/>
    <w:rsid w:val="63751269"/>
    <w:rsid w:val="63774C12"/>
    <w:rsid w:val="63790EBC"/>
    <w:rsid w:val="637A1D49"/>
    <w:rsid w:val="637D4470"/>
    <w:rsid w:val="638A3FB7"/>
    <w:rsid w:val="639B3033"/>
    <w:rsid w:val="63A12D94"/>
    <w:rsid w:val="63AB6274"/>
    <w:rsid w:val="63B252AA"/>
    <w:rsid w:val="63B268A4"/>
    <w:rsid w:val="63B87846"/>
    <w:rsid w:val="63BF01CA"/>
    <w:rsid w:val="63C26F97"/>
    <w:rsid w:val="63C52E43"/>
    <w:rsid w:val="63C72DA4"/>
    <w:rsid w:val="63CD4CE2"/>
    <w:rsid w:val="63D346A3"/>
    <w:rsid w:val="63D731CD"/>
    <w:rsid w:val="63D81139"/>
    <w:rsid w:val="63DA30BD"/>
    <w:rsid w:val="63DE1E1F"/>
    <w:rsid w:val="63DF7591"/>
    <w:rsid w:val="63E0002E"/>
    <w:rsid w:val="64046412"/>
    <w:rsid w:val="640A7E6F"/>
    <w:rsid w:val="640D5592"/>
    <w:rsid w:val="640F111D"/>
    <w:rsid w:val="641070C0"/>
    <w:rsid w:val="6415471B"/>
    <w:rsid w:val="64184A94"/>
    <w:rsid w:val="641C62B2"/>
    <w:rsid w:val="641C6342"/>
    <w:rsid w:val="641D13E0"/>
    <w:rsid w:val="641D5D90"/>
    <w:rsid w:val="641F5063"/>
    <w:rsid w:val="64206B26"/>
    <w:rsid w:val="64236444"/>
    <w:rsid w:val="642A4A6F"/>
    <w:rsid w:val="642A69E2"/>
    <w:rsid w:val="642E14F0"/>
    <w:rsid w:val="643762F8"/>
    <w:rsid w:val="644106C9"/>
    <w:rsid w:val="64472613"/>
    <w:rsid w:val="64487864"/>
    <w:rsid w:val="6449399F"/>
    <w:rsid w:val="644F06F0"/>
    <w:rsid w:val="6455416E"/>
    <w:rsid w:val="645A2BDF"/>
    <w:rsid w:val="645E43AA"/>
    <w:rsid w:val="64631362"/>
    <w:rsid w:val="646631DC"/>
    <w:rsid w:val="64675F8C"/>
    <w:rsid w:val="646C19F5"/>
    <w:rsid w:val="646E05FB"/>
    <w:rsid w:val="64793F2B"/>
    <w:rsid w:val="647E2BEE"/>
    <w:rsid w:val="64821DEA"/>
    <w:rsid w:val="6484560E"/>
    <w:rsid w:val="648834FC"/>
    <w:rsid w:val="64933326"/>
    <w:rsid w:val="649A0BB7"/>
    <w:rsid w:val="649E604B"/>
    <w:rsid w:val="64A20B38"/>
    <w:rsid w:val="64A25691"/>
    <w:rsid w:val="64AB4EC5"/>
    <w:rsid w:val="64AC28AC"/>
    <w:rsid w:val="64AF2F37"/>
    <w:rsid w:val="64B132E4"/>
    <w:rsid w:val="64B259E8"/>
    <w:rsid w:val="64B47BFE"/>
    <w:rsid w:val="64B67287"/>
    <w:rsid w:val="64BF5725"/>
    <w:rsid w:val="64C202A5"/>
    <w:rsid w:val="64C228DE"/>
    <w:rsid w:val="64C30829"/>
    <w:rsid w:val="64C8222E"/>
    <w:rsid w:val="64C82295"/>
    <w:rsid w:val="64CA0F84"/>
    <w:rsid w:val="64CD091C"/>
    <w:rsid w:val="64D578D7"/>
    <w:rsid w:val="64D72494"/>
    <w:rsid w:val="64D76205"/>
    <w:rsid w:val="64D9683E"/>
    <w:rsid w:val="64DE67DD"/>
    <w:rsid w:val="64E2648D"/>
    <w:rsid w:val="64E45FE6"/>
    <w:rsid w:val="64E6489E"/>
    <w:rsid w:val="64EA01BF"/>
    <w:rsid w:val="64EF2F60"/>
    <w:rsid w:val="64F6737C"/>
    <w:rsid w:val="65040FBB"/>
    <w:rsid w:val="650A6B91"/>
    <w:rsid w:val="650A7524"/>
    <w:rsid w:val="650C1046"/>
    <w:rsid w:val="650C3283"/>
    <w:rsid w:val="65146114"/>
    <w:rsid w:val="651B2C2A"/>
    <w:rsid w:val="652428CB"/>
    <w:rsid w:val="652930F2"/>
    <w:rsid w:val="652A557F"/>
    <w:rsid w:val="65305B8D"/>
    <w:rsid w:val="653921B1"/>
    <w:rsid w:val="653C59A6"/>
    <w:rsid w:val="653E5583"/>
    <w:rsid w:val="653F64B5"/>
    <w:rsid w:val="653F727C"/>
    <w:rsid w:val="65442CBA"/>
    <w:rsid w:val="65513C14"/>
    <w:rsid w:val="6557687A"/>
    <w:rsid w:val="65584095"/>
    <w:rsid w:val="65591F11"/>
    <w:rsid w:val="656514DA"/>
    <w:rsid w:val="65707C2C"/>
    <w:rsid w:val="6572029D"/>
    <w:rsid w:val="65741979"/>
    <w:rsid w:val="65782435"/>
    <w:rsid w:val="657B1F3E"/>
    <w:rsid w:val="657E7466"/>
    <w:rsid w:val="657F2E63"/>
    <w:rsid w:val="65853AE9"/>
    <w:rsid w:val="65896749"/>
    <w:rsid w:val="658D62E6"/>
    <w:rsid w:val="659805C0"/>
    <w:rsid w:val="659A1697"/>
    <w:rsid w:val="659C047E"/>
    <w:rsid w:val="659D0520"/>
    <w:rsid w:val="65A5705B"/>
    <w:rsid w:val="65A87423"/>
    <w:rsid w:val="65AA4C86"/>
    <w:rsid w:val="65B363DF"/>
    <w:rsid w:val="65B43AEC"/>
    <w:rsid w:val="65B50011"/>
    <w:rsid w:val="65BB400B"/>
    <w:rsid w:val="65CE0C9E"/>
    <w:rsid w:val="65D025CA"/>
    <w:rsid w:val="65DB009A"/>
    <w:rsid w:val="65DD32BC"/>
    <w:rsid w:val="65E21CCA"/>
    <w:rsid w:val="65EC32E5"/>
    <w:rsid w:val="65F061C8"/>
    <w:rsid w:val="65F20792"/>
    <w:rsid w:val="65F441B3"/>
    <w:rsid w:val="65F65B2A"/>
    <w:rsid w:val="65FD4589"/>
    <w:rsid w:val="65FF7A90"/>
    <w:rsid w:val="66003EE4"/>
    <w:rsid w:val="66070283"/>
    <w:rsid w:val="66081D64"/>
    <w:rsid w:val="660B3E3D"/>
    <w:rsid w:val="660C6E9F"/>
    <w:rsid w:val="66171332"/>
    <w:rsid w:val="66191177"/>
    <w:rsid w:val="6619154B"/>
    <w:rsid w:val="6623094C"/>
    <w:rsid w:val="66255BFF"/>
    <w:rsid w:val="662639BA"/>
    <w:rsid w:val="662A59C4"/>
    <w:rsid w:val="662B77A0"/>
    <w:rsid w:val="662D46E2"/>
    <w:rsid w:val="662F01E1"/>
    <w:rsid w:val="6630148C"/>
    <w:rsid w:val="66447EBD"/>
    <w:rsid w:val="66475647"/>
    <w:rsid w:val="664775F0"/>
    <w:rsid w:val="664B6F71"/>
    <w:rsid w:val="664E23DC"/>
    <w:rsid w:val="664F3D0B"/>
    <w:rsid w:val="66513686"/>
    <w:rsid w:val="6652062B"/>
    <w:rsid w:val="665C1474"/>
    <w:rsid w:val="66615364"/>
    <w:rsid w:val="6672275A"/>
    <w:rsid w:val="66731E80"/>
    <w:rsid w:val="66831332"/>
    <w:rsid w:val="66860FFF"/>
    <w:rsid w:val="668A7DF6"/>
    <w:rsid w:val="668F2D4B"/>
    <w:rsid w:val="6697363C"/>
    <w:rsid w:val="66AA2E1B"/>
    <w:rsid w:val="66AB0941"/>
    <w:rsid w:val="66BE5742"/>
    <w:rsid w:val="66D13795"/>
    <w:rsid w:val="66D7487B"/>
    <w:rsid w:val="66E5153A"/>
    <w:rsid w:val="66E6069B"/>
    <w:rsid w:val="66E675B4"/>
    <w:rsid w:val="66E71872"/>
    <w:rsid w:val="66F2311B"/>
    <w:rsid w:val="66F42E59"/>
    <w:rsid w:val="66F66888"/>
    <w:rsid w:val="66F727EF"/>
    <w:rsid w:val="66F77E3C"/>
    <w:rsid w:val="66F8124E"/>
    <w:rsid w:val="66FD3534"/>
    <w:rsid w:val="66FF280D"/>
    <w:rsid w:val="66FF5A8F"/>
    <w:rsid w:val="670D6659"/>
    <w:rsid w:val="67127B32"/>
    <w:rsid w:val="67131F5B"/>
    <w:rsid w:val="671A2E3A"/>
    <w:rsid w:val="671B753A"/>
    <w:rsid w:val="672226B7"/>
    <w:rsid w:val="6724186C"/>
    <w:rsid w:val="672524A2"/>
    <w:rsid w:val="67267330"/>
    <w:rsid w:val="672D4731"/>
    <w:rsid w:val="673858C6"/>
    <w:rsid w:val="673B7F17"/>
    <w:rsid w:val="674C7A41"/>
    <w:rsid w:val="674E7649"/>
    <w:rsid w:val="6754282D"/>
    <w:rsid w:val="6755619C"/>
    <w:rsid w:val="675A07C8"/>
    <w:rsid w:val="675B102C"/>
    <w:rsid w:val="675B7579"/>
    <w:rsid w:val="675D55A7"/>
    <w:rsid w:val="675F2192"/>
    <w:rsid w:val="67611D55"/>
    <w:rsid w:val="676845C8"/>
    <w:rsid w:val="676B1118"/>
    <w:rsid w:val="676B22CD"/>
    <w:rsid w:val="67700DCD"/>
    <w:rsid w:val="67746652"/>
    <w:rsid w:val="677A3AA3"/>
    <w:rsid w:val="677B3668"/>
    <w:rsid w:val="677C15A0"/>
    <w:rsid w:val="677F65D8"/>
    <w:rsid w:val="67802EFA"/>
    <w:rsid w:val="67874F0A"/>
    <w:rsid w:val="678802ED"/>
    <w:rsid w:val="67961046"/>
    <w:rsid w:val="67980139"/>
    <w:rsid w:val="679876DF"/>
    <w:rsid w:val="679B09B6"/>
    <w:rsid w:val="679B2F2F"/>
    <w:rsid w:val="67A23989"/>
    <w:rsid w:val="67A45ABC"/>
    <w:rsid w:val="67A74E48"/>
    <w:rsid w:val="67B83BDC"/>
    <w:rsid w:val="67BF3CE4"/>
    <w:rsid w:val="67C81DF7"/>
    <w:rsid w:val="67CA36CD"/>
    <w:rsid w:val="67CB5AE3"/>
    <w:rsid w:val="67CB7E43"/>
    <w:rsid w:val="67D01EEE"/>
    <w:rsid w:val="67D05F56"/>
    <w:rsid w:val="67D11F53"/>
    <w:rsid w:val="67D15C7A"/>
    <w:rsid w:val="67D53E10"/>
    <w:rsid w:val="67D839B8"/>
    <w:rsid w:val="67DF56A4"/>
    <w:rsid w:val="67E01BA5"/>
    <w:rsid w:val="67E03808"/>
    <w:rsid w:val="67E77846"/>
    <w:rsid w:val="67E97759"/>
    <w:rsid w:val="67EB0B9E"/>
    <w:rsid w:val="68006EC8"/>
    <w:rsid w:val="68015E53"/>
    <w:rsid w:val="68094711"/>
    <w:rsid w:val="681346F9"/>
    <w:rsid w:val="68160DEC"/>
    <w:rsid w:val="681E61CA"/>
    <w:rsid w:val="68262975"/>
    <w:rsid w:val="68266375"/>
    <w:rsid w:val="68295146"/>
    <w:rsid w:val="682B0D20"/>
    <w:rsid w:val="6836153B"/>
    <w:rsid w:val="683A21CA"/>
    <w:rsid w:val="683E1810"/>
    <w:rsid w:val="683E47B8"/>
    <w:rsid w:val="683F7AD2"/>
    <w:rsid w:val="684177A5"/>
    <w:rsid w:val="68420858"/>
    <w:rsid w:val="684B55E1"/>
    <w:rsid w:val="6850056F"/>
    <w:rsid w:val="685112E9"/>
    <w:rsid w:val="68514113"/>
    <w:rsid w:val="685A5826"/>
    <w:rsid w:val="685A7E97"/>
    <w:rsid w:val="685F0A3E"/>
    <w:rsid w:val="68607763"/>
    <w:rsid w:val="68664B20"/>
    <w:rsid w:val="686C4C12"/>
    <w:rsid w:val="686F092D"/>
    <w:rsid w:val="68721717"/>
    <w:rsid w:val="6874626F"/>
    <w:rsid w:val="68754C0E"/>
    <w:rsid w:val="68770D91"/>
    <w:rsid w:val="68794E8B"/>
    <w:rsid w:val="687B1AA8"/>
    <w:rsid w:val="687F00C0"/>
    <w:rsid w:val="6890596A"/>
    <w:rsid w:val="68924717"/>
    <w:rsid w:val="68941AA2"/>
    <w:rsid w:val="689533A1"/>
    <w:rsid w:val="6895507A"/>
    <w:rsid w:val="68965998"/>
    <w:rsid w:val="689D2BEF"/>
    <w:rsid w:val="689D5338"/>
    <w:rsid w:val="689D72A4"/>
    <w:rsid w:val="689F675E"/>
    <w:rsid w:val="68A11FFC"/>
    <w:rsid w:val="68A20A77"/>
    <w:rsid w:val="68A377C6"/>
    <w:rsid w:val="68A51936"/>
    <w:rsid w:val="68AF1444"/>
    <w:rsid w:val="68C31202"/>
    <w:rsid w:val="68CB18F9"/>
    <w:rsid w:val="68CD0A14"/>
    <w:rsid w:val="68CF14C3"/>
    <w:rsid w:val="68D3413B"/>
    <w:rsid w:val="68D75378"/>
    <w:rsid w:val="68DB550E"/>
    <w:rsid w:val="68E5638C"/>
    <w:rsid w:val="68EA3C2B"/>
    <w:rsid w:val="68F760C0"/>
    <w:rsid w:val="68F95114"/>
    <w:rsid w:val="68FD6E33"/>
    <w:rsid w:val="6903697B"/>
    <w:rsid w:val="691B586A"/>
    <w:rsid w:val="691E41B2"/>
    <w:rsid w:val="692059A9"/>
    <w:rsid w:val="692B6129"/>
    <w:rsid w:val="692F6AA9"/>
    <w:rsid w:val="69332C99"/>
    <w:rsid w:val="69341180"/>
    <w:rsid w:val="6934737D"/>
    <w:rsid w:val="693518FB"/>
    <w:rsid w:val="693764BC"/>
    <w:rsid w:val="693C7BB9"/>
    <w:rsid w:val="693F7551"/>
    <w:rsid w:val="69465531"/>
    <w:rsid w:val="6947220C"/>
    <w:rsid w:val="695452C0"/>
    <w:rsid w:val="69560380"/>
    <w:rsid w:val="69567B9D"/>
    <w:rsid w:val="695738BD"/>
    <w:rsid w:val="695D7D9C"/>
    <w:rsid w:val="696372B1"/>
    <w:rsid w:val="69674FF3"/>
    <w:rsid w:val="69692B1A"/>
    <w:rsid w:val="69733FBA"/>
    <w:rsid w:val="69782D5D"/>
    <w:rsid w:val="697E134C"/>
    <w:rsid w:val="69865898"/>
    <w:rsid w:val="698F62F8"/>
    <w:rsid w:val="69A52143"/>
    <w:rsid w:val="69A848B5"/>
    <w:rsid w:val="69A91168"/>
    <w:rsid w:val="69B4541D"/>
    <w:rsid w:val="69B53FB1"/>
    <w:rsid w:val="69BA0787"/>
    <w:rsid w:val="69BE2739"/>
    <w:rsid w:val="69C4397C"/>
    <w:rsid w:val="69CB3757"/>
    <w:rsid w:val="69CF221A"/>
    <w:rsid w:val="69CF257E"/>
    <w:rsid w:val="69D37769"/>
    <w:rsid w:val="69D65CD5"/>
    <w:rsid w:val="69D71C14"/>
    <w:rsid w:val="69D72179"/>
    <w:rsid w:val="69D96B71"/>
    <w:rsid w:val="69E00902"/>
    <w:rsid w:val="69E11ACF"/>
    <w:rsid w:val="69E403F2"/>
    <w:rsid w:val="69E74168"/>
    <w:rsid w:val="69E90419"/>
    <w:rsid w:val="69ED4E05"/>
    <w:rsid w:val="69FD3A97"/>
    <w:rsid w:val="6A034FCE"/>
    <w:rsid w:val="6A040C86"/>
    <w:rsid w:val="6A07144C"/>
    <w:rsid w:val="6A091FB8"/>
    <w:rsid w:val="6A0C65D5"/>
    <w:rsid w:val="6A0E7AE3"/>
    <w:rsid w:val="6A17187A"/>
    <w:rsid w:val="6A171A02"/>
    <w:rsid w:val="6A185528"/>
    <w:rsid w:val="6A1908E3"/>
    <w:rsid w:val="6A1D1985"/>
    <w:rsid w:val="6A1E0C4C"/>
    <w:rsid w:val="6A2076C3"/>
    <w:rsid w:val="6A211646"/>
    <w:rsid w:val="6A240F66"/>
    <w:rsid w:val="6A2E6EC5"/>
    <w:rsid w:val="6A3047AA"/>
    <w:rsid w:val="6A350C4E"/>
    <w:rsid w:val="6A381952"/>
    <w:rsid w:val="6A420882"/>
    <w:rsid w:val="6A436049"/>
    <w:rsid w:val="6A445335"/>
    <w:rsid w:val="6A4A6A21"/>
    <w:rsid w:val="6A4E7B99"/>
    <w:rsid w:val="6A525926"/>
    <w:rsid w:val="6A5273D1"/>
    <w:rsid w:val="6A543885"/>
    <w:rsid w:val="6A57091D"/>
    <w:rsid w:val="6A5742C6"/>
    <w:rsid w:val="6A5E2BE3"/>
    <w:rsid w:val="6A6910C1"/>
    <w:rsid w:val="6A6C488E"/>
    <w:rsid w:val="6A7171D7"/>
    <w:rsid w:val="6A750AE2"/>
    <w:rsid w:val="6A771266"/>
    <w:rsid w:val="6A782BBF"/>
    <w:rsid w:val="6A7C062B"/>
    <w:rsid w:val="6A803564"/>
    <w:rsid w:val="6A814871"/>
    <w:rsid w:val="6A88614A"/>
    <w:rsid w:val="6A8A5C7F"/>
    <w:rsid w:val="6A8D7B0B"/>
    <w:rsid w:val="6A8F16D0"/>
    <w:rsid w:val="6A902328"/>
    <w:rsid w:val="6A903F85"/>
    <w:rsid w:val="6A9D776B"/>
    <w:rsid w:val="6A9F22CE"/>
    <w:rsid w:val="6AAD3DCE"/>
    <w:rsid w:val="6AB52182"/>
    <w:rsid w:val="6AB53B3C"/>
    <w:rsid w:val="6ABA5408"/>
    <w:rsid w:val="6ABC585C"/>
    <w:rsid w:val="6ABD0EED"/>
    <w:rsid w:val="6ABF4471"/>
    <w:rsid w:val="6AC133C0"/>
    <w:rsid w:val="6AC34BC3"/>
    <w:rsid w:val="6AC41FD2"/>
    <w:rsid w:val="6AC974D8"/>
    <w:rsid w:val="6ACF3D34"/>
    <w:rsid w:val="6AD77D3B"/>
    <w:rsid w:val="6AD85FE7"/>
    <w:rsid w:val="6AD87AE0"/>
    <w:rsid w:val="6AD93742"/>
    <w:rsid w:val="6ADA72D5"/>
    <w:rsid w:val="6ADC1785"/>
    <w:rsid w:val="6AE875B9"/>
    <w:rsid w:val="6AEB7E41"/>
    <w:rsid w:val="6AED195F"/>
    <w:rsid w:val="6AEE0ED6"/>
    <w:rsid w:val="6AEE38D8"/>
    <w:rsid w:val="6AF200A6"/>
    <w:rsid w:val="6AF512F4"/>
    <w:rsid w:val="6AF9600E"/>
    <w:rsid w:val="6AFB68EC"/>
    <w:rsid w:val="6AFD51CF"/>
    <w:rsid w:val="6AFD5828"/>
    <w:rsid w:val="6B044A1B"/>
    <w:rsid w:val="6B0C4EA8"/>
    <w:rsid w:val="6B154282"/>
    <w:rsid w:val="6B1A4248"/>
    <w:rsid w:val="6B1C06F6"/>
    <w:rsid w:val="6B1E7C2F"/>
    <w:rsid w:val="6B2F380D"/>
    <w:rsid w:val="6B370BDA"/>
    <w:rsid w:val="6B390475"/>
    <w:rsid w:val="6B451619"/>
    <w:rsid w:val="6B4F2441"/>
    <w:rsid w:val="6B524E15"/>
    <w:rsid w:val="6B533A81"/>
    <w:rsid w:val="6B5837AB"/>
    <w:rsid w:val="6B6429DD"/>
    <w:rsid w:val="6B661536"/>
    <w:rsid w:val="6B673E74"/>
    <w:rsid w:val="6B6B4D0D"/>
    <w:rsid w:val="6B6C6E76"/>
    <w:rsid w:val="6B743A82"/>
    <w:rsid w:val="6B7632CC"/>
    <w:rsid w:val="6B7F1B93"/>
    <w:rsid w:val="6B8D1799"/>
    <w:rsid w:val="6B8D46FD"/>
    <w:rsid w:val="6B8E7A00"/>
    <w:rsid w:val="6B926010"/>
    <w:rsid w:val="6B931943"/>
    <w:rsid w:val="6B947BF6"/>
    <w:rsid w:val="6B970D25"/>
    <w:rsid w:val="6B9C6539"/>
    <w:rsid w:val="6B9F6E02"/>
    <w:rsid w:val="6BA31BB1"/>
    <w:rsid w:val="6BA37E39"/>
    <w:rsid w:val="6BA5131C"/>
    <w:rsid w:val="6BA75B7B"/>
    <w:rsid w:val="6BAA7061"/>
    <w:rsid w:val="6BB513BF"/>
    <w:rsid w:val="6BBA1542"/>
    <w:rsid w:val="6BBC5049"/>
    <w:rsid w:val="6BBD6A19"/>
    <w:rsid w:val="6BBF2EC5"/>
    <w:rsid w:val="6BD565AB"/>
    <w:rsid w:val="6BE52720"/>
    <w:rsid w:val="6BE7241B"/>
    <w:rsid w:val="6BF31D71"/>
    <w:rsid w:val="6BF749CB"/>
    <w:rsid w:val="6BF94813"/>
    <w:rsid w:val="6BFF4A7D"/>
    <w:rsid w:val="6C243696"/>
    <w:rsid w:val="6C304D8B"/>
    <w:rsid w:val="6C3111D6"/>
    <w:rsid w:val="6C312507"/>
    <w:rsid w:val="6C3134F5"/>
    <w:rsid w:val="6C361D0C"/>
    <w:rsid w:val="6C3702A4"/>
    <w:rsid w:val="6C394FC3"/>
    <w:rsid w:val="6C3D0992"/>
    <w:rsid w:val="6C441988"/>
    <w:rsid w:val="6C467A32"/>
    <w:rsid w:val="6C481D33"/>
    <w:rsid w:val="6C492842"/>
    <w:rsid w:val="6C4A6009"/>
    <w:rsid w:val="6C4B7641"/>
    <w:rsid w:val="6C4F21FC"/>
    <w:rsid w:val="6C5354EE"/>
    <w:rsid w:val="6C570557"/>
    <w:rsid w:val="6C6B36F7"/>
    <w:rsid w:val="6C735652"/>
    <w:rsid w:val="6C7F5660"/>
    <w:rsid w:val="6C851344"/>
    <w:rsid w:val="6C857B97"/>
    <w:rsid w:val="6C891D4F"/>
    <w:rsid w:val="6C8A2C02"/>
    <w:rsid w:val="6C976618"/>
    <w:rsid w:val="6C991968"/>
    <w:rsid w:val="6CA21B6A"/>
    <w:rsid w:val="6CAF490C"/>
    <w:rsid w:val="6CB247D7"/>
    <w:rsid w:val="6CB70040"/>
    <w:rsid w:val="6CBA7B30"/>
    <w:rsid w:val="6CBD2908"/>
    <w:rsid w:val="6CC14155"/>
    <w:rsid w:val="6CC62031"/>
    <w:rsid w:val="6CC9331B"/>
    <w:rsid w:val="6CD401EC"/>
    <w:rsid w:val="6CE9267E"/>
    <w:rsid w:val="6CED230E"/>
    <w:rsid w:val="6CED2B28"/>
    <w:rsid w:val="6CF03AEE"/>
    <w:rsid w:val="6CF91D8C"/>
    <w:rsid w:val="6D051620"/>
    <w:rsid w:val="6D075075"/>
    <w:rsid w:val="6D08270F"/>
    <w:rsid w:val="6D0E7ABB"/>
    <w:rsid w:val="6D1652A1"/>
    <w:rsid w:val="6D1A0DA5"/>
    <w:rsid w:val="6D1C6FD3"/>
    <w:rsid w:val="6D205BE5"/>
    <w:rsid w:val="6D2356D5"/>
    <w:rsid w:val="6D25364D"/>
    <w:rsid w:val="6D263F32"/>
    <w:rsid w:val="6D2A4F0D"/>
    <w:rsid w:val="6D2B6338"/>
    <w:rsid w:val="6D2C31D6"/>
    <w:rsid w:val="6D330529"/>
    <w:rsid w:val="6D3C511D"/>
    <w:rsid w:val="6D3F766C"/>
    <w:rsid w:val="6D434A7C"/>
    <w:rsid w:val="6D5652DD"/>
    <w:rsid w:val="6D5768B7"/>
    <w:rsid w:val="6D5A3393"/>
    <w:rsid w:val="6D6252B5"/>
    <w:rsid w:val="6D683D05"/>
    <w:rsid w:val="6D686AB5"/>
    <w:rsid w:val="6D693D28"/>
    <w:rsid w:val="6D6A2C2F"/>
    <w:rsid w:val="6D6B5B7D"/>
    <w:rsid w:val="6D700F83"/>
    <w:rsid w:val="6D7C77B7"/>
    <w:rsid w:val="6D7E02BC"/>
    <w:rsid w:val="6D8E4518"/>
    <w:rsid w:val="6D951ED6"/>
    <w:rsid w:val="6D9B1CAE"/>
    <w:rsid w:val="6DA27507"/>
    <w:rsid w:val="6DA71E62"/>
    <w:rsid w:val="6DAF51BB"/>
    <w:rsid w:val="6DB207D0"/>
    <w:rsid w:val="6DBC5712"/>
    <w:rsid w:val="6DBE5338"/>
    <w:rsid w:val="6DBE53FE"/>
    <w:rsid w:val="6DBE64B8"/>
    <w:rsid w:val="6DCC6136"/>
    <w:rsid w:val="6DD30EA9"/>
    <w:rsid w:val="6DD8502D"/>
    <w:rsid w:val="6DDC381E"/>
    <w:rsid w:val="6DE005A7"/>
    <w:rsid w:val="6DE062FE"/>
    <w:rsid w:val="6DE07191"/>
    <w:rsid w:val="6DE1559E"/>
    <w:rsid w:val="6DE24784"/>
    <w:rsid w:val="6DE32556"/>
    <w:rsid w:val="6DE42232"/>
    <w:rsid w:val="6DE9770C"/>
    <w:rsid w:val="6DF90F09"/>
    <w:rsid w:val="6E0018F5"/>
    <w:rsid w:val="6E105C5A"/>
    <w:rsid w:val="6E115DE8"/>
    <w:rsid w:val="6E142D35"/>
    <w:rsid w:val="6E151D5A"/>
    <w:rsid w:val="6E171279"/>
    <w:rsid w:val="6E1868BC"/>
    <w:rsid w:val="6E1B45FE"/>
    <w:rsid w:val="6E1C009D"/>
    <w:rsid w:val="6E1F4036"/>
    <w:rsid w:val="6E2128BE"/>
    <w:rsid w:val="6E237A82"/>
    <w:rsid w:val="6E246E46"/>
    <w:rsid w:val="6E297B9D"/>
    <w:rsid w:val="6E2F1C57"/>
    <w:rsid w:val="6E2F47F0"/>
    <w:rsid w:val="6E3418C4"/>
    <w:rsid w:val="6E401094"/>
    <w:rsid w:val="6E4D37D4"/>
    <w:rsid w:val="6E533829"/>
    <w:rsid w:val="6E571EF4"/>
    <w:rsid w:val="6E5D013A"/>
    <w:rsid w:val="6E5F7FE8"/>
    <w:rsid w:val="6E605C81"/>
    <w:rsid w:val="6E614566"/>
    <w:rsid w:val="6E712C93"/>
    <w:rsid w:val="6E7B658E"/>
    <w:rsid w:val="6E855289"/>
    <w:rsid w:val="6E8E2CF2"/>
    <w:rsid w:val="6E930639"/>
    <w:rsid w:val="6E94767F"/>
    <w:rsid w:val="6E97431A"/>
    <w:rsid w:val="6E991824"/>
    <w:rsid w:val="6E9947B3"/>
    <w:rsid w:val="6E9A775F"/>
    <w:rsid w:val="6E9E3FA6"/>
    <w:rsid w:val="6E9F03D8"/>
    <w:rsid w:val="6EA23D53"/>
    <w:rsid w:val="6EAB14DE"/>
    <w:rsid w:val="6EAC5256"/>
    <w:rsid w:val="6EB2129D"/>
    <w:rsid w:val="6EBF45C8"/>
    <w:rsid w:val="6EC06586"/>
    <w:rsid w:val="6EC86534"/>
    <w:rsid w:val="6ED042F3"/>
    <w:rsid w:val="6EE3488B"/>
    <w:rsid w:val="6EEA2389"/>
    <w:rsid w:val="6EF1606D"/>
    <w:rsid w:val="6EF71452"/>
    <w:rsid w:val="6EF86CF7"/>
    <w:rsid w:val="6EFB1A58"/>
    <w:rsid w:val="6F036E5D"/>
    <w:rsid w:val="6F050BC0"/>
    <w:rsid w:val="6F097FDF"/>
    <w:rsid w:val="6F0D1CD6"/>
    <w:rsid w:val="6F0F4C4D"/>
    <w:rsid w:val="6F146B37"/>
    <w:rsid w:val="6F173018"/>
    <w:rsid w:val="6F1E5468"/>
    <w:rsid w:val="6F1E7E69"/>
    <w:rsid w:val="6F255735"/>
    <w:rsid w:val="6F2868C8"/>
    <w:rsid w:val="6F286956"/>
    <w:rsid w:val="6F293789"/>
    <w:rsid w:val="6F2B0496"/>
    <w:rsid w:val="6F2C5348"/>
    <w:rsid w:val="6F2F090E"/>
    <w:rsid w:val="6F324291"/>
    <w:rsid w:val="6F422133"/>
    <w:rsid w:val="6F4247C4"/>
    <w:rsid w:val="6F5615D5"/>
    <w:rsid w:val="6F5942E0"/>
    <w:rsid w:val="6F5E0C47"/>
    <w:rsid w:val="6F5F2937"/>
    <w:rsid w:val="6F647E89"/>
    <w:rsid w:val="6F6B7A4C"/>
    <w:rsid w:val="6F6C349D"/>
    <w:rsid w:val="6F6E46E3"/>
    <w:rsid w:val="6F790AE6"/>
    <w:rsid w:val="6F7915DC"/>
    <w:rsid w:val="6F793FCA"/>
    <w:rsid w:val="6F7C6062"/>
    <w:rsid w:val="6F7D3176"/>
    <w:rsid w:val="6F882B72"/>
    <w:rsid w:val="6F8F4E86"/>
    <w:rsid w:val="6F9D2C59"/>
    <w:rsid w:val="6FB63D4C"/>
    <w:rsid w:val="6FB64E3E"/>
    <w:rsid w:val="6FB848AD"/>
    <w:rsid w:val="6FBD0418"/>
    <w:rsid w:val="6FC048BC"/>
    <w:rsid w:val="6FC70A73"/>
    <w:rsid w:val="6FCB24DF"/>
    <w:rsid w:val="6FD5651B"/>
    <w:rsid w:val="6FD6416F"/>
    <w:rsid w:val="6FD66065"/>
    <w:rsid w:val="6FD67575"/>
    <w:rsid w:val="6FD7411F"/>
    <w:rsid w:val="6FDD4897"/>
    <w:rsid w:val="6FEA1419"/>
    <w:rsid w:val="6FEF0689"/>
    <w:rsid w:val="6FF9096F"/>
    <w:rsid w:val="6FFD2D9E"/>
    <w:rsid w:val="6FFD46A9"/>
    <w:rsid w:val="70041191"/>
    <w:rsid w:val="70055A2E"/>
    <w:rsid w:val="70094861"/>
    <w:rsid w:val="70116EF3"/>
    <w:rsid w:val="701A5543"/>
    <w:rsid w:val="701D5921"/>
    <w:rsid w:val="70271646"/>
    <w:rsid w:val="702A3801"/>
    <w:rsid w:val="70445721"/>
    <w:rsid w:val="705067E1"/>
    <w:rsid w:val="70532079"/>
    <w:rsid w:val="705423B6"/>
    <w:rsid w:val="706952FC"/>
    <w:rsid w:val="706C1141"/>
    <w:rsid w:val="706F76FE"/>
    <w:rsid w:val="707137F1"/>
    <w:rsid w:val="70727227"/>
    <w:rsid w:val="70732A2D"/>
    <w:rsid w:val="70766CF4"/>
    <w:rsid w:val="70803921"/>
    <w:rsid w:val="70881160"/>
    <w:rsid w:val="708B7819"/>
    <w:rsid w:val="708D466D"/>
    <w:rsid w:val="70904285"/>
    <w:rsid w:val="70926DFA"/>
    <w:rsid w:val="70936354"/>
    <w:rsid w:val="7096018B"/>
    <w:rsid w:val="7098290A"/>
    <w:rsid w:val="70983EB2"/>
    <w:rsid w:val="709D2060"/>
    <w:rsid w:val="70A47C72"/>
    <w:rsid w:val="70AA0F73"/>
    <w:rsid w:val="70B84826"/>
    <w:rsid w:val="70B85DE0"/>
    <w:rsid w:val="70C25F11"/>
    <w:rsid w:val="70C75C1B"/>
    <w:rsid w:val="70C908D5"/>
    <w:rsid w:val="70CB4C66"/>
    <w:rsid w:val="70D07E34"/>
    <w:rsid w:val="70D1066A"/>
    <w:rsid w:val="70D14DB1"/>
    <w:rsid w:val="70DE2209"/>
    <w:rsid w:val="70DF0CD8"/>
    <w:rsid w:val="70E06E29"/>
    <w:rsid w:val="70E7076F"/>
    <w:rsid w:val="70EC5AB1"/>
    <w:rsid w:val="70ED5389"/>
    <w:rsid w:val="70F0560F"/>
    <w:rsid w:val="70F72A90"/>
    <w:rsid w:val="70F93503"/>
    <w:rsid w:val="70FE1B23"/>
    <w:rsid w:val="71073280"/>
    <w:rsid w:val="71092F0B"/>
    <w:rsid w:val="711C3351"/>
    <w:rsid w:val="711F364D"/>
    <w:rsid w:val="71276BFD"/>
    <w:rsid w:val="712C665B"/>
    <w:rsid w:val="71395348"/>
    <w:rsid w:val="713E37CA"/>
    <w:rsid w:val="71415607"/>
    <w:rsid w:val="71480353"/>
    <w:rsid w:val="71497D42"/>
    <w:rsid w:val="714E0C12"/>
    <w:rsid w:val="71533507"/>
    <w:rsid w:val="716B53BA"/>
    <w:rsid w:val="716C7460"/>
    <w:rsid w:val="717E112C"/>
    <w:rsid w:val="717F4CA6"/>
    <w:rsid w:val="71811901"/>
    <w:rsid w:val="71815A56"/>
    <w:rsid w:val="7185070D"/>
    <w:rsid w:val="718657BA"/>
    <w:rsid w:val="718A2D0C"/>
    <w:rsid w:val="718C51B4"/>
    <w:rsid w:val="71914168"/>
    <w:rsid w:val="71940B11"/>
    <w:rsid w:val="719C15B2"/>
    <w:rsid w:val="71AD4DCE"/>
    <w:rsid w:val="71B132B0"/>
    <w:rsid w:val="71B61B68"/>
    <w:rsid w:val="71BC7B23"/>
    <w:rsid w:val="71C52870"/>
    <w:rsid w:val="71CA2F8E"/>
    <w:rsid w:val="71CB1C7C"/>
    <w:rsid w:val="71D04246"/>
    <w:rsid w:val="71D747B4"/>
    <w:rsid w:val="71D93505"/>
    <w:rsid w:val="71E01DE7"/>
    <w:rsid w:val="71E05943"/>
    <w:rsid w:val="71E70440"/>
    <w:rsid w:val="71E73175"/>
    <w:rsid w:val="71FB79C9"/>
    <w:rsid w:val="7201728A"/>
    <w:rsid w:val="720965F3"/>
    <w:rsid w:val="72155B21"/>
    <w:rsid w:val="72181581"/>
    <w:rsid w:val="721D249D"/>
    <w:rsid w:val="72203D1C"/>
    <w:rsid w:val="72264262"/>
    <w:rsid w:val="722B2C07"/>
    <w:rsid w:val="72342D06"/>
    <w:rsid w:val="72362B15"/>
    <w:rsid w:val="72372909"/>
    <w:rsid w:val="72394BFF"/>
    <w:rsid w:val="72396743"/>
    <w:rsid w:val="723A1D4B"/>
    <w:rsid w:val="723C28FC"/>
    <w:rsid w:val="723F0DBE"/>
    <w:rsid w:val="723F67BB"/>
    <w:rsid w:val="7245554A"/>
    <w:rsid w:val="72556D83"/>
    <w:rsid w:val="725839D3"/>
    <w:rsid w:val="72621A7F"/>
    <w:rsid w:val="72683E78"/>
    <w:rsid w:val="726D6CAB"/>
    <w:rsid w:val="72700DF5"/>
    <w:rsid w:val="72702171"/>
    <w:rsid w:val="72705CB2"/>
    <w:rsid w:val="72711126"/>
    <w:rsid w:val="72732F9F"/>
    <w:rsid w:val="72734A09"/>
    <w:rsid w:val="727A7C8D"/>
    <w:rsid w:val="727B1F2D"/>
    <w:rsid w:val="727B319C"/>
    <w:rsid w:val="727B6157"/>
    <w:rsid w:val="72811CEE"/>
    <w:rsid w:val="72850298"/>
    <w:rsid w:val="728D3CE4"/>
    <w:rsid w:val="72945A53"/>
    <w:rsid w:val="7295026D"/>
    <w:rsid w:val="72966949"/>
    <w:rsid w:val="72A74BD1"/>
    <w:rsid w:val="72AD2758"/>
    <w:rsid w:val="72AF34A5"/>
    <w:rsid w:val="72B047B2"/>
    <w:rsid w:val="72C31B2D"/>
    <w:rsid w:val="72C40DC1"/>
    <w:rsid w:val="72C41CD9"/>
    <w:rsid w:val="72C8493B"/>
    <w:rsid w:val="72CB2CD0"/>
    <w:rsid w:val="72CC5EC7"/>
    <w:rsid w:val="72CD144E"/>
    <w:rsid w:val="72D57966"/>
    <w:rsid w:val="72DD01BE"/>
    <w:rsid w:val="72DD1BDE"/>
    <w:rsid w:val="72E316E7"/>
    <w:rsid w:val="72E44DF3"/>
    <w:rsid w:val="72F73362"/>
    <w:rsid w:val="72FA752B"/>
    <w:rsid w:val="72FD0776"/>
    <w:rsid w:val="72FD6392"/>
    <w:rsid w:val="731A4C2B"/>
    <w:rsid w:val="73213812"/>
    <w:rsid w:val="732B1540"/>
    <w:rsid w:val="732F34C5"/>
    <w:rsid w:val="733C60FD"/>
    <w:rsid w:val="7348540A"/>
    <w:rsid w:val="73495B32"/>
    <w:rsid w:val="734B54A4"/>
    <w:rsid w:val="735A3627"/>
    <w:rsid w:val="735D2FC3"/>
    <w:rsid w:val="7364132F"/>
    <w:rsid w:val="73666F58"/>
    <w:rsid w:val="736953A2"/>
    <w:rsid w:val="737C5B3F"/>
    <w:rsid w:val="73815756"/>
    <w:rsid w:val="7386076C"/>
    <w:rsid w:val="738848D3"/>
    <w:rsid w:val="73892637"/>
    <w:rsid w:val="738D49B5"/>
    <w:rsid w:val="738E14FD"/>
    <w:rsid w:val="739439F4"/>
    <w:rsid w:val="73A6581B"/>
    <w:rsid w:val="73AE1BE5"/>
    <w:rsid w:val="73AF37DA"/>
    <w:rsid w:val="73B344B6"/>
    <w:rsid w:val="73BD1EB7"/>
    <w:rsid w:val="73CB1409"/>
    <w:rsid w:val="73CE790A"/>
    <w:rsid w:val="73D23222"/>
    <w:rsid w:val="73D53159"/>
    <w:rsid w:val="73D94D40"/>
    <w:rsid w:val="73DC0F4B"/>
    <w:rsid w:val="73E003D1"/>
    <w:rsid w:val="73E23B6D"/>
    <w:rsid w:val="73FB375D"/>
    <w:rsid w:val="73FC1851"/>
    <w:rsid w:val="740272D5"/>
    <w:rsid w:val="7406560F"/>
    <w:rsid w:val="740759EF"/>
    <w:rsid w:val="740B3EAE"/>
    <w:rsid w:val="740B64F7"/>
    <w:rsid w:val="740C0D95"/>
    <w:rsid w:val="740D0733"/>
    <w:rsid w:val="740E228F"/>
    <w:rsid w:val="740E7F30"/>
    <w:rsid w:val="741C0D36"/>
    <w:rsid w:val="741C619B"/>
    <w:rsid w:val="74221EBD"/>
    <w:rsid w:val="74295BD7"/>
    <w:rsid w:val="743562A5"/>
    <w:rsid w:val="7437463E"/>
    <w:rsid w:val="744B103D"/>
    <w:rsid w:val="74552352"/>
    <w:rsid w:val="745B0F15"/>
    <w:rsid w:val="745F112E"/>
    <w:rsid w:val="74616862"/>
    <w:rsid w:val="74632A5E"/>
    <w:rsid w:val="74633C0E"/>
    <w:rsid w:val="746A283D"/>
    <w:rsid w:val="746E7D68"/>
    <w:rsid w:val="7470586B"/>
    <w:rsid w:val="7478139A"/>
    <w:rsid w:val="748051C8"/>
    <w:rsid w:val="748162CE"/>
    <w:rsid w:val="748202F8"/>
    <w:rsid w:val="74827185"/>
    <w:rsid w:val="74834279"/>
    <w:rsid w:val="74856C75"/>
    <w:rsid w:val="74877914"/>
    <w:rsid w:val="748A7DE8"/>
    <w:rsid w:val="749642FF"/>
    <w:rsid w:val="74980035"/>
    <w:rsid w:val="749811BB"/>
    <w:rsid w:val="749B7FF8"/>
    <w:rsid w:val="749D12D3"/>
    <w:rsid w:val="749D23FA"/>
    <w:rsid w:val="74A215D5"/>
    <w:rsid w:val="74BC310B"/>
    <w:rsid w:val="74BC781F"/>
    <w:rsid w:val="74BF4B59"/>
    <w:rsid w:val="74C65346"/>
    <w:rsid w:val="74D0590E"/>
    <w:rsid w:val="74D474BB"/>
    <w:rsid w:val="74D97635"/>
    <w:rsid w:val="74E10411"/>
    <w:rsid w:val="74E97B45"/>
    <w:rsid w:val="74EF2AE7"/>
    <w:rsid w:val="74F016BD"/>
    <w:rsid w:val="74F052E2"/>
    <w:rsid w:val="750162FC"/>
    <w:rsid w:val="75066890"/>
    <w:rsid w:val="750E2891"/>
    <w:rsid w:val="750F1CF5"/>
    <w:rsid w:val="752000AC"/>
    <w:rsid w:val="75220300"/>
    <w:rsid w:val="752539F4"/>
    <w:rsid w:val="752C6330"/>
    <w:rsid w:val="752E727F"/>
    <w:rsid w:val="75337796"/>
    <w:rsid w:val="75381CB1"/>
    <w:rsid w:val="753C6ECE"/>
    <w:rsid w:val="754108DA"/>
    <w:rsid w:val="75420234"/>
    <w:rsid w:val="75453D02"/>
    <w:rsid w:val="754629E6"/>
    <w:rsid w:val="754A0877"/>
    <w:rsid w:val="75521659"/>
    <w:rsid w:val="75533FDA"/>
    <w:rsid w:val="75581C24"/>
    <w:rsid w:val="7559336B"/>
    <w:rsid w:val="75600705"/>
    <w:rsid w:val="75680129"/>
    <w:rsid w:val="756B7033"/>
    <w:rsid w:val="756C0ECD"/>
    <w:rsid w:val="757728D2"/>
    <w:rsid w:val="758634D2"/>
    <w:rsid w:val="758E2AA6"/>
    <w:rsid w:val="7590142E"/>
    <w:rsid w:val="759115EC"/>
    <w:rsid w:val="75913ABF"/>
    <w:rsid w:val="759251A6"/>
    <w:rsid w:val="75946764"/>
    <w:rsid w:val="75952EE8"/>
    <w:rsid w:val="759A04FF"/>
    <w:rsid w:val="759C7839"/>
    <w:rsid w:val="759F3282"/>
    <w:rsid w:val="75A212FA"/>
    <w:rsid w:val="75A46D13"/>
    <w:rsid w:val="75A7723F"/>
    <w:rsid w:val="75AB1E72"/>
    <w:rsid w:val="75B23A9A"/>
    <w:rsid w:val="75B60ECF"/>
    <w:rsid w:val="75B64F3F"/>
    <w:rsid w:val="75B908EE"/>
    <w:rsid w:val="75C87B64"/>
    <w:rsid w:val="75CA2C48"/>
    <w:rsid w:val="75D106D7"/>
    <w:rsid w:val="75D66DBB"/>
    <w:rsid w:val="75D831F0"/>
    <w:rsid w:val="75E1615B"/>
    <w:rsid w:val="75F2380A"/>
    <w:rsid w:val="760923D7"/>
    <w:rsid w:val="760D5CD0"/>
    <w:rsid w:val="761806BD"/>
    <w:rsid w:val="76227E09"/>
    <w:rsid w:val="76276092"/>
    <w:rsid w:val="76295220"/>
    <w:rsid w:val="762A60A0"/>
    <w:rsid w:val="762A6A1E"/>
    <w:rsid w:val="762A7AD4"/>
    <w:rsid w:val="762B3E28"/>
    <w:rsid w:val="762D0EFC"/>
    <w:rsid w:val="763454C0"/>
    <w:rsid w:val="7634605A"/>
    <w:rsid w:val="76436971"/>
    <w:rsid w:val="76492863"/>
    <w:rsid w:val="764D2D48"/>
    <w:rsid w:val="7652295A"/>
    <w:rsid w:val="765859FE"/>
    <w:rsid w:val="76591F00"/>
    <w:rsid w:val="765B28D5"/>
    <w:rsid w:val="765C6931"/>
    <w:rsid w:val="76641FF3"/>
    <w:rsid w:val="766A71D7"/>
    <w:rsid w:val="766C76F7"/>
    <w:rsid w:val="766E5865"/>
    <w:rsid w:val="76734F12"/>
    <w:rsid w:val="76760B78"/>
    <w:rsid w:val="767D1A60"/>
    <w:rsid w:val="76834910"/>
    <w:rsid w:val="76854545"/>
    <w:rsid w:val="768F064E"/>
    <w:rsid w:val="76957FF4"/>
    <w:rsid w:val="769E62A4"/>
    <w:rsid w:val="76A57D3E"/>
    <w:rsid w:val="76A62318"/>
    <w:rsid w:val="76A84E99"/>
    <w:rsid w:val="76AC4625"/>
    <w:rsid w:val="76AD22C2"/>
    <w:rsid w:val="76AF17F9"/>
    <w:rsid w:val="76CA2B96"/>
    <w:rsid w:val="76D654E3"/>
    <w:rsid w:val="76E11B21"/>
    <w:rsid w:val="76E7339C"/>
    <w:rsid w:val="76EC777B"/>
    <w:rsid w:val="76F4274E"/>
    <w:rsid w:val="76F468C1"/>
    <w:rsid w:val="770245AD"/>
    <w:rsid w:val="77057AC7"/>
    <w:rsid w:val="77091C1D"/>
    <w:rsid w:val="77176176"/>
    <w:rsid w:val="77184DBB"/>
    <w:rsid w:val="771A1755"/>
    <w:rsid w:val="771E28B6"/>
    <w:rsid w:val="771F4936"/>
    <w:rsid w:val="77273EF9"/>
    <w:rsid w:val="77274014"/>
    <w:rsid w:val="772B7C4A"/>
    <w:rsid w:val="77353F3A"/>
    <w:rsid w:val="77355FF8"/>
    <w:rsid w:val="77364257"/>
    <w:rsid w:val="773B3B6C"/>
    <w:rsid w:val="773E690B"/>
    <w:rsid w:val="77400703"/>
    <w:rsid w:val="77481405"/>
    <w:rsid w:val="7756121A"/>
    <w:rsid w:val="7756324D"/>
    <w:rsid w:val="7758133C"/>
    <w:rsid w:val="775B68E4"/>
    <w:rsid w:val="77606A50"/>
    <w:rsid w:val="77615853"/>
    <w:rsid w:val="7763584A"/>
    <w:rsid w:val="7766224B"/>
    <w:rsid w:val="776F6849"/>
    <w:rsid w:val="77746506"/>
    <w:rsid w:val="777668F5"/>
    <w:rsid w:val="777B48D8"/>
    <w:rsid w:val="777B6635"/>
    <w:rsid w:val="777E21DF"/>
    <w:rsid w:val="777F7BCB"/>
    <w:rsid w:val="77815231"/>
    <w:rsid w:val="7785679F"/>
    <w:rsid w:val="778F7D27"/>
    <w:rsid w:val="77905715"/>
    <w:rsid w:val="779513B1"/>
    <w:rsid w:val="77A00DF4"/>
    <w:rsid w:val="77A15356"/>
    <w:rsid w:val="77A87F21"/>
    <w:rsid w:val="77AE3264"/>
    <w:rsid w:val="77B935E5"/>
    <w:rsid w:val="77BC6466"/>
    <w:rsid w:val="77D01D36"/>
    <w:rsid w:val="77D77B93"/>
    <w:rsid w:val="77DC1C29"/>
    <w:rsid w:val="77E45A61"/>
    <w:rsid w:val="77EE0CEA"/>
    <w:rsid w:val="77EF091C"/>
    <w:rsid w:val="77F109E8"/>
    <w:rsid w:val="77F56FD2"/>
    <w:rsid w:val="77FE37C0"/>
    <w:rsid w:val="78014865"/>
    <w:rsid w:val="78076BBD"/>
    <w:rsid w:val="780E2EA0"/>
    <w:rsid w:val="78191BAF"/>
    <w:rsid w:val="781A6637"/>
    <w:rsid w:val="78213EEA"/>
    <w:rsid w:val="782642CC"/>
    <w:rsid w:val="78266F87"/>
    <w:rsid w:val="782868C6"/>
    <w:rsid w:val="78291993"/>
    <w:rsid w:val="78295CAB"/>
    <w:rsid w:val="782A457F"/>
    <w:rsid w:val="782A5652"/>
    <w:rsid w:val="78323C8A"/>
    <w:rsid w:val="78335386"/>
    <w:rsid w:val="783B305E"/>
    <w:rsid w:val="783D7A4E"/>
    <w:rsid w:val="783E55CA"/>
    <w:rsid w:val="783F0EE9"/>
    <w:rsid w:val="784758CF"/>
    <w:rsid w:val="784937C3"/>
    <w:rsid w:val="784B0E08"/>
    <w:rsid w:val="784E3B4B"/>
    <w:rsid w:val="7856695F"/>
    <w:rsid w:val="7857163D"/>
    <w:rsid w:val="785A41C8"/>
    <w:rsid w:val="785C7C68"/>
    <w:rsid w:val="7861169D"/>
    <w:rsid w:val="786609D2"/>
    <w:rsid w:val="78671B47"/>
    <w:rsid w:val="78683792"/>
    <w:rsid w:val="78693FFC"/>
    <w:rsid w:val="78723B87"/>
    <w:rsid w:val="787F34C3"/>
    <w:rsid w:val="78811BD8"/>
    <w:rsid w:val="78862191"/>
    <w:rsid w:val="78864B66"/>
    <w:rsid w:val="788823C6"/>
    <w:rsid w:val="78917997"/>
    <w:rsid w:val="78920B5A"/>
    <w:rsid w:val="78954C16"/>
    <w:rsid w:val="78981283"/>
    <w:rsid w:val="7898512E"/>
    <w:rsid w:val="78990247"/>
    <w:rsid w:val="789B6C35"/>
    <w:rsid w:val="78A75ED7"/>
    <w:rsid w:val="78B47B29"/>
    <w:rsid w:val="78B6638E"/>
    <w:rsid w:val="78C347C2"/>
    <w:rsid w:val="78C410EC"/>
    <w:rsid w:val="78C62E83"/>
    <w:rsid w:val="78CE0448"/>
    <w:rsid w:val="78D05AFB"/>
    <w:rsid w:val="78D5211B"/>
    <w:rsid w:val="78E97A5B"/>
    <w:rsid w:val="78EA6ADB"/>
    <w:rsid w:val="78EB019C"/>
    <w:rsid w:val="78EC73CE"/>
    <w:rsid w:val="78ED0B84"/>
    <w:rsid w:val="78EE57BA"/>
    <w:rsid w:val="78F63854"/>
    <w:rsid w:val="78FD39FA"/>
    <w:rsid w:val="79033C91"/>
    <w:rsid w:val="790B0C35"/>
    <w:rsid w:val="791E5C47"/>
    <w:rsid w:val="792B1C50"/>
    <w:rsid w:val="792C0101"/>
    <w:rsid w:val="792D0F75"/>
    <w:rsid w:val="79375CA0"/>
    <w:rsid w:val="794013BD"/>
    <w:rsid w:val="79443176"/>
    <w:rsid w:val="79447590"/>
    <w:rsid w:val="794637B7"/>
    <w:rsid w:val="79501B57"/>
    <w:rsid w:val="79595B42"/>
    <w:rsid w:val="7969495B"/>
    <w:rsid w:val="796E0E48"/>
    <w:rsid w:val="797057FE"/>
    <w:rsid w:val="797A140D"/>
    <w:rsid w:val="797B0594"/>
    <w:rsid w:val="797D7D49"/>
    <w:rsid w:val="79846BBF"/>
    <w:rsid w:val="798C6424"/>
    <w:rsid w:val="799D1324"/>
    <w:rsid w:val="799D3504"/>
    <w:rsid w:val="799F0BFC"/>
    <w:rsid w:val="79A143D1"/>
    <w:rsid w:val="79A872C0"/>
    <w:rsid w:val="79B00387"/>
    <w:rsid w:val="79B13DC0"/>
    <w:rsid w:val="79B17F93"/>
    <w:rsid w:val="79BE5D52"/>
    <w:rsid w:val="79C02882"/>
    <w:rsid w:val="79CB4676"/>
    <w:rsid w:val="79CC73D5"/>
    <w:rsid w:val="79CD74FE"/>
    <w:rsid w:val="79D033A0"/>
    <w:rsid w:val="79D5076B"/>
    <w:rsid w:val="79D55C9B"/>
    <w:rsid w:val="79D87769"/>
    <w:rsid w:val="79DE28E7"/>
    <w:rsid w:val="79E13DCF"/>
    <w:rsid w:val="79E16E2A"/>
    <w:rsid w:val="79E370AE"/>
    <w:rsid w:val="79E65A0C"/>
    <w:rsid w:val="79E93803"/>
    <w:rsid w:val="79EB1840"/>
    <w:rsid w:val="79EC0EC1"/>
    <w:rsid w:val="79EF70E4"/>
    <w:rsid w:val="79F3603F"/>
    <w:rsid w:val="79FB0B3C"/>
    <w:rsid w:val="7A0467B1"/>
    <w:rsid w:val="7A0744D1"/>
    <w:rsid w:val="7A0C60E7"/>
    <w:rsid w:val="7A1258C5"/>
    <w:rsid w:val="7A260A8F"/>
    <w:rsid w:val="7A3C369B"/>
    <w:rsid w:val="7A3F2AE4"/>
    <w:rsid w:val="7A432F13"/>
    <w:rsid w:val="7A436F7C"/>
    <w:rsid w:val="7A437B15"/>
    <w:rsid w:val="7A467EA8"/>
    <w:rsid w:val="7A582604"/>
    <w:rsid w:val="7A5A200A"/>
    <w:rsid w:val="7A5A4E87"/>
    <w:rsid w:val="7A670DC1"/>
    <w:rsid w:val="7A680BCB"/>
    <w:rsid w:val="7A6C57E5"/>
    <w:rsid w:val="7A770E0E"/>
    <w:rsid w:val="7A774DAF"/>
    <w:rsid w:val="7A7F15E3"/>
    <w:rsid w:val="7A825B33"/>
    <w:rsid w:val="7A83138F"/>
    <w:rsid w:val="7A940F25"/>
    <w:rsid w:val="7A9462B6"/>
    <w:rsid w:val="7A961A4D"/>
    <w:rsid w:val="7A9A64AE"/>
    <w:rsid w:val="7AA92120"/>
    <w:rsid w:val="7AAB3864"/>
    <w:rsid w:val="7AB363D7"/>
    <w:rsid w:val="7AB54D14"/>
    <w:rsid w:val="7AB67D8C"/>
    <w:rsid w:val="7AB77180"/>
    <w:rsid w:val="7ABE4C8F"/>
    <w:rsid w:val="7AC14589"/>
    <w:rsid w:val="7AC35E02"/>
    <w:rsid w:val="7AC83FC8"/>
    <w:rsid w:val="7ACB43A1"/>
    <w:rsid w:val="7ACE310B"/>
    <w:rsid w:val="7ACE6E75"/>
    <w:rsid w:val="7ACF1EDC"/>
    <w:rsid w:val="7AD0398B"/>
    <w:rsid w:val="7AD324E9"/>
    <w:rsid w:val="7ADD23EC"/>
    <w:rsid w:val="7AE2272C"/>
    <w:rsid w:val="7AE82445"/>
    <w:rsid w:val="7AEA15E0"/>
    <w:rsid w:val="7AEB04AB"/>
    <w:rsid w:val="7AF0377F"/>
    <w:rsid w:val="7AF1296F"/>
    <w:rsid w:val="7AFD6738"/>
    <w:rsid w:val="7AFF72F6"/>
    <w:rsid w:val="7B07585E"/>
    <w:rsid w:val="7B106685"/>
    <w:rsid w:val="7B152B01"/>
    <w:rsid w:val="7B195822"/>
    <w:rsid w:val="7B1E559E"/>
    <w:rsid w:val="7B203504"/>
    <w:rsid w:val="7B28118F"/>
    <w:rsid w:val="7B341DB0"/>
    <w:rsid w:val="7B392C1B"/>
    <w:rsid w:val="7B3F1555"/>
    <w:rsid w:val="7B436ACA"/>
    <w:rsid w:val="7B4600E8"/>
    <w:rsid w:val="7B507E0D"/>
    <w:rsid w:val="7B5764AF"/>
    <w:rsid w:val="7B587A97"/>
    <w:rsid w:val="7B660E1E"/>
    <w:rsid w:val="7B6A39F0"/>
    <w:rsid w:val="7B6F1AE6"/>
    <w:rsid w:val="7B714987"/>
    <w:rsid w:val="7B744F90"/>
    <w:rsid w:val="7B784E3E"/>
    <w:rsid w:val="7B821168"/>
    <w:rsid w:val="7B8E1F50"/>
    <w:rsid w:val="7B903451"/>
    <w:rsid w:val="7B97514F"/>
    <w:rsid w:val="7B99368A"/>
    <w:rsid w:val="7B9E07F1"/>
    <w:rsid w:val="7B9F499A"/>
    <w:rsid w:val="7BA040F1"/>
    <w:rsid w:val="7BA47084"/>
    <w:rsid w:val="7BA54215"/>
    <w:rsid w:val="7BAA1F2C"/>
    <w:rsid w:val="7BAE0860"/>
    <w:rsid w:val="7BB67714"/>
    <w:rsid w:val="7BB7779F"/>
    <w:rsid w:val="7BBE732B"/>
    <w:rsid w:val="7BBF0CBF"/>
    <w:rsid w:val="7BCB0D94"/>
    <w:rsid w:val="7BD12079"/>
    <w:rsid w:val="7BD44407"/>
    <w:rsid w:val="7BE026AA"/>
    <w:rsid w:val="7BE36225"/>
    <w:rsid w:val="7BE839B7"/>
    <w:rsid w:val="7BEB4059"/>
    <w:rsid w:val="7BED4CCC"/>
    <w:rsid w:val="7BEE1668"/>
    <w:rsid w:val="7BF04785"/>
    <w:rsid w:val="7BF214C1"/>
    <w:rsid w:val="7C030BAC"/>
    <w:rsid w:val="7C1032C9"/>
    <w:rsid w:val="7C156B31"/>
    <w:rsid w:val="7C187860"/>
    <w:rsid w:val="7C1B4269"/>
    <w:rsid w:val="7C1C3A1B"/>
    <w:rsid w:val="7C1D1AC9"/>
    <w:rsid w:val="7C1D53CC"/>
    <w:rsid w:val="7C1D7794"/>
    <w:rsid w:val="7C2154D6"/>
    <w:rsid w:val="7C232DD9"/>
    <w:rsid w:val="7C2A55A2"/>
    <w:rsid w:val="7C314D89"/>
    <w:rsid w:val="7C324FED"/>
    <w:rsid w:val="7C33534D"/>
    <w:rsid w:val="7C3364BB"/>
    <w:rsid w:val="7C446A13"/>
    <w:rsid w:val="7C4934A5"/>
    <w:rsid w:val="7C4A0658"/>
    <w:rsid w:val="7C4B536B"/>
    <w:rsid w:val="7C58030D"/>
    <w:rsid w:val="7C664EC1"/>
    <w:rsid w:val="7C78742B"/>
    <w:rsid w:val="7C7C095E"/>
    <w:rsid w:val="7C864D79"/>
    <w:rsid w:val="7C873497"/>
    <w:rsid w:val="7C8768C5"/>
    <w:rsid w:val="7C8A5C27"/>
    <w:rsid w:val="7C8B5447"/>
    <w:rsid w:val="7C932453"/>
    <w:rsid w:val="7C934DE7"/>
    <w:rsid w:val="7C953BE3"/>
    <w:rsid w:val="7C9D54D2"/>
    <w:rsid w:val="7CA2449E"/>
    <w:rsid w:val="7CAD45BC"/>
    <w:rsid w:val="7CB116A9"/>
    <w:rsid w:val="7CB127A0"/>
    <w:rsid w:val="7CB2301F"/>
    <w:rsid w:val="7CBE3A51"/>
    <w:rsid w:val="7CC05BC2"/>
    <w:rsid w:val="7CC87BC1"/>
    <w:rsid w:val="7CD132A4"/>
    <w:rsid w:val="7CD45CD6"/>
    <w:rsid w:val="7CD92172"/>
    <w:rsid w:val="7CE0772A"/>
    <w:rsid w:val="7CE25338"/>
    <w:rsid w:val="7CEB1193"/>
    <w:rsid w:val="7CF02985"/>
    <w:rsid w:val="7CF67223"/>
    <w:rsid w:val="7CF84B94"/>
    <w:rsid w:val="7CFA7D95"/>
    <w:rsid w:val="7D030A4F"/>
    <w:rsid w:val="7D056582"/>
    <w:rsid w:val="7D092B4C"/>
    <w:rsid w:val="7D0C5E81"/>
    <w:rsid w:val="7D176B5E"/>
    <w:rsid w:val="7D2C0077"/>
    <w:rsid w:val="7D2C0EC1"/>
    <w:rsid w:val="7D2C20B6"/>
    <w:rsid w:val="7D312746"/>
    <w:rsid w:val="7D332EF4"/>
    <w:rsid w:val="7D34140C"/>
    <w:rsid w:val="7D393DF7"/>
    <w:rsid w:val="7D3A714A"/>
    <w:rsid w:val="7D4352DB"/>
    <w:rsid w:val="7D4B0519"/>
    <w:rsid w:val="7D4F5A86"/>
    <w:rsid w:val="7D5247C9"/>
    <w:rsid w:val="7D5250FF"/>
    <w:rsid w:val="7D5721C5"/>
    <w:rsid w:val="7D575A6A"/>
    <w:rsid w:val="7D592E1A"/>
    <w:rsid w:val="7D5D262F"/>
    <w:rsid w:val="7D7A4997"/>
    <w:rsid w:val="7D7C34F2"/>
    <w:rsid w:val="7D843283"/>
    <w:rsid w:val="7D8B036D"/>
    <w:rsid w:val="7D8E1A04"/>
    <w:rsid w:val="7D91049C"/>
    <w:rsid w:val="7D925CA6"/>
    <w:rsid w:val="7D9D6767"/>
    <w:rsid w:val="7DA76092"/>
    <w:rsid w:val="7DB208E3"/>
    <w:rsid w:val="7DB62A23"/>
    <w:rsid w:val="7DC40AC5"/>
    <w:rsid w:val="7DC55815"/>
    <w:rsid w:val="7DC66D23"/>
    <w:rsid w:val="7DCA7547"/>
    <w:rsid w:val="7DCB2EAD"/>
    <w:rsid w:val="7DD24A07"/>
    <w:rsid w:val="7DD412D2"/>
    <w:rsid w:val="7DD47685"/>
    <w:rsid w:val="7DD6794C"/>
    <w:rsid w:val="7DDC707F"/>
    <w:rsid w:val="7DE0603D"/>
    <w:rsid w:val="7DE11004"/>
    <w:rsid w:val="7DE2584F"/>
    <w:rsid w:val="7DE37E98"/>
    <w:rsid w:val="7DEB5EEA"/>
    <w:rsid w:val="7DF17F81"/>
    <w:rsid w:val="7DFF788D"/>
    <w:rsid w:val="7E01023E"/>
    <w:rsid w:val="7E0263DA"/>
    <w:rsid w:val="7E061337"/>
    <w:rsid w:val="7E0B0110"/>
    <w:rsid w:val="7E0D5661"/>
    <w:rsid w:val="7E0E6C5F"/>
    <w:rsid w:val="7E105CE8"/>
    <w:rsid w:val="7E3163C9"/>
    <w:rsid w:val="7E340F89"/>
    <w:rsid w:val="7E4048AC"/>
    <w:rsid w:val="7E4227DF"/>
    <w:rsid w:val="7E48758C"/>
    <w:rsid w:val="7E49178E"/>
    <w:rsid w:val="7E4E42BE"/>
    <w:rsid w:val="7E510BDD"/>
    <w:rsid w:val="7E536C69"/>
    <w:rsid w:val="7E5D449D"/>
    <w:rsid w:val="7E5F3432"/>
    <w:rsid w:val="7E602721"/>
    <w:rsid w:val="7E607448"/>
    <w:rsid w:val="7E623997"/>
    <w:rsid w:val="7E6512BF"/>
    <w:rsid w:val="7E675E9D"/>
    <w:rsid w:val="7E6D055E"/>
    <w:rsid w:val="7E6D6AEC"/>
    <w:rsid w:val="7E7136CC"/>
    <w:rsid w:val="7E725B75"/>
    <w:rsid w:val="7E740F7D"/>
    <w:rsid w:val="7E744041"/>
    <w:rsid w:val="7E76359A"/>
    <w:rsid w:val="7E763966"/>
    <w:rsid w:val="7E8055E4"/>
    <w:rsid w:val="7E815EE3"/>
    <w:rsid w:val="7E852C56"/>
    <w:rsid w:val="7E873097"/>
    <w:rsid w:val="7E8A7EF6"/>
    <w:rsid w:val="7E9C7095"/>
    <w:rsid w:val="7EA65DA5"/>
    <w:rsid w:val="7EAD2F22"/>
    <w:rsid w:val="7EAF7397"/>
    <w:rsid w:val="7EB07BF7"/>
    <w:rsid w:val="7EB67F24"/>
    <w:rsid w:val="7EB937A4"/>
    <w:rsid w:val="7EBB57F9"/>
    <w:rsid w:val="7EC07259"/>
    <w:rsid w:val="7EC60FC9"/>
    <w:rsid w:val="7EC87E8B"/>
    <w:rsid w:val="7ECB4119"/>
    <w:rsid w:val="7ECF0338"/>
    <w:rsid w:val="7ED766E8"/>
    <w:rsid w:val="7EDA0B2E"/>
    <w:rsid w:val="7EDB7D56"/>
    <w:rsid w:val="7EDD7534"/>
    <w:rsid w:val="7EE44903"/>
    <w:rsid w:val="7EEE656E"/>
    <w:rsid w:val="7EFA764E"/>
    <w:rsid w:val="7F011DF8"/>
    <w:rsid w:val="7F124A5E"/>
    <w:rsid w:val="7F157B66"/>
    <w:rsid w:val="7F1B7FCC"/>
    <w:rsid w:val="7F1F284B"/>
    <w:rsid w:val="7F257AF9"/>
    <w:rsid w:val="7F2826D7"/>
    <w:rsid w:val="7F3215EA"/>
    <w:rsid w:val="7F334275"/>
    <w:rsid w:val="7F375567"/>
    <w:rsid w:val="7F4120DD"/>
    <w:rsid w:val="7F4332C0"/>
    <w:rsid w:val="7F4412FD"/>
    <w:rsid w:val="7F4A32B5"/>
    <w:rsid w:val="7F4A651E"/>
    <w:rsid w:val="7F512408"/>
    <w:rsid w:val="7F5417F6"/>
    <w:rsid w:val="7F57F591"/>
    <w:rsid w:val="7F6D2050"/>
    <w:rsid w:val="7F700B74"/>
    <w:rsid w:val="7F7109D4"/>
    <w:rsid w:val="7F7B4EFD"/>
    <w:rsid w:val="7F7D0C75"/>
    <w:rsid w:val="7F841B51"/>
    <w:rsid w:val="7F8504DC"/>
    <w:rsid w:val="7F8C7630"/>
    <w:rsid w:val="7F8E2E82"/>
    <w:rsid w:val="7F8E33B3"/>
    <w:rsid w:val="7F9B62CF"/>
    <w:rsid w:val="7FA0574E"/>
    <w:rsid w:val="7FA2124B"/>
    <w:rsid w:val="7FAB54CF"/>
    <w:rsid w:val="7FAC731C"/>
    <w:rsid w:val="7FBE6720"/>
    <w:rsid w:val="7FC134F1"/>
    <w:rsid w:val="7FC56178"/>
    <w:rsid w:val="7FCA5619"/>
    <w:rsid w:val="7FCD26D4"/>
    <w:rsid w:val="7FCF1612"/>
    <w:rsid w:val="7FD52433"/>
    <w:rsid w:val="7FD5285F"/>
    <w:rsid w:val="7FDB3C42"/>
    <w:rsid w:val="7FDF1520"/>
    <w:rsid w:val="7FDF3365"/>
    <w:rsid w:val="7FE06151"/>
    <w:rsid w:val="7FE2771A"/>
    <w:rsid w:val="7FE81533"/>
    <w:rsid w:val="7FF30F37"/>
    <w:rsid w:val="7FF42A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iPriority="9" w:name="heading 4"/>
    <w:lsdException w:qFormat="1" w:unhideWhenUsed="0" w:uiPriority="1" w:semiHidden="0" w:name="heading 5"/>
    <w:lsdException w:qFormat="1" w:uiPriority="9" w:name="heading 6"/>
    <w:lsdException w:qFormat="1" w:unhideWhenUsed="0" w:uiPriority="1"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qFormat="1" w:unhideWhenUsed="0" w:uiPriority="0"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qFormat="1" w:unhideWhenUsed="0" w:uiPriority="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uiPriority="99" w:name="Body Text First Indent 2"/>
    <w:lsdException w:uiPriority="99" w:name="Note Heading"/>
    <w:lsdException w:uiPriority="99" w:name="Body Text 2"/>
    <w:lsdException w:qFormat="1" w:uiPriority="99" w:semiHidden="0"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rPr>
      <w:rFonts w:ascii="Times New Roman" w:hAnsi="Times New Roman" w:eastAsia="宋体" w:cs="Times New Roman"/>
      <w:sz w:val="21"/>
      <w:szCs w:val="21"/>
      <w:lang w:val="en-US" w:eastAsia="zh-CN" w:bidi="ar-SA"/>
    </w:rPr>
  </w:style>
  <w:style w:type="paragraph" w:styleId="2">
    <w:name w:val="heading 1"/>
    <w:basedOn w:val="1"/>
    <w:next w:val="1"/>
    <w:link w:val="44"/>
    <w:autoRedefine/>
    <w:qFormat/>
    <w:uiPriority w:val="99"/>
    <w:pPr>
      <w:keepNext/>
      <w:keepLines/>
      <w:widowControl w:val="0"/>
      <w:spacing w:before="340" w:after="330" w:line="576" w:lineRule="auto"/>
      <w:outlineLvl w:val="0"/>
    </w:pPr>
    <w:rPr>
      <w:b/>
      <w:bCs/>
      <w:kern w:val="44"/>
      <w:sz w:val="44"/>
      <w:szCs w:val="44"/>
    </w:rPr>
  </w:style>
  <w:style w:type="paragraph" w:styleId="3">
    <w:name w:val="heading 2"/>
    <w:basedOn w:val="1"/>
    <w:next w:val="1"/>
    <w:link w:val="45"/>
    <w:autoRedefine/>
    <w:qFormat/>
    <w:uiPriority w:val="99"/>
    <w:pPr>
      <w:keepNext/>
      <w:keepLines/>
      <w:widowControl w:val="0"/>
      <w:spacing w:before="260" w:after="260" w:line="412" w:lineRule="auto"/>
      <w:outlineLvl w:val="1"/>
    </w:pPr>
    <w:rPr>
      <w:rFonts w:ascii="Arial" w:hAnsi="Arial" w:eastAsia="黑体"/>
      <w:b/>
      <w:bCs/>
      <w:sz w:val="32"/>
      <w:szCs w:val="32"/>
    </w:rPr>
  </w:style>
  <w:style w:type="paragraph" w:styleId="4">
    <w:name w:val="heading 3"/>
    <w:basedOn w:val="1"/>
    <w:next w:val="1"/>
    <w:link w:val="47"/>
    <w:autoRedefine/>
    <w:qFormat/>
    <w:uiPriority w:val="99"/>
    <w:pPr>
      <w:keepNext/>
      <w:keepLines/>
      <w:widowControl w:val="0"/>
      <w:spacing w:before="380" w:after="380" w:line="412" w:lineRule="auto"/>
      <w:jc w:val="center"/>
      <w:outlineLvl w:val="2"/>
    </w:pPr>
    <w:rPr>
      <w:b/>
      <w:bCs/>
      <w:sz w:val="28"/>
      <w:szCs w:val="32"/>
    </w:rPr>
  </w:style>
  <w:style w:type="paragraph" w:styleId="5">
    <w:name w:val="heading 5"/>
    <w:basedOn w:val="1"/>
    <w:next w:val="1"/>
    <w:link w:val="46"/>
    <w:autoRedefine/>
    <w:qFormat/>
    <w:uiPriority w:val="1"/>
    <w:pPr>
      <w:ind w:left="618"/>
      <w:outlineLvl w:val="4"/>
    </w:pPr>
    <w:rPr>
      <w:rFonts w:ascii="宋体" w:hAnsi="宋体" w:cs="宋体"/>
      <w:b/>
      <w:bCs/>
      <w:sz w:val="24"/>
      <w:szCs w:val="24"/>
      <w:lang w:val="zh-CN" w:bidi="zh-CN"/>
    </w:rPr>
  </w:style>
  <w:style w:type="paragraph" w:styleId="6">
    <w:name w:val="heading 7"/>
    <w:basedOn w:val="1"/>
    <w:next w:val="1"/>
    <w:link w:val="84"/>
    <w:autoRedefine/>
    <w:qFormat/>
    <w:uiPriority w:val="1"/>
    <w:pPr>
      <w:ind w:left="756"/>
      <w:outlineLvl w:val="6"/>
    </w:pPr>
    <w:rPr>
      <w:rFonts w:ascii="宋体" w:hAnsi="宋体" w:cs="宋体"/>
      <w:b/>
      <w:bCs/>
      <w:lang w:val="zh-CN" w:bidi="zh-CN"/>
    </w:rPr>
  </w:style>
  <w:style w:type="character" w:default="1" w:styleId="34">
    <w:name w:val="Default Paragraph Font"/>
    <w:autoRedefine/>
    <w:semiHidden/>
    <w:unhideWhenUsed/>
    <w:qFormat/>
    <w:uiPriority w:val="1"/>
  </w:style>
  <w:style w:type="table" w:default="1" w:styleId="32">
    <w:name w:val="Normal Table"/>
    <w:autoRedefine/>
    <w:semiHidden/>
    <w:unhideWhenUsed/>
    <w:qFormat/>
    <w:uiPriority w:val="99"/>
    <w:tblPr>
      <w:tblCellMar>
        <w:top w:w="0" w:type="dxa"/>
        <w:left w:w="108" w:type="dxa"/>
        <w:bottom w:w="0" w:type="dxa"/>
        <w:right w:w="108" w:type="dxa"/>
      </w:tblCellMar>
    </w:tblPr>
  </w:style>
  <w:style w:type="paragraph" w:styleId="7">
    <w:name w:val="toc 7"/>
    <w:basedOn w:val="1"/>
    <w:next w:val="1"/>
    <w:autoRedefine/>
    <w:unhideWhenUsed/>
    <w:qFormat/>
    <w:uiPriority w:val="39"/>
    <w:pPr>
      <w:ind w:left="1260"/>
    </w:pPr>
    <w:rPr>
      <w:rFonts w:ascii="Calibri" w:hAnsi="Calibri" w:cs="Calibri"/>
      <w:sz w:val="18"/>
      <w:szCs w:val="18"/>
    </w:rPr>
  </w:style>
  <w:style w:type="paragraph" w:styleId="8">
    <w:name w:val="Normal Indent"/>
    <w:basedOn w:val="1"/>
    <w:next w:val="1"/>
    <w:autoRedefine/>
    <w:unhideWhenUsed/>
    <w:qFormat/>
    <w:uiPriority w:val="99"/>
    <w:pPr>
      <w:ind w:firstLine="420" w:firstLineChars="200"/>
    </w:pPr>
  </w:style>
  <w:style w:type="paragraph" w:styleId="9">
    <w:name w:val="Document Map"/>
    <w:basedOn w:val="1"/>
    <w:next w:val="10"/>
    <w:link w:val="48"/>
    <w:autoRedefine/>
    <w:unhideWhenUsed/>
    <w:qFormat/>
    <w:uiPriority w:val="99"/>
    <w:rPr>
      <w:rFonts w:ascii="宋体"/>
      <w:sz w:val="18"/>
      <w:szCs w:val="18"/>
    </w:rPr>
  </w:style>
  <w:style w:type="paragraph" w:styleId="10">
    <w:name w:val="Title"/>
    <w:basedOn w:val="1"/>
    <w:next w:val="1"/>
    <w:autoRedefine/>
    <w:qFormat/>
    <w:uiPriority w:val="0"/>
    <w:pPr>
      <w:spacing w:beforeLines="50" w:after="100" w:afterAutospacing="1" w:line="600" w:lineRule="exact"/>
      <w:ind w:firstLine="723" w:firstLineChars="200"/>
      <w:jc w:val="center"/>
    </w:pPr>
    <w:rPr>
      <w:rFonts w:eastAsia="仿宋"/>
      <w:b/>
      <w:sz w:val="32"/>
      <w:szCs w:val="32"/>
    </w:rPr>
  </w:style>
  <w:style w:type="paragraph" w:styleId="11">
    <w:name w:val="toa heading"/>
    <w:basedOn w:val="1"/>
    <w:next w:val="1"/>
    <w:autoRedefine/>
    <w:semiHidden/>
    <w:qFormat/>
    <w:uiPriority w:val="0"/>
    <w:pPr>
      <w:widowControl w:val="0"/>
      <w:spacing w:before="120"/>
      <w:jc w:val="both"/>
    </w:pPr>
    <w:rPr>
      <w:rFonts w:ascii="Arial" w:hAnsi="Arial" w:cs="Arial"/>
      <w:kern w:val="2"/>
      <w:sz w:val="24"/>
      <w:szCs w:val="24"/>
    </w:rPr>
  </w:style>
  <w:style w:type="paragraph" w:styleId="12">
    <w:name w:val="annotation text"/>
    <w:basedOn w:val="1"/>
    <w:link w:val="81"/>
    <w:autoRedefine/>
    <w:unhideWhenUsed/>
    <w:qFormat/>
    <w:uiPriority w:val="99"/>
  </w:style>
  <w:style w:type="paragraph" w:styleId="13">
    <w:name w:val="Body Text 3"/>
    <w:basedOn w:val="1"/>
    <w:link w:val="49"/>
    <w:autoRedefine/>
    <w:unhideWhenUsed/>
    <w:qFormat/>
    <w:uiPriority w:val="99"/>
    <w:rPr>
      <w:rFonts w:ascii="宋体"/>
      <w:sz w:val="24"/>
      <w:szCs w:val="24"/>
    </w:rPr>
  </w:style>
  <w:style w:type="paragraph" w:styleId="14">
    <w:name w:val="Body Text"/>
    <w:basedOn w:val="1"/>
    <w:next w:val="15"/>
    <w:link w:val="83"/>
    <w:autoRedefine/>
    <w:qFormat/>
    <w:uiPriority w:val="0"/>
    <w:pPr>
      <w:spacing w:line="360" w:lineRule="auto"/>
    </w:pPr>
    <w:rPr>
      <w:kern w:val="2"/>
      <w:szCs w:val="24"/>
    </w:rPr>
  </w:style>
  <w:style w:type="paragraph" w:styleId="15">
    <w:name w:val="toc 5"/>
    <w:basedOn w:val="1"/>
    <w:next w:val="1"/>
    <w:autoRedefine/>
    <w:unhideWhenUsed/>
    <w:qFormat/>
    <w:uiPriority w:val="39"/>
    <w:pPr>
      <w:ind w:left="840"/>
    </w:pPr>
    <w:rPr>
      <w:rFonts w:ascii="Calibri" w:hAnsi="Calibri" w:cs="Calibri"/>
      <w:sz w:val="18"/>
      <w:szCs w:val="18"/>
    </w:rPr>
  </w:style>
  <w:style w:type="paragraph" w:styleId="16">
    <w:name w:val="Body Text Indent"/>
    <w:basedOn w:val="1"/>
    <w:next w:val="1"/>
    <w:link w:val="50"/>
    <w:autoRedefine/>
    <w:unhideWhenUsed/>
    <w:qFormat/>
    <w:uiPriority w:val="99"/>
    <w:pPr>
      <w:spacing w:line="460" w:lineRule="exact"/>
      <w:ind w:firstLine="510"/>
    </w:pPr>
  </w:style>
  <w:style w:type="paragraph" w:styleId="17">
    <w:name w:val="toc 3"/>
    <w:basedOn w:val="1"/>
    <w:next w:val="1"/>
    <w:autoRedefine/>
    <w:unhideWhenUsed/>
    <w:qFormat/>
    <w:uiPriority w:val="39"/>
    <w:pPr>
      <w:ind w:left="420"/>
    </w:pPr>
    <w:rPr>
      <w:rFonts w:ascii="Calibri" w:hAnsi="Calibri" w:cs="Calibri"/>
      <w:i/>
      <w:iCs/>
      <w:sz w:val="20"/>
      <w:szCs w:val="20"/>
    </w:rPr>
  </w:style>
  <w:style w:type="paragraph" w:styleId="18">
    <w:name w:val="Plain Text"/>
    <w:basedOn w:val="1"/>
    <w:link w:val="85"/>
    <w:autoRedefine/>
    <w:qFormat/>
    <w:uiPriority w:val="0"/>
    <w:rPr>
      <w:rFonts w:ascii="宋体" w:hAnsi="Courier New"/>
      <w:szCs w:val="20"/>
    </w:rPr>
  </w:style>
  <w:style w:type="paragraph" w:styleId="19">
    <w:name w:val="toc 8"/>
    <w:basedOn w:val="1"/>
    <w:next w:val="1"/>
    <w:autoRedefine/>
    <w:unhideWhenUsed/>
    <w:qFormat/>
    <w:uiPriority w:val="39"/>
    <w:pPr>
      <w:ind w:left="1470"/>
    </w:pPr>
    <w:rPr>
      <w:rFonts w:ascii="Calibri" w:hAnsi="Calibri" w:cs="Calibri"/>
      <w:sz w:val="18"/>
      <w:szCs w:val="18"/>
    </w:rPr>
  </w:style>
  <w:style w:type="paragraph" w:styleId="20">
    <w:name w:val="Balloon Text"/>
    <w:basedOn w:val="1"/>
    <w:link w:val="51"/>
    <w:autoRedefine/>
    <w:unhideWhenUsed/>
    <w:qFormat/>
    <w:uiPriority w:val="99"/>
    <w:rPr>
      <w:sz w:val="18"/>
      <w:szCs w:val="18"/>
    </w:rPr>
  </w:style>
  <w:style w:type="paragraph" w:styleId="21">
    <w:name w:val="footer"/>
    <w:basedOn w:val="1"/>
    <w:link w:val="52"/>
    <w:autoRedefine/>
    <w:unhideWhenUsed/>
    <w:qFormat/>
    <w:uiPriority w:val="99"/>
    <w:pPr>
      <w:tabs>
        <w:tab w:val="center" w:pos="4153"/>
        <w:tab w:val="right" w:pos="8306"/>
      </w:tabs>
      <w:snapToGrid w:val="0"/>
    </w:pPr>
    <w:rPr>
      <w:sz w:val="18"/>
      <w:szCs w:val="18"/>
    </w:rPr>
  </w:style>
  <w:style w:type="paragraph" w:styleId="22">
    <w:name w:val="header"/>
    <w:basedOn w:val="1"/>
    <w:link w:val="53"/>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23">
    <w:name w:val="toc 1"/>
    <w:basedOn w:val="1"/>
    <w:next w:val="1"/>
    <w:autoRedefine/>
    <w:unhideWhenUsed/>
    <w:qFormat/>
    <w:uiPriority w:val="39"/>
    <w:pPr>
      <w:spacing w:before="120" w:after="120"/>
    </w:pPr>
    <w:rPr>
      <w:rFonts w:ascii="Calibri" w:hAnsi="Calibri" w:cs="Calibri"/>
      <w:b/>
      <w:bCs/>
      <w:caps/>
      <w:sz w:val="20"/>
      <w:szCs w:val="20"/>
    </w:rPr>
  </w:style>
  <w:style w:type="paragraph" w:styleId="24">
    <w:name w:val="toc 4"/>
    <w:basedOn w:val="1"/>
    <w:next w:val="1"/>
    <w:autoRedefine/>
    <w:unhideWhenUsed/>
    <w:qFormat/>
    <w:uiPriority w:val="39"/>
    <w:pPr>
      <w:ind w:left="630"/>
    </w:pPr>
    <w:rPr>
      <w:rFonts w:ascii="Calibri" w:hAnsi="Calibri" w:cs="Calibri"/>
      <w:sz w:val="18"/>
      <w:szCs w:val="18"/>
    </w:rPr>
  </w:style>
  <w:style w:type="paragraph" w:styleId="25">
    <w:name w:val="footnote text"/>
    <w:basedOn w:val="1"/>
    <w:link w:val="86"/>
    <w:autoRedefine/>
    <w:qFormat/>
    <w:uiPriority w:val="0"/>
    <w:pPr>
      <w:adjustRightInd w:val="0"/>
      <w:spacing w:line="312" w:lineRule="atLeast"/>
      <w:textAlignment w:val="baseline"/>
    </w:pPr>
    <w:rPr>
      <w:sz w:val="18"/>
      <w:szCs w:val="20"/>
    </w:rPr>
  </w:style>
  <w:style w:type="paragraph" w:styleId="26">
    <w:name w:val="toc 6"/>
    <w:basedOn w:val="1"/>
    <w:next w:val="1"/>
    <w:autoRedefine/>
    <w:unhideWhenUsed/>
    <w:qFormat/>
    <w:uiPriority w:val="39"/>
    <w:pPr>
      <w:ind w:left="1050"/>
    </w:pPr>
    <w:rPr>
      <w:rFonts w:ascii="Calibri" w:hAnsi="Calibri" w:cs="Calibri"/>
      <w:sz w:val="18"/>
      <w:szCs w:val="18"/>
    </w:rPr>
  </w:style>
  <w:style w:type="paragraph" w:styleId="27">
    <w:name w:val="toc 2"/>
    <w:basedOn w:val="1"/>
    <w:next w:val="1"/>
    <w:autoRedefine/>
    <w:unhideWhenUsed/>
    <w:qFormat/>
    <w:uiPriority w:val="39"/>
    <w:pPr>
      <w:ind w:left="210"/>
    </w:pPr>
    <w:rPr>
      <w:rFonts w:ascii="Calibri" w:hAnsi="Calibri" w:cs="Calibri"/>
      <w:smallCaps/>
      <w:sz w:val="20"/>
      <w:szCs w:val="20"/>
    </w:rPr>
  </w:style>
  <w:style w:type="paragraph" w:styleId="28">
    <w:name w:val="toc 9"/>
    <w:basedOn w:val="1"/>
    <w:next w:val="1"/>
    <w:autoRedefine/>
    <w:unhideWhenUsed/>
    <w:qFormat/>
    <w:uiPriority w:val="39"/>
    <w:pPr>
      <w:ind w:left="1680"/>
    </w:pPr>
    <w:rPr>
      <w:rFonts w:ascii="Calibri" w:hAnsi="Calibri" w:cs="Calibri"/>
      <w:sz w:val="18"/>
      <w:szCs w:val="18"/>
    </w:rPr>
  </w:style>
  <w:style w:type="paragraph" w:styleId="29">
    <w:name w:val="Normal (Web)"/>
    <w:basedOn w:val="1"/>
    <w:autoRedefine/>
    <w:unhideWhenUsed/>
    <w:qFormat/>
    <w:uiPriority w:val="99"/>
    <w:pPr>
      <w:spacing w:before="100" w:beforeAutospacing="1" w:after="100" w:afterAutospacing="1"/>
    </w:pPr>
    <w:rPr>
      <w:sz w:val="24"/>
      <w:szCs w:val="24"/>
    </w:rPr>
  </w:style>
  <w:style w:type="paragraph" w:styleId="30">
    <w:name w:val="annotation subject"/>
    <w:basedOn w:val="12"/>
    <w:next w:val="12"/>
    <w:link w:val="82"/>
    <w:autoRedefine/>
    <w:semiHidden/>
    <w:unhideWhenUsed/>
    <w:qFormat/>
    <w:uiPriority w:val="99"/>
    <w:rPr>
      <w:b/>
      <w:bCs/>
    </w:rPr>
  </w:style>
  <w:style w:type="paragraph" w:styleId="31">
    <w:name w:val="Body Text First Indent"/>
    <w:basedOn w:val="14"/>
    <w:link w:val="87"/>
    <w:autoRedefine/>
    <w:unhideWhenUsed/>
    <w:qFormat/>
    <w:uiPriority w:val="99"/>
    <w:pPr>
      <w:ind w:firstLine="420" w:firstLineChars="100"/>
    </w:pPr>
  </w:style>
  <w:style w:type="table" w:styleId="33">
    <w:name w:val="Table Grid"/>
    <w:basedOn w:val="32"/>
    <w:autoRedefine/>
    <w:unhideWhenUsed/>
    <w:qFormat/>
    <w:uiPriority w:val="99"/>
    <w:pPr>
      <w:widowControl w:val="0"/>
      <w:jc w:val="both"/>
    </w:pPr>
    <w:rPr>
      <w:rFonts w:ascii="Calibri" w:hAnsi="Calibri" w:eastAsia="Times New Roman"/>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5">
    <w:name w:val="Strong"/>
    <w:autoRedefine/>
    <w:qFormat/>
    <w:uiPriority w:val="0"/>
    <w:rPr>
      <w:rFonts w:ascii="Calibri" w:hAnsi="Calibri" w:eastAsia="宋体" w:cs="Times New Roman"/>
      <w:b/>
      <w:bCs/>
    </w:rPr>
  </w:style>
  <w:style w:type="character" w:styleId="36">
    <w:name w:val="FollowedHyperlink"/>
    <w:autoRedefine/>
    <w:unhideWhenUsed/>
    <w:qFormat/>
    <w:uiPriority w:val="99"/>
    <w:rPr>
      <w:color w:val="333333"/>
      <w:u w:val="none"/>
    </w:rPr>
  </w:style>
  <w:style w:type="character" w:styleId="37">
    <w:name w:val="Emphasis"/>
    <w:autoRedefine/>
    <w:qFormat/>
    <w:uiPriority w:val="20"/>
    <w:rPr>
      <w:i/>
    </w:rPr>
  </w:style>
  <w:style w:type="character" w:styleId="38">
    <w:name w:val="HTML Definition"/>
    <w:autoRedefine/>
    <w:unhideWhenUsed/>
    <w:qFormat/>
    <w:uiPriority w:val="99"/>
    <w:rPr>
      <w:i/>
    </w:rPr>
  </w:style>
  <w:style w:type="character" w:styleId="39">
    <w:name w:val="Hyperlink"/>
    <w:autoRedefine/>
    <w:unhideWhenUsed/>
    <w:qFormat/>
    <w:uiPriority w:val="99"/>
    <w:rPr>
      <w:color w:val="333333"/>
      <w:u w:val="none"/>
    </w:rPr>
  </w:style>
  <w:style w:type="character" w:styleId="40">
    <w:name w:val="HTML Code"/>
    <w:autoRedefine/>
    <w:unhideWhenUsed/>
    <w:qFormat/>
    <w:uiPriority w:val="99"/>
    <w:rPr>
      <w:rFonts w:hint="default" w:ascii="Consolas" w:hAnsi="Consolas" w:eastAsia="Consolas" w:cs="Consolas"/>
      <w:color w:val="C7254E"/>
      <w:sz w:val="21"/>
      <w:szCs w:val="21"/>
      <w:shd w:val="clear" w:color="auto" w:fill="F9F2F4"/>
    </w:rPr>
  </w:style>
  <w:style w:type="character" w:styleId="41">
    <w:name w:val="annotation reference"/>
    <w:basedOn w:val="34"/>
    <w:autoRedefine/>
    <w:qFormat/>
    <w:uiPriority w:val="0"/>
    <w:rPr>
      <w:sz w:val="21"/>
      <w:szCs w:val="21"/>
    </w:rPr>
  </w:style>
  <w:style w:type="character" w:styleId="42">
    <w:name w:val="HTML Keyboard"/>
    <w:autoRedefine/>
    <w:unhideWhenUsed/>
    <w:qFormat/>
    <w:uiPriority w:val="99"/>
    <w:rPr>
      <w:rFonts w:hint="default" w:ascii="Consolas" w:hAnsi="Consolas" w:eastAsia="Consolas" w:cs="Consolas"/>
      <w:color w:val="FFFFFF"/>
      <w:sz w:val="21"/>
      <w:szCs w:val="21"/>
      <w:shd w:val="clear" w:color="auto" w:fill="333333"/>
    </w:rPr>
  </w:style>
  <w:style w:type="character" w:styleId="43">
    <w:name w:val="HTML Sample"/>
    <w:autoRedefine/>
    <w:unhideWhenUsed/>
    <w:qFormat/>
    <w:uiPriority w:val="99"/>
    <w:rPr>
      <w:rFonts w:ascii="Consolas" w:hAnsi="Consolas" w:eastAsia="Consolas" w:cs="Consolas"/>
      <w:sz w:val="21"/>
      <w:szCs w:val="21"/>
    </w:rPr>
  </w:style>
  <w:style w:type="character" w:customStyle="1" w:styleId="44">
    <w:name w:val="标题 1 字符"/>
    <w:link w:val="2"/>
    <w:autoRedefine/>
    <w:qFormat/>
    <w:uiPriority w:val="99"/>
    <w:rPr>
      <w:rFonts w:ascii="Calibri" w:hAnsi="Calibri" w:eastAsia="宋体" w:cs="Times New Roman"/>
      <w:b/>
      <w:bCs/>
      <w:kern w:val="44"/>
      <w:sz w:val="44"/>
      <w:szCs w:val="44"/>
    </w:rPr>
  </w:style>
  <w:style w:type="character" w:customStyle="1" w:styleId="45">
    <w:name w:val="标题 2 字符"/>
    <w:link w:val="3"/>
    <w:autoRedefine/>
    <w:qFormat/>
    <w:uiPriority w:val="99"/>
    <w:rPr>
      <w:rFonts w:ascii="Arial" w:hAnsi="Arial" w:eastAsia="黑体" w:cs="Times New Roman"/>
      <w:b/>
      <w:bCs/>
      <w:kern w:val="0"/>
      <w:sz w:val="32"/>
      <w:szCs w:val="32"/>
    </w:rPr>
  </w:style>
  <w:style w:type="character" w:customStyle="1" w:styleId="46">
    <w:name w:val="标题 5 字符"/>
    <w:link w:val="5"/>
    <w:autoRedefine/>
    <w:qFormat/>
    <w:uiPriority w:val="1"/>
    <w:rPr>
      <w:rFonts w:ascii="宋体" w:hAnsi="宋体" w:cs="宋体"/>
      <w:b/>
      <w:bCs/>
      <w:sz w:val="24"/>
      <w:szCs w:val="24"/>
      <w:lang w:val="zh-CN" w:bidi="zh-CN"/>
    </w:rPr>
  </w:style>
  <w:style w:type="character" w:customStyle="1" w:styleId="47">
    <w:name w:val="标题 3 字符"/>
    <w:link w:val="4"/>
    <w:autoRedefine/>
    <w:qFormat/>
    <w:uiPriority w:val="99"/>
    <w:rPr>
      <w:rFonts w:ascii="Times New Roman" w:hAnsi="Times New Roman" w:eastAsia="宋体" w:cs="Times New Roman"/>
      <w:b/>
      <w:bCs/>
      <w:kern w:val="0"/>
      <w:sz w:val="28"/>
      <w:szCs w:val="32"/>
    </w:rPr>
  </w:style>
  <w:style w:type="character" w:customStyle="1" w:styleId="48">
    <w:name w:val="文档结构图 字符"/>
    <w:link w:val="9"/>
    <w:autoRedefine/>
    <w:qFormat/>
    <w:uiPriority w:val="99"/>
    <w:rPr>
      <w:rFonts w:ascii="宋体"/>
      <w:sz w:val="18"/>
      <w:szCs w:val="18"/>
    </w:rPr>
  </w:style>
  <w:style w:type="character" w:customStyle="1" w:styleId="49">
    <w:name w:val="正文文本 3 字符"/>
    <w:link w:val="13"/>
    <w:autoRedefine/>
    <w:qFormat/>
    <w:uiPriority w:val="99"/>
    <w:rPr>
      <w:rFonts w:ascii="宋体" w:hAnsi="Calibri" w:eastAsia="宋体" w:cs="Times New Roman"/>
      <w:kern w:val="0"/>
      <w:sz w:val="24"/>
      <w:szCs w:val="24"/>
    </w:rPr>
  </w:style>
  <w:style w:type="character" w:customStyle="1" w:styleId="50">
    <w:name w:val="正文文本缩进 字符"/>
    <w:link w:val="16"/>
    <w:autoRedefine/>
    <w:qFormat/>
    <w:uiPriority w:val="99"/>
    <w:rPr>
      <w:rFonts w:ascii="Calibri" w:hAnsi="Calibri" w:eastAsia="宋体" w:cs="Times New Roman"/>
      <w:kern w:val="0"/>
      <w:szCs w:val="21"/>
    </w:rPr>
  </w:style>
  <w:style w:type="character" w:customStyle="1" w:styleId="51">
    <w:name w:val="批注框文本 字符"/>
    <w:link w:val="20"/>
    <w:autoRedefine/>
    <w:qFormat/>
    <w:uiPriority w:val="99"/>
    <w:rPr>
      <w:sz w:val="18"/>
      <w:szCs w:val="18"/>
    </w:rPr>
  </w:style>
  <w:style w:type="character" w:customStyle="1" w:styleId="52">
    <w:name w:val="页脚 字符"/>
    <w:link w:val="21"/>
    <w:autoRedefine/>
    <w:qFormat/>
    <w:uiPriority w:val="99"/>
    <w:rPr>
      <w:sz w:val="18"/>
      <w:szCs w:val="18"/>
    </w:rPr>
  </w:style>
  <w:style w:type="character" w:customStyle="1" w:styleId="53">
    <w:name w:val="页眉 字符"/>
    <w:link w:val="22"/>
    <w:autoRedefine/>
    <w:qFormat/>
    <w:uiPriority w:val="99"/>
    <w:rPr>
      <w:sz w:val="18"/>
      <w:szCs w:val="18"/>
    </w:rPr>
  </w:style>
  <w:style w:type="character" w:customStyle="1" w:styleId="54">
    <w:name w:val="15"/>
    <w:autoRedefine/>
    <w:qFormat/>
    <w:uiPriority w:val="0"/>
    <w:rPr>
      <w:rFonts w:hint="default" w:ascii="Times New Roman" w:hAnsi="Times New Roman" w:cs="Times New Roman"/>
      <w:b/>
      <w:bCs/>
      <w:kern w:val="44"/>
      <w:sz w:val="44"/>
      <w:szCs w:val="44"/>
    </w:rPr>
  </w:style>
  <w:style w:type="character" w:customStyle="1" w:styleId="55">
    <w:name w:val="hover1"/>
    <w:autoRedefine/>
    <w:qFormat/>
    <w:uiPriority w:val="0"/>
    <w:rPr>
      <w:shd w:val="clear" w:color="auto" w:fill="EEEEEE"/>
    </w:rPr>
  </w:style>
  <w:style w:type="character" w:customStyle="1" w:styleId="56">
    <w:name w:val="old"/>
    <w:autoRedefine/>
    <w:qFormat/>
    <w:uiPriority w:val="0"/>
    <w:rPr>
      <w:color w:val="999999"/>
    </w:rPr>
  </w:style>
  <w:style w:type="character" w:customStyle="1" w:styleId="57">
    <w:name w:val="hour_am"/>
    <w:autoRedefine/>
    <w:qFormat/>
    <w:uiPriority w:val="0"/>
  </w:style>
  <w:style w:type="character" w:customStyle="1" w:styleId="58">
    <w:name w:val="hover"/>
    <w:autoRedefine/>
    <w:qFormat/>
    <w:uiPriority w:val="0"/>
    <w:rPr>
      <w:shd w:val="clear" w:color="auto" w:fill="EEEEEE"/>
    </w:rPr>
  </w:style>
  <w:style w:type="character" w:customStyle="1" w:styleId="59">
    <w:name w:val="icon"/>
    <w:autoRedefine/>
    <w:qFormat/>
    <w:uiPriority w:val="0"/>
  </w:style>
  <w:style w:type="character" w:customStyle="1" w:styleId="60">
    <w:name w:val="font11"/>
    <w:autoRedefine/>
    <w:qFormat/>
    <w:uiPriority w:val="0"/>
    <w:rPr>
      <w:rFonts w:hint="default" w:ascii="华文中宋" w:hAnsi="华文中宋" w:eastAsia="华文中宋" w:cs="华文中宋"/>
      <w:color w:val="000000"/>
      <w:sz w:val="28"/>
      <w:szCs w:val="28"/>
      <w:u w:val="none"/>
    </w:rPr>
  </w:style>
  <w:style w:type="character" w:customStyle="1" w:styleId="61">
    <w:name w:val="glyphicon6"/>
    <w:autoRedefine/>
    <w:qFormat/>
    <w:uiPriority w:val="0"/>
  </w:style>
  <w:style w:type="character" w:customStyle="1" w:styleId="62">
    <w:name w:val="indent"/>
    <w:autoRedefine/>
    <w:qFormat/>
    <w:uiPriority w:val="0"/>
  </w:style>
  <w:style w:type="character" w:customStyle="1" w:styleId="63">
    <w:name w:val="16"/>
    <w:autoRedefine/>
    <w:qFormat/>
    <w:uiPriority w:val="0"/>
    <w:rPr>
      <w:rFonts w:hint="default" w:ascii="Times New Roman" w:hAnsi="Times New Roman" w:cs="Times New Roman"/>
      <w:b/>
      <w:bCs/>
      <w:sz w:val="32"/>
      <w:szCs w:val="32"/>
    </w:rPr>
  </w:style>
  <w:style w:type="character" w:customStyle="1" w:styleId="64">
    <w:name w:val="hour_pm"/>
    <w:autoRedefine/>
    <w:qFormat/>
    <w:uiPriority w:val="0"/>
  </w:style>
  <w:style w:type="character" w:customStyle="1" w:styleId="65">
    <w:name w:val="displayarti"/>
    <w:autoRedefine/>
    <w:qFormat/>
    <w:uiPriority w:val="0"/>
    <w:rPr>
      <w:color w:val="FFFFFF"/>
      <w:shd w:val="clear" w:color="auto" w:fill="A00000"/>
    </w:rPr>
  </w:style>
  <w:style w:type="character" w:customStyle="1" w:styleId="66">
    <w:name w:val="glyphicon4"/>
    <w:autoRedefine/>
    <w:qFormat/>
    <w:uiPriority w:val="0"/>
  </w:style>
  <w:style w:type="character" w:customStyle="1" w:styleId="67">
    <w:name w:val="font01"/>
    <w:autoRedefine/>
    <w:qFormat/>
    <w:uiPriority w:val="0"/>
    <w:rPr>
      <w:rFonts w:hint="default" w:ascii="华文中宋" w:hAnsi="华文中宋" w:eastAsia="华文中宋" w:cs="华文中宋"/>
      <w:color w:val="000000"/>
      <w:sz w:val="28"/>
      <w:szCs w:val="28"/>
      <w:u w:val="none"/>
    </w:rPr>
  </w:style>
  <w:style w:type="paragraph" w:customStyle="1" w:styleId="68">
    <w:name w:val="_Style 2"/>
    <w:basedOn w:val="1"/>
    <w:autoRedefine/>
    <w:qFormat/>
    <w:uiPriority w:val="0"/>
  </w:style>
  <w:style w:type="paragraph" w:customStyle="1" w:styleId="69">
    <w:name w:val="索引 11"/>
    <w:basedOn w:val="1"/>
    <w:next w:val="1"/>
    <w:autoRedefine/>
    <w:qFormat/>
    <w:uiPriority w:val="0"/>
    <w:pPr>
      <w:spacing w:line="360" w:lineRule="auto"/>
    </w:pPr>
    <w:rPr>
      <w:rFonts w:ascii="仿宋_GB2312" w:eastAsia="仿宋_GB2312"/>
      <w:sz w:val="24"/>
      <w:szCs w:val="20"/>
    </w:rPr>
  </w:style>
  <w:style w:type="paragraph" w:customStyle="1" w:styleId="70">
    <w:name w:val="z-窗体底端1"/>
    <w:basedOn w:val="1"/>
    <w:next w:val="1"/>
    <w:autoRedefine/>
    <w:qFormat/>
    <w:uiPriority w:val="0"/>
    <w:pPr>
      <w:pBdr>
        <w:top w:val="single" w:color="auto" w:sz="6" w:space="1"/>
      </w:pBdr>
      <w:jc w:val="center"/>
    </w:pPr>
    <w:rPr>
      <w:rFonts w:ascii="Arial"/>
      <w:vanish/>
      <w:sz w:val="16"/>
    </w:rPr>
  </w:style>
  <w:style w:type="paragraph" w:customStyle="1" w:styleId="71">
    <w:name w:val="正文1"/>
    <w:autoRedefine/>
    <w:qFormat/>
    <w:uiPriority w:val="0"/>
    <w:pPr>
      <w:widowControl w:val="0"/>
      <w:adjustRightInd w:val="0"/>
      <w:spacing w:after="160" w:line="312" w:lineRule="atLeast"/>
      <w:jc w:val="both"/>
      <w:textAlignment w:val="baseline"/>
    </w:pPr>
    <w:rPr>
      <w:rFonts w:ascii="宋体" w:hAnsi="Calibri" w:eastAsia="宋体" w:cs="Times New Roman"/>
      <w:sz w:val="34"/>
      <w:szCs w:val="22"/>
      <w:lang w:val="en-US" w:eastAsia="zh-CN" w:bidi="ar-SA"/>
    </w:rPr>
  </w:style>
  <w:style w:type="paragraph" w:customStyle="1" w:styleId="72">
    <w:name w:val="正文缩进1"/>
    <w:basedOn w:val="1"/>
    <w:autoRedefine/>
    <w:qFormat/>
    <w:uiPriority w:val="0"/>
    <w:pPr>
      <w:autoSpaceDE w:val="0"/>
      <w:autoSpaceDN w:val="0"/>
      <w:adjustRightInd w:val="0"/>
      <w:ind w:firstLine="420"/>
    </w:pPr>
    <w:rPr>
      <w:rFonts w:ascii="宋体" w:hAnsi="Calibri"/>
      <w:sz w:val="24"/>
      <w:szCs w:val="22"/>
    </w:rPr>
  </w:style>
  <w:style w:type="paragraph" w:customStyle="1" w:styleId="73">
    <w:name w:val="纯文本1"/>
    <w:basedOn w:val="1"/>
    <w:autoRedefine/>
    <w:qFormat/>
    <w:uiPriority w:val="0"/>
    <w:rPr>
      <w:rFonts w:ascii="宋体" w:hAnsi="Courier New"/>
      <w:szCs w:val="22"/>
    </w:rPr>
  </w:style>
  <w:style w:type="paragraph" w:customStyle="1" w:styleId="74">
    <w:name w:val="样式 样式 首行缩进:  2.57 字符 + 首行缩进:  2.57 字符"/>
    <w:basedOn w:val="1"/>
    <w:autoRedefine/>
    <w:qFormat/>
    <w:uiPriority w:val="0"/>
    <w:pPr>
      <w:spacing w:line="360" w:lineRule="auto"/>
      <w:ind w:firstLine="771" w:firstLineChars="257"/>
    </w:pPr>
    <w:rPr>
      <w:rFonts w:eastAsia="仿宋" w:cs="宋体"/>
      <w:sz w:val="30"/>
      <w:szCs w:val="30"/>
    </w:rPr>
  </w:style>
  <w:style w:type="paragraph" w:customStyle="1" w:styleId="75">
    <w:name w:val="z-窗体顶端1"/>
    <w:basedOn w:val="1"/>
    <w:next w:val="1"/>
    <w:autoRedefine/>
    <w:qFormat/>
    <w:uiPriority w:val="0"/>
    <w:pPr>
      <w:pBdr>
        <w:bottom w:val="single" w:color="auto" w:sz="6" w:space="1"/>
      </w:pBdr>
      <w:jc w:val="center"/>
    </w:pPr>
    <w:rPr>
      <w:rFonts w:ascii="Arial"/>
      <w:vanish/>
      <w:sz w:val="16"/>
    </w:rPr>
  </w:style>
  <w:style w:type="paragraph" w:customStyle="1" w:styleId="76">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77">
    <w:name w:val="列表段落1"/>
    <w:basedOn w:val="1"/>
    <w:autoRedefine/>
    <w:qFormat/>
    <w:uiPriority w:val="0"/>
    <w:pPr>
      <w:ind w:firstLine="420" w:firstLineChars="200"/>
    </w:pPr>
    <w:rPr>
      <w:rFonts w:ascii="Cambria" w:hAnsi="Cambria"/>
      <w:sz w:val="24"/>
      <w:szCs w:val="24"/>
    </w:rPr>
  </w:style>
  <w:style w:type="paragraph" w:customStyle="1" w:styleId="78">
    <w:name w:val="Table Paragraph"/>
    <w:basedOn w:val="1"/>
    <w:autoRedefine/>
    <w:qFormat/>
    <w:uiPriority w:val="1"/>
    <w:rPr>
      <w:rFonts w:ascii="宋体" w:hAnsi="宋体" w:cs="宋体"/>
      <w:lang w:val="zh-CN" w:bidi="zh-CN"/>
    </w:rPr>
  </w:style>
  <w:style w:type="paragraph" w:customStyle="1" w:styleId="79">
    <w:name w:val="p1"/>
    <w:basedOn w:val="1"/>
    <w:autoRedefine/>
    <w:qFormat/>
    <w:uiPriority w:val="0"/>
    <w:pPr>
      <w:spacing w:line="30" w:lineRule="atLeast"/>
      <w:jc w:val="center"/>
    </w:pPr>
    <w:rPr>
      <w:rFonts w:hint="eastAsia" w:ascii="宋体" w:hAnsi="宋体"/>
      <w:sz w:val="28"/>
      <w:szCs w:val="28"/>
    </w:rPr>
  </w:style>
  <w:style w:type="paragraph" w:customStyle="1" w:styleId="80">
    <w:name w:val="p2"/>
    <w:basedOn w:val="1"/>
    <w:autoRedefine/>
    <w:qFormat/>
    <w:uiPriority w:val="0"/>
    <w:pPr>
      <w:spacing w:line="30" w:lineRule="atLeast"/>
      <w:ind w:firstLine="420"/>
    </w:pPr>
    <w:rPr>
      <w:rFonts w:hint="eastAsia" w:ascii="宋体" w:hAnsi="宋体"/>
    </w:rPr>
  </w:style>
  <w:style w:type="character" w:customStyle="1" w:styleId="81">
    <w:name w:val="批注文字 字符"/>
    <w:link w:val="12"/>
    <w:autoRedefine/>
    <w:qFormat/>
    <w:uiPriority w:val="99"/>
    <w:rPr>
      <w:sz w:val="21"/>
      <w:szCs w:val="21"/>
    </w:rPr>
  </w:style>
  <w:style w:type="character" w:customStyle="1" w:styleId="82">
    <w:name w:val="批注主题 字符"/>
    <w:link w:val="30"/>
    <w:autoRedefine/>
    <w:semiHidden/>
    <w:qFormat/>
    <w:uiPriority w:val="99"/>
    <w:rPr>
      <w:b/>
      <w:bCs/>
      <w:sz w:val="21"/>
      <w:szCs w:val="21"/>
    </w:rPr>
  </w:style>
  <w:style w:type="character" w:customStyle="1" w:styleId="83">
    <w:name w:val="正文文本 字符"/>
    <w:link w:val="14"/>
    <w:autoRedefine/>
    <w:qFormat/>
    <w:uiPriority w:val="0"/>
    <w:rPr>
      <w:kern w:val="2"/>
      <w:sz w:val="21"/>
      <w:szCs w:val="24"/>
    </w:rPr>
  </w:style>
  <w:style w:type="character" w:customStyle="1" w:styleId="84">
    <w:name w:val="标题 7 字符"/>
    <w:link w:val="6"/>
    <w:autoRedefine/>
    <w:qFormat/>
    <w:uiPriority w:val="1"/>
    <w:rPr>
      <w:rFonts w:ascii="宋体" w:hAnsi="宋体" w:cs="宋体"/>
      <w:b/>
      <w:bCs/>
      <w:sz w:val="21"/>
      <w:szCs w:val="21"/>
      <w:lang w:val="zh-CN" w:bidi="zh-CN"/>
    </w:rPr>
  </w:style>
  <w:style w:type="character" w:customStyle="1" w:styleId="85">
    <w:name w:val="纯文本 字符"/>
    <w:link w:val="18"/>
    <w:autoRedefine/>
    <w:qFormat/>
    <w:uiPriority w:val="0"/>
    <w:rPr>
      <w:rFonts w:ascii="宋体" w:hAnsi="Courier New"/>
      <w:sz w:val="21"/>
    </w:rPr>
  </w:style>
  <w:style w:type="character" w:customStyle="1" w:styleId="86">
    <w:name w:val="脚注文本 字符"/>
    <w:link w:val="25"/>
    <w:autoRedefine/>
    <w:qFormat/>
    <w:uiPriority w:val="0"/>
    <w:rPr>
      <w:sz w:val="18"/>
    </w:rPr>
  </w:style>
  <w:style w:type="character" w:customStyle="1" w:styleId="87">
    <w:name w:val="正文文本首行缩进 字符"/>
    <w:link w:val="31"/>
    <w:autoRedefine/>
    <w:qFormat/>
    <w:uiPriority w:val="99"/>
    <w:rPr>
      <w:kern w:val="2"/>
      <w:sz w:val="21"/>
      <w:szCs w:val="24"/>
    </w:rPr>
  </w:style>
  <w:style w:type="paragraph" w:customStyle="1" w:styleId="88">
    <w:name w:val="列表段落2"/>
    <w:basedOn w:val="1"/>
    <w:autoRedefine/>
    <w:qFormat/>
    <w:uiPriority w:val="0"/>
    <w:pPr>
      <w:ind w:firstLine="420" w:firstLineChars="200"/>
    </w:pPr>
    <w:rPr>
      <w:rFonts w:ascii="Cambria" w:hAnsi="Cambria"/>
      <w:sz w:val="24"/>
      <w:szCs w:val="24"/>
    </w:rPr>
  </w:style>
  <w:style w:type="character" w:customStyle="1" w:styleId="89">
    <w:name w:val="cfdate"/>
    <w:basedOn w:val="34"/>
    <w:autoRedefine/>
    <w:qFormat/>
    <w:uiPriority w:val="0"/>
    <w:rPr>
      <w:color w:val="333333"/>
      <w:sz w:val="18"/>
      <w:szCs w:val="18"/>
    </w:rPr>
  </w:style>
  <w:style w:type="character" w:customStyle="1" w:styleId="90">
    <w:name w:val="prev2"/>
    <w:basedOn w:val="34"/>
    <w:autoRedefine/>
    <w:qFormat/>
    <w:uiPriority w:val="0"/>
    <w:rPr>
      <w:color w:val="888888"/>
    </w:rPr>
  </w:style>
  <w:style w:type="character" w:customStyle="1" w:styleId="91">
    <w:name w:val="prev3"/>
    <w:basedOn w:val="34"/>
    <w:autoRedefine/>
    <w:qFormat/>
    <w:uiPriority w:val="0"/>
    <w:rPr>
      <w:rFonts w:ascii="微软雅黑" w:hAnsi="微软雅黑" w:eastAsia="微软雅黑" w:cs="微软雅黑"/>
      <w:sz w:val="21"/>
      <w:szCs w:val="21"/>
    </w:rPr>
  </w:style>
  <w:style w:type="character" w:customStyle="1" w:styleId="92">
    <w:name w:val="next2"/>
    <w:basedOn w:val="34"/>
    <w:autoRedefine/>
    <w:qFormat/>
    <w:uiPriority w:val="0"/>
    <w:rPr>
      <w:color w:val="888888"/>
    </w:rPr>
  </w:style>
  <w:style w:type="character" w:customStyle="1" w:styleId="93">
    <w:name w:val="next3"/>
    <w:basedOn w:val="34"/>
    <w:autoRedefine/>
    <w:qFormat/>
    <w:uiPriority w:val="0"/>
    <w:rPr>
      <w:rFonts w:hint="eastAsia" w:ascii="微软雅黑" w:hAnsi="微软雅黑" w:eastAsia="微软雅黑" w:cs="微软雅黑"/>
      <w:sz w:val="21"/>
      <w:szCs w:val="21"/>
    </w:rPr>
  </w:style>
  <w:style w:type="character" w:customStyle="1" w:styleId="94">
    <w:name w:val="gjfg"/>
    <w:basedOn w:val="34"/>
    <w:autoRedefine/>
    <w:qFormat/>
    <w:uiPriority w:val="0"/>
  </w:style>
  <w:style w:type="character" w:customStyle="1" w:styleId="95">
    <w:name w:val="redfilefwwh"/>
    <w:basedOn w:val="34"/>
    <w:autoRedefine/>
    <w:qFormat/>
    <w:uiPriority w:val="0"/>
    <w:rPr>
      <w:color w:val="BA2636"/>
      <w:sz w:val="18"/>
      <w:szCs w:val="18"/>
    </w:rPr>
  </w:style>
  <w:style w:type="character" w:customStyle="1" w:styleId="96">
    <w:name w:val="qxdate"/>
    <w:basedOn w:val="34"/>
    <w:autoRedefine/>
    <w:qFormat/>
    <w:uiPriority w:val="0"/>
    <w:rPr>
      <w:color w:val="333333"/>
      <w:sz w:val="18"/>
      <w:szCs w:val="18"/>
    </w:rPr>
  </w:style>
  <w:style w:type="character" w:customStyle="1" w:styleId="97">
    <w:name w:val="redfilenumber"/>
    <w:basedOn w:val="34"/>
    <w:autoRedefine/>
    <w:qFormat/>
    <w:uiPriority w:val="0"/>
    <w:rPr>
      <w:color w:val="BA2636"/>
      <w:sz w:val="18"/>
      <w:szCs w:val="18"/>
    </w:rPr>
  </w:style>
  <w:style w:type="character" w:customStyle="1" w:styleId="98">
    <w:name w:val="prev"/>
    <w:basedOn w:val="34"/>
    <w:autoRedefine/>
    <w:qFormat/>
    <w:uiPriority w:val="0"/>
    <w:rPr>
      <w:rFonts w:ascii="微软雅黑" w:hAnsi="微软雅黑" w:eastAsia="微软雅黑" w:cs="微软雅黑"/>
      <w:sz w:val="21"/>
      <w:szCs w:val="21"/>
    </w:rPr>
  </w:style>
  <w:style w:type="character" w:customStyle="1" w:styleId="99">
    <w:name w:val="prev1"/>
    <w:basedOn w:val="34"/>
    <w:autoRedefine/>
    <w:qFormat/>
    <w:uiPriority w:val="0"/>
    <w:rPr>
      <w:color w:val="888888"/>
    </w:rPr>
  </w:style>
  <w:style w:type="character" w:customStyle="1" w:styleId="100">
    <w:name w:val="next"/>
    <w:basedOn w:val="34"/>
    <w:autoRedefine/>
    <w:qFormat/>
    <w:uiPriority w:val="0"/>
    <w:rPr>
      <w:rFonts w:hint="eastAsia" w:ascii="微软雅黑" w:hAnsi="微软雅黑" w:eastAsia="微软雅黑" w:cs="微软雅黑"/>
      <w:sz w:val="21"/>
      <w:szCs w:val="21"/>
    </w:rPr>
  </w:style>
  <w:style w:type="character" w:customStyle="1" w:styleId="101">
    <w:name w:val="next1"/>
    <w:basedOn w:val="34"/>
    <w:autoRedefine/>
    <w:qFormat/>
    <w:uiPriority w:val="0"/>
    <w:rPr>
      <w:color w:val="888888"/>
    </w:rPr>
  </w:style>
  <w:style w:type="character" w:customStyle="1" w:styleId="102">
    <w:name w:val="font51"/>
    <w:basedOn w:val="34"/>
    <w:autoRedefine/>
    <w:qFormat/>
    <w:uiPriority w:val="0"/>
    <w:rPr>
      <w:rFonts w:ascii="Calibri" w:hAnsi="Calibri" w:cs="Calibri"/>
      <w:color w:val="000000"/>
      <w:sz w:val="18"/>
      <w:szCs w:val="18"/>
      <w:u w:val="none"/>
    </w:rPr>
  </w:style>
  <w:style w:type="character" w:customStyle="1" w:styleId="103">
    <w:name w:val="font41"/>
    <w:basedOn w:val="34"/>
    <w:autoRedefine/>
    <w:qFormat/>
    <w:uiPriority w:val="0"/>
    <w:rPr>
      <w:rFonts w:hint="eastAsia" w:ascii="宋体" w:hAnsi="宋体" w:eastAsia="宋体" w:cs="宋体"/>
      <w:color w:val="000000"/>
      <w:sz w:val="18"/>
      <w:szCs w:val="18"/>
      <w:u w:val="none"/>
    </w:rPr>
  </w:style>
  <w:style w:type="character" w:customStyle="1" w:styleId="104">
    <w:name w:val="font71"/>
    <w:basedOn w:val="34"/>
    <w:autoRedefine/>
    <w:qFormat/>
    <w:uiPriority w:val="0"/>
    <w:rPr>
      <w:rFonts w:ascii="Calibri" w:hAnsi="Calibri" w:cs="Calibri"/>
      <w:color w:val="000000"/>
      <w:sz w:val="18"/>
      <w:szCs w:val="18"/>
      <w:u w:val="none"/>
    </w:rPr>
  </w:style>
  <w:style w:type="character" w:customStyle="1" w:styleId="105">
    <w:name w:val="font31"/>
    <w:basedOn w:val="34"/>
    <w:autoRedefine/>
    <w:qFormat/>
    <w:uiPriority w:val="0"/>
    <w:rPr>
      <w:rFonts w:hint="eastAsia" w:ascii="宋体" w:hAnsi="宋体" w:eastAsia="宋体" w:cs="宋体"/>
      <w:color w:val="000000"/>
      <w:sz w:val="18"/>
      <w:szCs w:val="18"/>
      <w:u w:val="none"/>
    </w:rPr>
  </w:style>
  <w:style w:type="character" w:customStyle="1" w:styleId="106">
    <w:name w:val="font81"/>
    <w:basedOn w:val="34"/>
    <w:autoRedefine/>
    <w:qFormat/>
    <w:uiPriority w:val="0"/>
    <w:rPr>
      <w:rFonts w:hint="eastAsia" w:ascii="宋体" w:hAnsi="宋体" w:eastAsia="宋体" w:cs="宋体"/>
      <w:color w:val="000000"/>
      <w:sz w:val="20"/>
      <w:szCs w:val="20"/>
      <w:u w:val="none"/>
    </w:rPr>
  </w:style>
  <w:style w:type="character" w:customStyle="1" w:styleId="107">
    <w:name w:val="font91"/>
    <w:basedOn w:val="34"/>
    <w:autoRedefine/>
    <w:qFormat/>
    <w:uiPriority w:val="0"/>
    <w:rPr>
      <w:rFonts w:hint="eastAsia" w:ascii="宋体" w:hAnsi="宋体" w:eastAsia="宋体" w:cs="宋体"/>
      <w:color w:val="000000"/>
      <w:sz w:val="32"/>
      <w:szCs w:val="32"/>
      <w:u w:val="none"/>
    </w:rPr>
  </w:style>
  <w:style w:type="character" w:customStyle="1" w:styleId="108">
    <w:name w:val="font161"/>
    <w:basedOn w:val="34"/>
    <w:autoRedefine/>
    <w:qFormat/>
    <w:uiPriority w:val="0"/>
    <w:rPr>
      <w:rFonts w:hint="eastAsia" w:ascii="宋体" w:hAnsi="宋体" w:eastAsia="宋体" w:cs="宋体"/>
      <w:color w:val="FF0000"/>
      <w:sz w:val="18"/>
      <w:szCs w:val="18"/>
      <w:u w:val="none"/>
    </w:rPr>
  </w:style>
  <w:style w:type="character" w:customStyle="1" w:styleId="109">
    <w:name w:val="font21"/>
    <w:basedOn w:val="34"/>
    <w:autoRedefine/>
    <w:qFormat/>
    <w:uiPriority w:val="0"/>
    <w:rPr>
      <w:rFonts w:hint="eastAsia" w:ascii="宋体" w:hAnsi="宋体" w:eastAsia="宋体" w:cs="宋体"/>
      <w:color w:val="000000"/>
      <w:sz w:val="18"/>
      <w:szCs w:val="18"/>
      <w:u w:val="none"/>
    </w:rPr>
  </w:style>
  <w:style w:type="character" w:customStyle="1" w:styleId="110">
    <w:name w:val="font181"/>
    <w:basedOn w:val="34"/>
    <w:autoRedefine/>
    <w:qFormat/>
    <w:uiPriority w:val="0"/>
    <w:rPr>
      <w:rFonts w:ascii="Calibri" w:hAnsi="Calibri" w:cs="Calibri"/>
      <w:color w:val="000000"/>
      <w:sz w:val="18"/>
      <w:szCs w:val="18"/>
      <w:u w:val="none"/>
    </w:rPr>
  </w:style>
  <w:style w:type="character" w:customStyle="1" w:styleId="111">
    <w:name w:val="font171"/>
    <w:basedOn w:val="34"/>
    <w:autoRedefine/>
    <w:qFormat/>
    <w:uiPriority w:val="0"/>
    <w:rPr>
      <w:rFonts w:hint="eastAsia" w:ascii="宋体" w:hAnsi="宋体" w:eastAsia="宋体" w:cs="宋体"/>
      <w:color w:val="FF0000"/>
      <w:sz w:val="18"/>
      <w:szCs w:val="18"/>
      <w:u w:val="none"/>
    </w:rPr>
  </w:style>
  <w:style w:type="character" w:customStyle="1" w:styleId="112">
    <w:name w:val="font101"/>
    <w:basedOn w:val="34"/>
    <w:autoRedefine/>
    <w:qFormat/>
    <w:uiPriority w:val="0"/>
    <w:rPr>
      <w:rFonts w:hint="eastAsia" w:ascii="宋体" w:hAnsi="宋体" w:eastAsia="宋体" w:cs="宋体"/>
      <w:color w:val="000000"/>
      <w:sz w:val="18"/>
      <w:szCs w:val="18"/>
      <w:u w:val="none"/>
    </w:rPr>
  </w:style>
  <w:style w:type="character" w:customStyle="1" w:styleId="113">
    <w:name w:val="font112"/>
    <w:basedOn w:val="34"/>
    <w:autoRedefine/>
    <w:qFormat/>
    <w:uiPriority w:val="0"/>
    <w:rPr>
      <w:rFonts w:hint="eastAsia" w:ascii="宋体" w:hAnsi="宋体" w:eastAsia="宋体" w:cs="宋体"/>
      <w:color w:val="FF0000"/>
      <w:sz w:val="24"/>
      <w:szCs w:val="24"/>
      <w:u w:val="none"/>
    </w:rPr>
  </w:style>
  <w:style w:type="character" w:customStyle="1" w:styleId="114">
    <w:name w:val="font201"/>
    <w:basedOn w:val="34"/>
    <w:autoRedefine/>
    <w:qFormat/>
    <w:uiPriority w:val="0"/>
    <w:rPr>
      <w:rFonts w:hint="eastAsia" w:ascii="宋体" w:hAnsi="宋体" w:eastAsia="宋体" w:cs="宋体"/>
      <w:color w:val="FF0000"/>
      <w:sz w:val="32"/>
      <w:szCs w:val="32"/>
      <w:u w:val="none"/>
    </w:rPr>
  </w:style>
  <w:style w:type="character" w:customStyle="1" w:styleId="115">
    <w:name w:val="font61"/>
    <w:basedOn w:val="34"/>
    <w:autoRedefine/>
    <w:qFormat/>
    <w:uiPriority w:val="0"/>
    <w:rPr>
      <w:rFonts w:hint="default" w:ascii="Times New Roman" w:hAnsi="Times New Roman" w:cs="Times New Roman"/>
      <w:color w:val="000000"/>
      <w:sz w:val="18"/>
      <w:szCs w:val="18"/>
      <w:u w:val="none"/>
    </w:rPr>
  </w:style>
  <w:style w:type="paragraph" w:customStyle="1" w:styleId="116">
    <w:name w:val="！A正文小四"/>
    <w:basedOn w:val="1"/>
    <w:qFormat/>
    <w:uiPriority w:val="0"/>
    <w:pPr>
      <w:widowControl/>
      <w:spacing w:line="240" w:lineRule="auto"/>
      <w:ind w:firstLine="0" w:firstLineChars="0"/>
    </w:pPr>
    <w:rPr>
      <w:rFonts w:ascii="宋体" w:hAnsi="宋体" w:eastAsia="宋体" w:cs="宋体"/>
      <w:kern w:val="0"/>
      <w:sz w:val="21"/>
      <w:lang w:val="zh-CN"/>
    </w:rPr>
  </w:style>
  <w:style w:type="paragraph" w:customStyle="1" w:styleId="117">
    <w:name w:val="列出段落3"/>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theme" Target="theme/theme1.xml"/><Relationship Id="rId20" Type="http://schemas.openxmlformats.org/officeDocument/2006/relationships/footer" Target="footer10.xml"/><Relationship Id="rId2" Type="http://schemas.openxmlformats.org/officeDocument/2006/relationships/settings" Target="settings.xml"/><Relationship Id="rId19" Type="http://schemas.openxmlformats.org/officeDocument/2006/relationships/header" Target="header8.xml"/><Relationship Id="rId18" Type="http://schemas.openxmlformats.org/officeDocument/2006/relationships/footer" Target="footer9.xml"/><Relationship Id="rId17" Type="http://schemas.openxmlformats.org/officeDocument/2006/relationships/footer" Target="footer8.xml"/><Relationship Id="rId16" Type="http://schemas.openxmlformats.org/officeDocument/2006/relationships/footer" Target="footer7.xml"/><Relationship Id="rId15" Type="http://schemas.openxmlformats.org/officeDocument/2006/relationships/header" Target="head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107</Pages>
  <Words>16944</Words>
  <Characters>18217</Characters>
  <Lines>311</Lines>
  <Paragraphs>87</Paragraphs>
  <TotalTime>59</TotalTime>
  <ScaleCrop>false</ScaleCrop>
  <LinksUpToDate>false</LinksUpToDate>
  <CharactersWithSpaces>20012</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2017-10-18T19:15:00Z</dcterms:created>
  <dc:creator>jsb</dc:creator>
  <cp:lastModifiedBy>86289</cp:lastModifiedBy>
  <cp:lastPrinted>2022-12-28T21:47:00Z</cp:lastPrinted>
  <dcterms:modified xsi:type="dcterms:W3CDTF">2025-06-24T06:39:58Z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mondata">
    <vt:lpwstr>eyJoZGlkIjoiOTQ1ODRiOGZiMmI1YWE0ZWM5NjU4YzU2ZmNiMDhjMTgifQ==</vt:lpwstr>
  </property>
  <property fmtid="{D5CDD505-2E9C-101B-9397-08002B2CF9AE}" pid="3" name="ICV">
    <vt:lpwstr>43219ED851604042BAD4708FD99BCE82_13</vt:lpwstr>
  </property>
  <property fmtid="{D5CDD505-2E9C-101B-9397-08002B2CF9AE}" pid="4" name="KSOProductBuildVer">
    <vt:lpwstr>2052-12.1.0.21541</vt:lpwstr>
  </property>
  <property fmtid="{D5CDD505-2E9C-101B-9397-08002B2CF9AE}" pid="5" name="KSOTemplateDocerSaveRecord">
    <vt:lpwstr>eyJoZGlkIjoiYTk3Yjk1NThlMzI5ZmU0M2Y4Y2RiNzAyZWQ5OWJiMzciLCJ1c2VySWQiOiI0NTA3NDczMTkifQ==</vt:lpwstr>
  </property>
</Properties>
</file>