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版本号：N510726202500010520251103001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北川羌族自治县绿色低碳公交车更新项目--新能源公交车更新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N5107262025000105</w:t>
      </w:r>
    </w:p>
    <w:p>
      <w:pPr>
        <w:pStyle w:val="null3"/>
        <w:jc w:val="left"/>
        <w:outlineLvl w:val="2"/>
      </w:pPr>
      <w:r>
        <w:rPr>
          <w:rFonts w:ascii="仿宋_GB2312" w:hAnsi="仿宋_GB2312" w:cs="仿宋_GB2312" w:eastAsia="仿宋_GB2312"/>
          <w:sz w:val="28"/>
          <w:b/>
        </w:rPr>
        <w:t>北川羌族自治县公路运输管理所</w:t>
      </w:r>
    </w:p>
    <w:p>
      <w:pPr>
        <w:pStyle w:val="null3"/>
        <w:jc w:val="center"/>
        <w:outlineLvl w:val="2"/>
      </w:pPr>
      <w:r>
        <w:rPr>
          <w:rFonts w:ascii="仿宋_GB2312" w:hAnsi="仿宋_GB2312" w:cs="仿宋_GB2312" w:eastAsia="仿宋_GB2312"/>
          <w:sz w:val="28"/>
          <w:b/>
        </w:rPr>
        <w:t>四川勤德建设工程造价咨询有限责任公司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北川羌族自治县公路运输管理所</w:t>
      </w:r>
      <w:r>
        <w:rPr>
          <w:rFonts w:ascii="仿宋_GB2312" w:hAnsi="仿宋_GB2312" w:cs="仿宋_GB2312" w:eastAsia="仿宋_GB2312"/>
        </w:rPr>
        <w:t xml:space="preserve"> 委托，拟对 </w:t>
      </w:r>
      <w:r>
        <w:rPr>
          <w:rFonts w:ascii="仿宋_GB2312" w:hAnsi="仿宋_GB2312" w:cs="仿宋_GB2312" w:eastAsia="仿宋_GB2312"/>
        </w:rPr>
        <w:t>北川羌族自治县绿色低碳公交车更新项目--新能源公交车更新</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绵阳市北川羌族自治县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N5107262025000105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北川羌族自治县绿色低碳公交车更新项目--新能源公交车更新</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推动行业绿色低碳转型，提升我县城市公共交通服务水平，满足群众日常出行需求，更新新能源公交车共计18辆。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北川羌族自治县公路运输管理所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北川羌族自治县永昌镇永昌大道66号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13981111808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四川勤德建设工程造价咨询有限责任公司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绵阳科创区玉泉南路15号田森.奥林春天三期1幢9楼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汪子焱 李平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18142560107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代理服务费收费标准：参照国家计委【2002】1980号文件及国家计改发（2011）534号文件中关于货物收费标准收取，由成交单位支付。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北川羌族自治县公路运输管理所</w:t>
      </w:r>
      <w:r>
        <w:rPr>
          <w:rFonts w:ascii="仿宋_GB2312" w:hAnsi="仿宋_GB2312" w:cs="仿宋_GB2312" w:eastAsia="仿宋_GB2312"/>
        </w:rPr>
        <w:t xml:space="preserve"> 和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北川羌族自治县公路运输管理所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按照招标文件要求、投标文件响应内容及合同条款进行验收。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按照招标文件要求、投标文件响应内容及合同条款进行验收。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供应商与采购人应严格按照《财政部关于进一步加强政府采购需求和履约验收管理的指导意见》（财库〔2016〕205号）以及《绵阳市财政局关于进一步做好政府采购项目履约验收工作的通知》（绵财采〔2021〕15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北川羌族自治县公路运输管理所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联系人：陈剑</w:t>
      </w:r>
    </w:p>
    <w:p>
      <w:pPr>
        <w:pStyle w:val="null3"/>
        <w:jc w:val="left"/>
      </w:pPr>
      <w:r>
        <w:rPr>
          <w:rFonts w:ascii="仿宋_GB2312" w:hAnsi="仿宋_GB2312" w:cs="仿宋_GB2312" w:eastAsia="仿宋_GB2312"/>
        </w:rPr>
        <w:t>联系电话：13981111808</w:t>
      </w:r>
    </w:p>
    <w:p>
      <w:pPr>
        <w:pStyle w:val="null3"/>
        <w:jc w:val="left"/>
      </w:pPr>
      <w:r>
        <w:rPr>
          <w:rFonts w:ascii="仿宋_GB2312" w:hAnsi="仿宋_GB2312" w:cs="仿宋_GB2312" w:eastAsia="仿宋_GB2312"/>
        </w:rPr>
        <w:t>地址：北川羌族自治县永昌镇永昌大道66号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联系人：卢康林</w:t>
      </w:r>
    </w:p>
    <w:p>
      <w:pPr>
        <w:pStyle w:val="null3"/>
        <w:jc w:val="left"/>
      </w:pPr>
      <w:r>
        <w:rPr>
          <w:rFonts w:ascii="仿宋_GB2312" w:hAnsi="仿宋_GB2312" w:cs="仿宋_GB2312" w:eastAsia="仿宋_GB2312"/>
        </w:rPr>
        <w:t>联系电话：19108167051</w:t>
      </w:r>
    </w:p>
    <w:p>
      <w:pPr>
        <w:pStyle w:val="null3"/>
        <w:jc w:val="left"/>
      </w:pPr>
      <w:r>
        <w:rPr>
          <w:rFonts w:ascii="仿宋_GB2312" w:hAnsi="仿宋_GB2312" w:cs="仿宋_GB2312" w:eastAsia="仿宋_GB2312"/>
        </w:rPr>
        <w:t>地址：绵阳科创区玉泉南路15号田森.奥林春天三期1幢9楼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9,600,000.00</w:t>
      </w:r>
    </w:p>
    <w:p>
      <w:pPr>
        <w:pStyle w:val="null3"/>
        <w:jc w:val="left"/>
      </w:pPr>
      <w:r>
        <w:rPr>
          <w:rFonts w:ascii="仿宋_GB2312" w:hAnsi="仿宋_GB2312" w:cs="仿宋_GB2312" w:eastAsia="仿宋_GB2312"/>
        </w:rPr>
        <w:t>采购包最高限价（元）: 9,540,000.00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A02030634 公共汽车</w:t>
            </w:r>
          </w:p>
        </w:tc>
        <w:tc>
          <w:tcPr>
            <w:tcW w:type="dxa" w:w="821"/>
          </w:tcPr>
          <w:p>
            <w:pPr>
              <w:pStyle w:val="null3"/>
              <w:jc w:val="left"/>
            </w:pPr>
            <w:r>
              <w:rPr>
                <w:rFonts w:ascii="仿宋_GB2312" w:hAnsi="仿宋_GB2312" w:cs="仿宋_GB2312" w:eastAsia="仿宋_GB2312"/>
              </w:rPr>
              <w:t>新能源公交车</w:t>
            </w:r>
          </w:p>
        </w:tc>
        <w:tc>
          <w:tcPr>
            <w:tcW w:type="dxa" w:w="821"/>
          </w:tcPr>
          <w:p>
            <w:pPr>
              <w:pStyle w:val="null3"/>
              <w:jc w:val="right"/>
            </w:pPr>
            <w:r>
              <w:rPr>
                <w:rFonts w:ascii="仿宋_GB2312" w:hAnsi="仿宋_GB2312" w:cs="仿宋_GB2312" w:eastAsia="仿宋_GB2312"/>
              </w:rPr>
              <w:t>18.00（辆）</w:t>
            </w:r>
          </w:p>
        </w:tc>
        <w:tc>
          <w:tcPr>
            <w:tcW w:type="dxa" w:w="821"/>
          </w:tcPr>
          <w:p>
            <w:pPr>
              <w:pStyle w:val="null3"/>
              <w:jc w:val="right"/>
            </w:pPr>
            <w:r>
              <w:rPr>
                <w:rFonts w:ascii="仿宋_GB2312" w:hAnsi="仿宋_GB2312" w:cs="仿宋_GB2312" w:eastAsia="仿宋_GB2312"/>
              </w:rPr>
              <w:t>9,540,000.00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新能源公交车</w:t>
            </w:r>
          </w:p>
        </w:tc>
        <w:tc>
          <w:tcPr>
            <w:tcW w:type="dxa" w:w="1138"/>
          </w:tcPr>
          <w:p>
            <w:pPr>
              <w:pStyle w:val="null3"/>
              <w:jc w:val="center"/>
            </w:pPr>
            <w:r>
              <w:rPr>
                <w:rFonts w:ascii="仿宋_GB2312" w:hAnsi="仿宋_GB2312" w:cs="仿宋_GB2312" w:eastAsia="仿宋_GB2312"/>
              </w:rPr>
              <w:t>18.00（辆）</w:t>
            </w:r>
          </w:p>
        </w:tc>
        <w:tc>
          <w:tcPr>
            <w:tcW w:type="dxa" w:w="1365"/>
          </w:tcPr>
          <w:p>
            <w:pPr>
              <w:pStyle w:val="null3"/>
              <w:jc w:val="center"/>
            </w:pPr>
            <w:r>
              <w:rPr>
                <w:rFonts w:ascii="仿宋_GB2312" w:hAnsi="仿宋_GB2312" w:cs="仿宋_GB2312" w:eastAsia="仿宋_GB2312"/>
              </w:rPr>
              <w:t>9,540,000.00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A02030634 公共汽车</w:t>
            </w:r>
          </w:p>
        </w:tc>
        <w:tc>
          <w:tcPr>
            <w:tcW w:type="dxa" w:w="2492"/>
          </w:tcPr>
          <w:p>
            <w:pPr>
              <w:pStyle w:val="null3"/>
              <w:jc w:val="left"/>
            </w:pPr>
            <w:r>
              <w:rPr>
                <w:rFonts w:ascii="仿宋_GB2312" w:hAnsi="仿宋_GB2312" w:cs="仿宋_GB2312" w:eastAsia="仿宋_GB2312"/>
              </w:rPr>
              <w:t>新能源公交车</w:t>
            </w:r>
          </w:p>
        </w:tc>
        <w:tc>
          <w:tcPr>
            <w:tcW w:type="dxa" w:w="2492"/>
          </w:tcPr>
          <w:p>
            <w:pPr>
              <w:pStyle w:val="null3"/>
              <w:jc w:val="left"/>
            </w:pPr>
            <w:r>
              <w:rPr>
                <w:rFonts w:ascii="仿宋_GB2312" w:hAnsi="仿宋_GB2312" w:cs="仿宋_GB2312" w:eastAsia="仿宋_GB2312"/>
              </w:rPr>
              <w:t>新能源公交车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A02030634 公共汽车</w:t>
            </w:r>
          </w:p>
        </w:tc>
        <w:tc>
          <w:tcPr>
            <w:tcW w:type="dxa" w:w="2492"/>
          </w:tcPr>
          <w:p>
            <w:pPr>
              <w:pStyle w:val="null3"/>
              <w:jc w:val="left"/>
            </w:pPr>
            <w:r>
              <w:rPr>
                <w:rFonts w:ascii="仿宋_GB2312" w:hAnsi="仿宋_GB2312" w:cs="仿宋_GB2312" w:eastAsia="仿宋_GB2312"/>
              </w:rPr>
              <w:t>新能源公交车</w:t>
            </w:r>
          </w:p>
        </w:tc>
        <w:tc>
          <w:tcPr>
            <w:tcW w:type="dxa" w:w="2492"/>
          </w:tcPr>
          <w:p>
            <w:pPr>
              <w:pStyle w:val="null3"/>
              <w:jc w:val="left"/>
            </w:pPr>
            <w:r>
              <w:rPr>
                <w:rFonts w:ascii="仿宋_GB2312" w:hAnsi="仿宋_GB2312" w:cs="仿宋_GB2312" w:eastAsia="仿宋_GB2312"/>
              </w:rPr>
              <w:t>新能源公交车</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标的名称：新能源公交车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设备技术要求</w:t>
            </w:r>
          </w:p>
        </w:tc>
        <w:tc>
          <w:tcPr>
            <w:tcW w:type="dxa" w:w="5814"/>
          </w:tcPr>
          <w:tbl>
            <w:tblPr>
              <w:tblInd w:type="dxa" w:w="165"/>
              <w:tblBorders>
                <w:top w:val="none" w:color="000000" w:sz="4"/>
                <w:left w:val="none" w:color="000000" w:sz="4"/>
                <w:bottom w:val="none" w:color="000000" w:sz="4"/>
                <w:right w:val="none" w:color="000000" w:sz="4"/>
                <w:insideH w:val="none"/>
                <w:insideV w:val="none"/>
              </w:tblBorders>
            </w:tblPr>
            <w:tblGrid>
              <w:gridCol w:w="484"/>
              <w:gridCol w:w="1135"/>
              <w:gridCol w:w="3979"/>
            </w:tblGrid>
            <w:tr>
              <w:tc>
                <w:tcPr>
                  <w:tcW w:type="dxa" w:w="484"/>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序号</w:t>
                  </w:r>
                </w:p>
              </w:tc>
              <w:tc>
                <w:tcPr>
                  <w:tcW w:type="dxa" w:w="1135"/>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项目</w:t>
                  </w:r>
                </w:p>
              </w:tc>
              <w:tc>
                <w:tcPr>
                  <w:tcW w:type="dxa" w:w="39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b/>
                    </w:rPr>
                    <w:t>技术要求</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一、整车基本技术参数</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1.1</w:t>
                  </w:r>
                </w:p>
              </w:tc>
              <w:tc>
                <w:tcPr>
                  <w:tcW w:type="dxa" w:w="1135"/>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车辆长度（</w:t>
                  </w:r>
                  <w:r>
                    <w:rPr>
                      <w:rFonts w:ascii="仿宋_GB2312" w:hAnsi="仿宋_GB2312" w:cs="仿宋_GB2312" w:eastAsia="仿宋_GB2312"/>
                      <w:sz w:val="21"/>
                    </w:rPr>
                    <w:t>mm）</w:t>
                  </w:r>
                </w:p>
              </w:tc>
              <w:tc>
                <w:tcPr>
                  <w:tcW w:type="dxa" w:w="39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★8300*2400*3200(尺寸偏差允许±100）</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车身结构</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承载式车身</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踏步</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一级或二级</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整备质量（</w:t>
                  </w:r>
                  <w:r>
                    <w:rPr>
                      <w:rFonts w:ascii="仿宋_GB2312" w:hAnsi="仿宋_GB2312" w:cs="仿宋_GB2312" w:eastAsia="仿宋_GB2312"/>
                      <w:sz w:val="21"/>
                    </w:rPr>
                    <w:t>kg）</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≥7500kg</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最大总质量（</w:t>
                  </w:r>
                  <w:r>
                    <w:rPr>
                      <w:rFonts w:ascii="仿宋_GB2312" w:hAnsi="仿宋_GB2312" w:cs="仿宋_GB2312" w:eastAsia="仿宋_GB2312"/>
                      <w:sz w:val="21"/>
                    </w:rPr>
                    <w:t>kg）</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≥13500</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前悬</w:t>
                  </w:r>
                  <w:r>
                    <w:rPr>
                      <w:rFonts w:ascii="仿宋_GB2312" w:hAnsi="仿宋_GB2312" w:cs="仿宋_GB2312" w:eastAsia="仿宋_GB2312"/>
                      <w:sz w:val="21"/>
                    </w:rPr>
                    <w:t>/后悬（mm）</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▲≤2000/2000</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接近角</w:t>
                  </w:r>
                  <w:r>
                    <w:rPr>
                      <w:rFonts w:ascii="仿宋_GB2312" w:hAnsi="仿宋_GB2312" w:cs="仿宋_GB2312" w:eastAsia="仿宋_GB2312"/>
                      <w:sz w:val="21"/>
                    </w:rPr>
                    <w:t>/离去角</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≥9°/10°</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1.8</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最高车速（</w:t>
                  </w:r>
                  <w:r>
                    <w:rPr>
                      <w:rFonts w:ascii="仿宋_GB2312" w:hAnsi="仿宋_GB2312" w:cs="仿宋_GB2312" w:eastAsia="仿宋_GB2312"/>
                      <w:sz w:val="21"/>
                    </w:rPr>
                    <w:t>km/h）</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≤69</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二、电机、动力电池及控制部分</w:t>
                  </w: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2.1</w:t>
                  </w:r>
                </w:p>
              </w:tc>
              <w:tc>
                <w:tcPr>
                  <w:tcW w:type="dxa" w:w="1135"/>
                  <w:vMerge w:val="restart"/>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驱动电机</w:t>
                  </w:r>
                </w:p>
              </w:tc>
              <w:tc>
                <w:tcPr>
                  <w:tcW w:type="dxa" w:w="3979"/>
                  <w:vMerge w:val="restart"/>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 xml:space="preserve">▲1、永磁同步电机；    </w:t>
                  </w:r>
                </w:p>
                <w:p>
                  <w:pPr>
                    <w:pStyle w:val="null3"/>
                    <w:ind w:firstLine="240"/>
                    <w:jc w:val="left"/>
                  </w:pPr>
                  <w:r>
                    <w:rPr>
                      <w:rFonts w:ascii="仿宋_GB2312" w:hAnsi="仿宋_GB2312" w:cs="仿宋_GB2312" w:eastAsia="仿宋_GB2312"/>
                      <w:sz w:val="21"/>
                    </w:rPr>
                    <w:t>★2、峰值功率≥140kW；</w:t>
                  </w:r>
                </w:p>
                <w:p>
                  <w:pPr>
                    <w:pStyle w:val="null3"/>
                    <w:ind w:firstLine="240"/>
                    <w:jc w:val="left"/>
                  </w:pPr>
                  <w:r>
                    <w:rPr>
                      <w:rFonts w:ascii="仿宋_GB2312" w:hAnsi="仿宋_GB2312" w:cs="仿宋_GB2312" w:eastAsia="仿宋_GB2312"/>
                      <w:sz w:val="21"/>
                    </w:rPr>
                    <w:t>▲3、峰值扭矩≥1600N.m；</w:t>
                  </w:r>
                </w:p>
                <w:p>
                  <w:pPr>
                    <w:pStyle w:val="null3"/>
                    <w:ind w:firstLine="240"/>
                    <w:jc w:val="left"/>
                  </w:pPr>
                  <w:r>
                    <w:rPr>
                      <w:rFonts w:ascii="仿宋_GB2312" w:hAnsi="仿宋_GB2312" w:cs="仿宋_GB2312" w:eastAsia="仿宋_GB2312"/>
                      <w:sz w:val="21"/>
                    </w:rPr>
                    <w:t>▲4、防护等级≥IP67；</w:t>
                  </w:r>
                </w:p>
                <w:p>
                  <w:pPr>
                    <w:pStyle w:val="null3"/>
                    <w:ind w:firstLine="240"/>
                    <w:jc w:val="left"/>
                  </w:pPr>
                  <w:r>
                    <w:rPr>
                      <w:rFonts w:ascii="仿宋_GB2312" w:hAnsi="仿宋_GB2312" w:cs="仿宋_GB2312" w:eastAsia="仿宋_GB2312"/>
                      <w:sz w:val="21"/>
                    </w:rPr>
                    <w:t>★5、质保要求8年</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single" w:color="000000" w:sz="4"/>
                    <w:left w:val="none" w:color="000000" w:sz="4"/>
                    <w:bottom w:val="single" w:color="000000" w:sz="4"/>
                    <w:right w:val="single" w:color="000000" w:sz="4"/>
                  </w:tcBorders>
                </w:tcPr>
                <w:p/>
              </w:tc>
              <w:tc>
                <w:tcPr>
                  <w:tcW w:type="dxa" w:w="3979"/>
                  <w:vMerge/>
                  <w:tcBorders>
                    <w:top w:val="singl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single" w:color="000000" w:sz="4"/>
                    <w:left w:val="none" w:color="000000" w:sz="4"/>
                    <w:bottom w:val="single" w:color="000000" w:sz="4"/>
                    <w:right w:val="single" w:color="000000" w:sz="4"/>
                  </w:tcBorders>
                </w:tcPr>
                <w:p/>
              </w:tc>
              <w:tc>
                <w:tcPr>
                  <w:tcW w:type="dxa" w:w="3979"/>
                  <w:vMerge/>
                  <w:tcBorders>
                    <w:top w:val="singl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single" w:color="000000" w:sz="4"/>
                    <w:left w:val="none" w:color="000000" w:sz="4"/>
                    <w:bottom w:val="single" w:color="000000" w:sz="4"/>
                    <w:right w:val="single" w:color="000000" w:sz="4"/>
                  </w:tcBorders>
                </w:tcPr>
                <w:p/>
              </w:tc>
              <w:tc>
                <w:tcPr>
                  <w:tcW w:type="dxa" w:w="3979"/>
                  <w:vMerge/>
                  <w:tcBorders>
                    <w:top w:val="singl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single" w:color="000000" w:sz="4"/>
                    <w:left w:val="none" w:color="000000" w:sz="4"/>
                    <w:bottom w:val="single" w:color="000000" w:sz="4"/>
                    <w:right w:val="single" w:color="000000" w:sz="4"/>
                  </w:tcBorders>
                </w:tcPr>
                <w:p/>
              </w:tc>
              <w:tc>
                <w:tcPr>
                  <w:tcW w:type="dxa" w:w="3979"/>
                  <w:vMerge/>
                  <w:tcBorders>
                    <w:top w:val="singl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single" w:color="000000" w:sz="4"/>
                    <w:left w:val="none" w:color="000000" w:sz="4"/>
                    <w:bottom w:val="single" w:color="000000" w:sz="4"/>
                    <w:right w:val="single" w:color="000000" w:sz="4"/>
                  </w:tcBorders>
                </w:tcPr>
                <w:p/>
              </w:tc>
              <w:tc>
                <w:tcPr>
                  <w:tcW w:type="dxa" w:w="3979"/>
                  <w:vMerge/>
                  <w:tcBorders>
                    <w:top w:val="single" w:color="000000" w:sz="4"/>
                    <w:left w:val="none" w:color="000000" w:sz="4"/>
                    <w:bottom w:val="single" w:color="000000" w:sz="4"/>
                    <w:right w:val="single" w:color="000000" w:sz="4"/>
                  </w:tcBorders>
                </w:tcP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2.2</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动力电池</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▲1、磷酸铁锂电池；</w:t>
                  </w:r>
                </w:p>
                <w:p>
                  <w:pPr>
                    <w:pStyle w:val="null3"/>
                    <w:ind w:firstLine="240"/>
                    <w:jc w:val="left"/>
                  </w:pPr>
                  <w:r>
                    <w:rPr>
                      <w:rFonts w:ascii="仿宋_GB2312" w:hAnsi="仿宋_GB2312" w:cs="仿宋_GB2312" w:eastAsia="仿宋_GB2312"/>
                      <w:sz w:val="21"/>
                    </w:rPr>
                    <w:t>★2、总储电量≥160kWh。</w:t>
                  </w:r>
                </w:p>
                <w:p>
                  <w:pPr>
                    <w:pStyle w:val="null3"/>
                    <w:ind w:firstLine="240"/>
                    <w:jc w:val="left"/>
                  </w:pPr>
                  <w:r>
                    <w:rPr>
                      <w:rFonts w:ascii="仿宋_GB2312" w:hAnsi="仿宋_GB2312" w:cs="仿宋_GB2312" w:eastAsia="仿宋_GB2312"/>
                      <w:sz w:val="21"/>
                    </w:rPr>
                    <w:t>★3、续航里程≥200km；</w:t>
                  </w:r>
                </w:p>
                <w:p>
                  <w:pPr>
                    <w:pStyle w:val="null3"/>
                    <w:ind w:firstLine="240"/>
                    <w:jc w:val="left"/>
                  </w:pPr>
                  <w:r>
                    <w:rPr>
                      <w:rFonts w:ascii="仿宋_GB2312" w:hAnsi="仿宋_GB2312" w:cs="仿宋_GB2312" w:eastAsia="仿宋_GB2312"/>
                      <w:sz w:val="21"/>
                    </w:rPr>
                    <w:t>▲4、电池管理系统：应具备系统自检功能；电压、电流及温度采集功能；电池SOC；过流、过压、温度保护功能；通讯功能：显示屏、汽车CAN通讯、数据传送；故障预警保护功能；电解液泄露报警功能；热管理功能；电池单体电压监控；电池组电压及温度监控等功能；</w:t>
                  </w:r>
                </w:p>
                <w:p>
                  <w:pPr>
                    <w:pStyle w:val="null3"/>
                    <w:ind w:firstLine="240"/>
                    <w:jc w:val="left"/>
                  </w:pPr>
                  <w:r>
                    <w:rPr>
                      <w:rFonts w:ascii="仿宋_GB2312" w:hAnsi="仿宋_GB2312" w:cs="仿宋_GB2312" w:eastAsia="仿宋_GB2312"/>
                      <w:sz w:val="21"/>
                    </w:rPr>
                    <w:t>▲5、动力电池满足8年衰减不超过20%，若发生以下情况之一，由车辆生产企业无条件更换电池，且承担整改期内的营运损失，承诺内容包含：（1）质保期内电池衰减量超过20%；（2）质保期内车辆单次充电的续航里程小于招标文件要求的最低续航里程的80%；（3）动力电池出现安全隐患经整改后仍不能满足国家相关要求。</w:t>
                  </w:r>
                </w:p>
                <w:p>
                  <w:pPr>
                    <w:pStyle w:val="null3"/>
                    <w:ind w:firstLine="240"/>
                    <w:jc w:val="left"/>
                  </w:pPr>
                  <w:r>
                    <w:rPr>
                      <w:rFonts w:ascii="仿宋_GB2312" w:hAnsi="仿宋_GB2312" w:cs="仿宋_GB2312" w:eastAsia="仿宋_GB2312"/>
                      <w:sz w:val="21"/>
                    </w:rPr>
                    <w:t>★6、质保要求10年</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电池箱</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1、动力电池箱具备防水、防尘功能，具有早期火灾检测自动报警功能，应在驾驶区给驾驶员提供声或光报警信号。</w:t>
                  </w:r>
                </w:p>
                <w:p>
                  <w:pPr>
                    <w:pStyle w:val="null3"/>
                    <w:ind w:firstLine="240"/>
                    <w:jc w:val="left"/>
                  </w:pPr>
                  <w:r>
                    <w:rPr>
                      <w:rFonts w:ascii="仿宋_GB2312" w:hAnsi="仿宋_GB2312" w:cs="仿宋_GB2312" w:eastAsia="仿宋_GB2312"/>
                      <w:sz w:val="21"/>
                    </w:rPr>
                    <w:t>2、防护等级达到IP68级及以上。</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电池舱</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★电池舱按标准配备具有火灾报警功能和灭火功能的管网式自动灭火系统。电池舱与乘客舱完全隔离，并在电池舱体上方加装防火隔热材料。</w:t>
                  </w: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2.5</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电控部分</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配置高度集成控制器；高压线束和控制线束单独铺设，排列整齐，防震动设计，固定牢固，绝缘防护良好，设高压断电开关便于维修。按规范安装自动灭火装置。配置上坡辅助系统，保证车辆上坡起步不后滑；</w:t>
                  </w:r>
                </w:p>
                <w:p>
                  <w:pPr>
                    <w:pStyle w:val="null3"/>
                    <w:ind w:firstLine="240"/>
                    <w:jc w:val="left"/>
                  </w:pPr>
                  <w:r>
                    <w:rPr>
                      <w:rFonts w:ascii="仿宋_GB2312" w:hAnsi="仿宋_GB2312" w:cs="仿宋_GB2312" w:eastAsia="仿宋_GB2312"/>
                      <w:sz w:val="21"/>
                    </w:rPr>
                    <w:t>▲2、车辆应通过涉水试验，涉水深度不低于300mm。</w:t>
                  </w:r>
                </w:p>
                <w:p>
                  <w:pPr>
                    <w:pStyle w:val="null3"/>
                    <w:ind w:firstLine="240"/>
                    <w:jc w:val="left"/>
                  </w:pPr>
                  <w:r>
                    <w:rPr>
                      <w:rFonts w:ascii="仿宋_GB2312" w:hAnsi="仿宋_GB2312" w:cs="仿宋_GB2312" w:eastAsia="仿宋_GB2312"/>
                      <w:sz w:val="21"/>
                    </w:rPr>
                    <w:t>★3、质保要求8年</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2.6</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充电口</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1、符合GB/T 20234.3-2023《电动汽车传导充电用连接装置第3部分：直流充电接口》标准；</w:t>
                  </w:r>
                </w:p>
                <w:p>
                  <w:pPr>
                    <w:pStyle w:val="null3"/>
                    <w:ind w:firstLine="240"/>
                    <w:jc w:val="left"/>
                  </w:pPr>
                  <w:r>
                    <w:rPr>
                      <w:rFonts w:ascii="仿宋_GB2312" w:hAnsi="仿宋_GB2312" w:cs="仿宋_GB2312" w:eastAsia="仿宋_GB2312"/>
                      <w:sz w:val="21"/>
                    </w:rPr>
                    <w:t>2、在充电枪插入充电口的情况下车辆不能启动，充电完成后所有高压自动断电；</w:t>
                  </w:r>
                </w:p>
                <w:p>
                  <w:pPr>
                    <w:pStyle w:val="null3"/>
                    <w:ind w:firstLine="240"/>
                    <w:jc w:val="left"/>
                  </w:pPr>
                  <w:r>
                    <w:rPr>
                      <w:rFonts w:ascii="仿宋_GB2312" w:hAnsi="仿宋_GB2312" w:cs="仿宋_GB2312" w:eastAsia="仿宋_GB2312"/>
                      <w:sz w:val="21"/>
                    </w:rPr>
                    <w:t>3、配置充电口，充电口喷高压警示标志。</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2.7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远程监控</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配置符合国家规定的三级远程监控平台及终端系统，可实时监控，实现数据储存、数据分析、车辆定位、故障报警及统计、能耗分析、安全预警、驾驶行为规范等功能。数据化传输与CAN总线衔接，实现系统营运状态对电机、电控、电池电压、电量、温度、车辆位置等实时、远程监控，智能管理和异常故障报警，确保车辆运行安全可靠。预留接口，能够接入甲方智能公交调度系统（包括线路接口、操作权限）。</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三、底盘</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3.1</w:t>
                  </w:r>
                </w:p>
              </w:tc>
              <w:tc>
                <w:tcPr>
                  <w:tcW w:type="dxa" w:w="5114"/>
                  <w:gridSpan w:val="2"/>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both"/>
                  </w:pPr>
                  <w:r>
                    <w:rPr>
                      <w:rFonts w:ascii="仿宋_GB2312" w:hAnsi="仿宋_GB2312" w:cs="仿宋_GB2312" w:eastAsia="仿宋_GB2312"/>
                      <w:sz w:val="21"/>
                    </w:rPr>
                    <w:t>要求：性能可靠、经久耐用、通过性好、噪音低、便于维修保养、便于驾驶员日常维护检查。</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车桥</w:t>
                  </w:r>
                </w:p>
              </w:tc>
              <w:tc>
                <w:tcPr>
                  <w:tcW w:type="dxa" w:w="39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车桥：前桥轴荷</w:t>
                  </w:r>
                  <w:r>
                    <w:rPr>
                      <w:rFonts w:ascii="仿宋_GB2312" w:hAnsi="仿宋_GB2312" w:cs="仿宋_GB2312" w:eastAsia="仿宋_GB2312"/>
                      <w:sz w:val="21"/>
                    </w:rPr>
                    <w:t>≥4.8t, 后桥轴荷≥8.6t。</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轮胎</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265/70R19.5真空子午胎，含备胎。</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转向系统</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整体式动力转向。高低压双源助力转向油泵，整体防护等级达到</w:t>
                  </w:r>
                  <w:r>
                    <w:rPr>
                      <w:rFonts w:ascii="仿宋_GB2312" w:hAnsi="仿宋_GB2312" w:cs="仿宋_GB2312" w:eastAsia="仿宋_GB2312"/>
                      <w:sz w:val="21"/>
                    </w:rPr>
                    <w:t>IP67级及以上。方向盘上下、前后可调。</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冷却系统</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铜质水箱，带电子风扇，冷却系统水泵为无刷直流泵</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制动器</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前后盘式，</w:t>
                  </w:r>
                  <w:r>
                    <w:rPr>
                      <w:rFonts w:ascii="仿宋_GB2312" w:hAnsi="仿宋_GB2312" w:cs="仿宋_GB2312" w:eastAsia="仿宋_GB2312"/>
                      <w:sz w:val="21"/>
                    </w:rPr>
                    <w:t>ABS，制动总泵方便维修，储能驻车制动器。</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制动管路</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产气管道用铜管，并配置油水分离器、冷凝器，采用双回路气压，整车管路硬管部分应采用螺栓螺母固定，管路排列整齐。</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3.8</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悬挂</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钢板弹簧，双向作用筒式减震器，承载能力必须满足公交运营线路路况和实际承载要求。</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3.9</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电动空压机</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1、免维护无油活塞空压机（匹配永磁同步电机驱动）。</w:t>
                  </w:r>
                </w:p>
                <w:p>
                  <w:pPr>
                    <w:pStyle w:val="null3"/>
                    <w:ind w:firstLine="240"/>
                    <w:jc w:val="left"/>
                  </w:pPr>
                  <w:r>
                    <w:rPr>
                      <w:rFonts w:ascii="仿宋_GB2312" w:hAnsi="仿宋_GB2312" w:cs="仿宋_GB2312" w:eastAsia="仿宋_GB2312"/>
                      <w:sz w:val="21"/>
                    </w:rPr>
                    <w:t>2、防水防尘达到IP67级及以上 。</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3.10</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集中润滑</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安装在易加油、易修理的舱内。</w:t>
                  </w:r>
                  <w:r>
                    <w:rPr>
                      <w:rFonts w:ascii="仿宋_GB2312" w:hAnsi="仿宋_GB2312" w:cs="仿宋_GB2312" w:eastAsia="仿宋_GB2312"/>
                      <w:sz w:val="21"/>
                    </w:rPr>
                    <w:t xml:space="preserve">    </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四、车身</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w:t>
                  </w:r>
                </w:p>
              </w:tc>
              <w:tc>
                <w:tcPr>
                  <w:tcW w:type="dxa" w:w="1135"/>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造型要求</w:t>
                  </w:r>
                </w:p>
              </w:tc>
              <w:tc>
                <w:tcPr>
                  <w:tcW w:type="dxa" w:w="39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▲为响应大熊猫主题，本次应标产品优选熊猫观光造型车辆。（需提供承诺函或车辆造型图片佐证）</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外观要求</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车身防锈能力好、坚固耐用；隔热、降噪能力好；窗体与车身粘贴要牢固可靠。</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车身结构</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▲承载式车身结构，整车阴极电泳；全车应有可靠的防腐、隔热、隔音措施。裙门要有足够刚度防变形，裙门锁可靠、耐用、开关方便。后舱门采用气簧支撑装置。</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车身面漆</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★面漆不出现因高温或质量原因产生的龟裂。采用优质金属漆或素色漆、水性漆（车身图案需甲方确认后喷涂）。</w:t>
                  </w: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4.5</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侧窗</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1、侧窗为粘接嵌入式推拉窗，侧窗合适位置安装护栏，采用浅色玻璃，应开启方便、锁止可靠、密封良好；</w:t>
                  </w:r>
                </w:p>
                <w:p>
                  <w:pPr>
                    <w:pStyle w:val="null3"/>
                    <w:ind w:firstLine="240"/>
                    <w:jc w:val="left"/>
                  </w:pPr>
                  <w:r>
                    <w:rPr>
                      <w:rFonts w:ascii="仿宋_GB2312" w:hAnsi="仿宋_GB2312" w:cs="仿宋_GB2312" w:eastAsia="仿宋_GB2312"/>
                      <w:sz w:val="21"/>
                    </w:rPr>
                    <w:t>2、驾驶侧窗安装手动导杆式遮阳帘。</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前风窗玻璃</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全景夹层安全玻璃。左前挡安装手动导杆式遮阳帘。</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后风窗玻璃</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粘接式钢化玻璃。</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4.8</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天窗</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运行中不发生异响。</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4.9</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风道</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安装铝合金风道</w:t>
                  </w:r>
                  <w:r>
                    <w:rPr>
                      <w:rFonts w:ascii="仿宋_GB2312" w:hAnsi="仿宋_GB2312" w:cs="仿宋_GB2312" w:eastAsia="仿宋_GB2312"/>
                      <w:sz w:val="21"/>
                    </w:rPr>
                    <w:t>, 广告版尺寸一致，出风可调，风道内做保温降噪处理。</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4.10</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仪表台</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采用整体发泡成形，仪表台上外露螺丝为不锈钢材质或防腐处理。驾驶区带水杯座。</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4.11</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内墙板及内饰</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符合环保阻燃铝塑板墙板及冲孔铝塑板顶板。</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驾驶区防护隔离设施</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驾驶区防护隔离设施，一体式铝型材司机包围；醒目位置设置相关标示，符合中华人民共和国交通运输部</w:t>
                  </w:r>
                  <w:r>
                    <w:rPr>
                      <w:rFonts w:ascii="仿宋_GB2312" w:hAnsi="仿宋_GB2312" w:cs="仿宋_GB2312" w:eastAsia="仿宋_GB2312"/>
                      <w:sz w:val="21"/>
                    </w:rPr>
                    <w:t>JT/T1240-2019规范要求。</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乘客门及门泵</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1、前、中置电控气动内摆门，乘客门及乘客门控制系统应符合规定。</w:t>
                  </w:r>
                </w:p>
                <w:p>
                  <w:pPr>
                    <w:pStyle w:val="null3"/>
                    <w:ind w:firstLine="240"/>
                    <w:jc w:val="left"/>
                  </w:pPr>
                  <w:r>
                    <w:rPr>
                      <w:rFonts w:ascii="仿宋_GB2312" w:hAnsi="仿宋_GB2312" w:cs="仿宋_GB2312" w:eastAsia="仿宋_GB2312"/>
                      <w:sz w:val="21"/>
                    </w:rPr>
                    <w:t>2、乘客门未完全关闭到位时，应具备车辆不能起步行驶的功能；具备应急起步功能；车辆完全停稳后，门才能开启。</w:t>
                  </w:r>
                </w:p>
                <w:p>
                  <w:pPr>
                    <w:pStyle w:val="null3"/>
                    <w:ind w:firstLine="240"/>
                    <w:jc w:val="left"/>
                  </w:pPr>
                  <w:r>
                    <w:rPr>
                      <w:rFonts w:ascii="仿宋_GB2312" w:hAnsi="仿宋_GB2312" w:cs="仿宋_GB2312" w:eastAsia="仿宋_GB2312"/>
                      <w:sz w:val="21"/>
                    </w:rPr>
                    <w:t>3、门体为铝合金材质，乘客门应带防夹功能。</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乘客门应急开关</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分别在驾驶区域和前中门内、外侧设置乘客门应急开关，外侧应急开关安装位置方便使用、开闭灵活。</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地板</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地板选用环保、耐水、耐腐蚀、阻燃性良好高强度的</w:t>
                  </w:r>
                  <w:r>
                    <w:rPr>
                      <w:rFonts w:ascii="仿宋_GB2312" w:hAnsi="仿宋_GB2312" w:cs="仿宋_GB2312" w:eastAsia="仿宋_GB2312"/>
                      <w:sz w:val="21"/>
                    </w:rPr>
                    <w:t>PVC地板。</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残障设施</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★中门处安装符合标准的手动残疾人轮椅坡板，车内轮椅区安装固定轮椅安全带。</w:t>
                  </w: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4.17</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地板革</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1、防滑耐磨车用地板革，地板革粘接处用压条密封；</w:t>
                  </w:r>
                </w:p>
                <w:p>
                  <w:pPr>
                    <w:pStyle w:val="null3"/>
                    <w:ind w:firstLine="240"/>
                    <w:jc w:val="left"/>
                  </w:pPr>
                  <w:r>
                    <w:rPr>
                      <w:rFonts w:ascii="仿宋_GB2312" w:hAnsi="仿宋_GB2312" w:cs="仿宋_GB2312" w:eastAsia="仿宋_GB2312"/>
                      <w:sz w:val="21"/>
                    </w:rPr>
                    <w:t>2、驾驶区铺装铝花地板，并进行防滑处理。车门踏步铺设黄色醒目标识“站立禁区”警示防滑地板革。</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4.18</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座椅</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★1、乘客座椅：乘客座位数≥15个，装不少于4张爱心座；</w:t>
                  </w:r>
                </w:p>
                <w:p>
                  <w:pPr>
                    <w:pStyle w:val="null3"/>
                    <w:ind w:firstLine="240"/>
                    <w:jc w:val="left"/>
                  </w:pPr>
                  <w:r>
                    <w:rPr>
                      <w:rFonts w:ascii="仿宋_GB2312" w:hAnsi="仿宋_GB2312" w:cs="仿宋_GB2312" w:eastAsia="仿宋_GB2312"/>
                      <w:sz w:val="21"/>
                    </w:rPr>
                    <w:t>★2、驾驶区带围门包围结构，符合国家或省内有关规定，将驾驶员与乘客隔离开，以防驾驶员受乘客干扰。符合JT/T1241-2019规定。</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4.19</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扶手</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直径</w:t>
                  </w:r>
                  <w:r>
                    <w:rPr>
                      <w:rFonts w:ascii="仿宋_GB2312" w:hAnsi="仿宋_GB2312" w:cs="仿宋_GB2312" w:eastAsia="仿宋_GB2312"/>
                      <w:sz w:val="21"/>
                    </w:rPr>
                    <w:t>≥Φ32mm铝合金扶手并配有防寒护套，配吊环。前门扶手杆上设1.3米标线，立柱上下底座托架应生根于骨架，固定牢靠、拆卸方便。</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4.20</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车内后视镜</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配置车内后视镜。</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4.21</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车外后视镜</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配车外后视镜，右侧后视镜带补盲镜。</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车内灭火器</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★2具车内灭火器（不低于4KG)，国家相关公交车辆安全技术规范、按要求配置专用灭火箱,要求方便取用。</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自动灭火装置</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后舱安装自动灭火装置</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安全锤</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按标准配置报警式安全锤。</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电器设备箱</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金属材质。</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垃圾桶</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★公交专用垃圾桶（方便拆卸），安装牢固。</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4.27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工具箱</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金属材质工具箱</w:t>
                  </w:r>
                  <w:r>
                    <w:rPr>
                      <w:rFonts w:ascii="仿宋_GB2312" w:hAnsi="仿宋_GB2312" w:cs="仿宋_GB2312" w:eastAsia="仿宋_GB2312"/>
                      <w:sz w:val="21"/>
                    </w:rPr>
                    <w:t>1个。</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五、电器、空调</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w:t>
                  </w:r>
                </w:p>
              </w:tc>
              <w:tc>
                <w:tcPr>
                  <w:tcW w:type="dxa" w:w="5114"/>
                  <w:gridSpan w:val="2"/>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要求：所有线路走向合理，不能与油路、高温部件接触或干涉；元器件使用、检查、维修、操作方便；接插件性能可靠。</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蓄电池</w:t>
                  </w:r>
                </w:p>
              </w:tc>
              <w:tc>
                <w:tcPr>
                  <w:tcW w:type="dxa" w:w="397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2具不低于100AH免维护型。</w:t>
                  </w:r>
                </w:p>
              </w:tc>
            </w:tr>
            <w:tr>
              <w:tc>
                <w:tcPr>
                  <w:tcW w:type="dxa" w:w="484"/>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5.3</w:t>
                  </w:r>
                </w:p>
              </w:tc>
              <w:tc>
                <w:tcPr>
                  <w:tcW w:type="dxa" w:w="1135"/>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整车线束</w:t>
                  </w:r>
                </w:p>
              </w:tc>
              <w:tc>
                <w:tcPr>
                  <w:tcW w:type="dxa" w:w="3979"/>
                  <w:vMerge w:val="restart"/>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1、全车线束为不低于125℃的阻燃导线，波纹管阻燃特性应满足GB/T2408-2021规定的V-0级。</w:t>
                  </w:r>
                </w:p>
                <w:p>
                  <w:pPr>
                    <w:pStyle w:val="null3"/>
                    <w:ind w:firstLine="240"/>
                    <w:jc w:val="left"/>
                  </w:pPr>
                  <w:r>
                    <w:rPr>
                      <w:rFonts w:ascii="仿宋_GB2312" w:hAnsi="仿宋_GB2312" w:cs="仿宋_GB2312" w:eastAsia="仿宋_GB2312"/>
                      <w:sz w:val="21"/>
                    </w:rPr>
                    <w:t>2、采用防水接插件，所有线路不得有中间接驳，不能与高温部件接触或干涉。所有线束插头和插座以及线束在穿孔处应有阻燃耐磨绝缘套管保护且编号。</w:t>
                  </w:r>
                </w:p>
                <w:p>
                  <w:pPr>
                    <w:pStyle w:val="null3"/>
                    <w:ind w:firstLine="240"/>
                    <w:jc w:val="left"/>
                  </w:pPr>
                  <w:r>
                    <w:rPr>
                      <w:rFonts w:ascii="仿宋_GB2312" w:hAnsi="仿宋_GB2312" w:cs="仿宋_GB2312" w:eastAsia="仿宋_GB2312"/>
                      <w:sz w:val="21"/>
                    </w:rPr>
                    <w:t>3、所有电器导线均应捆扎成束、布局整齐、固定卡紧、接头牢固并在接头处装设绝缘套。电器导线的电磁辐射抗扰性应符合GB/T17619-1998的规定。</w:t>
                  </w:r>
                </w:p>
                <w:p>
                  <w:pPr>
                    <w:pStyle w:val="null3"/>
                    <w:ind w:firstLine="240"/>
                    <w:jc w:val="left"/>
                  </w:pPr>
                  <w:r>
                    <w:rPr>
                      <w:rFonts w:ascii="仿宋_GB2312" w:hAnsi="仿宋_GB2312" w:cs="仿宋_GB2312" w:eastAsia="仿宋_GB2312"/>
                      <w:sz w:val="21"/>
                    </w:rPr>
                    <w:t>4、所有电线、电缆的接线端头部均应带有清晰、正确、不易消损的线号，在接线端子（排）上同一线号出现两根以上的接线时，应在线号标明此线的去向；</w:t>
                  </w:r>
                </w:p>
                <w:p>
                  <w:pPr>
                    <w:pStyle w:val="null3"/>
                    <w:ind w:firstLine="240"/>
                    <w:jc w:val="left"/>
                  </w:pPr>
                  <w:r>
                    <w:rPr>
                      <w:rFonts w:ascii="仿宋_GB2312" w:hAnsi="仿宋_GB2312" w:cs="仿宋_GB2312" w:eastAsia="仿宋_GB2312"/>
                      <w:sz w:val="21"/>
                    </w:rPr>
                    <w:t>5、车辆所使用的电线和电缆应是无卤低烟阻燃或无卤低烟耐火电缆；车辆上所用材料应采用非延燃性材料和防火材料。</w:t>
                  </w: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1135"/>
                  <w:vMerge/>
                  <w:tcBorders>
                    <w:top w:val="none" w:color="000000" w:sz="4"/>
                    <w:left w:val="none" w:color="000000" w:sz="4"/>
                    <w:bottom w:val="single" w:color="000000" w:sz="4"/>
                    <w:right w:val="single" w:color="000000" w:sz="4"/>
                  </w:tcBorders>
                </w:tcPr>
                <w:p/>
              </w:tc>
              <w:tc>
                <w:tcPr>
                  <w:tcW w:type="dxa" w:w="3979"/>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CAN总线</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CAN总线，数字仪表，仪表显示为液晶，要求性能稳定、安全可靠。</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仪表信息</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仪表上要配备车辆行驶状态信息（车速、气压）、电池信息（电池</w:t>
                  </w:r>
                  <w:r>
                    <w:rPr>
                      <w:rFonts w:ascii="仿宋_GB2312" w:hAnsi="仿宋_GB2312" w:cs="仿宋_GB2312" w:eastAsia="仿宋_GB2312"/>
                      <w:sz w:val="21"/>
                    </w:rPr>
                    <w:t>SOC）等。</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厢灯</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LED 厢灯，左右贯通，分段控制。</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行驶记录仪及车内外视屏监控</w:t>
                  </w:r>
                </w:p>
                <w:p>
                  <w:pPr>
                    <w:pStyle w:val="null3"/>
                    <w:jc w:val="center"/>
                  </w:pP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1"/>
                    </w:rPr>
                    <w:t>★1、 安装新国标行驶记录仪及车内外监控录像一体机，满足车前方、乘客门、倒车、车内监控等要求，同时所有监控视频内容接入7寸显示屏。总共安装8路摄像头，除了倒车摄像头直接接入显示屏；其余7路摄像头均接入一体机录像，由一体机输出7路合成视频接入显示屏；后车门摄像头通过一分二接入显示屏；一体机硬盘容量为1T；其中摄像头安装要求如下：</w:t>
                  </w:r>
                </w:p>
                <w:p>
                  <w:pPr>
                    <w:pStyle w:val="null3"/>
                    <w:ind w:firstLine="240"/>
                    <w:jc w:val="left"/>
                  </w:pPr>
                  <w:r>
                    <w:rPr>
                      <w:rFonts w:ascii="仿宋_GB2312" w:hAnsi="仿宋_GB2312" w:cs="仿宋_GB2312" w:eastAsia="仿宋_GB2312"/>
                      <w:sz w:val="21"/>
                    </w:rPr>
                    <w:t>1号摄像头安装在驾驶室左上角合适位置，监看前乘客门、乘客上车、投币机和驾驶员工作情况；</w:t>
                  </w:r>
                </w:p>
                <w:p>
                  <w:pPr>
                    <w:pStyle w:val="null3"/>
                    <w:ind w:firstLine="240"/>
                    <w:jc w:val="left"/>
                  </w:pPr>
                  <w:r>
                    <w:rPr>
                      <w:rFonts w:ascii="仿宋_GB2312" w:hAnsi="仿宋_GB2312" w:cs="仿宋_GB2312" w:eastAsia="仿宋_GB2312"/>
                      <w:sz w:val="21"/>
                    </w:rPr>
                    <w:t>2号摄像头安装在前挡风玻璃上放中间偏右位置，监控车辆正前方，用于记录前方道路、红绿灯、停靠站和行车情况；</w:t>
                  </w:r>
                </w:p>
                <w:p>
                  <w:pPr>
                    <w:pStyle w:val="null3"/>
                    <w:ind w:firstLine="240"/>
                    <w:jc w:val="left"/>
                  </w:pPr>
                  <w:r>
                    <w:rPr>
                      <w:rFonts w:ascii="仿宋_GB2312" w:hAnsi="仿宋_GB2312" w:cs="仿宋_GB2312" w:eastAsia="仿宋_GB2312"/>
                      <w:sz w:val="21"/>
                    </w:rPr>
                    <w:t>3号摄像头安装在车厢中部合适位置，监控后车门，并在停车上下乘客时显示屏显示图像保持在后门；</w:t>
                  </w:r>
                </w:p>
                <w:p>
                  <w:pPr>
                    <w:pStyle w:val="null3"/>
                    <w:ind w:firstLine="240"/>
                    <w:jc w:val="left"/>
                  </w:pPr>
                  <w:r>
                    <w:rPr>
                      <w:rFonts w:ascii="仿宋_GB2312" w:hAnsi="仿宋_GB2312" w:cs="仿宋_GB2312" w:eastAsia="仿宋_GB2312"/>
                      <w:sz w:val="21"/>
                    </w:rPr>
                    <w:t>4号摄像头安装在车厢前部位置，由前往后监控整个车厢内情况；</w:t>
                  </w:r>
                </w:p>
                <w:p>
                  <w:pPr>
                    <w:pStyle w:val="null3"/>
                    <w:ind w:firstLine="240"/>
                    <w:jc w:val="left"/>
                  </w:pPr>
                  <w:r>
                    <w:rPr>
                      <w:rFonts w:ascii="仿宋_GB2312" w:hAnsi="仿宋_GB2312" w:cs="仿宋_GB2312" w:eastAsia="仿宋_GB2312"/>
                      <w:sz w:val="21"/>
                    </w:rPr>
                    <w:t>5号摄像头安装在车厢后顶部位置，由后往前监控整个车厢内情况；</w:t>
                  </w:r>
                </w:p>
                <w:p>
                  <w:pPr>
                    <w:pStyle w:val="null3"/>
                    <w:ind w:firstLine="240"/>
                    <w:jc w:val="left"/>
                  </w:pPr>
                  <w:r>
                    <w:rPr>
                      <w:rFonts w:ascii="仿宋_GB2312" w:hAnsi="仿宋_GB2312" w:cs="仿宋_GB2312" w:eastAsia="仿宋_GB2312"/>
                      <w:sz w:val="21"/>
                    </w:rPr>
                    <w:t>6号摄像头安装在车尾部正中位置，挂入倒车挡时，显示屏显示车后图像。</w:t>
                  </w:r>
                </w:p>
                <w:p>
                  <w:pPr>
                    <w:pStyle w:val="null3"/>
                    <w:ind w:firstLine="240"/>
                    <w:jc w:val="left"/>
                  </w:pPr>
                  <w:r>
                    <w:rPr>
                      <w:rFonts w:ascii="仿宋_GB2312" w:hAnsi="仿宋_GB2312" w:cs="仿宋_GB2312" w:eastAsia="仿宋_GB2312"/>
                      <w:sz w:val="21"/>
                    </w:rPr>
                    <w:t>7号摄像头安装在仪表台驾驶员正前方，监控驾驶员面部行为；</w:t>
                  </w:r>
                </w:p>
                <w:p>
                  <w:pPr>
                    <w:pStyle w:val="null3"/>
                    <w:ind w:firstLine="240"/>
                    <w:jc w:val="left"/>
                  </w:pPr>
                  <w:r>
                    <w:rPr>
                      <w:rFonts w:ascii="仿宋_GB2312" w:hAnsi="仿宋_GB2312" w:cs="仿宋_GB2312" w:eastAsia="仿宋_GB2312"/>
                      <w:sz w:val="21"/>
                    </w:rPr>
                    <w:t>8号摄像头安装在仪表台下方，监控油门踏板位置。</w:t>
                  </w:r>
                </w:p>
                <w:p>
                  <w:pPr>
                    <w:pStyle w:val="null3"/>
                    <w:ind w:firstLine="240"/>
                    <w:jc w:val="left"/>
                  </w:pPr>
                  <w:r>
                    <w:rPr>
                      <w:rFonts w:ascii="仿宋_GB2312" w:hAnsi="仿宋_GB2312" w:cs="仿宋_GB2312" w:eastAsia="仿宋_GB2312"/>
                      <w:sz w:val="21"/>
                    </w:rPr>
                    <w:t>摄像头均采用金属外壳，</w:t>
                  </w:r>
                  <w:r>
                    <w:rPr>
                      <w:rFonts w:ascii="仿宋_GB2312" w:hAnsi="仿宋_GB2312" w:cs="仿宋_GB2312" w:eastAsia="仿宋_GB2312"/>
                      <w:sz w:val="21"/>
                    </w:rPr>
                    <w:t>720P，广角红外线（2号摄像头不带红外），其中车内4只摄像头（1号、3号、4号、5号）带拾音。</w:t>
                  </w:r>
                </w:p>
                <w:p>
                  <w:pPr>
                    <w:pStyle w:val="null3"/>
                    <w:ind w:firstLine="240"/>
                    <w:jc w:val="left"/>
                  </w:pPr>
                  <w:r>
                    <w:rPr>
                      <w:rFonts w:ascii="仿宋_GB2312" w:hAnsi="仿宋_GB2312" w:cs="仿宋_GB2312" w:eastAsia="仿宋_GB2312"/>
                      <w:sz w:val="21"/>
                    </w:rPr>
                    <w:t>★2.集成监控4G无线数据传输系统，满足安全管理与实时全程监控。</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5.8</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语音报站器</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★全自动语音报站器，兼容手动报站，报站系统可自主录音并可及时修改更正。</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5.9</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电子路牌</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★双色LED前后侧滚动式点阵电子路牌，显示方式可静止+文字滚动，文字可静止、上翻、下翻、左至右和右至左滚动，存储50条以上线路，可手动切换线路。</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5.10</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车内视频播放器</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★在车内合适位置安装19寸车载液晶电视一台。</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5.11</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车后广告屏</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★车辆后部安装LED全彩广告屏，安装在后挡风玻璃内侧对外显示。</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5.12</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投币机及刷卡机</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配置投币机和刷卡机等多种收费方式；刷卡机：配套安装车载二维码刷卡机，要求接入甲方指定软件，刷卡机需固定安装在投币机附近的杆子上，要求刷卡机安装后方便乘客刷卡及扫码，并不会影响到驾驶员查看投币机现金投币口、视窗口，预留1组电源线。电源接头与公交公司刷卡机电源接头相匹配。要求开车辆总电源刷卡机就通电工作，要求整机质保8年，投标人承诺中标后提供安装服务。</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5.13</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车载调度系统</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★安装智能调度一体机，配备使用的报站器、摄像头、调度视频终端能接入公交现有系统及平台。投标人负责免费安装及调试车载监控调度一体机，确保交车时，设备能正常工作，与平台正常联动；</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5.14</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空调</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★纯电动变频冷暖空调，制冷量不低于20000大卡；带新风功能，全封闭直流变频压缩机；集成电池热管理系统；质保期三年</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5.15</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除霜</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前挡大功率独立除霜系统。</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5.16</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灯具</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各种灯具安装牢靠，安装结构应能满足维修方便。配置后舱检修灯，后舱门接近开关。</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5.17</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雨刮</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带喷水。</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5.18</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熔断器和手动维修开关</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可充电储能系统应安装熔断器和手动维修开关，车辆的充电插座应设置温度监控装置。</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5.19</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外喇叭</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车辆前保险杠内设置外喇叭，实现联动播报语音功能，要求声音要响亮、清晰，声音大小可调整。</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5.20</w:t>
                  </w:r>
                </w:p>
              </w:tc>
              <w:tc>
                <w:tcPr>
                  <w:tcW w:type="dxa" w:w="113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充电锁止</w:t>
                  </w:r>
                </w:p>
              </w:tc>
              <w:tc>
                <w:tcPr>
                  <w:tcW w:type="dxa" w:w="3979"/>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充电枪连接时，车辆未拔出充电枪之前不能启动高压，车辆不能进行驱动，在确保车辆安全的情况下才允许驱动车辆。</w:t>
                  </w:r>
                </w:p>
              </w:tc>
            </w:tr>
            <w:tr>
              <w:tc>
                <w:tcPr>
                  <w:tcW w:type="dxa" w:w="5598"/>
                  <w:gridSpan w:val="3"/>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ind w:firstLine="240"/>
                    <w:jc w:val="center"/>
                  </w:pPr>
                  <w:r>
                    <w:rPr>
                      <w:rFonts w:ascii="仿宋_GB2312" w:hAnsi="仿宋_GB2312" w:cs="仿宋_GB2312" w:eastAsia="仿宋_GB2312"/>
                      <w:sz w:val="21"/>
                    </w:rPr>
                    <w:t>★六、其他</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6.1</w:t>
                  </w:r>
                </w:p>
              </w:tc>
              <w:tc>
                <w:tcPr>
                  <w:tcW w:type="dxa" w:w="5114"/>
                  <w:gridSpan w:val="2"/>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拐弯语音提示和倒车语音提示；</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6.2</w:t>
                  </w:r>
                </w:p>
              </w:tc>
              <w:tc>
                <w:tcPr>
                  <w:tcW w:type="dxa" w:w="5114"/>
                  <w:gridSpan w:val="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三角警示牌一个、三角木二个，一件反光背心；</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6.3</w:t>
                  </w:r>
                </w:p>
              </w:tc>
              <w:tc>
                <w:tcPr>
                  <w:tcW w:type="dxa" w:w="5114"/>
                  <w:gridSpan w:val="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绝缘手套</w:t>
                  </w:r>
                  <w:r>
                    <w:rPr>
                      <w:rFonts w:ascii="仿宋_GB2312" w:hAnsi="仿宋_GB2312" w:cs="仿宋_GB2312" w:eastAsia="仿宋_GB2312"/>
                      <w:sz w:val="21"/>
                    </w:rPr>
                    <w:t>2副/车。</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6.4</w:t>
                  </w:r>
                </w:p>
              </w:tc>
              <w:tc>
                <w:tcPr>
                  <w:tcW w:type="dxa" w:w="5114"/>
                  <w:gridSpan w:val="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投标车辆应为工信部发布《道路机动车辆生产企业及产品》公告中的产品，能够按国家相关规定合法上户，投标方需提供承诺函并加盖公章。</w:t>
                  </w:r>
                </w:p>
              </w:tc>
            </w:tr>
            <w:tr>
              <w:tc>
                <w:tcPr>
                  <w:tcW w:type="dxa" w:w="48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1"/>
                    </w:rPr>
                    <w:t>6.5</w:t>
                  </w:r>
                </w:p>
              </w:tc>
              <w:tc>
                <w:tcPr>
                  <w:tcW w:type="dxa" w:w="5114"/>
                  <w:gridSpan w:val="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ind w:firstLine="240"/>
                    <w:jc w:val="left"/>
                  </w:pPr>
                  <w:r>
                    <w:rPr>
                      <w:rFonts w:ascii="仿宋_GB2312" w:hAnsi="仿宋_GB2312" w:cs="仿宋_GB2312" w:eastAsia="仿宋_GB2312"/>
                      <w:sz w:val="21"/>
                    </w:rPr>
                    <w:t>所投车辆出厂时间到交货时间不得大于</w:t>
                  </w:r>
                  <w:r>
                    <w:rPr>
                      <w:rFonts w:ascii="仿宋_GB2312" w:hAnsi="仿宋_GB2312" w:cs="仿宋_GB2312" w:eastAsia="仿宋_GB2312"/>
                      <w:sz w:val="21"/>
                    </w:rPr>
                    <w:t>60天。</w:t>
                  </w:r>
                </w:p>
              </w:tc>
            </w:tr>
          </w:tbl>
          <w:p>
            <w:pPr>
              <w:pStyle w:val="null3"/>
              <w:ind w:firstLine="480"/>
              <w:jc w:val="both"/>
            </w:pPr>
            <w:r>
              <w:rPr>
                <w:rFonts w:ascii="仿宋_GB2312" w:hAnsi="仿宋_GB2312" w:cs="仿宋_GB2312" w:eastAsia="仿宋_GB2312"/>
                <w:sz w:val="24"/>
              </w:rPr>
              <w:t>注：带</w:t>
            </w:r>
            <w:r>
              <w:rPr>
                <w:rFonts w:ascii="仿宋_GB2312" w:hAnsi="仿宋_GB2312" w:cs="仿宋_GB2312" w:eastAsia="仿宋_GB2312"/>
                <w:sz w:val="24"/>
              </w:rPr>
              <w:t>“★”的参数为实质性要求，供应商应实质性响应不允许有负偏离，否则按无效投标处理。 带“▲”的参数为重要参数，若有负偏离按重点扣分处理。</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供货要求</w:t>
            </w:r>
          </w:p>
        </w:tc>
        <w:tc>
          <w:tcPr>
            <w:tcW w:type="dxa" w:w="5814"/>
          </w:tcPr>
          <w:p>
            <w:pPr>
              <w:pStyle w:val="null3"/>
              <w:jc w:val="left"/>
            </w:pPr>
            <w:r>
              <w:rPr>
                <w:rFonts w:ascii="仿宋_GB2312" w:hAnsi="仿宋_GB2312" w:cs="仿宋_GB2312" w:eastAsia="仿宋_GB2312"/>
              </w:rPr>
              <w:t>1.中标供应商提供的所有车辆必须保证是正品。</w:t>
            </w:r>
          </w:p>
          <w:p>
            <w:pPr>
              <w:pStyle w:val="null3"/>
              <w:jc w:val="left"/>
            </w:pPr>
            <w:r>
              <w:rPr>
                <w:rFonts w:ascii="仿宋_GB2312" w:hAnsi="仿宋_GB2312" w:cs="仿宋_GB2312" w:eastAsia="仿宋_GB2312"/>
              </w:rPr>
              <w:t>2.中标供应商所供车辆的型号、数量、规格及技术要求必须与合同中所规定的技术要求条款相一致。</w:t>
            </w:r>
          </w:p>
          <w:p>
            <w:pPr>
              <w:pStyle w:val="null3"/>
              <w:jc w:val="left"/>
            </w:pPr>
            <w:r>
              <w:rPr>
                <w:rFonts w:ascii="仿宋_GB2312" w:hAnsi="仿宋_GB2312" w:cs="仿宋_GB2312" w:eastAsia="仿宋_GB2312"/>
              </w:rPr>
              <w:t>3.采购单位对所有车辆均进行验收，若发现产品不属正品、质量有问题，甲方拒绝付款。</w:t>
            </w:r>
          </w:p>
          <w:p>
            <w:pPr>
              <w:pStyle w:val="null3"/>
              <w:jc w:val="left"/>
            </w:pPr>
            <w:r>
              <w:rPr>
                <w:rFonts w:ascii="仿宋_GB2312" w:hAnsi="仿宋_GB2312" w:cs="仿宋_GB2312" w:eastAsia="仿宋_GB2312"/>
              </w:rPr>
              <w:t>4.在质保期内若发现设备有缺陷(包括潜在的缺陷或不符合要求的材料等)，采购单位将以书面形式通知中标供应商，中标供应商应在约定的时间内弥补缺陷，价格仍按合同价。</w:t>
            </w:r>
          </w:p>
          <w:p>
            <w:pPr>
              <w:pStyle w:val="null3"/>
              <w:jc w:val="left"/>
            </w:pPr>
            <w:r>
              <w:rPr>
                <w:rFonts w:ascii="仿宋_GB2312" w:hAnsi="仿宋_GB2312" w:cs="仿宋_GB2312" w:eastAsia="仿宋_GB2312"/>
              </w:rPr>
              <w:t>5.中标供应商提供的产品若出现厂家停产并已升级，中标供应商应按升级产品的配置提供产品，价格仍按合同价。</w:t>
            </w:r>
          </w:p>
          <w:p>
            <w:pPr>
              <w:pStyle w:val="null3"/>
              <w:jc w:val="left"/>
            </w:pPr>
            <w:r>
              <w:rPr>
                <w:rFonts w:ascii="仿宋_GB2312" w:hAnsi="仿宋_GB2312" w:cs="仿宋_GB2312" w:eastAsia="仿宋_GB2312"/>
              </w:rPr>
              <w:t>6.中标供应商保证所供货物应按厂家承诺的保修服务条款，提供因设备质量问题而必须更换的零部件或整车，价格仍按合同价。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合同签订后60日内交货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北川羌族自治县公路运输管理所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1、签订合同后，达到付款条件起30日内，支付合同总金额的70.00%</w:t>
            </w:r>
          </w:p>
          <w:p>
            <w:pPr>
              <w:pStyle w:val="null3"/>
              <w:jc w:val="left"/>
            </w:pPr>
            <w:r>
              <w:rPr>
                <w:rFonts w:ascii="仿宋_GB2312" w:hAnsi="仿宋_GB2312" w:cs="仿宋_GB2312" w:eastAsia="仿宋_GB2312"/>
              </w:rPr>
              <w:t>2、交货验收合格后，达到付款条件起30日内，支付合同总金额的30.00%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号)及《绵阳市财政局关于进一步做好政府采购项目履约验收工作的通知》(绵财采(2021)15号)要求、招标文件的质量要求和技术指标、中标供应商的投标文件、承诺以及合同约定标准进行验收。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6.1整车质保4年（部件质保年限以技术要求中的质保年限为准，未注明质保年限的同整车质保年限） 6.2承诺交车后，在整车质保期内，供货方车辆提供“整车售后”服务，按照车辆运营在岗原则缩短售后服务的响应时间。质保期内出现质量问题，供货方在接到通知后1小时内作出响应，2小时内到场，24小时内完成维修或更换，大宗配件中标单位与采购人协商处理。 6.3中标单位必须按照采购人的要求和验货标准进行供货，采购质量过硬的零部件，车辆所需配件须有明确的生产厂、名称、规格型号。除标书中技术要求特别规定的质保期外，因设计、装配、产品质量等原因发生故障、事故造成的损失，由中标单位承担责任。 6.4为便于采购人相关人员熟练操作和维护车辆，保证车辆的良好运行，中标人需提供操作和维护技术的培训服务，对采购人的有关驾驶员、维修技工和技术管理人员进行全面的技术培训，对驾驶员的培训要求每人不少于两次(使用前、使用中)。 6.5中标单位交付采购人的车辆应与招标文件要求相符。提供各类合格证(总成合格证、底盘合格证、整车合格证等)；4联购车发票 (用户联、上户联、报税联、抵扣联)，内容规范不压线；每辆车拓印3份发动机号码和底盘号码；提供彩色打印的车辆照片。 6.6车辆在采购人签收前的维修、保养、安全责任由供应商自行承担。 6.7供方应培训车辆维修保养人员,被培训人员的业务水平逐步达到技师的级别同时安排一名专业技术人员提供现场服务，如因供应商人员安排不到位，导致车辆未得到维修，产生的经济损失由供应商承担。 6.8建立每一台车辆终身档案,对车辆的运行维修情况进行实时记载及跟踪,终身提供技术指导。 6.9提供全车维修电路图、线束、产品说明书:提供车辆附属配件的说明书。 6.10为了保证车辆落户,厂家提供整车一致性产品认证书,车辆(车头45度、侧身90度、车内车头到车尾)照片上加印车辆车架号，每车两张、车辆限速证明、动力电池合格证,驱动电机号拓号。厂家配合使用方车管所上牌。 6.11中标供应商在供货时提供的其他相关资料： (1)按购置的车辆数为采购人提供完整的用户使用手册、主要零部件目录、整车电路图等相关技术资料。 (2)提供配套厂家通讯地址、提供整车各总成、部件及所用各类润滑油的生产厂家、品牌、型号和联系人及联系电话。 (3)除采购人特殊要求外,同一批次同一型号车辆所使用的零配件必须为同一厂家、同一型号的。供应商确保维修配件的供应。 (4)车身图案及车厢内外标识按采购人要求。 (5)该批车辆提供一份电子表格，内容包括：自编号、车架号、动力电池箱编号、电机编号，空调厂牌。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适用于《中华人民共和国民法典》。</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投标人根据本项目提供：1、交车保障：包括交车时间计划、车辆安排(提供清单)、路途人员安全保障措施及安全教育培训、运途紧急情况应对措施、车辆调试；2、应急保障：包括重大故障应急预案、批量性质量问题的应对、供应保障应急预案。 3.4.2投标人根据本项目提供：1、使用培训方案及计划：包括培训计划、技术人员驻场时间计划、日常车辆使用、更新系统；2、保养维修：包括维保服务体系、配件供应保障、保养维修技术支持、服务响应流程、数据管理与升级；3、售后服务：包括售后服务承诺、售后服务网点、售后人员安排、售后联系方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投标人需在使用投标(响应)客户端编制投标文件时上传营业执照扫描件，按要求填写《投标（响应）函》完成承诺并进行电子签章。</w:t>
            </w:r>
          </w:p>
        </w:tc>
        <w:tc>
          <w:tcPr>
            <w:tcW w:type="dxa" w:w="1910"/>
          </w:tcPr>
          <w:p>
            <w:pPr>
              <w:pStyle w:val="null3"/>
              <w:jc w:val="left"/>
            </w:pPr>
            <w:r>
              <w:rPr>
                <w:rFonts w:ascii="仿宋_GB2312" w:hAnsi="仿宋_GB2312" w:cs="仿宋_GB2312" w:eastAsia="仿宋_GB2312"/>
              </w:rPr>
              <w:t>营业执照扫描件.docx,投标文件封面,投标（响应）函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3.2.技术要求中★项技术参数为实质性要求。</w:t>
            </w:r>
          </w:p>
        </w:tc>
        <w:tc>
          <w:tcPr>
            <w:tcW w:type="dxa" w:w="3322"/>
          </w:tcPr>
          <w:p>
            <w:pPr>
              <w:pStyle w:val="null3"/>
              <w:jc w:val="left"/>
            </w:pPr>
            <w:r>
              <w:rPr>
                <w:rFonts w:ascii="仿宋_GB2312" w:hAnsi="仿宋_GB2312" w:cs="仿宋_GB2312" w:eastAsia="仿宋_GB2312"/>
              </w:rPr>
              <w:t>3.2.技术要求中★项技术参数为实质性要求，不满足做无效投标处理。</w:t>
            </w:r>
          </w:p>
        </w:tc>
        <w:tc>
          <w:tcPr>
            <w:tcW w:type="dxa" w:w="1910"/>
          </w:tcPr>
          <w:p>
            <w:pPr>
              <w:pStyle w:val="null3"/>
              <w:jc w:val="left"/>
            </w:pPr>
            <w:r>
              <w:rPr>
                <w:rFonts w:ascii="仿宋_GB2312" w:hAnsi="仿宋_GB2312" w:cs="仿宋_GB2312" w:eastAsia="仿宋_GB2312"/>
              </w:rPr>
              <w:t>产品技术参数响应表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3.3.服务要求中★项为实质性要求、。</w:t>
            </w:r>
          </w:p>
        </w:tc>
        <w:tc>
          <w:tcPr>
            <w:tcW w:type="dxa" w:w="3322"/>
          </w:tcPr>
          <w:p>
            <w:pPr>
              <w:pStyle w:val="null3"/>
              <w:jc w:val="left"/>
            </w:pPr>
            <w:r>
              <w:rPr>
                <w:rFonts w:ascii="仿宋_GB2312" w:hAnsi="仿宋_GB2312" w:cs="仿宋_GB2312" w:eastAsia="仿宋_GB2312"/>
              </w:rPr>
              <w:t>3.3.服务要求中★项为实质性要求，不满足做无效投标处理。</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详细评审69.50分</w:t>
            </w:r>
          </w:p>
          <w:p>
            <w:pPr>
              <w:pStyle w:val="null3"/>
              <w:jc w:val="left"/>
            </w:pPr>
            <w:r>
              <w:rPr>
                <w:rFonts w:ascii="仿宋_GB2312" w:hAnsi="仿宋_GB2312" w:cs="仿宋_GB2312" w:eastAsia="仿宋_GB2312"/>
              </w:rPr>
              <w:t>报价得分30.50分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技术响应</w:t>
            </w:r>
          </w:p>
        </w:tc>
        <w:tc>
          <w:tcPr>
            <w:tcW w:type="dxa" w:w="2575"/>
          </w:tcPr>
          <w:p>
            <w:pPr>
              <w:pStyle w:val="null3"/>
              <w:jc w:val="left"/>
            </w:pPr>
            <w:r>
              <w:rPr>
                <w:rFonts w:ascii="仿宋_GB2312" w:hAnsi="仿宋_GB2312" w:cs="仿宋_GB2312" w:eastAsia="仿宋_GB2312"/>
              </w:rPr>
              <w:t>所投车辆的技术参数和配置要求，完全满足招标文件要求的得39.5 分；“▲”项条款共12项，每有一项负偏离扣2分，此项最多扣24分。非“▲”项参数共62项，每有一项负偏离扣0.25分，此项最多扣19.50分。</w:t>
            </w:r>
          </w:p>
        </w:tc>
        <w:tc>
          <w:tcPr>
            <w:tcW w:type="dxa" w:w="831"/>
          </w:tcPr>
          <w:p>
            <w:pPr>
              <w:pStyle w:val="null3"/>
              <w:jc w:val="center"/>
            </w:pPr>
            <w:r>
              <w:rPr>
                <w:rFonts w:ascii="仿宋_GB2312" w:hAnsi="仿宋_GB2312" w:cs="仿宋_GB2312" w:eastAsia="仿宋_GB2312"/>
              </w:rPr>
              <w:t>39.5000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供应商应针对本项目提供：1、交车保障方案 ；2、应急保障。上述2项方案全部提供的得12分，每缺少一项内容的扣6分，扣完为止。每个对应上述2个单项方案中的内容存在一处缺陷的扣3分，扣完为止。 注：缺少具体是指：对应单项中的内容缺失、仅有标题无具体实施内容等上述任意一种情形；缺陷具体是指：单项方案各小项描述不完整、内容缺少重要关键节点，仅有框架无具体实施内容、仅有复制招标内容的要求、套用其他项目方案或内容、内容中出现前后描述不一致现象、内容交叉混乱、语言描述出现有错误、内容涉及适用的规范及标准（方法）出现错误、实施地点区域错误等上述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按照评分要求提供的相应资料.docx</w:t>
            </w:r>
          </w:p>
        </w:tc>
      </w:tr>
      <w:tr>
        <w:tc>
          <w:tcPr>
            <w:tcW w:type="dxa" w:w="831"/>
            <w:vMerge/>
          </w:tcPr>
          <w:p/>
        </w:tc>
        <w:tc>
          <w:tcPr>
            <w:tcW w:type="dxa" w:w="1661"/>
          </w:tcPr>
          <w:p>
            <w:pPr>
              <w:pStyle w:val="null3"/>
              <w:jc w:val="left"/>
            </w:pPr>
            <w:r>
              <w:rPr>
                <w:rFonts w:ascii="仿宋_GB2312" w:hAnsi="仿宋_GB2312" w:cs="仿宋_GB2312" w:eastAsia="仿宋_GB2312"/>
              </w:rPr>
              <w:t>售后保障方案</w:t>
            </w:r>
          </w:p>
        </w:tc>
        <w:tc>
          <w:tcPr>
            <w:tcW w:type="dxa" w:w="2575"/>
          </w:tcPr>
          <w:p>
            <w:pPr>
              <w:pStyle w:val="null3"/>
              <w:jc w:val="left"/>
            </w:pPr>
            <w:r>
              <w:rPr>
                <w:rFonts w:ascii="仿宋_GB2312" w:hAnsi="仿宋_GB2312" w:cs="仿宋_GB2312" w:eastAsia="仿宋_GB2312"/>
              </w:rPr>
              <w:t>供应商应针对本项目提供：1、使用培训方案及计划；2、保养维修方案；3、售后服务方案 。上述3项方案全部提供的得18分，每缺少一项内容的扣6分，扣完为止。每个对应上述3个单项方案中的内容存在一处缺陷的扣3分，扣完为止。 注：缺少具体是指：对应单项中的内容缺失、仅有标题无具体实施内容等上述任意一种情形；缺陷具体是指：单项方案各小项描述不完整、内容缺少重要关键节点，仅有框架无具体实施内容、仅有复制招标内容的要求、套用其他项目方案或内容、内容中出现前后描述不一致现象、内容交叉混乱、语言描述出现有错误、内容涉及适用的规范及标准（方法）出现错误、实施地点区域错误等上述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按照评分要求提供的相应资料.docx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按照评分要求提供的相应资料.docx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详见附件：按照评分要求提供的相应资料.docx</w:t>
      </w:r>
    </w:p>
    <w:p>
      <w:pPr>
        <w:pStyle w:val="null3"/>
        <w:ind w:firstLine="960"/>
        <w:jc w:val="left"/>
      </w:pPr>
      <w:r>
        <w:rPr>
          <w:rFonts w:ascii="仿宋_GB2312" w:hAnsi="仿宋_GB2312" w:cs="仿宋_GB2312" w:eastAsia="仿宋_GB2312"/>
        </w:rPr>
        <w:t>详见附件：营业执照扫描件.docx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