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EC223">
      <w:pPr>
        <w:rPr>
          <w:rFonts w:hint="eastAsia" w:ascii="宋体" w:hAnsi="宋体" w:eastAsia="宋体" w:cs="宋体"/>
          <w:color w:val="auto"/>
          <w:sz w:val="15"/>
          <w:szCs w:val="15"/>
          <w:highlight w:val="none"/>
        </w:rPr>
      </w:pPr>
    </w:p>
    <w:p w14:paraId="0F8439CB">
      <w:pPr>
        <w:spacing w:line="240" w:lineRule="auto"/>
        <w:rPr>
          <w:rFonts w:hint="eastAsia" w:ascii="宋体" w:hAnsi="宋体" w:eastAsia="宋体"/>
          <w:color w:val="auto"/>
          <w:sz w:val="24"/>
          <w:szCs w:val="24"/>
          <w:highlight w:val="none"/>
          <w:lang w:eastAsia="zh-CN"/>
        </w:rPr>
      </w:pPr>
      <w:r>
        <w:rPr>
          <w:rFonts w:hint="eastAsia" w:ascii="宋体" w:hAnsi="宋体" w:eastAsia="宋体"/>
          <w:color w:val="auto"/>
          <w:sz w:val="32"/>
          <w:szCs w:val="32"/>
          <w:highlight w:val="none"/>
          <w:lang w:val="en-US" w:eastAsia="zh-CN"/>
        </w:rPr>
        <w:t xml:space="preserve"> </w:t>
      </w:r>
    </w:p>
    <w:p w14:paraId="0C21CBD7">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方正小标宋简体" w:hAnsi="方正小标宋简体" w:eastAsia="方正小标宋简体" w:cs="方正小标宋简体"/>
          <w:color w:val="auto"/>
          <w:sz w:val="44"/>
          <w:szCs w:val="44"/>
          <w:highlight w:val="none"/>
          <w:lang w:val="en-US" w:eastAsia="zh-CN"/>
        </w:rPr>
      </w:pPr>
    </w:p>
    <w:p w14:paraId="0BF8623B">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汤旺县智慧餐厅改建项目-原兴安社区</w:t>
      </w:r>
    </w:p>
    <w:p w14:paraId="1FEA25F3">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建筑垃圾源头减量化专题设计说明</w:t>
      </w:r>
    </w:p>
    <w:p w14:paraId="68CF047F">
      <w:pPr>
        <w:jc w:val="center"/>
        <w:rPr>
          <w:rFonts w:hint="eastAsia" w:ascii="黑体" w:eastAsia="黑体"/>
          <w:color w:val="auto"/>
          <w:sz w:val="44"/>
          <w:highlight w:val="none"/>
          <w:lang w:val="en-US" w:eastAsia="zh-CN"/>
        </w:rPr>
      </w:pPr>
    </w:p>
    <w:p w14:paraId="3D604C7A">
      <w:pPr>
        <w:jc w:val="center"/>
        <w:rPr>
          <w:rFonts w:hint="eastAsia" w:ascii="黑体" w:eastAsia="黑体"/>
          <w:color w:val="auto"/>
          <w:sz w:val="36"/>
          <w:highlight w:val="none"/>
        </w:rPr>
      </w:pPr>
    </w:p>
    <w:p w14:paraId="170523E9">
      <w:pPr>
        <w:jc w:val="center"/>
        <w:rPr>
          <w:rFonts w:hint="eastAsia" w:ascii="黑体" w:eastAsia="黑体"/>
          <w:color w:val="auto"/>
          <w:sz w:val="36"/>
          <w:highlight w:val="none"/>
        </w:rPr>
      </w:pPr>
    </w:p>
    <w:p w14:paraId="3D807F9F">
      <w:pPr>
        <w:jc w:val="center"/>
        <w:rPr>
          <w:rFonts w:hint="eastAsia" w:ascii="黑体" w:eastAsia="黑体"/>
          <w:color w:val="auto"/>
          <w:sz w:val="36"/>
          <w:highlight w:val="none"/>
        </w:rPr>
      </w:pPr>
    </w:p>
    <w:p w14:paraId="218BE3BF">
      <w:pPr>
        <w:jc w:val="center"/>
        <w:rPr>
          <w:rFonts w:hint="eastAsia" w:ascii="黑体" w:eastAsia="黑体"/>
          <w:color w:val="auto"/>
          <w:sz w:val="36"/>
          <w:highlight w:val="none"/>
        </w:rPr>
      </w:pPr>
    </w:p>
    <w:p w14:paraId="0A67F63B">
      <w:pPr>
        <w:pStyle w:val="14"/>
        <w:ind w:left="0" w:leftChars="0" w:firstLine="0" w:firstLineChars="0"/>
        <w:rPr>
          <w:rFonts w:hint="eastAsia"/>
          <w:color w:val="auto"/>
          <w:highlight w:val="none"/>
        </w:rPr>
      </w:pPr>
    </w:p>
    <w:p w14:paraId="74D14C8F">
      <w:pPr>
        <w:pStyle w:val="14"/>
        <w:ind w:left="0" w:leftChars="0" w:firstLine="0" w:firstLineChars="0"/>
        <w:rPr>
          <w:rFonts w:hint="eastAsia"/>
          <w:color w:val="auto"/>
          <w:highlight w:val="none"/>
        </w:rPr>
      </w:pPr>
    </w:p>
    <w:p w14:paraId="310320B3">
      <w:pPr>
        <w:pStyle w:val="14"/>
        <w:ind w:left="0" w:leftChars="0" w:firstLine="0" w:firstLineChars="0"/>
        <w:rPr>
          <w:rFonts w:hint="eastAsia"/>
          <w:color w:val="auto"/>
          <w:highlight w:val="none"/>
        </w:rPr>
      </w:pPr>
    </w:p>
    <w:p w14:paraId="2A2E44DE">
      <w:pPr>
        <w:pStyle w:val="14"/>
        <w:ind w:left="0" w:leftChars="0" w:firstLine="0" w:firstLineChars="0"/>
        <w:rPr>
          <w:rFonts w:hint="eastAsia"/>
          <w:color w:val="auto"/>
          <w:highlight w:val="none"/>
        </w:rPr>
      </w:pPr>
    </w:p>
    <w:p w14:paraId="39B941A1">
      <w:pPr>
        <w:pStyle w:val="14"/>
        <w:ind w:left="0" w:leftChars="0" w:firstLine="0" w:firstLineChars="0"/>
        <w:rPr>
          <w:rFonts w:hint="eastAsia"/>
          <w:color w:val="auto"/>
          <w:highlight w:val="none"/>
        </w:rPr>
      </w:pPr>
    </w:p>
    <w:p w14:paraId="1745F1A6">
      <w:pPr>
        <w:pStyle w:val="14"/>
        <w:ind w:left="0" w:leftChars="0" w:firstLine="0" w:firstLineChars="0"/>
        <w:rPr>
          <w:rFonts w:hint="eastAsia"/>
          <w:color w:val="auto"/>
          <w:highlight w:val="none"/>
        </w:rPr>
      </w:pPr>
    </w:p>
    <w:p w14:paraId="3A0694F3">
      <w:pPr>
        <w:pStyle w:val="14"/>
        <w:ind w:left="0" w:leftChars="0" w:firstLine="0" w:firstLineChars="0"/>
        <w:rPr>
          <w:rFonts w:hint="eastAsia"/>
          <w:color w:val="auto"/>
          <w:highlight w:val="none"/>
        </w:rPr>
      </w:pPr>
    </w:p>
    <w:p w14:paraId="7B213B94">
      <w:pPr>
        <w:pStyle w:val="14"/>
        <w:ind w:left="0" w:leftChars="0" w:firstLine="0" w:firstLineChars="0"/>
        <w:rPr>
          <w:rFonts w:hint="eastAsia"/>
          <w:color w:val="auto"/>
          <w:highlight w:val="none"/>
        </w:rPr>
      </w:pPr>
    </w:p>
    <w:p w14:paraId="491A1E43">
      <w:pPr>
        <w:pStyle w:val="5"/>
        <w:spacing w:line="263" w:lineRule="auto"/>
      </w:pPr>
    </w:p>
    <w:p w14:paraId="0569E4EC">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百启建设集团有限公司</w:t>
      </w:r>
    </w:p>
    <w:p w14:paraId="136BE012">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jc w:val="center"/>
        <w:textAlignment w:val="auto"/>
        <w:rPr>
          <w:rFonts w:ascii="宋体" w:hAnsi="宋体" w:eastAsia="宋体" w:cs="宋体"/>
          <w:b/>
          <w:sz w:val="36"/>
          <w:szCs w:val="36"/>
        </w:rPr>
      </w:pPr>
      <w:r>
        <w:rPr>
          <w:rFonts w:ascii="宋体" w:hAnsi="宋体" w:eastAsia="宋体" w:cs="宋体"/>
          <w:b/>
          <w:sz w:val="36"/>
          <w:szCs w:val="36"/>
        </w:rPr>
        <w:t>202</w:t>
      </w:r>
      <w:r>
        <w:rPr>
          <w:rFonts w:hint="eastAsia" w:ascii="宋体" w:hAnsi="宋体" w:eastAsia="宋体" w:cs="宋体"/>
          <w:b/>
          <w:sz w:val="36"/>
          <w:szCs w:val="36"/>
          <w:lang w:val="en-US" w:eastAsia="zh-CN"/>
        </w:rPr>
        <w:t>6</w:t>
      </w:r>
      <w:r>
        <w:rPr>
          <w:rFonts w:ascii="宋体" w:hAnsi="宋体" w:eastAsia="宋体" w:cs="宋体"/>
          <w:b/>
          <w:sz w:val="36"/>
          <w:szCs w:val="36"/>
        </w:rPr>
        <w:t>年0</w:t>
      </w:r>
      <w:r>
        <w:rPr>
          <w:rFonts w:hint="eastAsia" w:ascii="宋体" w:hAnsi="宋体" w:cs="宋体"/>
          <w:b/>
          <w:sz w:val="36"/>
          <w:szCs w:val="36"/>
          <w:lang w:val="en-US" w:eastAsia="zh-CN"/>
        </w:rPr>
        <w:t>7</w:t>
      </w:r>
      <w:r>
        <w:rPr>
          <w:rFonts w:ascii="宋体" w:hAnsi="宋体" w:eastAsia="宋体" w:cs="宋体"/>
          <w:b/>
          <w:sz w:val="36"/>
          <w:szCs w:val="36"/>
        </w:rPr>
        <w:t>月</w:t>
      </w:r>
    </w:p>
    <w:p w14:paraId="16D7D27F">
      <w:pPr>
        <w:ind w:firstLine="300" w:firstLineChars="100"/>
        <w:jc w:val="center"/>
        <w:rPr>
          <w:rFonts w:hint="eastAsia" w:ascii="宋体" w:hAnsi="宋体"/>
          <w:color w:val="auto"/>
          <w:sz w:val="30"/>
          <w:highlight w:val="none"/>
        </w:rPr>
      </w:pPr>
    </w:p>
    <w:p w14:paraId="154AADE0">
      <w:pPr>
        <w:pStyle w:val="14"/>
        <w:rPr>
          <w:rFonts w:hint="eastAsia" w:eastAsia="宋体"/>
          <w:color w:val="auto"/>
          <w:highlight w:val="none"/>
          <w:lang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784F2AE9">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rPr>
        <w:t>工程名称：</w:t>
      </w:r>
      <w:r>
        <w:rPr>
          <w:rFonts w:hint="eastAsia" w:ascii="黑体" w:hAnsi="宋体" w:eastAsia="黑体"/>
          <w:color w:val="auto"/>
          <w:sz w:val="30"/>
          <w:szCs w:val="30"/>
          <w:highlight w:val="none"/>
          <w:lang w:val="en-US" w:eastAsia="zh-CN"/>
        </w:rPr>
        <w:t>汤旺县智慧餐厅改建项目-原兴安社区</w:t>
      </w:r>
    </w:p>
    <w:p w14:paraId="598E0E33">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lang w:val="en-US" w:eastAsia="zh-CN"/>
        </w:rPr>
        <w:t>建设单位：汤旺县民政局</w:t>
      </w:r>
    </w:p>
    <w:p w14:paraId="7E524297">
      <w:pPr>
        <w:rPr>
          <w:rFonts w:hint="eastAsia" w:ascii="黑体" w:hAnsi="宋体" w:eastAsia="黑体"/>
          <w:color w:val="auto"/>
          <w:sz w:val="30"/>
          <w:szCs w:val="30"/>
          <w:highlight w:val="none"/>
          <w:lang w:val="en-US" w:eastAsia="zh-CN"/>
        </w:rPr>
      </w:pPr>
      <w:r>
        <w:rPr>
          <w:rFonts w:hint="eastAsia" w:ascii="黑体" w:hAnsi="宋体" w:eastAsia="黑体"/>
          <w:color w:val="auto"/>
          <w:sz w:val="30"/>
          <w:szCs w:val="30"/>
          <w:highlight w:val="none"/>
        </w:rPr>
        <w:t>设计单位：</w:t>
      </w:r>
      <w:r>
        <w:rPr>
          <w:rFonts w:hint="eastAsia" w:ascii="黑体" w:hAnsi="宋体" w:eastAsia="黑体"/>
          <w:color w:val="auto"/>
          <w:sz w:val="30"/>
          <w:szCs w:val="30"/>
          <w:highlight w:val="none"/>
          <w:lang w:val="en-US" w:eastAsia="zh-CN"/>
        </w:rPr>
        <w:t>百启建设集团有限公司</w:t>
      </w:r>
    </w:p>
    <w:p w14:paraId="6F981FE4">
      <w:pPr>
        <w:rPr>
          <w:rFonts w:hint="eastAsia" w:ascii="黑体" w:hAnsi="宋体" w:eastAsia="黑体"/>
          <w:color w:val="auto"/>
          <w:sz w:val="30"/>
          <w:szCs w:val="30"/>
          <w:highlight w:val="none"/>
        </w:rPr>
      </w:pPr>
      <w:r>
        <w:rPr>
          <w:rFonts w:hint="eastAsia" w:ascii="黑体" w:hAnsi="宋体" w:eastAsia="黑体"/>
          <w:color w:val="auto"/>
          <w:sz w:val="30"/>
          <w:szCs w:val="30"/>
          <w:highlight w:val="none"/>
        </w:rPr>
        <w:t>法定代表人：</w:t>
      </w:r>
      <w:r>
        <w:rPr>
          <w:rFonts w:hint="eastAsia" w:ascii="黑体" w:hAnsi="宋体" w:eastAsia="黑体"/>
          <w:color w:val="auto"/>
          <w:sz w:val="30"/>
          <w:szCs w:val="30"/>
          <w:highlight w:val="none"/>
          <w:lang w:val="en-US" w:eastAsia="zh-CN"/>
        </w:rPr>
        <w:t>苏显卓</w:t>
      </w:r>
    </w:p>
    <w:p w14:paraId="745B467B">
      <w:pPr>
        <w:rPr>
          <w:rFonts w:hint="eastAsia" w:ascii="黑体" w:hAnsi="宋体" w:eastAsia="黑体"/>
          <w:color w:val="auto"/>
          <w:sz w:val="32"/>
          <w:szCs w:val="32"/>
          <w:highlight w:val="none"/>
        </w:rPr>
      </w:pPr>
    </w:p>
    <w:p w14:paraId="12ABF776">
      <w:pPr>
        <w:jc w:val="center"/>
        <w:rPr>
          <w:rFonts w:ascii="仿宋" w:hAnsi="仿宋" w:eastAsia="仿宋"/>
          <w:b/>
          <w:bCs/>
          <w:color w:val="auto"/>
          <w:kern w:val="1"/>
          <w:sz w:val="32"/>
          <w:szCs w:val="32"/>
        </w:rPr>
      </w:pPr>
      <w:r>
        <w:rPr>
          <w:rFonts w:hint="eastAsia" w:ascii="仿宋" w:hAnsi="仿宋" w:eastAsia="仿宋"/>
          <w:b/>
          <w:bCs/>
          <w:color w:val="auto"/>
          <w:kern w:val="1"/>
          <w:sz w:val="32"/>
          <w:szCs w:val="32"/>
        </w:rPr>
        <w:t>设计单位人员信息</w:t>
      </w:r>
    </w:p>
    <w:tbl>
      <w:tblPr>
        <w:tblStyle w:val="9"/>
        <w:tblW w:w="8539" w:type="dxa"/>
        <w:jc w:val="center"/>
        <w:tblLayout w:type="fixed"/>
        <w:tblCellMar>
          <w:top w:w="0" w:type="dxa"/>
          <w:left w:w="108" w:type="dxa"/>
          <w:bottom w:w="0" w:type="dxa"/>
          <w:right w:w="108" w:type="dxa"/>
        </w:tblCellMar>
      </w:tblPr>
      <w:tblGrid>
        <w:gridCol w:w="3058"/>
        <w:gridCol w:w="2019"/>
        <w:gridCol w:w="3462"/>
      </w:tblGrid>
      <w:tr w14:paraId="6A440041">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9DA1C3B">
            <w:pPr>
              <w:bidi w:val="0"/>
              <w:jc w:val="center"/>
              <w:rPr>
                <w:rFonts w:hint="eastAsia" w:ascii="仿宋" w:hAnsi="仿宋" w:eastAsia="仿宋" w:cs="仿宋"/>
                <w:sz w:val="28"/>
                <w:szCs w:val="28"/>
              </w:rPr>
            </w:pPr>
            <w:r>
              <w:rPr>
                <w:rFonts w:hint="eastAsia" w:ascii="仿宋" w:hAnsi="仿宋" w:eastAsia="仿宋" w:cs="仿宋"/>
                <w:sz w:val="28"/>
                <w:szCs w:val="28"/>
              </w:rPr>
              <w:t>名称</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1FF21060">
            <w:pPr>
              <w:bidi w:val="0"/>
              <w:jc w:val="center"/>
              <w:rPr>
                <w:rFonts w:hint="eastAsia" w:ascii="仿宋" w:hAnsi="仿宋" w:eastAsia="仿宋" w:cs="仿宋"/>
                <w:sz w:val="28"/>
                <w:szCs w:val="28"/>
              </w:rPr>
            </w:pPr>
            <w:r>
              <w:rPr>
                <w:rFonts w:hint="eastAsia" w:ascii="仿宋" w:hAnsi="仿宋" w:eastAsia="仿宋" w:cs="仿宋"/>
                <w:sz w:val="28"/>
                <w:szCs w:val="28"/>
              </w:rPr>
              <w:t>姓名</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66BBB4D3">
            <w:pPr>
              <w:bidi w:val="0"/>
              <w:jc w:val="center"/>
              <w:rPr>
                <w:rFonts w:hint="eastAsia" w:ascii="仿宋" w:hAnsi="仿宋" w:eastAsia="仿宋" w:cs="仿宋"/>
                <w:sz w:val="28"/>
                <w:szCs w:val="28"/>
              </w:rPr>
            </w:pPr>
            <w:r>
              <w:rPr>
                <w:rFonts w:hint="eastAsia" w:ascii="仿宋" w:hAnsi="仿宋" w:eastAsia="仿宋" w:cs="仿宋"/>
                <w:sz w:val="28"/>
                <w:szCs w:val="28"/>
              </w:rPr>
              <w:t>亲笔签名</w:t>
            </w:r>
          </w:p>
          <w:p w14:paraId="6C92F32D">
            <w:pPr>
              <w:bidi w:val="0"/>
              <w:jc w:val="center"/>
              <w:rPr>
                <w:rFonts w:hint="eastAsia" w:ascii="仿宋" w:hAnsi="仿宋" w:eastAsia="仿宋" w:cs="仿宋"/>
                <w:sz w:val="28"/>
                <w:szCs w:val="28"/>
              </w:rPr>
            </w:pPr>
            <w:r>
              <w:rPr>
                <w:rFonts w:hint="eastAsia" w:ascii="仿宋" w:hAnsi="仿宋" w:eastAsia="仿宋" w:cs="仿宋"/>
                <w:sz w:val="28"/>
                <w:szCs w:val="28"/>
              </w:rPr>
              <w:t>（用黑色水笔或钢笔）</w:t>
            </w:r>
          </w:p>
        </w:tc>
      </w:tr>
      <w:tr w14:paraId="1FB24031">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540BA4A">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技术总负责人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45E24729">
            <w:pPr>
              <w:bidi w:val="0"/>
              <w:jc w:val="center"/>
              <w:rPr>
                <w:rFonts w:hint="eastAsia" w:ascii="仿宋" w:hAnsi="仿宋" w:eastAsia="仿宋" w:cs="仿宋"/>
                <w:sz w:val="28"/>
                <w:szCs w:val="28"/>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3BCE0057">
            <w:pPr>
              <w:bidi w:val="0"/>
              <w:jc w:val="center"/>
              <w:rPr>
                <w:rFonts w:hint="eastAsia" w:ascii="仿宋" w:hAnsi="仿宋" w:eastAsia="仿宋" w:cs="仿宋"/>
                <w:sz w:val="28"/>
                <w:szCs w:val="28"/>
              </w:rPr>
            </w:pPr>
            <w:r>
              <w:drawing>
                <wp:inline distT="0" distB="0" distL="114300" distR="114300">
                  <wp:extent cx="688340" cy="386715"/>
                  <wp:effectExtent l="0" t="0" r="1651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67AA5926">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5E9B296B">
            <w:pPr>
              <w:bidi w:val="0"/>
              <w:jc w:val="center"/>
              <w:rPr>
                <w:rFonts w:hint="eastAsia" w:ascii="仿宋" w:hAnsi="仿宋" w:eastAsia="仿宋" w:cs="仿宋"/>
                <w:sz w:val="28"/>
                <w:szCs w:val="28"/>
              </w:rPr>
            </w:pPr>
            <w:r>
              <w:rPr>
                <w:rFonts w:hint="eastAsia" w:ascii="仿宋" w:hAnsi="仿宋" w:eastAsia="仿宋" w:cs="仿宋"/>
                <w:sz w:val="28"/>
                <w:szCs w:val="28"/>
              </w:rPr>
              <w:t>项目总负责人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5BA3D382">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0BAEB4D3">
            <w:pPr>
              <w:bidi w:val="0"/>
              <w:jc w:val="center"/>
              <w:rPr>
                <w:rFonts w:hint="eastAsia" w:ascii="仿宋" w:hAnsi="仿宋" w:eastAsia="仿宋" w:cs="仿宋"/>
                <w:sz w:val="28"/>
                <w:szCs w:val="28"/>
              </w:rPr>
            </w:pPr>
            <w:r>
              <w:drawing>
                <wp:inline distT="0" distB="0" distL="114300" distR="114300">
                  <wp:extent cx="688340" cy="386715"/>
                  <wp:effectExtent l="0" t="0" r="1651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469A9B2A">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2A900340">
            <w:pPr>
              <w:bidi w:val="0"/>
              <w:jc w:val="center"/>
              <w:rPr>
                <w:rFonts w:hint="eastAsia" w:ascii="仿宋" w:hAnsi="仿宋" w:eastAsia="仿宋" w:cs="仿宋"/>
                <w:sz w:val="28"/>
                <w:szCs w:val="28"/>
              </w:rPr>
            </w:pPr>
            <w:r>
              <w:rPr>
                <w:rFonts w:hint="eastAsia" w:ascii="仿宋" w:hAnsi="仿宋" w:eastAsia="仿宋" w:cs="仿宋"/>
                <w:sz w:val="28"/>
                <w:szCs w:val="28"/>
              </w:rPr>
              <w:t>建筑专业负责人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34CEAA20">
            <w:pPr>
              <w:bidi w:val="0"/>
              <w:jc w:val="center"/>
              <w:rPr>
                <w:rFonts w:hint="eastAsia" w:ascii="仿宋" w:hAnsi="仿宋" w:eastAsia="仿宋" w:cs="仿宋"/>
                <w:sz w:val="28"/>
                <w:szCs w:val="28"/>
              </w:rPr>
            </w:pPr>
            <w:r>
              <w:rPr>
                <w:rFonts w:hint="eastAsia" w:ascii="仿宋" w:hAnsi="仿宋" w:eastAsia="仿宋" w:cs="仿宋"/>
                <w:sz w:val="28"/>
                <w:szCs w:val="28"/>
                <w:lang w:eastAsia="zh-CN"/>
              </w:rPr>
              <w:t>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5970DD31">
            <w:pPr>
              <w:bidi w:val="0"/>
              <w:jc w:val="center"/>
              <w:rPr>
                <w:rFonts w:hint="eastAsia" w:ascii="仿宋" w:hAnsi="仿宋" w:eastAsia="仿宋" w:cs="仿宋"/>
                <w:sz w:val="28"/>
                <w:szCs w:val="28"/>
              </w:rPr>
            </w:pPr>
            <w:r>
              <w:drawing>
                <wp:inline distT="0" distB="0" distL="114300" distR="114300">
                  <wp:extent cx="688340" cy="386715"/>
                  <wp:effectExtent l="0" t="0" r="1651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6">
                            <a:clrChange>
                              <a:clrFrom>
                                <a:srgbClr val="FFFFFF"/>
                              </a:clrFrom>
                              <a:clrTo>
                                <a:srgbClr val="FFFFFF">
                                  <a:alpha val="0"/>
                                </a:srgbClr>
                              </a:clrTo>
                            </a:clrChange>
                          </a:blip>
                          <a:srcRect l="27602" t="37451" r="52901" b="34349"/>
                          <a:stretch>
                            <a:fillRect/>
                          </a:stretch>
                        </pic:blipFill>
                        <pic:spPr>
                          <a:xfrm>
                            <a:off x="0" y="0"/>
                            <a:ext cx="688340" cy="386715"/>
                          </a:xfrm>
                          <a:prstGeom prst="rect">
                            <a:avLst/>
                          </a:prstGeom>
                          <a:noFill/>
                          <a:ln>
                            <a:noFill/>
                          </a:ln>
                        </pic:spPr>
                      </pic:pic>
                    </a:graphicData>
                  </a:graphic>
                </wp:inline>
              </w:drawing>
            </w:r>
          </w:p>
        </w:tc>
      </w:tr>
      <w:tr w14:paraId="69858D76">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06D54880">
            <w:pPr>
              <w:bidi w:val="0"/>
              <w:jc w:val="center"/>
              <w:rPr>
                <w:rFonts w:hint="eastAsia" w:ascii="仿宋" w:hAnsi="仿宋" w:eastAsia="仿宋" w:cs="仿宋"/>
                <w:sz w:val="28"/>
                <w:szCs w:val="28"/>
              </w:rPr>
            </w:pPr>
            <w:r>
              <w:rPr>
                <w:rFonts w:hint="eastAsia" w:ascii="仿宋" w:hAnsi="仿宋" w:eastAsia="仿宋" w:cs="仿宋"/>
                <w:sz w:val="28"/>
                <w:szCs w:val="28"/>
                <w:lang w:eastAsia="zh-CN"/>
              </w:rPr>
              <w:t>结构</w:t>
            </w:r>
            <w:r>
              <w:rPr>
                <w:rFonts w:hint="eastAsia" w:ascii="仿宋" w:hAnsi="仿宋" w:eastAsia="仿宋" w:cs="仿宋"/>
                <w:sz w:val="28"/>
                <w:szCs w:val="28"/>
              </w:rPr>
              <w:t>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66C30CDA">
            <w:pPr>
              <w:bidi w:val="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苏依谅</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28479680">
            <w:pPr>
              <w:bidi w:val="0"/>
              <w:jc w:val="center"/>
            </w:pPr>
            <w:r>
              <w:drawing>
                <wp:inline distT="0" distB="0" distL="114300" distR="114300">
                  <wp:extent cx="859790" cy="339090"/>
                  <wp:effectExtent l="0" t="0" r="16510" b="317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clrChange>
                              <a:clrFrom>
                                <a:srgbClr val="FFFFFF">
                                  <a:alpha val="100000"/>
                                </a:srgbClr>
                              </a:clrFrom>
                              <a:clrTo>
                                <a:srgbClr val="FFFFFF">
                                  <a:alpha val="100000"/>
                                  <a:alpha val="0"/>
                                </a:srgbClr>
                              </a:clrTo>
                            </a:clrChange>
                          </a:blip>
                          <a:srcRect l="19815" t="33900" r="38331" b="28309"/>
                          <a:stretch>
                            <a:fillRect/>
                          </a:stretch>
                        </pic:blipFill>
                        <pic:spPr>
                          <a:xfrm>
                            <a:off x="0" y="0"/>
                            <a:ext cx="859790" cy="339090"/>
                          </a:xfrm>
                          <a:prstGeom prst="rect">
                            <a:avLst/>
                          </a:prstGeom>
                          <a:noFill/>
                          <a:ln>
                            <a:noFill/>
                          </a:ln>
                        </pic:spPr>
                      </pic:pic>
                    </a:graphicData>
                  </a:graphic>
                </wp:inline>
              </w:drawing>
            </w:r>
          </w:p>
        </w:tc>
      </w:tr>
      <w:tr w14:paraId="781C3685">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7BC23C95">
            <w:pPr>
              <w:bidi w:val="0"/>
              <w:jc w:val="center"/>
              <w:rPr>
                <w:rFonts w:hint="eastAsia" w:ascii="仿宋" w:hAnsi="仿宋" w:eastAsia="仿宋" w:cs="仿宋"/>
                <w:sz w:val="28"/>
                <w:szCs w:val="28"/>
              </w:rPr>
            </w:pPr>
            <w:r>
              <w:rPr>
                <w:rFonts w:hint="eastAsia" w:ascii="仿宋" w:hAnsi="仿宋" w:eastAsia="仿宋" w:cs="仿宋"/>
                <w:sz w:val="28"/>
                <w:szCs w:val="28"/>
              </w:rPr>
              <w:t>给排水专业负责人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59609363">
            <w:pPr>
              <w:bidi w:val="0"/>
              <w:jc w:val="center"/>
              <w:rPr>
                <w:rFonts w:hint="eastAsia" w:ascii="仿宋" w:hAnsi="仿宋" w:eastAsia="仿宋" w:cs="仿宋"/>
                <w:sz w:val="28"/>
                <w:szCs w:val="28"/>
              </w:rPr>
            </w:pPr>
            <w:r>
              <w:rPr>
                <w:rFonts w:hint="eastAsia" w:ascii="仿宋" w:hAnsi="仿宋" w:eastAsia="仿宋" w:cs="仿宋"/>
                <w:sz w:val="28"/>
                <w:szCs w:val="28"/>
              </w:rPr>
              <w:t>程  杰</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5B3424AA">
            <w:pPr>
              <w:bidi w:val="0"/>
              <w:jc w:val="center"/>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619125" cy="366395"/>
                  <wp:effectExtent l="0" t="0" r="9525" b="146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clrChange>
                              <a:clrFrom>
                                <a:srgbClr val="FFFFFF"/>
                              </a:clrFrom>
                              <a:clrTo>
                                <a:srgbClr val="FFFFFF">
                                  <a:alpha val="0"/>
                                </a:srgbClr>
                              </a:clrTo>
                            </a:clrChange>
                          </a:blip>
                          <a:srcRect l="35550" t="47388" r="41168" b="21626"/>
                          <a:stretch>
                            <a:fillRect/>
                          </a:stretch>
                        </pic:blipFill>
                        <pic:spPr>
                          <a:xfrm>
                            <a:off x="0" y="0"/>
                            <a:ext cx="619125" cy="366395"/>
                          </a:xfrm>
                          <a:prstGeom prst="rect">
                            <a:avLst/>
                          </a:prstGeom>
                          <a:noFill/>
                          <a:ln>
                            <a:noFill/>
                          </a:ln>
                        </pic:spPr>
                      </pic:pic>
                    </a:graphicData>
                  </a:graphic>
                </wp:inline>
              </w:drawing>
            </w:r>
          </w:p>
        </w:tc>
      </w:tr>
      <w:tr w14:paraId="67C988BD">
        <w:tblPrEx>
          <w:tblCellMar>
            <w:top w:w="0" w:type="dxa"/>
            <w:left w:w="108" w:type="dxa"/>
            <w:bottom w:w="0" w:type="dxa"/>
            <w:right w:w="108" w:type="dxa"/>
          </w:tblCellMar>
        </w:tblPrEx>
        <w:trPr>
          <w:trHeight w:val="809"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127D77B9">
            <w:pPr>
              <w:bidi w:val="0"/>
              <w:jc w:val="center"/>
              <w:rPr>
                <w:rFonts w:hint="eastAsia" w:ascii="仿宋" w:hAnsi="仿宋" w:eastAsia="仿宋" w:cs="仿宋"/>
                <w:sz w:val="28"/>
                <w:szCs w:val="28"/>
              </w:rPr>
            </w:pPr>
            <w:r>
              <w:rPr>
                <w:rFonts w:hint="eastAsia" w:ascii="仿宋" w:hAnsi="仿宋" w:eastAsia="仿宋" w:cs="仿宋"/>
                <w:sz w:val="28"/>
                <w:szCs w:val="28"/>
              </w:rPr>
              <w:t>暖通专业负责人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3264304C">
            <w:pPr>
              <w:bidi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王日森</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11C4A546">
            <w:pPr>
              <w:bidi w:val="0"/>
              <w:jc w:val="center"/>
              <w:rPr>
                <w:rFonts w:hint="eastAsia" w:ascii="仿宋" w:hAnsi="仿宋" w:eastAsia="仿宋" w:cs="仿宋"/>
                <w:sz w:val="28"/>
                <w:szCs w:val="28"/>
              </w:rPr>
            </w:pPr>
            <w:r>
              <w:drawing>
                <wp:inline distT="0" distB="0" distL="114300" distR="114300">
                  <wp:extent cx="667385" cy="306070"/>
                  <wp:effectExtent l="0" t="0" r="18415"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clrChange>
                              <a:clrFrom>
                                <a:srgbClr val="FFFFFF"/>
                              </a:clrFrom>
                              <a:clrTo>
                                <a:srgbClr val="FFFFFF">
                                  <a:alpha val="0"/>
                                </a:srgbClr>
                              </a:clrTo>
                            </a:clrChange>
                          </a:blip>
                          <a:srcRect l="20970" t="38338" r="55312" b="24368"/>
                          <a:stretch>
                            <a:fillRect/>
                          </a:stretch>
                        </pic:blipFill>
                        <pic:spPr>
                          <a:xfrm>
                            <a:off x="0" y="0"/>
                            <a:ext cx="667385" cy="306070"/>
                          </a:xfrm>
                          <a:prstGeom prst="rect">
                            <a:avLst/>
                          </a:prstGeom>
                          <a:noFill/>
                          <a:ln>
                            <a:noFill/>
                          </a:ln>
                        </pic:spPr>
                      </pic:pic>
                    </a:graphicData>
                  </a:graphic>
                </wp:inline>
              </w:drawing>
            </w:r>
          </w:p>
        </w:tc>
      </w:tr>
      <w:tr w14:paraId="285D6B07">
        <w:tblPrEx>
          <w:tblCellMar>
            <w:top w:w="0" w:type="dxa"/>
            <w:left w:w="108" w:type="dxa"/>
            <w:bottom w:w="0" w:type="dxa"/>
            <w:right w:w="108" w:type="dxa"/>
          </w:tblCellMar>
        </w:tblPrEx>
        <w:trPr>
          <w:trHeight w:val="850" w:hRule="atLeast"/>
          <w:jc w:val="center"/>
        </w:trPr>
        <w:tc>
          <w:tcPr>
            <w:tcW w:w="3058" w:type="dxa"/>
            <w:tcBorders>
              <w:top w:val="single" w:color="000000" w:sz="4" w:space="0"/>
              <w:left w:val="single" w:color="000000" w:sz="4" w:space="0"/>
              <w:bottom w:val="single" w:color="000000" w:sz="4" w:space="0"/>
              <w:right w:val="single" w:color="000000" w:sz="4" w:space="0"/>
            </w:tcBorders>
            <w:noWrap w:val="0"/>
            <w:vAlign w:val="center"/>
          </w:tcPr>
          <w:p w14:paraId="64A4C94B">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电气专业负责人</w:t>
            </w:r>
          </w:p>
        </w:tc>
        <w:tc>
          <w:tcPr>
            <w:tcW w:w="2019" w:type="dxa"/>
            <w:tcBorders>
              <w:top w:val="single" w:color="000000" w:sz="4" w:space="0"/>
              <w:left w:val="single" w:color="000000" w:sz="4" w:space="0"/>
              <w:bottom w:val="single" w:color="000000" w:sz="4" w:space="0"/>
              <w:right w:val="single" w:color="000000" w:sz="4" w:space="0"/>
            </w:tcBorders>
            <w:noWrap w:val="0"/>
            <w:vAlign w:val="center"/>
          </w:tcPr>
          <w:p w14:paraId="4C76CE6A">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戴凯华</w:t>
            </w:r>
          </w:p>
        </w:tc>
        <w:tc>
          <w:tcPr>
            <w:tcW w:w="3462" w:type="dxa"/>
            <w:tcBorders>
              <w:top w:val="single" w:color="000000" w:sz="4" w:space="0"/>
              <w:left w:val="single" w:color="000000" w:sz="4" w:space="0"/>
              <w:bottom w:val="single" w:color="000000" w:sz="4" w:space="0"/>
              <w:right w:val="single" w:color="000000" w:sz="4" w:space="0"/>
            </w:tcBorders>
            <w:noWrap w:val="0"/>
            <w:vAlign w:val="center"/>
          </w:tcPr>
          <w:p w14:paraId="4E9F2A3B">
            <w:pPr>
              <w:bidi w:val="0"/>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drawing>
                <wp:inline distT="0" distB="0" distL="114300" distR="114300">
                  <wp:extent cx="821690" cy="347980"/>
                  <wp:effectExtent l="0" t="0" r="16510"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clrChange>
                              <a:clrFrom>
                                <a:srgbClr val="FFFFFF"/>
                              </a:clrFrom>
                              <a:clrTo>
                                <a:srgbClr val="FFFFFF">
                                  <a:alpha val="0"/>
                                </a:srgbClr>
                              </a:clrTo>
                            </a:clrChange>
                          </a:blip>
                          <a:srcRect l="49477" t="33896" r="26106" b="42833"/>
                          <a:stretch>
                            <a:fillRect/>
                          </a:stretch>
                        </pic:blipFill>
                        <pic:spPr>
                          <a:xfrm>
                            <a:off x="0" y="0"/>
                            <a:ext cx="821690" cy="347980"/>
                          </a:xfrm>
                          <a:prstGeom prst="rect">
                            <a:avLst/>
                          </a:prstGeom>
                          <a:noFill/>
                          <a:ln>
                            <a:noFill/>
                          </a:ln>
                        </pic:spPr>
                      </pic:pic>
                    </a:graphicData>
                  </a:graphic>
                </wp:inline>
              </w:drawing>
            </w:r>
          </w:p>
        </w:tc>
      </w:tr>
    </w:tbl>
    <w:p w14:paraId="3FFD57C7">
      <w:pPr>
        <w:rPr>
          <w:color w:val="auto"/>
        </w:rPr>
      </w:pPr>
    </w:p>
    <w:p w14:paraId="771A3C9D">
      <w:pPr>
        <w:numPr>
          <w:ilvl w:val="0"/>
          <w:numId w:val="0"/>
        </w:numPr>
        <w:spacing w:line="360" w:lineRule="auto"/>
        <w:rPr>
          <w:rFonts w:hint="eastAsia"/>
          <w:b/>
          <w:bCs/>
          <w:color w:val="auto"/>
          <w:sz w:val="28"/>
          <w:szCs w:val="28"/>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02DCFB3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color w:val="auto"/>
          <w:sz w:val="32"/>
          <w:szCs w:val="32"/>
        </w:rPr>
      </w:pPr>
      <w:r>
        <w:rPr>
          <w:rFonts w:hint="eastAsia" w:ascii="黑体" w:hAnsi="黑体" w:eastAsia="黑体" w:cs="黑体"/>
          <w:b w:val="0"/>
          <w:bCs w:val="0"/>
          <w:color w:val="auto"/>
          <w:sz w:val="32"/>
          <w:szCs w:val="32"/>
          <w:lang w:val="en-US" w:eastAsia="zh-CN"/>
        </w:rPr>
        <w:t>一、设计依据</w:t>
      </w:r>
    </w:p>
    <w:p w14:paraId="21D7573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《关于进一步加强城市建筑垃圾治理的意见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国办函〔2025〕57号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14:paraId="0B0C5D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住房和城乡建设部关于推进建筑垃圾减量化的指导意见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建质〔2020〕46号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14:paraId="7B9B6FC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3.《建筑垃圾减量化设计标准》T/CECS1121-2022；</w:t>
      </w:r>
    </w:p>
    <w:p w14:paraId="58EE548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4.《施工现场建筑垃圾减量化技术标准》JGJ/T498-2024；</w:t>
      </w:r>
    </w:p>
    <w:p w14:paraId="3EBD9B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5.《建筑节能与可再生能源利用通用规范》GB55015-2021；</w:t>
      </w:r>
    </w:p>
    <w:p w14:paraId="7969628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6.《建筑与市政工程施工质量控制通用规范》GB55032-2022；</w:t>
      </w:r>
    </w:p>
    <w:p w14:paraId="13F7CDB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7.《绿色建筑评价标准》GB/T 50378-2019（2024年版）；</w:t>
      </w:r>
    </w:p>
    <w:p w14:paraId="3AA168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8.《民用建筑设计统一标准》GB50352-2019；</w:t>
      </w:r>
    </w:p>
    <w:p w14:paraId="64A8CF3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9.《民用建筑通用规范》GB55031-2022；</w:t>
      </w:r>
    </w:p>
    <w:p w14:paraId="2377C9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10.《建筑环境通用规范》GB55016-2021；</w:t>
      </w:r>
    </w:p>
    <w:p w14:paraId="34B921E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11.《民用建筑电气设计标准》GB51348-2019；</w:t>
      </w:r>
    </w:p>
    <w:p w14:paraId="0E4CE3C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12.《混凝土结构通用规范》GB55008-2021；</w:t>
      </w:r>
    </w:p>
    <w:p w14:paraId="657FDAB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13.《建筑给水排水设计标准》GB50015-2019；</w:t>
      </w:r>
    </w:p>
    <w:p w14:paraId="3EB5303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14.《民用建筑供暖通风与空气调节设计规范》GB50736-2012；</w:t>
      </w:r>
    </w:p>
    <w:p w14:paraId="6030B7E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15.《建筑给水排水与节水通用规范》GB55020-2021；</w:t>
      </w:r>
    </w:p>
    <w:p w14:paraId="3EA0140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16.《城市污水再生利用城市杂用水水质》GB/T 18920-2020；</w:t>
      </w:r>
    </w:p>
    <w:p w14:paraId="70D4986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17.《黑龙江省绿色建筑评价标准》DB23/T1642-2020；</w:t>
      </w:r>
    </w:p>
    <w:p w14:paraId="0BFCF2A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18.《施工现场建筑垃圾减量化技术规程》DB23/T 3918—2024；</w:t>
      </w:r>
    </w:p>
    <w:p w14:paraId="6BC681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19.《中华人民共和国固体废物污染环境防治法》；</w:t>
      </w:r>
    </w:p>
    <w:p w14:paraId="47A0624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20.《工程施工废弃物再生利用技术规范》GB/T50743-2012；</w:t>
      </w:r>
    </w:p>
    <w:p w14:paraId="13D8306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21.《城市建筑垃圾管理规定》建设部令第139号；</w:t>
      </w:r>
    </w:p>
    <w:p w14:paraId="125DE9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22.《建筑垃圾处理技术标准》CJJ134-2019；</w:t>
      </w:r>
    </w:p>
    <w:p w14:paraId="3E6FF5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23.《固定式建筑垃圾处置技术规程》JC/T 2546-2019；</w:t>
      </w:r>
    </w:p>
    <w:p w14:paraId="0A54592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24.《建筑垃圾再生骨料实心砖》JG/T505-2016；</w:t>
      </w:r>
    </w:p>
    <w:p w14:paraId="24B8D8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25.《建筑固废再生砂粉》JC/T2546-2019；</w:t>
      </w:r>
    </w:p>
    <w:p w14:paraId="2D5C75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26.《道路用建筑垃圾再生骨料无机混合料》JC/T 2281-2014；</w:t>
      </w:r>
    </w:p>
    <w:p w14:paraId="6963354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27.其他国家和地方相关标准；</w:t>
      </w:r>
    </w:p>
    <w:p w14:paraId="6A41673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28.项目立项批复文件、建设用地规划许可证、建设工程规划条件等相关法定文件；</w:t>
      </w:r>
    </w:p>
    <w:p w14:paraId="20599E4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color w:val="auto"/>
          <w:sz w:val="28"/>
          <w:szCs w:val="28"/>
          <w:lang w:val="en-US" w:eastAsia="zh-CN"/>
        </w:rPr>
        <w:t>29.建设单位提供的项目设计任务书及相关技术要求。</w:t>
      </w:r>
    </w:p>
    <w:p w14:paraId="7206789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二、工程概况</w:t>
      </w:r>
    </w:p>
    <w:p w14:paraId="6D3F9BD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1.工程名称:汤旺县智慧餐厅改建项目-原兴安社区。</w:t>
      </w:r>
    </w:p>
    <w:p w14:paraId="75264DC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2.建设地点:汤旺县。</w:t>
      </w:r>
    </w:p>
    <w:p w14:paraId="3DF5327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3.建设单位:汤旺县民政局。</w:t>
      </w:r>
    </w:p>
    <w:p w14:paraId="65FA998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工程概况：本项目为既有建筑的局部装饰改造工程。总建筑面积为174m²；本工程改造范围为局部一层；建筑高度4.4m，防火建筑高度小于24m；地上1层；混合结构；耐火等级二级；场所类别为食堂；设计使用年限为原建筑设计使用年限为50年，装饰改造设计不改变建筑整体使用年限；本次改造无结构承重体系的改造,不影响结构安全。</w:t>
      </w:r>
    </w:p>
    <w:p w14:paraId="4D7FC6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三、建筑设计说明</w:t>
      </w:r>
    </w:p>
    <w:p w14:paraId="314FD4B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1.基本信息</w:t>
      </w:r>
    </w:p>
    <w:p w14:paraId="66236EC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为既有建筑的局部装饰改造工程。总建筑面积为174m²；本工程改造范围为局部一层；建筑高度4.4m，防火建筑高度小于24m；地上1层；混合结构；耐火等级二级；场所类别为食堂；设计使用年限为原建筑设计使用年限为50年，装饰改造设计不改变建筑整体使用年限；本次改造无结构承重体系的改造,不影响结构安全。</w:t>
      </w:r>
    </w:p>
    <w:p w14:paraId="0E0AAD1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2建筑材料</w:t>
      </w:r>
    </w:p>
    <w:p w14:paraId="07017A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本项目为既有建筑的局部装饰改造工程。</w:t>
      </w:r>
    </w:p>
    <w:tbl>
      <w:tblPr>
        <w:tblStyle w:val="17"/>
        <w:tblW w:w="502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75"/>
        <w:gridCol w:w="4007"/>
        <w:gridCol w:w="2913"/>
      </w:tblGrid>
      <w:tr w14:paraId="5B9A8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1F6662A1">
            <w:pPr>
              <w:bidi w:val="0"/>
              <w:jc w:val="center"/>
              <w:rPr>
                <w:rFonts w:hint="eastAsia"/>
                <w:sz w:val="24"/>
                <w:szCs w:val="24"/>
              </w:rPr>
            </w:pPr>
            <w:r>
              <w:rPr>
                <w:rFonts w:hint="eastAsia"/>
                <w:sz w:val="24"/>
                <w:szCs w:val="24"/>
              </w:rPr>
              <w:t>部位</w:t>
            </w:r>
          </w:p>
        </w:tc>
        <w:tc>
          <w:tcPr>
            <w:tcW w:w="2252" w:type="pct"/>
            <w:vAlign w:val="center"/>
          </w:tcPr>
          <w:p w14:paraId="50E5C73F">
            <w:pPr>
              <w:bidi w:val="0"/>
              <w:jc w:val="center"/>
              <w:rPr>
                <w:rFonts w:hint="eastAsia"/>
                <w:sz w:val="24"/>
                <w:szCs w:val="24"/>
              </w:rPr>
            </w:pPr>
            <w:r>
              <w:rPr>
                <w:rFonts w:hint="eastAsia"/>
                <w:sz w:val="24"/>
                <w:szCs w:val="24"/>
              </w:rPr>
              <w:t>建筑材料使用说明</w:t>
            </w:r>
          </w:p>
        </w:tc>
        <w:tc>
          <w:tcPr>
            <w:tcW w:w="1637" w:type="pct"/>
            <w:vAlign w:val="center"/>
          </w:tcPr>
          <w:p w14:paraId="1625CAC7">
            <w:pPr>
              <w:bidi w:val="0"/>
              <w:jc w:val="center"/>
              <w:rPr>
                <w:rFonts w:hint="eastAsia"/>
                <w:sz w:val="24"/>
                <w:szCs w:val="24"/>
                <w:lang w:eastAsia="zh-CN"/>
              </w:rPr>
            </w:pPr>
            <w:r>
              <w:rPr>
                <w:rFonts w:hint="eastAsia"/>
                <w:sz w:val="24"/>
                <w:szCs w:val="24"/>
                <w:lang w:eastAsia="zh-CN"/>
              </w:rPr>
              <w:t>备注</w:t>
            </w:r>
          </w:p>
        </w:tc>
      </w:tr>
      <w:tr w14:paraId="07A89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3A028908">
            <w:pPr>
              <w:bidi w:val="0"/>
              <w:jc w:val="center"/>
              <w:rPr>
                <w:rFonts w:hint="eastAsia"/>
                <w:sz w:val="24"/>
                <w:szCs w:val="24"/>
              </w:rPr>
            </w:pPr>
            <w:r>
              <w:rPr>
                <w:rFonts w:hint="eastAsia"/>
                <w:sz w:val="24"/>
                <w:szCs w:val="24"/>
              </w:rPr>
              <w:t>内墙</w:t>
            </w:r>
          </w:p>
        </w:tc>
        <w:tc>
          <w:tcPr>
            <w:tcW w:w="2252" w:type="pct"/>
            <w:vAlign w:val="center"/>
          </w:tcPr>
          <w:p w14:paraId="0B990197">
            <w:pPr>
              <w:bidi w:val="0"/>
              <w:jc w:val="center"/>
              <w:rPr>
                <w:rFonts w:hint="eastAsia"/>
                <w:sz w:val="24"/>
                <w:szCs w:val="24"/>
                <w:lang w:val="en-US" w:eastAsia="zh-CN"/>
              </w:rPr>
            </w:pPr>
            <w:r>
              <w:rPr>
                <w:rFonts w:hint="eastAsia"/>
                <w:sz w:val="24"/>
                <w:szCs w:val="24"/>
                <w:lang w:val="en-US" w:eastAsia="zh-CN"/>
              </w:rPr>
              <w:t>陶粒混凝土砌块、轻钢龙骨内填岩棉石膏板隔墙、加气混凝土砌块</w:t>
            </w:r>
          </w:p>
        </w:tc>
        <w:tc>
          <w:tcPr>
            <w:tcW w:w="1637" w:type="pct"/>
            <w:vAlign w:val="center"/>
          </w:tcPr>
          <w:p w14:paraId="126163A5">
            <w:pPr>
              <w:bidi w:val="0"/>
              <w:jc w:val="center"/>
              <w:rPr>
                <w:rFonts w:hint="eastAsia"/>
                <w:sz w:val="24"/>
                <w:szCs w:val="24"/>
                <w:lang w:eastAsia="zh-CN"/>
              </w:rPr>
            </w:pPr>
            <w:r>
              <w:rPr>
                <w:rFonts w:hint="eastAsia"/>
                <w:sz w:val="24"/>
                <w:szCs w:val="24"/>
                <w:lang w:eastAsia="zh-CN"/>
              </w:rPr>
              <w:t>材料均为成品</w:t>
            </w:r>
          </w:p>
        </w:tc>
      </w:tr>
      <w:tr w14:paraId="45EBD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0D9B6FD6">
            <w:pPr>
              <w:bidi w:val="0"/>
              <w:jc w:val="center"/>
              <w:rPr>
                <w:rFonts w:hint="eastAsia"/>
                <w:sz w:val="24"/>
                <w:szCs w:val="24"/>
                <w:lang w:eastAsia="zh-CN"/>
              </w:rPr>
            </w:pPr>
            <w:r>
              <w:rPr>
                <w:rFonts w:hint="eastAsia"/>
                <w:sz w:val="24"/>
                <w:szCs w:val="24"/>
                <w:lang w:val="en-US" w:eastAsia="zh-CN"/>
              </w:rPr>
              <w:t>防火门</w:t>
            </w:r>
          </w:p>
        </w:tc>
        <w:tc>
          <w:tcPr>
            <w:tcW w:w="2252" w:type="pct"/>
            <w:vAlign w:val="center"/>
          </w:tcPr>
          <w:p w14:paraId="4DC2F14B">
            <w:pPr>
              <w:bidi w:val="0"/>
              <w:jc w:val="center"/>
              <w:rPr>
                <w:rFonts w:hint="eastAsia"/>
                <w:sz w:val="24"/>
                <w:szCs w:val="24"/>
                <w:lang w:val="en-US" w:eastAsia="zh-CN"/>
              </w:rPr>
            </w:pPr>
            <w:r>
              <w:rPr>
                <w:rFonts w:hint="eastAsia"/>
                <w:sz w:val="24"/>
                <w:szCs w:val="24"/>
                <w:lang w:val="en-US" w:eastAsia="zh-CN"/>
              </w:rPr>
              <w:t>乙级防火门</w:t>
            </w:r>
          </w:p>
        </w:tc>
        <w:tc>
          <w:tcPr>
            <w:tcW w:w="1637" w:type="pct"/>
            <w:vAlign w:val="center"/>
          </w:tcPr>
          <w:p w14:paraId="6D21D683">
            <w:pPr>
              <w:bidi w:val="0"/>
              <w:jc w:val="center"/>
              <w:rPr>
                <w:rFonts w:hint="eastAsia"/>
                <w:sz w:val="24"/>
                <w:szCs w:val="24"/>
              </w:rPr>
            </w:pPr>
            <w:r>
              <w:rPr>
                <w:rFonts w:hint="eastAsia"/>
                <w:sz w:val="24"/>
                <w:szCs w:val="24"/>
                <w:lang w:eastAsia="zh-CN"/>
              </w:rPr>
              <w:t>均为成品</w:t>
            </w:r>
          </w:p>
        </w:tc>
      </w:tr>
      <w:tr w14:paraId="395E37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49209AE9">
            <w:pPr>
              <w:bidi w:val="0"/>
              <w:jc w:val="center"/>
              <w:rPr>
                <w:rFonts w:hint="eastAsia"/>
                <w:sz w:val="24"/>
                <w:szCs w:val="24"/>
                <w:lang w:eastAsia="zh-CN"/>
              </w:rPr>
            </w:pPr>
            <w:r>
              <w:rPr>
                <w:rFonts w:hint="eastAsia"/>
                <w:sz w:val="24"/>
                <w:szCs w:val="24"/>
                <w:lang w:val="en-US" w:eastAsia="zh-CN"/>
              </w:rPr>
              <w:t>普通门</w:t>
            </w:r>
          </w:p>
        </w:tc>
        <w:tc>
          <w:tcPr>
            <w:tcW w:w="2252" w:type="pct"/>
            <w:vAlign w:val="center"/>
          </w:tcPr>
          <w:p w14:paraId="0054770D">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1CB43C37">
            <w:pPr>
              <w:bidi w:val="0"/>
              <w:jc w:val="center"/>
              <w:rPr>
                <w:rFonts w:hint="eastAsia"/>
                <w:sz w:val="24"/>
                <w:szCs w:val="24"/>
              </w:rPr>
            </w:pPr>
            <w:r>
              <w:rPr>
                <w:rFonts w:hint="eastAsia"/>
                <w:sz w:val="24"/>
                <w:szCs w:val="24"/>
                <w:lang w:eastAsia="zh-CN"/>
              </w:rPr>
              <w:t>均为成品</w:t>
            </w:r>
          </w:p>
        </w:tc>
      </w:tr>
      <w:tr w14:paraId="603D8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16621CF4">
            <w:pPr>
              <w:bidi w:val="0"/>
              <w:jc w:val="center"/>
              <w:rPr>
                <w:rFonts w:hint="eastAsia"/>
                <w:sz w:val="24"/>
                <w:szCs w:val="24"/>
                <w:lang w:val="en-US" w:eastAsia="zh-CN"/>
              </w:rPr>
            </w:pPr>
            <w:r>
              <w:rPr>
                <w:rFonts w:hint="eastAsia"/>
                <w:sz w:val="24"/>
                <w:szCs w:val="24"/>
                <w:lang w:val="en-US" w:eastAsia="zh-CN"/>
              </w:rPr>
              <w:t>灭火器</w:t>
            </w:r>
          </w:p>
        </w:tc>
        <w:tc>
          <w:tcPr>
            <w:tcW w:w="2252" w:type="pct"/>
            <w:vAlign w:val="center"/>
          </w:tcPr>
          <w:p w14:paraId="3CEE4BAD">
            <w:pPr>
              <w:bidi w:val="0"/>
              <w:jc w:val="center"/>
              <w:rPr>
                <w:rFonts w:hint="eastAsia"/>
                <w:sz w:val="24"/>
                <w:szCs w:val="24"/>
                <w:lang w:val="en-US" w:eastAsia="zh-CN"/>
              </w:rPr>
            </w:pPr>
            <w:r>
              <w:rPr>
                <w:rFonts w:hint="eastAsia"/>
                <w:sz w:val="24"/>
                <w:szCs w:val="24"/>
                <w:lang w:val="en-US" w:eastAsia="zh-CN"/>
              </w:rPr>
              <w:t>磷酸铵盐</w:t>
            </w:r>
          </w:p>
        </w:tc>
        <w:tc>
          <w:tcPr>
            <w:tcW w:w="1637" w:type="pct"/>
            <w:vAlign w:val="center"/>
          </w:tcPr>
          <w:p w14:paraId="22E4627E">
            <w:pPr>
              <w:bidi w:val="0"/>
              <w:jc w:val="center"/>
              <w:rPr>
                <w:rFonts w:hint="eastAsia"/>
                <w:sz w:val="24"/>
                <w:szCs w:val="24"/>
                <w:lang w:val="en-US" w:eastAsia="zh-CN"/>
              </w:rPr>
            </w:pPr>
            <w:r>
              <w:rPr>
                <w:rFonts w:hint="eastAsia"/>
                <w:sz w:val="24"/>
                <w:szCs w:val="24"/>
                <w:lang w:eastAsia="zh-CN"/>
              </w:rPr>
              <w:t>均为成品</w:t>
            </w:r>
          </w:p>
        </w:tc>
      </w:tr>
      <w:tr w14:paraId="181C1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35DD72E5">
            <w:pPr>
              <w:bidi w:val="0"/>
              <w:jc w:val="center"/>
              <w:rPr>
                <w:rFonts w:hint="eastAsia"/>
                <w:sz w:val="24"/>
                <w:szCs w:val="24"/>
                <w:lang w:val="en-US" w:eastAsia="zh-CN"/>
              </w:rPr>
            </w:pPr>
            <w:r>
              <w:rPr>
                <w:rFonts w:hint="eastAsia"/>
                <w:sz w:val="24"/>
                <w:szCs w:val="24"/>
                <w:lang w:val="en-US" w:eastAsia="zh-CN"/>
              </w:rPr>
              <w:t>地砖</w:t>
            </w:r>
          </w:p>
        </w:tc>
        <w:tc>
          <w:tcPr>
            <w:tcW w:w="2252" w:type="pct"/>
            <w:vAlign w:val="center"/>
          </w:tcPr>
          <w:p w14:paraId="30A011F7">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42814B07">
            <w:pPr>
              <w:bidi w:val="0"/>
              <w:jc w:val="center"/>
              <w:rPr>
                <w:rFonts w:hint="eastAsia"/>
                <w:sz w:val="24"/>
                <w:szCs w:val="24"/>
                <w:lang w:val="en-US" w:eastAsia="zh-CN"/>
              </w:rPr>
            </w:pPr>
            <w:r>
              <w:rPr>
                <w:rFonts w:hint="eastAsia"/>
                <w:sz w:val="24"/>
                <w:szCs w:val="24"/>
                <w:lang w:eastAsia="zh-CN"/>
              </w:rPr>
              <w:t>均为成品</w:t>
            </w:r>
          </w:p>
        </w:tc>
      </w:tr>
      <w:tr w14:paraId="00AF1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110" w:type="pct"/>
            <w:vAlign w:val="center"/>
          </w:tcPr>
          <w:p w14:paraId="26BBE4D4">
            <w:pPr>
              <w:bidi w:val="0"/>
              <w:jc w:val="center"/>
              <w:rPr>
                <w:rFonts w:hint="eastAsia"/>
                <w:sz w:val="24"/>
                <w:szCs w:val="24"/>
                <w:lang w:val="en-US" w:eastAsia="zh-CN"/>
              </w:rPr>
            </w:pPr>
            <w:r>
              <w:rPr>
                <w:rFonts w:hint="eastAsia"/>
                <w:sz w:val="24"/>
                <w:szCs w:val="24"/>
                <w:lang w:val="en-US" w:eastAsia="zh-CN"/>
              </w:rPr>
              <w:t>墙板</w:t>
            </w:r>
          </w:p>
        </w:tc>
        <w:tc>
          <w:tcPr>
            <w:tcW w:w="2252" w:type="pct"/>
            <w:vAlign w:val="center"/>
          </w:tcPr>
          <w:p w14:paraId="33CBF802">
            <w:pPr>
              <w:bidi w:val="0"/>
              <w:jc w:val="center"/>
              <w:rPr>
                <w:rFonts w:hint="eastAsia"/>
                <w:sz w:val="24"/>
                <w:szCs w:val="24"/>
                <w:lang w:val="en-US" w:eastAsia="zh-CN"/>
              </w:rPr>
            </w:pPr>
            <w:r>
              <w:rPr>
                <w:rFonts w:hint="eastAsia"/>
                <w:sz w:val="24"/>
                <w:szCs w:val="24"/>
                <w:lang w:val="en-US" w:eastAsia="zh-CN"/>
              </w:rPr>
              <w:t>甲方自选</w:t>
            </w:r>
          </w:p>
        </w:tc>
        <w:tc>
          <w:tcPr>
            <w:tcW w:w="1637" w:type="pct"/>
            <w:vAlign w:val="center"/>
          </w:tcPr>
          <w:p w14:paraId="73B9D0AD">
            <w:pPr>
              <w:bidi w:val="0"/>
              <w:jc w:val="center"/>
              <w:rPr>
                <w:rFonts w:hint="eastAsia"/>
                <w:sz w:val="24"/>
                <w:szCs w:val="24"/>
                <w:lang w:eastAsia="zh-CN"/>
              </w:rPr>
            </w:pPr>
            <w:r>
              <w:rPr>
                <w:rFonts w:hint="eastAsia"/>
                <w:sz w:val="24"/>
                <w:szCs w:val="24"/>
                <w:lang w:eastAsia="zh-CN"/>
              </w:rPr>
              <w:t>均为成品</w:t>
            </w:r>
          </w:p>
        </w:tc>
      </w:tr>
      <w:tr w14:paraId="7033D9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13127A9C">
            <w:pPr>
              <w:bidi w:val="0"/>
              <w:jc w:val="center"/>
              <w:rPr>
                <w:rFonts w:hint="default"/>
                <w:sz w:val="24"/>
                <w:szCs w:val="24"/>
                <w:lang w:val="en-US" w:eastAsia="zh-CN"/>
              </w:rPr>
            </w:pPr>
            <w:r>
              <w:rPr>
                <w:rFonts w:hint="eastAsia"/>
                <w:sz w:val="24"/>
                <w:szCs w:val="24"/>
                <w:lang w:val="en-US" w:eastAsia="zh-CN"/>
              </w:rPr>
              <w:t>铝合金吊顶</w:t>
            </w:r>
          </w:p>
        </w:tc>
        <w:tc>
          <w:tcPr>
            <w:tcW w:w="4007" w:type="dxa"/>
            <w:vAlign w:val="center"/>
          </w:tcPr>
          <w:p w14:paraId="13322EA4">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1690C636">
            <w:pPr>
              <w:bidi w:val="0"/>
              <w:jc w:val="center"/>
              <w:rPr>
                <w:rFonts w:hint="eastAsia"/>
                <w:sz w:val="24"/>
                <w:szCs w:val="24"/>
                <w:lang w:eastAsia="zh-CN"/>
              </w:rPr>
            </w:pPr>
            <w:r>
              <w:rPr>
                <w:rFonts w:hint="eastAsia"/>
                <w:sz w:val="24"/>
                <w:szCs w:val="24"/>
                <w:lang w:eastAsia="zh-CN"/>
              </w:rPr>
              <w:t>均为成品</w:t>
            </w:r>
          </w:p>
        </w:tc>
      </w:tr>
      <w:tr w14:paraId="55A69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0D06CCCF">
            <w:pPr>
              <w:bidi w:val="0"/>
              <w:jc w:val="center"/>
              <w:rPr>
                <w:rFonts w:hint="eastAsia"/>
                <w:sz w:val="24"/>
                <w:szCs w:val="24"/>
                <w:lang w:val="en-US" w:eastAsia="zh-CN"/>
              </w:rPr>
            </w:pPr>
            <w:r>
              <w:rPr>
                <w:rFonts w:hint="eastAsia"/>
                <w:sz w:val="24"/>
                <w:szCs w:val="24"/>
                <w:lang w:val="en-US" w:eastAsia="zh-CN"/>
              </w:rPr>
              <w:t>轻钢龙骨石膏板吊顶</w:t>
            </w:r>
          </w:p>
        </w:tc>
        <w:tc>
          <w:tcPr>
            <w:tcW w:w="4007" w:type="dxa"/>
            <w:vAlign w:val="center"/>
          </w:tcPr>
          <w:p w14:paraId="14B04E3D">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58F5D093">
            <w:pPr>
              <w:bidi w:val="0"/>
              <w:jc w:val="center"/>
              <w:rPr>
                <w:rFonts w:hint="eastAsia"/>
                <w:sz w:val="24"/>
                <w:szCs w:val="24"/>
                <w:lang w:eastAsia="zh-CN"/>
              </w:rPr>
            </w:pPr>
            <w:r>
              <w:rPr>
                <w:rFonts w:hint="eastAsia"/>
                <w:sz w:val="24"/>
                <w:szCs w:val="24"/>
                <w:lang w:eastAsia="zh-CN"/>
              </w:rPr>
              <w:t>均为成品</w:t>
            </w:r>
          </w:p>
        </w:tc>
      </w:tr>
      <w:tr w14:paraId="54EDB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1975" w:type="dxa"/>
            <w:vAlign w:val="center"/>
          </w:tcPr>
          <w:p w14:paraId="2C3D29AC">
            <w:pPr>
              <w:bidi w:val="0"/>
              <w:jc w:val="center"/>
              <w:rPr>
                <w:rFonts w:hint="eastAsia"/>
                <w:sz w:val="24"/>
                <w:szCs w:val="24"/>
                <w:lang w:val="en-US" w:eastAsia="zh-CN"/>
              </w:rPr>
            </w:pPr>
            <w:r>
              <w:rPr>
                <w:rFonts w:hint="eastAsia"/>
                <w:sz w:val="24"/>
                <w:szCs w:val="24"/>
                <w:lang w:val="en-US" w:eastAsia="zh-CN"/>
              </w:rPr>
              <w:t>金属踢脚</w:t>
            </w:r>
          </w:p>
        </w:tc>
        <w:tc>
          <w:tcPr>
            <w:tcW w:w="4007" w:type="dxa"/>
            <w:vAlign w:val="center"/>
          </w:tcPr>
          <w:p w14:paraId="33ABA391">
            <w:pPr>
              <w:bidi w:val="0"/>
              <w:jc w:val="center"/>
              <w:rPr>
                <w:rFonts w:hint="eastAsia"/>
                <w:sz w:val="24"/>
                <w:szCs w:val="24"/>
                <w:lang w:val="en-US" w:eastAsia="zh-CN"/>
              </w:rPr>
            </w:pPr>
            <w:r>
              <w:rPr>
                <w:rFonts w:hint="eastAsia"/>
                <w:sz w:val="24"/>
                <w:szCs w:val="24"/>
                <w:lang w:val="en-US" w:eastAsia="zh-CN"/>
              </w:rPr>
              <w:t>甲方自选</w:t>
            </w:r>
          </w:p>
        </w:tc>
        <w:tc>
          <w:tcPr>
            <w:tcW w:w="2913" w:type="dxa"/>
            <w:vAlign w:val="center"/>
          </w:tcPr>
          <w:p w14:paraId="3A614A9C">
            <w:pPr>
              <w:bidi w:val="0"/>
              <w:jc w:val="center"/>
              <w:rPr>
                <w:rFonts w:hint="eastAsia"/>
                <w:sz w:val="24"/>
                <w:szCs w:val="24"/>
                <w:lang w:eastAsia="zh-CN"/>
              </w:rPr>
            </w:pPr>
            <w:r>
              <w:rPr>
                <w:rFonts w:hint="eastAsia"/>
                <w:sz w:val="24"/>
                <w:szCs w:val="24"/>
                <w:lang w:eastAsia="zh-CN"/>
              </w:rPr>
              <w:t>均为成品</w:t>
            </w:r>
          </w:p>
        </w:tc>
      </w:tr>
    </w:tbl>
    <w:p w14:paraId="2F5A47C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四、结构设计说明</w:t>
      </w:r>
    </w:p>
    <w:p w14:paraId="5B4184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本工程无结构承重体系改造。</w:t>
      </w:r>
    </w:p>
    <w:p w14:paraId="71479E1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五、机电设计说明</w:t>
      </w:r>
    </w:p>
    <w:p w14:paraId="24D551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给排水、采暖、通风、电气专业分别描述机电系统，材料要求，使用年限等主要设计信息。</w:t>
      </w:r>
    </w:p>
    <w:p w14:paraId="6A1EA4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六、建筑垃圾减量化设计措施</w:t>
      </w:r>
    </w:p>
    <w:p w14:paraId="0E2F2D0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新项目坚持“统筹规划、因地制宜、经济合理、绿色创新”为原则，从源头上预防和减少工程过程中建筑垃圾的产生，结合项目实际情况，全面执行最新设计规范和技术标准，推动绿色创新，推行精细化设计，做好建筑垃圾减量的相关工作。</w:t>
      </w:r>
    </w:p>
    <w:p w14:paraId="476E3A8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本项目建筑单体整体为办公。为既有建筑。处于汤旺县地区，地势平缓，交通运输便利。项目无填方、挖方等新建工程不能避免的施工步骤，极大减少了土石方工程量。从根源上减少建筑垃圾的产生。</w:t>
      </w:r>
    </w:p>
    <w:p w14:paraId="5B2186C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精细化设计。建筑、暖通、机电、二次深化设计的装饰一体化协同设计。有效高效利用原有建筑空间进行局部空间的改造。设计前期阶段，建筑设计与装饰设计进行深度配合。楼面、墙面预留的洞 口、管道等部位，各专业详细标注预留位置、尺寸、标高、做法等详细信息，并复核交圈。避免施工阶段出现错漏。后期整改过程中产生的建筑垃圾。</w:t>
      </w:r>
    </w:p>
    <w:p w14:paraId="320EA34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建筑材料选用。节约资源，减少材料损耗。多选用成品材料，多选用厂家预制构件，集约化生产，多选用可再生建筑材料，多选用生产工艺能耗小的建筑材料。砂浆采用预拌砂浆。</w:t>
      </w:r>
    </w:p>
    <w:p w14:paraId="29B4195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44"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本项目为既有建筑内的局部改造，工程内容未包含全部建筑构造部位，未进行结构承重体系改造：</w:t>
      </w:r>
    </w:p>
    <w:tbl>
      <w:tblPr>
        <w:tblStyle w:val="10"/>
        <w:tblW w:w="8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267"/>
        <w:gridCol w:w="2967"/>
        <w:gridCol w:w="833"/>
        <w:gridCol w:w="2812"/>
      </w:tblGrid>
      <w:tr w14:paraId="0C9A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Align w:val="center"/>
          </w:tcPr>
          <w:p w14:paraId="599BBB3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专 业</w:t>
            </w:r>
          </w:p>
          <w:p w14:paraId="1791FFD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类 别</w:t>
            </w:r>
          </w:p>
        </w:tc>
        <w:tc>
          <w:tcPr>
            <w:tcW w:w="1267" w:type="dxa"/>
            <w:vAlign w:val="center"/>
          </w:tcPr>
          <w:p w14:paraId="27CE687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标准规范</w:t>
            </w:r>
          </w:p>
          <w:p w14:paraId="09AB5A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政策法规</w:t>
            </w:r>
          </w:p>
        </w:tc>
        <w:tc>
          <w:tcPr>
            <w:tcW w:w="2967" w:type="dxa"/>
            <w:vAlign w:val="center"/>
          </w:tcPr>
          <w:p w14:paraId="5D8AD2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w:t>
            </w:r>
          </w:p>
        </w:tc>
        <w:tc>
          <w:tcPr>
            <w:tcW w:w="833" w:type="dxa"/>
            <w:vAlign w:val="center"/>
          </w:tcPr>
          <w:p w14:paraId="56B36B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hanging="232" w:hangingChars="1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 用</w:t>
            </w:r>
          </w:p>
          <w:p w14:paraId="62708F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hanging="232" w:hangingChars="10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情 况</w:t>
            </w:r>
          </w:p>
        </w:tc>
        <w:tc>
          <w:tcPr>
            <w:tcW w:w="2812" w:type="dxa"/>
            <w:vAlign w:val="center"/>
          </w:tcPr>
          <w:p w14:paraId="085A63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  体</w:t>
            </w:r>
          </w:p>
          <w:p w14:paraId="5BE73ED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措  施</w:t>
            </w:r>
          </w:p>
        </w:tc>
      </w:tr>
      <w:tr w14:paraId="4387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555CAD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1.建筑</w:t>
            </w:r>
          </w:p>
          <w:p w14:paraId="48A9682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室外场</w:t>
            </w:r>
          </w:p>
          <w:p w14:paraId="2D51873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地设计</w:t>
            </w:r>
          </w:p>
        </w:tc>
        <w:tc>
          <w:tcPr>
            <w:tcW w:w="1267" w:type="dxa"/>
            <w:vMerge w:val="restart"/>
            <w:vAlign w:val="center"/>
          </w:tcPr>
          <w:p w14:paraId="6DDBD0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《绿色建筑评价标准》 GB/T50378-2019（2024版）</w:t>
            </w:r>
          </w:p>
        </w:tc>
        <w:tc>
          <w:tcPr>
            <w:tcW w:w="2967" w:type="dxa"/>
            <w:vAlign w:val="center"/>
          </w:tcPr>
          <w:p w14:paraId="1EF1C69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b/>
                <w:bCs/>
                <w:color w:val="auto"/>
                <w:sz w:val="24"/>
                <w:szCs w:val="24"/>
                <w:vertAlign w:val="baseline"/>
                <w:lang w:val="en-US" w:eastAsia="zh-CN"/>
              </w:rPr>
              <w:t>6.1.1</w:t>
            </w:r>
            <w:r>
              <w:rPr>
                <w:rFonts w:hint="eastAsia" w:ascii="宋体" w:hAnsi="宋体" w:eastAsia="宋体" w:cs="宋体"/>
                <w:color w:val="auto"/>
                <w:sz w:val="24"/>
                <w:szCs w:val="24"/>
                <w:lang w:val="en-US" w:eastAsia="zh-CN"/>
              </w:rPr>
              <w:t>传承建筑文化，采用适宜地区特色的建筑风貌设计，避免因不利因素而采取节能等相关措施投入。</w:t>
            </w:r>
          </w:p>
        </w:tc>
        <w:tc>
          <w:tcPr>
            <w:tcW w:w="833" w:type="dxa"/>
            <w:vAlign w:val="center"/>
          </w:tcPr>
          <w:p w14:paraId="7226C6E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46D56E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24A7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666E77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2A458E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06175B4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6.1.2</w:t>
            </w:r>
            <w:r>
              <w:rPr>
                <w:rFonts w:hint="eastAsia" w:ascii="宋体" w:hAnsi="宋体" w:eastAsia="宋体" w:cs="宋体"/>
                <w:color w:val="auto"/>
                <w:sz w:val="24"/>
                <w:szCs w:val="24"/>
                <w:lang w:val="en-US" w:eastAsia="zh-CN"/>
              </w:rPr>
              <w:t>满足功能合理和需求变化适应性，在保证适用、经济、安全的情况下延长设计工作年限，预留后期功能改造的弹性空间，避免因功能调整导致的大规模拆改，减少二次改造产生的建筑垃圾。</w:t>
            </w:r>
          </w:p>
        </w:tc>
        <w:tc>
          <w:tcPr>
            <w:tcW w:w="833" w:type="dxa"/>
            <w:vAlign w:val="center"/>
          </w:tcPr>
          <w:p w14:paraId="172D4D4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729B924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98597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内框架结构未进行改造，原有实体隔墙拆除量少</w:t>
            </w:r>
          </w:p>
        </w:tc>
      </w:tr>
      <w:tr w14:paraId="5A29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C1E7F9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269FC1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6E9690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6.1.3</w:t>
            </w:r>
            <w:r>
              <w:rPr>
                <w:rFonts w:hint="eastAsia" w:ascii="宋体" w:hAnsi="宋体" w:eastAsia="宋体" w:cs="宋体"/>
                <w:color w:val="auto"/>
                <w:sz w:val="24"/>
                <w:szCs w:val="24"/>
                <w:lang w:val="en-US" w:eastAsia="zh-CN"/>
              </w:rPr>
              <w:t>建筑垃圾收集点与周围景观协调统一，避免因收集点布局不合理导致的二次搬运与垃圾散落影响环境效应。</w:t>
            </w:r>
          </w:p>
        </w:tc>
        <w:tc>
          <w:tcPr>
            <w:tcW w:w="833" w:type="dxa"/>
            <w:vAlign w:val="center"/>
          </w:tcPr>
          <w:p w14:paraId="79C1F3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1E33F22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542AE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采用垃圾运输车辆的车斗临时摆放在施工区域，运输至城市垃圾转运站或垃圾处理站</w:t>
            </w:r>
          </w:p>
        </w:tc>
      </w:tr>
      <w:tr w14:paraId="2405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B86FD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BFB99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6BD64E3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6.1.4</w:t>
            </w:r>
            <w:r>
              <w:rPr>
                <w:rFonts w:hint="eastAsia" w:ascii="宋体" w:hAnsi="宋体" w:eastAsia="宋体" w:cs="宋体"/>
                <w:color w:val="auto"/>
                <w:sz w:val="24"/>
                <w:szCs w:val="24"/>
                <w:lang w:val="en-US" w:eastAsia="zh-CN"/>
              </w:rPr>
              <w:t>分期开发的建设场地宜整体规划。应至少设置一处建筑垃圾临时分类堆放场所或固定堆放场所。</w:t>
            </w:r>
          </w:p>
        </w:tc>
        <w:tc>
          <w:tcPr>
            <w:tcW w:w="833" w:type="dxa"/>
            <w:vAlign w:val="center"/>
          </w:tcPr>
          <w:p w14:paraId="04D520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726A32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D9BC4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本工程无分期计划</w:t>
            </w:r>
          </w:p>
        </w:tc>
      </w:tr>
      <w:tr w14:paraId="0417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D7D193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190FF1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1C44EB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6.1.5</w:t>
            </w:r>
            <w:r>
              <w:rPr>
                <w:rFonts w:hint="eastAsia" w:ascii="宋体" w:hAnsi="宋体" w:eastAsia="宋体" w:cs="宋体"/>
                <w:color w:val="auto"/>
                <w:sz w:val="24"/>
                <w:szCs w:val="24"/>
                <w:lang w:val="en-US" w:eastAsia="zh-CN"/>
              </w:rPr>
              <w:t>场地设计保留场地中原有景观元素并加以利用。</w:t>
            </w:r>
          </w:p>
        </w:tc>
        <w:tc>
          <w:tcPr>
            <w:tcW w:w="833" w:type="dxa"/>
            <w:vAlign w:val="center"/>
          </w:tcPr>
          <w:p w14:paraId="2944EC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p>
          <w:p w14:paraId="03163B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5C3E7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无室外景观工程</w:t>
            </w:r>
          </w:p>
        </w:tc>
      </w:tr>
      <w:tr w14:paraId="4C31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7C3198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797724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F50025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6.1.6</w:t>
            </w:r>
            <w:r>
              <w:rPr>
                <w:rFonts w:hint="eastAsia" w:ascii="宋体" w:hAnsi="宋体" w:eastAsia="宋体" w:cs="宋体"/>
                <w:color w:val="auto"/>
                <w:sz w:val="24"/>
                <w:szCs w:val="24"/>
                <w:lang w:val="en-US" w:eastAsia="zh-CN"/>
              </w:rPr>
              <w:t>场地室外地面铺装应采用再生路面砖、再生骨料混凝土等再生材料。提升资源循环利用率。</w:t>
            </w:r>
          </w:p>
        </w:tc>
        <w:tc>
          <w:tcPr>
            <w:tcW w:w="833" w:type="dxa"/>
            <w:vAlign w:val="center"/>
          </w:tcPr>
          <w:p w14:paraId="1E28645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9A84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无室外铺装工程</w:t>
            </w:r>
          </w:p>
        </w:tc>
      </w:tr>
      <w:tr w14:paraId="555D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31412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C19B3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4FF35FC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6.1.7</w:t>
            </w:r>
            <w:r>
              <w:rPr>
                <w:rFonts w:hint="eastAsia" w:ascii="宋体" w:hAnsi="宋体" w:eastAsia="宋体" w:cs="宋体"/>
                <w:color w:val="auto"/>
                <w:sz w:val="24"/>
                <w:szCs w:val="24"/>
                <w:lang w:val="en-US" w:eastAsia="zh-CN"/>
              </w:rPr>
              <w:t>场地内景观构筑物宜采用可拆卸的连接构造，宜采用可再利用材料制作。</w:t>
            </w:r>
          </w:p>
        </w:tc>
        <w:tc>
          <w:tcPr>
            <w:tcW w:w="833" w:type="dxa"/>
            <w:vAlign w:val="center"/>
          </w:tcPr>
          <w:p w14:paraId="62018A9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7E31B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无室外景观工程</w:t>
            </w:r>
          </w:p>
        </w:tc>
      </w:tr>
      <w:tr w14:paraId="77BE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7B91B4F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2.主体建筑专业设计</w:t>
            </w:r>
          </w:p>
        </w:tc>
        <w:tc>
          <w:tcPr>
            <w:tcW w:w="1267" w:type="dxa"/>
            <w:vMerge w:val="restart"/>
            <w:vAlign w:val="center"/>
          </w:tcPr>
          <w:p w14:paraId="5F3ABBE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49ABB70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6.2.1</w:t>
            </w:r>
            <w:r>
              <w:rPr>
                <w:rFonts w:hint="eastAsia" w:ascii="宋体" w:hAnsi="宋体" w:eastAsia="宋体" w:cs="宋体"/>
                <w:color w:val="auto"/>
                <w:sz w:val="24"/>
                <w:szCs w:val="24"/>
                <w:lang w:val="en-US" w:eastAsia="zh-CN"/>
              </w:rPr>
              <w:t>设计应结合工程所在地的法律法规、资源、地质、环境、经济、文化和技术条件等因素，选择合理的建筑形式、技术、设备和材料。</w:t>
            </w:r>
          </w:p>
        </w:tc>
        <w:tc>
          <w:tcPr>
            <w:tcW w:w="833" w:type="dxa"/>
            <w:vAlign w:val="center"/>
          </w:tcPr>
          <w:p w14:paraId="0DB497F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22ABFE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改造工程，符合建筑整体风格，符合东北严寒气候，外门窗更换的选用节能门窗</w:t>
            </w:r>
          </w:p>
        </w:tc>
      </w:tr>
      <w:tr w14:paraId="4636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40214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E48CDD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0BFBE0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6.2.2</w:t>
            </w:r>
            <w:r>
              <w:rPr>
                <w:rFonts w:hint="eastAsia" w:ascii="宋体" w:hAnsi="宋体" w:eastAsia="宋体" w:cs="宋体"/>
                <w:color w:val="auto"/>
                <w:sz w:val="24"/>
                <w:szCs w:val="24"/>
                <w:lang w:val="en-US" w:eastAsia="zh-CN"/>
              </w:rPr>
              <w:t>深化设计过程中，应简化建筑物形状，并减少、优化部件或组成件的种类和尺寸，建筑与组合件的尺寸关系应符合模数要求。</w:t>
            </w:r>
          </w:p>
        </w:tc>
        <w:tc>
          <w:tcPr>
            <w:tcW w:w="833" w:type="dxa"/>
            <w:vAlign w:val="center"/>
          </w:tcPr>
          <w:p w14:paraId="525EE8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3C3C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改造工程，实体墙体厚度等符合建筑材料尺寸模数</w:t>
            </w:r>
          </w:p>
        </w:tc>
      </w:tr>
      <w:tr w14:paraId="6BA6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4E739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8C4740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34232F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6.2.3</w:t>
            </w:r>
            <w:r>
              <w:rPr>
                <w:rFonts w:hint="eastAsia" w:ascii="宋体" w:hAnsi="宋体" w:eastAsia="宋体" w:cs="宋体"/>
                <w:color w:val="auto"/>
                <w:sz w:val="24"/>
                <w:szCs w:val="24"/>
                <w:lang w:val="en-US" w:eastAsia="zh-CN"/>
              </w:rPr>
              <w:t>建筑构件应采用耐久性和可靠性高、易维护、可重复利用的材料及构造做法。</w:t>
            </w:r>
          </w:p>
        </w:tc>
        <w:tc>
          <w:tcPr>
            <w:tcW w:w="833" w:type="dxa"/>
            <w:vAlign w:val="center"/>
          </w:tcPr>
          <w:p w14:paraId="4A56232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A4A7A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门窗、轻钢龙骨可重复利用。</w:t>
            </w:r>
          </w:p>
        </w:tc>
      </w:tr>
      <w:tr w14:paraId="2766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B4BE82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564B12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6558B5A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6.2.4</w:t>
            </w:r>
            <w:r>
              <w:rPr>
                <w:rFonts w:hint="eastAsia" w:ascii="宋体" w:hAnsi="宋体" w:eastAsia="宋体" w:cs="宋体"/>
                <w:color w:val="auto"/>
                <w:sz w:val="24"/>
                <w:szCs w:val="24"/>
                <w:lang w:val="en-US" w:eastAsia="zh-CN"/>
              </w:rPr>
              <w:t>设计中考虑建筑功能的灵活性和适用性。</w:t>
            </w:r>
          </w:p>
        </w:tc>
        <w:tc>
          <w:tcPr>
            <w:tcW w:w="833" w:type="dxa"/>
            <w:vAlign w:val="center"/>
          </w:tcPr>
          <w:p w14:paraId="23AFED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0E0B5C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适用老年人</w:t>
            </w:r>
            <w:r>
              <w:rPr>
                <w:rFonts w:hint="eastAsia" w:ascii="宋体" w:hAnsi="宋体" w:cs="宋体"/>
                <w:color w:val="auto"/>
                <w:sz w:val="24"/>
                <w:szCs w:val="24"/>
                <w:lang w:val="en-US" w:eastAsia="zh-CN"/>
              </w:rPr>
              <w:t>食堂</w:t>
            </w:r>
            <w:r>
              <w:rPr>
                <w:rFonts w:hint="eastAsia" w:ascii="宋体" w:hAnsi="宋体" w:eastAsia="宋体" w:cs="宋体"/>
                <w:color w:val="auto"/>
                <w:sz w:val="24"/>
                <w:szCs w:val="24"/>
                <w:lang w:val="en-US" w:eastAsia="zh-CN"/>
              </w:rPr>
              <w:t>，可以灵活招收不同行动能力的老年人。房间设计、无障碍设计考虑灵活性与适用性。</w:t>
            </w:r>
          </w:p>
        </w:tc>
      </w:tr>
      <w:tr w14:paraId="4CA4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BBB8FB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8E72CB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342FB5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6.2.5</w:t>
            </w:r>
            <w:r>
              <w:rPr>
                <w:rFonts w:hint="eastAsia" w:ascii="宋体" w:hAnsi="宋体" w:eastAsia="宋体" w:cs="宋体"/>
                <w:color w:val="auto"/>
                <w:sz w:val="24"/>
                <w:szCs w:val="24"/>
                <w:lang w:val="en-US" w:eastAsia="zh-CN"/>
              </w:rPr>
              <w:t>设计中考虑建筑功能的灵活性和适用性建筑隔墙宜采用易于拆解的轻质墙体。</w:t>
            </w:r>
          </w:p>
        </w:tc>
        <w:tc>
          <w:tcPr>
            <w:tcW w:w="833" w:type="dxa"/>
            <w:vAlign w:val="center"/>
          </w:tcPr>
          <w:p w14:paraId="2486CEE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066B45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采用了轻质隔墙。</w:t>
            </w:r>
          </w:p>
        </w:tc>
      </w:tr>
      <w:tr w14:paraId="6EDD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3278E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0126EF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6B8E28F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6.2.6</w:t>
            </w:r>
            <w:r>
              <w:rPr>
                <w:rFonts w:hint="eastAsia" w:ascii="宋体" w:hAnsi="宋体" w:eastAsia="宋体" w:cs="宋体"/>
                <w:color w:val="auto"/>
                <w:sz w:val="24"/>
                <w:szCs w:val="24"/>
                <w:lang w:val="en-US" w:eastAsia="zh-CN"/>
              </w:rPr>
              <w:t>建筑设计应按照通用化、模数化、标准化的要求，以少规格、多组合的原则进行设计。</w:t>
            </w:r>
          </w:p>
        </w:tc>
        <w:tc>
          <w:tcPr>
            <w:tcW w:w="833" w:type="dxa"/>
            <w:vAlign w:val="center"/>
          </w:tcPr>
          <w:p w14:paraId="00A7FFB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0F0285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老年人</w:t>
            </w:r>
            <w:r>
              <w:rPr>
                <w:rFonts w:hint="eastAsia" w:ascii="宋体" w:hAnsi="宋体" w:cs="宋体"/>
                <w:color w:val="auto"/>
                <w:sz w:val="24"/>
                <w:szCs w:val="24"/>
                <w:lang w:val="en-US" w:eastAsia="zh-CN"/>
              </w:rPr>
              <w:t>食堂</w:t>
            </w:r>
            <w:r>
              <w:rPr>
                <w:rFonts w:hint="eastAsia" w:ascii="宋体" w:hAnsi="宋体" w:eastAsia="宋体" w:cs="宋体"/>
                <w:color w:val="auto"/>
                <w:sz w:val="24"/>
                <w:szCs w:val="24"/>
                <w:lang w:val="en-US" w:eastAsia="zh-CN"/>
              </w:rPr>
              <w:t>类型以少规格、多组合的原则进行设计。</w:t>
            </w:r>
          </w:p>
        </w:tc>
      </w:tr>
      <w:tr w14:paraId="5AC8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6251CE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F61639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2CB4CE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6.2.7</w:t>
            </w:r>
            <w:r>
              <w:rPr>
                <w:rFonts w:hint="eastAsia" w:ascii="宋体" w:hAnsi="宋体" w:eastAsia="宋体" w:cs="宋体"/>
                <w:color w:val="auto"/>
                <w:sz w:val="24"/>
                <w:szCs w:val="24"/>
                <w:lang w:val="en-US" w:eastAsia="zh-CN"/>
              </w:rPr>
              <w:t>建筑设计应简化建筑物形状，减少、优化部件或组合件的尺寸和种类。建筑构配件尺寸应与材料产品的尺寸统一。</w:t>
            </w:r>
          </w:p>
        </w:tc>
        <w:tc>
          <w:tcPr>
            <w:tcW w:w="833" w:type="dxa"/>
            <w:vAlign w:val="center"/>
          </w:tcPr>
          <w:p w14:paraId="4ACF37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FBDAFA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改造工程，未改变建筑体型，未改变建筑物形状实体墙体厚度等符合建筑材料尺寸模数</w:t>
            </w:r>
          </w:p>
        </w:tc>
      </w:tr>
      <w:tr w14:paraId="3309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DCB6C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EC4B1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168FF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6.2.8</w:t>
            </w:r>
            <w:r>
              <w:rPr>
                <w:rFonts w:hint="eastAsia" w:ascii="宋体" w:hAnsi="宋体" w:eastAsia="宋体" w:cs="宋体"/>
                <w:color w:val="auto"/>
                <w:sz w:val="24"/>
                <w:szCs w:val="24"/>
                <w:lang w:val="en-US" w:eastAsia="zh-CN"/>
              </w:rPr>
              <w:t>幕墙、太阳能集热器、光伏组件、照明系统、清洗系统、广告牌及具有遮阳、导光、导风、载物、辅助绿化等功能的室外构件应与建筑进行一体化设计。</w:t>
            </w:r>
          </w:p>
        </w:tc>
        <w:tc>
          <w:tcPr>
            <w:tcW w:w="833" w:type="dxa"/>
            <w:vAlign w:val="center"/>
          </w:tcPr>
          <w:p w14:paraId="303322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2FBFF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建筑局部改造工程，未涉及。</w:t>
            </w:r>
          </w:p>
        </w:tc>
      </w:tr>
      <w:tr w14:paraId="602B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continue"/>
            <w:vAlign w:val="center"/>
          </w:tcPr>
          <w:p w14:paraId="4DB111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restart"/>
            <w:vAlign w:val="center"/>
          </w:tcPr>
          <w:p w14:paraId="53A760A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p>
          <w:p w14:paraId="1B7CB8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45D9A1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6.2.9</w:t>
            </w:r>
            <w:r>
              <w:rPr>
                <w:rFonts w:hint="eastAsia" w:ascii="宋体" w:hAnsi="宋体" w:eastAsia="宋体" w:cs="宋体"/>
                <w:color w:val="auto"/>
                <w:sz w:val="24"/>
                <w:szCs w:val="24"/>
                <w:lang w:val="en-US" w:eastAsia="zh-CN"/>
              </w:rPr>
              <w:t>深化绿色建筑设计，采取措施加强建筑垃圾回收再利用，确保项目建筑垃圾回收利用率不低于50%。</w:t>
            </w:r>
          </w:p>
        </w:tc>
        <w:tc>
          <w:tcPr>
            <w:tcW w:w="833" w:type="dxa"/>
            <w:vAlign w:val="center"/>
          </w:tcPr>
          <w:p w14:paraId="4880DB1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2FAA6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定点收集，定期运输至城市建筑垃圾处理站或消纳场</w:t>
            </w:r>
          </w:p>
        </w:tc>
      </w:tr>
      <w:tr w14:paraId="3ED8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936" w:type="dxa"/>
            <w:vMerge w:val="continue"/>
            <w:vAlign w:val="center"/>
          </w:tcPr>
          <w:p w14:paraId="4D7892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61E1B6D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455CEDC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6.2.10</w:t>
            </w:r>
            <w:r>
              <w:rPr>
                <w:rFonts w:hint="eastAsia" w:ascii="宋体" w:hAnsi="宋体" w:eastAsia="宋体" w:cs="宋体"/>
                <w:color w:val="auto"/>
                <w:sz w:val="24"/>
                <w:szCs w:val="24"/>
                <w:lang w:val="en-US" w:eastAsia="zh-CN"/>
              </w:rPr>
              <w:t>落实双碳目标要求，采取措施降低建筑全寿命期碳排放强度，降低因能系统改造产生的建筑垃圾。</w:t>
            </w:r>
          </w:p>
        </w:tc>
        <w:tc>
          <w:tcPr>
            <w:tcW w:w="833" w:type="dxa"/>
            <w:vAlign w:val="center"/>
          </w:tcPr>
          <w:p w14:paraId="013E9FE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2CE26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11E6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restart"/>
            <w:vAlign w:val="center"/>
          </w:tcPr>
          <w:p w14:paraId="5C9F66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3.主体结构专业设计</w:t>
            </w:r>
          </w:p>
        </w:tc>
        <w:tc>
          <w:tcPr>
            <w:tcW w:w="1267" w:type="dxa"/>
            <w:vMerge w:val="restart"/>
            <w:vAlign w:val="center"/>
          </w:tcPr>
          <w:p w14:paraId="1B3C37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551F1E4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6.3.1</w:t>
            </w:r>
            <w:r>
              <w:rPr>
                <w:rFonts w:hint="eastAsia" w:ascii="宋体" w:hAnsi="宋体" w:eastAsia="宋体" w:cs="宋体"/>
                <w:color w:val="auto"/>
                <w:sz w:val="24"/>
                <w:szCs w:val="24"/>
                <w:lang w:val="en-US" w:eastAsia="zh-CN"/>
              </w:rPr>
              <w:t xml:space="preserve"> 优化结构选型与构件设计，采用高强钢筋、高性能混凝土等新材料。</w:t>
            </w:r>
          </w:p>
        </w:tc>
        <w:tc>
          <w:tcPr>
            <w:tcW w:w="833" w:type="dxa"/>
            <w:vAlign w:val="center"/>
          </w:tcPr>
          <w:p w14:paraId="28408C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C2C67D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566D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2907E9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0E382CD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75F8F85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6.3.2</w:t>
            </w:r>
            <w:r>
              <w:rPr>
                <w:rFonts w:hint="eastAsia" w:ascii="宋体" w:hAnsi="宋体" w:eastAsia="宋体" w:cs="宋体"/>
                <w:color w:val="auto"/>
                <w:sz w:val="24"/>
                <w:szCs w:val="24"/>
                <w:lang w:val="en-US" w:eastAsia="zh-CN"/>
              </w:rPr>
              <w:t>结构体系或构件加固，在保证安全性和耐久性的前提下，应采用节材、节能、环保的加固技术。</w:t>
            </w:r>
          </w:p>
        </w:tc>
        <w:tc>
          <w:tcPr>
            <w:tcW w:w="833" w:type="dxa"/>
            <w:vAlign w:val="center"/>
          </w:tcPr>
          <w:p w14:paraId="1E27DD3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0A421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A64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725A014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525A114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D1ECCD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6.3.3</w:t>
            </w:r>
            <w:r>
              <w:rPr>
                <w:rFonts w:hint="eastAsia" w:ascii="宋体" w:hAnsi="宋体" w:eastAsia="宋体" w:cs="宋体"/>
                <w:color w:val="auto"/>
                <w:sz w:val="24"/>
                <w:szCs w:val="24"/>
                <w:lang w:val="en-US" w:eastAsia="zh-CN"/>
              </w:rPr>
              <w:t>结构改建充分利用建筑施工、既有建筑拆除和场地清理时产生的可继续利用的结构材料。</w:t>
            </w:r>
          </w:p>
        </w:tc>
        <w:tc>
          <w:tcPr>
            <w:tcW w:w="833" w:type="dxa"/>
            <w:vAlign w:val="center"/>
          </w:tcPr>
          <w:p w14:paraId="035E119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1CC81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3CE4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36" w:type="dxa"/>
            <w:vMerge w:val="continue"/>
            <w:vAlign w:val="center"/>
          </w:tcPr>
          <w:p w14:paraId="2DF0F8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3B4CC8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07C07F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6.3.4</w:t>
            </w:r>
            <w:r>
              <w:rPr>
                <w:rFonts w:hint="eastAsia" w:ascii="宋体" w:hAnsi="宋体" w:eastAsia="宋体" w:cs="宋体"/>
                <w:color w:val="auto"/>
                <w:sz w:val="24"/>
                <w:szCs w:val="24"/>
                <w:lang w:val="en-US" w:eastAsia="zh-CN"/>
              </w:rPr>
              <w:t>结构设计优先选用标准化、工业化的配件产品。</w:t>
            </w:r>
          </w:p>
        </w:tc>
        <w:tc>
          <w:tcPr>
            <w:tcW w:w="833" w:type="dxa"/>
            <w:vAlign w:val="center"/>
          </w:tcPr>
          <w:p w14:paraId="03967B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8C07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50A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936" w:type="dxa"/>
            <w:vMerge w:val="continue"/>
            <w:vAlign w:val="center"/>
          </w:tcPr>
          <w:p w14:paraId="12B180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Align w:val="center"/>
          </w:tcPr>
          <w:p w14:paraId="484AB18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11EA36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6.3.5</w:t>
            </w:r>
            <w:r>
              <w:rPr>
                <w:rFonts w:hint="eastAsia" w:ascii="宋体" w:hAnsi="宋体" w:eastAsia="宋体" w:cs="宋体"/>
                <w:color w:val="auto"/>
                <w:sz w:val="24"/>
                <w:szCs w:val="24"/>
                <w:lang w:val="en-US" w:eastAsia="zh-CN"/>
              </w:rPr>
              <w:t>明确施工阶段建筑垃圾减量要求，如混凝土浇筑采用精确计量方式，减少余料浪费；钢筋加工采用工厂化预制，现场绑扎避免过度截断；砌体工程采用干法施工，减少砂浆浪费。</w:t>
            </w:r>
          </w:p>
        </w:tc>
        <w:tc>
          <w:tcPr>
            <w:tcW w:w="833" w:type="dxa"/>
            <w:vAlign w:val="center"/>
          </w:tcPr>
          <w:p w14:paraId="5C64746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p>
          <w:p w14:paraId="41C752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B7DD2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5321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36" w:type="dxa"/>
            <w:vMerge w:val="continue"/>
            <w:vAlign w:val="center"/>
          </w:tcPr>
          <w:p w14:paraId="50A8F53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0E3211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6B849A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6.3.6</w:t>
            </w:r>
            <w:r>
              <w:rPr>
                <w:rFonts w:hint="eastAsia" w:ascii="宋体" w:hAnsi="宋体" w:eastAsia="宋体" w:cs="宋体"/>
                <w:color w:val="auto"/>
                <w:sz w:val="24"/>
                <w:szCs w:val="24"/>
                <w:lang w:val="en-US" w:eastAsia="zh-CN"/>
              </w:rPr>
              <w:t>结构设计现浇混凝土采用预拌混凝土，建筑砂浆采用预拌砂浆。</w:t>
            </w:r>
          </w:p>
        </w:tc>
        <w:tc>
          <w:tcPr>
            <w:tcW w:w="833" w:type="dxa"/>
            <w:vAlign w:val="center"/>
          </w:tcPr>
          <w:p w14:paraId="7F4B3EC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41AED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3892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742D0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424473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76170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w:t>
            </w:r>
            <w:r>
              <w:rPr>
                <w:rFonts w:hint="eastAsia" w:ascii="宋体" w:hAnsi="宋体" w:eastAsia="宋体" w:cs="宋体"/>
                <w:color w:val="auto"/>
                <w:sz w:val="24"/>
                <w:szCs w:val="24"/>
                <w:lang w:val="en-US" w:eastAsia="zh-CN"/>
              </w:rPr>
              <w:t>推广装配式建筑，设计采用符合工业化建造要求的结构体系与建筑构件，提升材料回收及资源节约。</w:t>
            </w:r>
          </w:p>
        </w:tc>
        <w:tc>
          <w:tcPr>
            <w:tcW w:w="833" w:type="dxa"/>
            <w:vAlign w:val="center"/>
          </w:tcPr>
          <w:p w14:paraId="61CD95D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EC79AE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2A8E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CC66E0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138E847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4DA429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6.3.7.1</w:t>
            </w:r>
            <w:r>
              <w:rPr>
                <w:rFonts w:hint="eastAsia" w:ascii="宋体" w:hAnsi="宋体" w:eastAsia="宋体" w:cs="宋体"/>
                <w:color w:val="auto"/>
                <w:sz w:val="24"/>
                <w:szCs w:val="24"/>
                <w:lang w:val="en-US" w:eastAsia="zh-CN"/>
              </w:rPr>
              <w:t>主体结构采用钢结构、木结构等易回收再利用的结构形式；钢结构构件采用工厂预制、现场拼接安装，减少现场焊接与切割废料；木结构构件选用本地可持续林业资源，降低材料运输与加工损耗。</w:t>
            </w:r>
          </w:p>
        </w:tc>
        <w:tc>
          <w:tcPr>
            <w:tcW w:w="833" w:type="dxa"/>
            <w:vAlign w:val="center"/>
          </w:tcPr>
          <w:p w14:paraId="109226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C6FFC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本次改造无结构承重体系的改造</w:t>
            </w:r>
          </w:p>
        </w:tc>
      </w:tr>
      <w:tr w14:paraId="6890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936" w:type="dxa"/>
            <w:vMerge w:val="continue"/>
            <w:vAlign w:val="center"/>
          </w:tcPr>
          <w:p w14:paraId="1CE03A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74C4960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73AFE8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6.3.7.2</w:t>
            </w:r>
            <w:r>
              <w:rPr>
                <w:rFonts w:hint="eastAsia" w:ascii="宋体" w:hAnsi="宋体" w:eastAsia="宋体" w:cs="宋体"/>
                <w:color w:val="auto"/>
                <w:sz w:val="24"/>
                <w:szCs w:val="24"/>
                <w:lang w:val="en-US" w:eastAsia="zh-CN"/>
              </w:rPr>
              <w:t>主体结构采用装配式混凝土结构，地上部分预制构件应用混凝土体积占混凝土总体积达到35％以上；预制构件包括预制楼板、预制墙板、预制楼梯、预制阳台等，减少现场混凝土浇筑产生的废料与模板损耗。</w:t>
            </w:r>
          </w:p>
        </w:tc>
        <w:tc>
          <w:tcPr>
            <w:tcW w:w="833" w:type="dxa"/>
            <w:vAlign w:val="center"/>
          </w:tcPr>
          <w:p w14:paraId="322962A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A2EBD0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本次改造无结构承重体系的改造</w:t>
            </w:r>
          </w:p>
        </w:tc>
      </w:tr>
      <w:tr w14:paraId="7B09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936" w:type="dxa"/>
            <w:vMerge w:val="restart"/>
            <w:vAlign w:val="center"/>
          </w:tcPr>
          <w:p w14:paraId="69B23D4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4.外围护系统</w:t>
            </w:r>
          </w:p>
          <w:p w14:paraId="39014E2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设计</w:t>
            </w:r>
          </w:p>
        </w:tc>
        <w:tc>
          <w:tcPr>
            <w:tcW w:w="1267" w:type="dxa"/>
            <w:vMerge w:val="restart"/>
            <w:vAlign w:val="center"/>
          </w:tcPr>
          <w:p w14:paraId="13C4E5C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3BDDF5A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6.4.1</w:t>
            </w:r>
            <w:r>
              <w:rPr>
                <w:rFonts w:hint="eastAsia" w:ascii="宋体" w:hAnsi="宋体" w:eastAsia="宋体" w:cs="宋体"/>
                <w:color w:val="auto"/>
                <w:sz w:val="24"/>
                <w:szCs w:val="24"/>
                <w:lang w:val="en-US" w:eastAsia="zh-CN"/>
              </w:rPr>
              <w:t>建筑外围护系统与建筑和结构专业一体化设计，满足建筑功能需求、节能需求、结构力学性能等设计要求。外围护系统支承结构宜选择对主体结构附加作用小的体系。</w:t>
            </w:r>
          </w:p>
        </w:tc>
        <w:tc>
          <w:tcPr>
            <w:tcW w:w="833" w:type="dxa"/>
            <w:vAlign w:val="center"/>
          </w:tcPr>
          <w:p w14:paraId="06E586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4D9918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更换的外门窗为节能门窗</w:t>
            </w:r>
          </w:p>
        </w:tc>
      </w:tr>
      <w:tr w14:paraId="784F6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B78681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55C7A4C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4FC633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6.4.2</w:t>
            </w:r>
            <w:r>
              <w:rPr>
                <w:rFonts w:hint="eastAsia" w:ascii="宋体" w:hAnsi="宋体" w:eastAsia="宋体" w:cs="宋体"/>
                <w:color w:val="auto"/>
                <w:sz w:val="24"/>
                <w:szCs w:val="24"/>
                <w:lang w:val="en-US" w:eastAsia="zh-CN"/>
              </w:rPr>
              <w:t>建筑外围护系统与机电专业一体化设计，包含连接件的预留预埋，满足通风百叶、灯光照明、防排水、机电防雷、清洁维护等装置的附加荷载要求。</w:t>
            </w:r>
          </w:p>
        </w:tc>
        <w:tc>
          <w:tcPr>
            <w:tcW w:w="833" w:type="dxa"/>
            <w:vAlign w:val="center"/>
          </w:tcPr>
          <w:p w14:paraId="1680AD6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2A956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此项无外维护系统设计</w:t>
            </w:r>
          </w:p>
        </w:tc>
      </w:tr>
      <w:tr w14:paraId="26E7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7D6C48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0B01F66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2AEC2D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6.4.3</w:t>
            </w:r>
            <w:r>
              <w:rPr>
                <w:rFonts w:hint="eastAsia" w:ascii="宋体" w:hAnsi="宋体" w:eastAsia="宋体" w:cs="宋体"/>
                <w:color w:val="auto"/>
                <w:sz w:val="24"/>
                <w:szCs w:val="24"/>
                <w:lang w:val="en-US" w:eastAsia="zh-CN"/>
              </w:rPr>
              <w:t>建筑外围护系统设计文件标明主要材料材质、规格、主要物理性能参数及技术要求，标明外围护系统的主要性能指标要求;计算书包含结构计算书和节能计算书两部分。</w:t>
            </w:r>
          </w:p>
        </w:tc>
        <w:tc>
          <w:tcPr>
            <w:tcW w:w="833" w:type="dxa"/>
            <w:vAlign w:val="center"/>
          </w:tcPr>
          <w:p w14:paraId="6495343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77976C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37D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8A9B5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0D40CFA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7E556D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6.4.4</w:t>
            </w:r>
            <w:r>
              <w:rPr>
                <w:rFonts w:hint="eastAsia" w:ascii="宋体" w:hAnsi="宋体" w:eastAsia="宋体" w:cs="宋体"/>
                <w:color w:val="auto"/>
                <w:sz w:val="24"/>
                <w:szCs w:val="24"/>
                <w:lang w:val="en-US" w:eastAsia="zh-CN"/>
              </w:rPr>
              <w:t>建筑外围护系统设计对主要材料和用量进行分类说明，并按照可回收、不可回收、潜在利用价值进行说明，提出材料寿命期后的回收或处理建议。</w:t>
            </w:r>
          </w:p>
        </w:tc>
        <w:tc>
          <w:tcPr>
            <w:tcW w:w="833" w:type="dxa"/>
            <w:vAlign w:val="center"/>
          </w:tcPr>
          <w:p w14:paraId="1009CD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919741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034A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FD9EA2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Merge w:val="continue"/>
            <w:vAlign w:val="center"/>
          </w:tcPr>
          <w:p w14:paraId="3D0401F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2967" w:type="dxa"/>
            <w:vAlign w:val="center"/>
          </w:tcPr>
          <w:p w14:paraId="1359B6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6.4.5</w:t>
            </w:r>
            <w:r>
              <w:rPr>
                <w:rFonts w:hint="eastAsia" w:ascii="宋体" w:hAnsi="宋体" w:eastAsia="宋体" w:cs="宋体"/>
                <w:color w:val="auto"/>
                <w:sz w:val="24"/>
                <w:szCs w:val="24"/>
                <w:lang w:val="en-US" w:eastAsia="zh-CN"/>
              </w:rPr>
              <w:t>外围护系统不应采用纯装饰性构件和不必要的转换连接，外围护系统与主体结构的连接以及外围护系统支承结构体系传力路径应直接、明确，并宜选用机械连接。</w:t>
            </w:r>
          </w:p>
        </w:tc>
        <w:tc>
          <w:tcPr>
            <w:tcW w:w="833" w:type="dxa"/>
            <w:vAlign w:val="center"/>
          </w:tcPr>
          <w:p w14:paraId="3CAF1E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9E23B2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无外立面整体改造设计，无保温系统改造设计</w:t>
            </w:r>
          </w:p>
        </w:tc>
      </w:tr>
      <w:tr w14:paraId="7833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0ECA243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5.建筑设备与管线系统设计</w:t>
            </w:r>
          </w:p>
        </w:tc>
        <w:tc>
          <w:tcPr>
            <w:tcW w:w="1267" w:type="dxa"/>
            <w:vMerge w:val="restart"/>
            <w:vAlign w:val="center"/>
          </w:tcPr>
          <w:p w14:paraId="13B49EE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7A07CB3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 xml:space="preserve">6.5.1 </w:t>
            </w:r>
            <w:r>
              <w:rPr>
                <w:rFonts w:hint="eastAsia" w:ascii="宋体" w:hAnsi="宋体" w:eastAsia="宋体" w:cs="宋体"/>
                <w:color w:val="auto"/>
                <w:sz w:val="24"/>
                <w:szCs w:val="24"/>
                <w:lang w:val="en-US" w:eastAsia="zh-CN"/>
              </w:rPr>
              <w:t>设备与管线系统宜采用集成化技术、标准化设计。</w:t>
            </w:r>
          </w:p>
        </w:tc>
        <w:tc>
          <w:tcPr>
            <w:tcW w:w="833" w:type="dxa"/>
            <w:vAlign w:val="center"/>
          </w:tcPr>
          <w:p w14:paraId="69EF7BA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D9C287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无集成化技术、标准化设计相关项目</w:t>
            </w:r>
          </w:p>
        </w:tc>
      </w:tr>
      <w:tr w14:paraId="70ED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6C9702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62D727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6228ACC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 xml:space="preserve">6.5.2 </w:t>
            </w:r>
            <w:r>
              <w:rPr>
                <w:rFonts w:hint="eastAsia" w:ascii="宋体" w:hAnsi="宋体" w:eastAsia="宋体" w:cs="宋体"/>
                <w:color w:val="auto"/>
                <w:sz w:val="24"/>
                <w:szCs w:val="24"/>
                <w:lang w:val="en-US" w:eastAsia="zh-CN"/>
              </w:rPr>
              <w:t>设计过程中应优先选用耐腐蚀、抗老化、耐久性能好的管材、管线、管件及设备，并应预留设备运输通道和安装拆卸空间。</w:t>
            </w:r>
          </w:p>
        </w:tc>
        <w:tc>
          <w:tcPr>
            <w:tcW w:w="833" w:type="dxa"/>
            <w:vAlign w:val="center"/>
          </w:tcPr>
          <w:p w14:paraId="34D0B3E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5441F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67ACB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A9C256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7A41245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95AE7F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6.5.3</w:t>
            </w:r>
            <w:r>
              <w:rPr>
                <w:rFonts w:hint="eastAsia" w:ascii="宋体" w:hAnsi="宋体" w:eastAsia="宋体" w:cs="宋体"/>
                <w:color w:val="auto"/>
                <w:sz w:val="24"/>
                <w:szCs w:val="24"/>
                <w:lang w:val="en-US" w:eastAsia="zh-CN"/>
              </w:rPr>
              <w:t>设备与管线系统宜与主体结构分离，集中放置于功能空间以外；系统应方便维修，不应影响主体结构的安全。</w:t>
            </w:r>
          </w:p>
        </w:tc>
        <w:tc>
          <w:tcPr>
            <w:tcW w:w="833" w:type="dxa"/>
            <w:vAlign w:val="center"/>
          </w:tcPr>
          <w:p w14:paraId="28142D7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8D63F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137C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9F1BB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7C915E5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3F957F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6.5.4</w:t>
            </w:r>
            <w:r>
              <w:rPr>
                <w:rFonts w:hint="eastAsia" w:ascii="宋体" w:hAnsi="宋体" w:eastAsia="宋体" w:cs="宋体"/>
                <w:color w:val="auto"/>
                <w:sz w:val="24"/>
                <w:szCs w:val="24"/>
                <w:lang w:val="en-US" w:eastAsia="zh-CN"/>
              </w:rPr>
              <w:t>设备管线与建筑结构、装修面层的预留孔洞精准定位，避免后期开凿产生建筑垃圾；明确设备安装过程中的包装材料、边角废料的分类回收要求。</w:t>
            </w:r>
          </w:p>
        </w:tc>
        <w:tc>
          <w:tcPr>
            <w:tcW w:w="833" w:type="dxa"/>
            <w:vAlign w:val="center"/>
          </w:tcPr>
          <w:p w14:paraId="0880EC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0CC2E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甲方委托设计时要求项目</w:t>
            </w:r>
          </w:p>
        </w:tc>
      </w:tr>
      <w:tr w14:paraId="07A8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A53E88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351F43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3604A9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6.5.5</w:t>
            </w:r>
            <w:r>
              <w:rPr>
                <w:rFonts w:hint="eastAsia" w:ascii="宋体" w:hAnsi="宋体" w:eastAsia="宋体" w:cs="宋体"/>
                <w:color w:val="auto"/>
                <w:sz w:val="24"/>
                <w:szCs w:val="24"/>
                <w:lang w:val="en-US" w:eastAsia="zh-CN"/>
              </w:rPr>
              <w:t>电气专业宜选用可扩展和后期可灵活处理的设备。</w:t>
            </w:r>
          </w:p>
        </w:tc>
        <w:tc>
          <w:tcPr>
            <w:tcW w:w="833" w:type="dxa"/>
            <w:vAlign w:val="center"/>
          </w:tcPr>
          <w:p w14:paraId="1ABD00B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0A21FF0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电气设备选用有备用回路的产品</w:t>
            </w:r>
          </w:p>
        </w:tc>
      </w:tr>
      <w:tr w14:paraId="0521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1F4116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6.建筑</w:t>
            </w:r>
          </w:p>
          <w:p w14:paraId="789C457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内装系统设计</w:t>
            </w:r>
          </w:p>
        </w:tc>
        <w:tc>
          <w:tcPr>
            <w:tcW w:w="1267" w:type="dxa"/>
            <w:vMerge w:val="restart"/>
            <w:vAlign w:val="center"/>
          </w:tcPr>
          <w:p w14:paraId="576D98C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p>
          <w:p w14:paraId="2918119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17F5AA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6.6.1</w:t>
            </w:r>
            <w:r>
              <w:rPr>
                <w:rFonts w:hint="eastAsia" w:ascii="宋体" w:hAnsi="宋体" w:eastAsia="宋体" w:cs="宋体"/>
                <w:color w:val="auto"/>
                <w:sz w:val="24"/>
                <w:szCs w:val="24"/>
                <w:lang w:val="en-US" w:eastAsia="zh-CN"/>
              </w:rPr>
              <w:t>建筑、结构、设备与室内装修进行一体化设计。</w:t>
            </w:r>
          </w:p>
        </w:tc>
        <w:tc>
          <w:tcPr>
            <w:tcW w:w="833" w:type="dxa"/>
            <w:vAlign w:val="center"/>
          </w:tcPr>
          <w:p w14:paraId="704B2E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6707C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042F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F36E4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6470F30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7EA3C3D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6.6.2</w:t>
            </w:r>
            <w:r>
              <w:rPr>
                <w:rFonts w:hint="eastAsia" w:ascii="宋体" w:hAnsi="宋体" w:eastAsia="宋体" w:cs="宋体"/>
                <w:color w:val="auto"/>
                <w:sz w:val="24"/>
                <w:szCs w:val="24"/>
                <w:lang w:val="en-US" w:eastAsia="zh-CN"/>
              </w:rPr>
              <w:t>采用耐久性好、易维护的室内装饰装修材料。</w:t>
            </w:r>
          </w:p>
        </w:tc>
        <w:tc>
          <w:tcPr>
            <w:tcW w:w="833" w:type="dxa"/>
            <w:vAlign w:val="center"/>
          </w:tcPr>
          <w:p w14:paraId="39EB2D5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46E9CEF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7E62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5770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465086E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23D370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6.6.3</w:t>
            </w:r>
            <w:r>
              <w:rPr>
                <w:rFonts w:hint="eastAsia" w:ascii="宋体" w:hAnsi="宋体" w:eastAsia="宋体" w:cs="宋体"/>
                <w:color w:val="auto"/>
                <w:sz w:val="24"/>
                <w:szCs w:val="24"/>
                <w:lang w:val="en-US" w:eastAsia="zh-CN"/>
              </w:rPr>
              <w:t>公共建筑中，按功能需求室内空间设计优先选用灵活隔断(墙)。</w:t>
            </w:r>
          </w:p>
        </w:tc>
        <w:tc>
          <w:tcPr>
            <w:tcW w:w="833" w:type="dxa"/>
            <w:vAlign w:val="center"/>
          </w:tcPr>
          <w:p w14:paraId="20FBD0F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1D4A9B2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26E0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1F7060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032986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《施工现场建筑垃圾减量化技术标准》 JGJ/T 498-2024</w:t>
            </w:r>
          </w:p>
        </w:tc>
        <w:tc>
          <w:tcPr>
            <w:tcW w:w="2967" w:type="dxa"/>
            <w:vAlign w:val="center"/>
          </w:tcPr>
          <w:p w14:paraId="1C0471A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6.6.4</w:t>
            </w:r>
            <w:r>
              <w:rPr>
                <w:rFonts w:hint="eastAsia" w:ascii="宋体" w:hAnsi="宋体" w:eastAsia="宋体" w:cs="宋体"/>
                <w:color w:val="auto"/>
                <w:sz w:val="24"/>
                <w:szCs w:val="24"/>
                <w:lang w:val="en-US" w:eastAsia="zh-CN"/>
              </w:rPr>
              <w:t>室内装修采用简约化、功能化、轻量化的装修设计方案。</w:t>
            </w:r>
          </w:p>
        </w:tc>
        <w:tc>
          <w:tcPr>
            <w:tcW w:w="833" w:type="dxa"/>
            <w:vAlign w:val="center"/>
          </w:tcPr>
          <w:p w14:paraId="114A3DF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73F86F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4364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E69A0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5731D3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2967" w:type="dxa"/>
            <w:vAlign w:val="center"/>
          </w:tcPr>
          <w:p w14:paraId="5E3062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6.6.5</w:t>
            </w:r>
            <w:r>
              <w:rPr>
                <w:rFonts w:hint="eastAsia" w:ascii="宋体" w:hAnsi="宋体" w:eastAsia="宋体" w:cs="宋体"/>
                <w:color w:val="auto"/>
                <w:sz w:val="24"/>
                <w:szCs w:val="24"/>
                <w:lang w:val="en-US" w:eastAsia="zh-CN"/>
              </w:rPr>
              <w:t>在满足装饰性能条件下，应采用规格尺寸小的装饰材料。</w:t>
            </w:r>
          </w:p>
        </w:tc>
        <w:tc>
          <w:tcPr>
            <w:tcW w:w="833" w:type="dxa"/>
            <w:vAlign w:val="center"/>
          </w:tcPr>
          <w:p w14:paraId="34E21F3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0BBA4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79A8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718E05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Align w:val="center"/>
          </w:tcPr>
          <w:p w14:paraId="5322888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《民用建筑通用规范》 GB55031-</w:t>
            </w:r>
          </w:p>
          <w:p w14:paraId="27E0A32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2022</w:t>
            </w:r>
          </w:p>
        </w:tc>
        <w:tc>
          <w:tcPr>
            <w:tcW w:w="2967" w:type="dxa"/>
            <w:vAlign w:val="center"/>
          </w:tcPr>
          <w:p w14:paraId="0440C53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6.6.6</w:t>
            </w:r>
            <w:r>
              <w:rPr>
                <w:rFonts w:hint="eastAsia" w:ascii="宋体" w:hAnsi="宋体" w:eastAsia="宋体" w:cs="宋体"/>
                <w:color w:val="auto"/>
                <w:sz w:val="24"/>
                <w:szCs w:val="24"/>
                <w:lang w:val="en-US" w:eastAsia="zh-CN"/>
              </w:rPr>
              <w:t>室内外装修不应影响建筑物结构的安全性，且应选择安全环保型装修材料。装修材料、装饰面层或构配件与主体结构的连接应安全牢固。建筑物外墙装饰面层、构件、门窗等材料及构造应安全可靠，在设计工作年限内应满足功能和性能要求，使用期间应定期维护，防止构件脱落产生建筑垃圾。</w:t>
            </w:r>
          </w:p>
        </w:tc>
        <w:tc>
          <w:tcPr>
            <w:tcW w:w="833" w:type="dxa"/>
            <w:vAlign w:val="center"/>
          </w:tcPr>
          <w:p w14:paraId="6701656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5598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07FC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328810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p>
        </w:tc>
        <w:tc>
          <w:tcPr>
            <w:tcW w:w="1267" w:type="dxa"/>
            <w:vAlign w:val="center"/>
          </w:tcPr>
          <w:p w14:paraId="329C2FC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《民用建筑设计统一标准》GB50352-2019</w:t>
            </w:r>
          </w:p>
        </w:tc>
        <w:tc>
          <w:tcPr>
            <w:tcW w:w="2967" w:type="dxa"/>
            <w:vAlign w:val="center"/>
          </w:tcPr>
          <w:p w14:paraId="736FF9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6.6.7</w:t>
            </w:r>
            <w:r>
              <w:rPr>
                <w:rFonts w:hint="eastAsia" w:ascii="宋体" w:hAnsi="宋体" w:eastAsia="宋体" w:cs="宋体"/>
                <w:color w:val="auto"/>
                <w:sz w:val="24"/>
                <w:szCs w:val="24"/>
                <w:lang w:val="en-US" w:eastAsia="zh-CN"/>
              </w:rPr>
              <w:t>既有建筑重新装修时，应充分利用原有设施、设备管线系统，装修改造方案需满足国家现行相关标准规定，避免过度装修。</w:t>
            </w:r>
          </w:p>
        </w:tc>
        <w:tc>
          <w:tcPr>
            <w:tcW w:w="833" w:type="dxa"/>
            <w:vAlign w:val="center"/>
          </w:tcPr>
          <w:p w14:paraId="164A68C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96D102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甲方委托设计时要求项目</w:t>
            </w:r>
          </w:p>
        </w:tc>
      </w:tr>
      <w:tr w14:paraId="41E7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158B772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color w:val="auto"/>
                <w:sz w:val="24"/>
                <w:szCs w:val="24"/>
                <w:lang w:val="en-US" w:eastAsia="zh-CN"/>
              </w:rPr>
              <w:t>7.建筑信息模型设计</w:t>
            </w:r>
          </w:p>
        </w:tc>
        <w:tc>
          <w:tcPr>
            <w:tcW w:w="1267" w:type="dxa"/>
            <w:vAlign w:val="center"/>
          </w:tcPr>
          <w:p w14:paraId="03C369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《绿色建筑评价标准》GB/T50378-2019（2024版）</w:t>
            </w:r>
          </w:p>
        </w:tc>
        <w:tc>
          <w:tcPr>
            <w:tcW w:w="2967" w:type="dxa"/>
            <w:vAlign w:val="center"/>
          </w:tcPr>
          <w:p w14:paraId="4BFA8E2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6.7.1</w:t>
            </w:r>
            <w:r>
              <w:rPr>
                <w:rFonts w:hint="eastAsia" w:ascii="宋体" w:hAnsi="宋体" w:eastAsia="宋体" w:cs="宋体"/>
                <w:color w:val="auto"/>
                <w:sz w:val="24"/>
                <w:szCs w:val="24"/>
                <w:lang w:val="en-US" w:eastAsia="zh-CN"/>
              </w:rPr>
              <w:t>应用建筑信息模型(BIM)技术，优化专业方案，综合协调相关专业，源头强化设计方案，减少不合理因素，降低因设计失误产生的建筑垃圾。</w:t>
            </w:r>
          </w:p>
        </w:tc>
        <w:tc>
          <w:tcPr>
            <w:tcW w:w="833" w:type="dxa"/>
            <w:vAlign w:val="center"/>
          </w:tcPr>
          <w:p w14:paraId="58DD846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317B825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70BB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2A5522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restart"/>
            <w:vAlign w:val="center"/>
          </w:tcPr>
          <w:p w14:paraId="13EA62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《建筑垃圾减量化设计标准》             T/CECS1121-2022</w:t>
            </w:r>
          </w:p>
        </w:tc>
        <w:tc>
          <w:tcPr>
            <w:tcW w:w="2967" w:type="dxa"/>
            <w:vAlign w:val="center"/>
          </w:tcPr>
          <w:p w14:paraId="536A219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6.7.2</w:t>
            </w:r>
            <w:r>
              <w:rPr>
                <w:rFonts w:hint="eastAsia" w:ascii="宋体" w:hAnsi="宋体" w:eastAsia="宋体" w:cs="宋体"/>
                <w:color w:val="auto"/>
                <w:sz w:val="24"/>
                <w:szCs w:val="24"/>
                <w:lang w:val="en-US" w:eastAsia="zh-CN"/>
              </w:rPr>
              <w:t>应用建筑信息模型提供项目使用材料和构件的垃圾排放信息，对可再利用材料、可再循环利用材料进行标记。</w:t>
            </w:r>
          </w:p>
        </w:tc>
        <w:tc>
          <w:tcPr>
            <w:tcW w:w="833" w:type="dxa"/>
            <w:vAlign w:val="center"/>
          </w:tcPr>
          <w:p w14:paraId="18E08E0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6D49CBF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5C3E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89B4CE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0E5B1F4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427901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6.7.3</w:t>
            </w:r>
            <w:r>
              <w:rPr>
                <w:rFonts w:hint="eastAsia" w:ascii="宋体" w:hAnsi="宋体" w:eastAsia="宋体" w:cs="宋体"/>
                <w:color w:val="auto"/>
                <w:sz w:val="24"/>
                <w:szCs w:val="24"/>
                <w:lang w:val="en-US" w:eastAsia="zh-CN"/>
              </w:rPr>
              <w:t>设计人员宜采用建筑信息模型进行可视化交底。</w:t>
            </w:r>
          </w:p>
        </w:tc>
        <w:tc>
          <w:tcPr>
            <w:tcW w:w="833" w:type="dxa"/>
            <w:vAlign w:val="center"/>
          </w:tcPr>
          <w:p w14:paraId="0B01041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29C9CD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3D9A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47E6E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lang w:val="en-US" w:eastAsia="zh-CN"/>
              </w:rPr>
            </w:pPr>
          </w:p>
        </w:tc>
        <w:tc>
          <w:tcPr>
            <w:tcW w:w="1267" w:type="dxa"/>
            <w:vMerge w:val="continue"/>
            <w:vAlign w:val="center"/>
          </w:tcPr>
          <w:p w14:paraId="2078208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lang w:val="en-US" w:eastAsia="zh-CN"/>
              </w:rPr>
            </w:pPr>
          </w:p>
        </w:tc>
        <w:tc>
          <w:tcPr>
            <w:tcW w:w="2967" w:type="dxa"/>
            <w:vAlign w:val="center"/>
          </w:tcPr>
          <w:p w14:paraId="2AB59A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vertAlign w:val="baseline"/>
                <w:lang w:val="en-US" w:eastAsia="zh-CN"/>
              </w:rPr>
              <w:t>6.7.4</w:t>
            </w:r>
            <w:r>
              <w:rPr>
                <w:rFonts w:hint="eastAsia" w:ascii="宋体" w:hAnsi="宋体" w:eastAsia="宋体" w:cs="宋体"/>
                <w:color w:val="auto"/>
                <w:sz w:val="24"/>
                <w:szCs w:val="24"/>
                <w:lang w:val="en-US" w:eastAsia="zh-CN"/>
              </w:rPr>
              <w:t>初步设计、施工图设计阶段宜采用建筑信息模型技术对施工、使用直至拆除阶段的建筑垃圾产生量进行统筹分析、预测、评估和管理。</w:t>
            </w:r>
          </w:p>
        </w:tc>
        <w:tc>
          <w:tcPr>
            <w:tcW w:w="833" w:type="dxa"/>
            <w:vAlign w:val="center"/>
          </w:tcPr>
          <w:p w14:paraId="3F38097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是</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 xml:space="preserve"> 否</w:t>
            </w:r>
          </w:p>
        </w:tc>
        <w:tc>
          <w:tcPr>
            <w:tcW w:w="2812" w:type="dxa"/>
            <w:vAlign w:val="center"/>
          </w:tcPr>
          <w:p w14:paraId="5E28831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工程体量小，功能明确，服务对象明确，管线较差情况少，不进行BIM设计。</w:t>
            </w:r>
          </w:p>
        </w:tc>
      </w:tr>
      <w:tr w14:paraId="4ED3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5" w:type="dxa"/>
            <w:gridSpan w:val="5"/>
            <w:vAlign w:val="center"/>
          </w:tcPr>
          <w:p w14:paraId="23F3143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备注：1.如有其它建筑垃圾源头减量化措施可自行添加；</w:t>
            </w:r>
          </w:p>
          <w:p w14:paraId="481C3EC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 xml:space="preserve">      2.表中勾选项“是”应给出具体措施。</w:t>
            </w:r>
          </w:p>
        </w:tc>
      </w:tr>
    </w:tbl>
    <w:p w14:paraId="110C996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35B085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81B4F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147CF1A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128654E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7F8FE3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p>
    <w:p w14:paraId="41966F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24"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七、建筑垃级减量化设计评价</w:t>
      </w:r>
    </w:p>
    <w:p w14:paraId="7672EB3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建筑垃级减量化设计评估表</w:t>
      </w:r>
    </w:p>
    <w:tbl>
      <w:tblPr>
        <w:tblStyle w:val="10"/>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3793"/>
        <w:gridCol w:w="1472"/>
        <w:gridCol w:w="179"/>
        <w:gridCol w:w="1809"/>
      </w:tblGrid>
      <w:tr w14:paraId="11EB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Align w:val="center"/>
          </w:tcPr>
          <w:p w14:paraId="4C02CAE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工程名称</w:t>
            </w:r>
          </w:p>
        </w:tc>
        <w:tc>
          <w:tcPr>
            <w:tcW w:w="3793" w:type="dxa"/>
            <w:vAlign w:val="center"/>
          </w:tcPr>
          <w:p w14:paraId="56283AC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b w:val="0"/>
                <w:bCs/>
                <w:sz w:val="24"/>
                <w:szCs w:val="24"/>
              </w:rPr>
              <w:t>汤旺县智慧餐厅改建项目</w:t>
            </w:r>
            <w:r>
              <w:rPr>
                <w:rFonts w:hint="eastAsia" w:ascii="宋体" w:hAnsi="宋体" w:cs="宋体"/>
                <w:b w:val="0"/>
                <w:bCs/>
                <w:sz w:val="24"/>
                <w:szCs w:val="24"/>
                <w:lang w:val="en-US" w:eastAsia="zh-CN"/>
              </w:rPr>
              <w:t>-</w:t>
            </w:r>
            <w:r>
              <w:rPr>
                <w:rFonts w:hint="eastAsia" w:ascii="宋体" w:hAnsi="宋体" w:eastAsia="宋体" w:cs="宋体"/>
                <w:b w:val="0"/>
                <w:bCs/>
                <w:sz w:val="24"/>
                <w:szCs w:val="24"/>
              </w:rPr>
              <w:t>原兴安社区</w:t>
            </w:r>
            <w:bookmarkStart w:id="0" w:name="_GoBack"/>
            <w:bookmarkEnd w:id="0"/>
          </w:p>
        </w:tc>
        <w:tc>
          <w:tcPr>
            <w:tcW w:w="1651" w:type="dxa"/>
            <w:gridSpan w:val="2"/>
            <w:vAlign w:val="center"/>
          </w:tcPr>
          <w:p w14:paraId="08FF682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建设地点</w:t>
            </w:r>
          </w:p>
        </w:tc>
        <w:tc>
          <w:tcPr>
            <w:tcW w:w="1809" w:type="dxa"/>
            <w:vAlign w:val="center"/>
          </w:tcPr>
          <w:p w14:paraId="3F753D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b w:val="0"/>
                <w:bCs/>
                <w:sz w:val="24"/>
                <w:szCs w:val="24"/>
              </w:rPr>
              <w:t>汤旺县</w:t>
            </w:r>
          </w:p>
        </w:tc>
      </w:tr>
      <w:tr w14:paraId="0382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restart"/>
            <w:vAlign w:val="center"/>
          </w:tcPr>
          <w:p w14:paraId="1CCEDB1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建筑类型</w:t>
            </w:r>
          </w:p>
        </w:tc>
        <w:tc>
          <w:tcPr>
            <w:tcW w:w="3793" w:type="dxa"/>
            <w:vMerge w:val="restart"/>
            <w:vAlign w:val="center"/>
          </w:tcPr>
          <w:p w14:paraId="3C28A41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1新建口 改扩建</w:t>
            </w:r>
            <w:r>
              <w:rPr>
                <w:rFonts w:hint="eastAsia" w:ascii="宋体" w:hAnsi="宋体"/>
                <w:color w:val="auto"/>
                <w:kern w:val="0"/>
                <w:szCs w:val="21"/>
                <w:lang w:eastAsia="zh-CN"/>
              </w:rPr>
              <w:t>☑</w:t>
            </w:r>
            <w:r>
              <w:rPr>
                <w:rFonts w:hint="eastAsia" w:ascii="宋体" w:hAnsi="宋体"/>
                <w:color w:val="auto"/>
                <w:kern w:val="0"/>
                <w:szCs w:val="21"/>
                <w:lang w:val="en-US" w:eastAsia="zh-CN"/>
              </w:rPr>
              <w:t xml:space="preserve"> </w:t>
            </w:r>
          </w:p>
          <w:p w14:paraId="04B8CFE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2.住宅口商业</w:t>
            </w: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办公口工业口</w:t>
            </w:r>
          </w:p>
          <w:p w14:paraId="2FA41F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酒店口 教育口 医疗口 其他口</w:t>
            </w:r>
          </w:p>
        </w:tc>
        <w:tc>
          <w:tcPr>
            <w:tcW w:w="1651" w:type="dxa"/>
            <w:gridSpan w:val="2"/>
            <w:vAlign w:val="center"/>
          </w:tcPr>
          <w:p w14:paraId="4DA872F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建筑面积</w:t>
            </w:r>
          </w:p>
        </w:tc>
        <w:tc>
          <w:tcPr>
            <w:tcW w:w="1809" w:type="dxa"/>
            <w:vAlign w:val="center"/>
          </w:tcPr>
          <w:p w14:paraId="1E47AD7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b w:val="0"/>
                <w:bCs/>
                <w:sz w:val="24"/>
                <w:szCs w:val="24"/>
                <w:lang w:val="en-US" w:eastAsia="zh-CN"/>
              </w:rPr>
              <w:t>174</w:t>
            </w:r>
            <w:r>
              <w:rPr>
                <w:rFonts w:hint="eastAsia" w:ascii="宋体" w:hAnsi="宋体" w:cs="宋体"/>
                <w:b w:val="0"/>
                <w:bCs/>
                <w:sz w:val="24"/>
                <w:szCs w:val="24"/>
                <w:lang w:eastAsia="zh-CN"/>
              </w:rPr>
              <w:t>平方米</w:t>
            </w:r>
          </w:p>
        </w:tc>
      </w:tr>
      <w:tr w14:paraId="0472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Merge w:val="continue"/>
            <w:vAlign w:val="center"/>
          </w:tcPr>
          <w:p w14:paraId="33650B8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p>
        </w:tc>
        <w:tc>
          <w:tcPr>
            <w:tcW w:w="3793" w:type="dxa"/>
            <w:vMerge w:val="continue"/>
            <w:vAlign w:val="center"/>
          </w:tcPr>
          <w:p w14:paraId="4850E7A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tc>
        <w:tc>
          <w:tcPr>
            <w:tcW w:w="1651" w:type="dxa"/>
            <w:gridSpan w:val="2"/>
            <w:vAlign w:val="center"/>
          </w:tcPr>
          <w:p w14:paraId="14F26D9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建筑层数</w:t>
            </w:r>
          </w:p>
          <w:p w14:paraId="5218E1E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(地上/地下)</w:t>
            </w:r>
          </w:p>
        </w:tc>
        <w:tc>
          <w:tcPr>
            <w:tcW w:w="1809" w:type="dxa"/>
            <w:vAlign w:val="center"/>
          </w:tcPr>
          <w:p w14:paraId="5D396E6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地上1</w:t>
            </w:r>
          </w:p>
        </w:tc>
      </w:tr>
      <w:tr w14:paraId="49E4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vAlign w:val="center"/>
          </w:tcPr>
          <w:p w14:paraId="5E279A0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备注</w:t>
            </w:r>
          </w:p>
        </w:tc>
        <w:tc>
          <w:tcPr>
            <w:tcW w:w="7253" w:type="dxa"/>
            <w:gridSpan w:val="4"/>
            <w:vAlign w:val="center"/>
          </w:tcPr>
          <w:p w14:paraId="1730E74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p w14:paraId="026E73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本工程原设计为多层办公，本次为装饰改造工程</w:t>
            </w:r>
          </w:p>
        </w:tc>
      </w:tr>
      <w:tr w14:paraId="5D5F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trPr>
        <w:tc>
          <w:tcPr>
            <w:tcW w:w="1496" w:type="dxa"/>
            <w:vAlign w:val="center"/>
          </w:tcPr>
          <w:p w14:paraId="0F34BE6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设</w:t>
            </w:r>
          </w:p>
          <w:p w14:paraId="4DD5534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计</w:t>
            </w:r>
          </w:p>
          <w:p w14:paraId="5917058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控</w:t>
            </w:r>
          </w:p>
          <w:p w14:paraId="57DB4C1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制</w:t>
            </w:r>
          </w:p>
          <w:p w14:paraId="04314B9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项</w:t>
            </w:r>
          </w:p>
        </w:tc>
        <w:tc>
          <w:tcPr>
            <w:tcW w:w="7253" w:type="dxa"/>
            <w:gridSpan w:val="4"/>
            <w:vAlign w:val="center"/>
          </w:tcPr>
          <w:p w14:paraId="2E5FF4B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设计方案满足国家相关规定中强制条文的要求</w:t>
            </w:r>
          </w:p>
          <w:p w14:paraId="71A6FB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执行模数设计，建筑物设计符合《建筑模数协调统一标准》</w:t>
            </w:r>
          </w:p>
          <w:p w14:paraId="7CED048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建筑工程的门洞、窗洞、墙板等非承重构</w:t>
            </w:r>
            <w:r>
              <w:rPr>
                <w:rFonts w:hint="eastAsia" w:ascii="宋体" w:hAnsi="宋体" w:cs="宋体"/>
                <w:color w:val="auto"/>
                <w:sz w:val="24"/>
                <w:szCs w:val="24"/>
                <w:vertAlign w:val="baseline"/>
                <w:lang w:val="en-US" w:eastAsia="zh-CN"/>
              </w:rPr>
              <w:t>件</w:t>
            </w:r>
            <w:r>
              <w:rPr>
                <w:rFonts w:hint="eastAsia" w:ascii="宋体" w:hAnsi="宋体" w:eastAsia="宋体" w:cs="宋体"/>
                <w:color w:val="auto"/>
                <w:sz w:val="24"/>
                <w:szCs w:val="24"/>
                <w:vertAlign w:val="baseline"/>
                <w:lang w:val="en-US" w:eastAsia="zh-CN"/>
              </w:rPr>
              <w:t>使用预制装配构</w:t>
            </w:r>
            <w:r>
              <w:rPr>
                <w:rFonts w:hint="eastAsia" w:ascii="宋体" w:hAnsi="宋体" w:cs="宋体"/>
                <w:color w:val="auto"/>
                <w:sz w:val="24"/>
                <w:szCs w:val="24"/>
                <w:vertAlign w:val="baseline"/>
                <w:lang w:val="en-US" w:eastAsia="zh-CN"/>
              </w:rPr>
              <w:t>件</w:t>
            </w:r>
          </w:p>
          <w:p w14:paraId="7940018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建筑物公共活动空间一次装修到位</w:t>
            </w:r>
          </w:p>
          <w:p w14:paraId="610900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住宅一次装修到位</w:t>
            </w:r>
          </w:p>
        </w:tc>
      </w:tr>
      <w:tr w14:paraId="6958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496" w:type="dxa"/>
            <w:vAlign w:val="center"/>
          </w:tcPr>
          <w:p w14:paraId="042A3EC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备注</w:t>
            </w:r>
          </w:p>
        </w:tc>
        <w:tc>
          <w:tcPr>
            <w:tcW w:w="7253" w:type="dxa"/>
            <w:gridSpan w:val="4"/>
            <w:vAlign w:val="center"/>
          </w:tcPr>
          <w:p w14:paraId="1182041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既有建筑局部改造，墙体模数符合材料尺寸。</w:t>
            </w:r>
          </w:p>
        </w:tc>
      </w:tr>
      <w:tr w14:paraId="13B2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1496" w:type="dxa"/>
            <w:vAlign w:val="center"/>
          </w:tcPr>
          <w:p w14:paraId="7D28F12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优</w:t>
            </w:r>
          </w:p>
          <w:p w14:paraId="10B2297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选</w:t>
            </w:r>
          </w:p>
          <w:p w14:paraId="053851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项</w:t>
            </w:r>
          </w:p>
        </w:tc>
        <w:tc>
          <w:tcPr>
            <w:tcW w:w="7253" w:type="dxa"/>
            <w:gridSpan w:val="4"/>
            <w:vAlign w:val="center"/>
          </w:tcPr>
          <w:p w14:paraId="6A4CD5A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建筑专业:</w:t>
            </w:r>
          </w:p>
          <w:p w14:paraId="21D5977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现场地形地貌利用良好，没有过度土方开挖</w:t>
            </w:r>
          </w:p>
          <w:p w14:paraId="6740EDE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土建与装修一体化设计施工</w:t>
            </w:r>
          </w:p>
          <w:p w14:paraId="38B7864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住宅内装修一次到位</w:t>
            </w:r>
          </w:p>
          <w:p w14:paraId="77BC5F3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采用了标准化、工业化的建筑结构配件产品</w:t>
            </w:r>
          </w:p>
          <w:p w14:paraId="5F9768E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办公、商场类建筑室内采用灵活隔断</w:t>
            </w:r>
          </w:p>
          <w:p w14:paraId="15E2D7C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建筑形体规则</w:t>
            </w:r>
          </w:p>
          <w:p w14:paraId="6045137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非承重结构采用可再生材料</w:t>
            </w:r>
          </w:p>
          <w:p w14:paraId="6BD1120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结构专业:</w:t>
            </w:r>
          </w:p>
          <w:p w14:paraId="0577847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结构设计使用年限大于50年</w:t>
            </w:r>
          </w:p>
          <w:p w14:paraId="0F6D23E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采用抗震性能化设计提高建筑的抗震性能</w:t>
            </w:r>
          </w:p>
          <w:p w14:paraId="0020C6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对地基基础、结构体系、结构构件进行优化设计，达到节材效果</w:t>
            </w:r>
          </w:p>
          <w:p w14:paraId="4B39EC1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改扩建建筑采用减隔震技术</w:t>
            </w:r>
          </w:p>
          <w:p w14:paraId="0314C5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现浇混凝土采用预拌混凝土</w:t>
            </w:r>
          </w:p>
          <w:p w14:paraId="09665FC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建筑砂浆采用预拌砂浆</w:t>
            </w:r>
          </w:p>
          <w:p w14:paraId="1E2670F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合理采用高强结构材料</w:t>
            </w:r>
          </w:p>
          <w:p w14:paraId="045D03A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合理采用高耐久性结构材料</w:t>
            </w:r>
          </w:p>
          <w:p w14:paraId="160AC7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采用可再生材料</w:t>
            </w:r>
          </w:p>
          <w:p w14:paraId="1BB1E49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机电专业:</w:t>
            </w:r>
          </w:p>
          <w:p w14:paraId="2368584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设备与管线系统设计采用BIM技术设计</w:t>
            </w:r>
          </w:p>
          <w:p w14:paraId="50221F1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设备与管线系统采用集成化技术</w:t>
            </w:r>
          </w:p>
          <w:p w14:paraId="464A342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cs="宋体"/>
                <w:color w:val="auto"/>
                <w:sz w:val="24"/>
                <w:szCs w:val="24"/>
                <w:vertAlign w:val="baseline"/>
                <w:lang w:val="en-US" w:eastAsia="zh-CN"/>
              </w:rPr>
              <w:t xml:space="preserve"> </w:t>
            </w:r>
            <w:r>
              <w:rPr>
                <w:rFonts w:hint="eastAsia" w:ascii="宋体" w:hAnsi="宋体" w:eastAsia="宋体" w:cs="宋体"/>
                <w:color w:val="auto"/>
                <w:sz w:val="24"/>
                <w:szCs w:val="24"/>
                <w:vertAlign w:val="baseline"/>
                <w:lang w:val="en-US" w:eastAsia="zh-CN"/>
              </w:rPr>
              <w:t>材料采用可再生材料</w:t>
            </w:r>
          </w:p>
        </w:tc>
      </w:tr>
      <w:tr w14:paraId="7E9E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496" w:type="dxa"/>
            <w:vAlign w:val="center"/>
          </w:tcPr>
          <w:p w14:paraId="193AA2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备  注</w:t>
            </w:r>
          </w:p>
        </w:tc>
        <w:tc>
          <w:tcPr>
            <w:tcW w:w="7253" w:type="dxa"/>
            <w:gridSpan w:val="4"/>
            <w:vAlign w:val="center"/>
          </w:tcPr>
          <w:p w14:paraId="42CC355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既有建筑局部改造，无土方开挖，无建筑体型改动，无住宅空间，结构承重体系未改动</w:t>
            </w:r>
          </w:p>
        </w:tc>
      </w:tr>
      <w:tr w14:paraId="0AB7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496" w:type="dxa"/>
            <w:vAlign w:val="center"/>
          </w:tcPr>
          <w:p w14:paraId="59FD6AB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参 考 项</w:t>
            </w:r>
          </w:p>
        </w:tc>
        <w:tc>
          <w:tcPr>
            <w:tcW w:w="7253" w:type="dxa"/>
            <w:gridSpan w:val="4"/>
            <w:vAlign w:val="center"/>
          </w:tcPr>
          <w:p w14:paraId="317EAD9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按照《绿色建筑评价标准》预评价等级在一星级及以上</w:t>
            </w:r>
          </w:p>
          <w:p w14:paraId="3ACB86C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按照《装配式建筑评价标准》预评价装配率在60%以上</w:t>
            </w:r>
          </w:p>
        </w:tc>
      </w:tr>
      <w:tr w14:paraId="53E0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496" w:type="dxa"/>
            <w:vMerge w:val="restart"/>
            <w:vAlign w:val="center"/>
          </w:tcPr>
          <w:p w14:paraId="37484D0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vertAlign w:val="baseline"/>
                <w:lang w:val="en-US" w:eastAsia="zh-CN"/>
              </w:rPr>
            </w:pPr>
          </w:p>
          <w:p w14:paraId="2D98D26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w:t>
            </w:r>
          </w:p>
          <w:p w14:paraId="0FE1770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p>
        </w:tc>
        <w:tc>
          <w:tcPr>
            <w:tcW w:w="5265" w:type="dxa"/>
            <w:gridSpan w:val="2"/>
            <w:vAlign w:val="center"/>
          </w:tcPr>
          <w:p w14:paraId="75A52A0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评价标准</w:t>
            </w:r>
          </w:p>
        </w:tc>
        <w:tc>
          <w:tcPr>
            <w:tcW w:w="1988" w:type="dxa"/>
            <w:gridSpan w:val="2"/>
            <w:vAlign w:val="center"/>
          </w:tcPr>
          <w:p w14:paraId="1B57E81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评价结果</w:t>
            </w:r>
          </w:p>
        </w:tc>
      </w:tr>
      <w:tr w14:paraId="4FCB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496" w:type="dxa"/>
            <w:vMerge w:val="continue"/>
            <w:vAlign w:val="center"/>
          </w:tcPr>
          <w:p w14:paraId="5295763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tc>
        <w:tc>
          <w:tcPr>
            <w:tcW w:w="5265" w:type="dxa"/>
            <w:gridSpan w:val="2"/>
            <w:vAlign w:val="center"/>
          </w:tcPr>
          <w:p w14:paraId="6E92541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优秀:满足检查表中的控制项，优选项满足不少于</w:t>
            </w:r>
            <w:r>
              <w:rPr>
                <w:rFonts w:hint="eastAsia" w:ascii="宋体" w:hAnsi="宋体" w:cs="宋体"/>
                <w:color w:val="auto"/>
                <w:sz w:val="24"/>
                <w:szCs w:val="24"/>
                <w:vertAlign w:val="baseline"/>
                <w:lang w:val="en-US" w:eastAsia="zh-CN"/>
              </w:rPr>
              <w:t>17</w:t>
            </w:r>
            <w:r>
              <w:rPr>
                <w:rFonts w:hint="eastAsia" w:ascii="宋体" w:hAnsi="宋体" w:eastAsia="宋体" w:cs="宋体"/>
                <w:color w:val="auto"/>
                <w:sz w:val="24"/>
                <w:szCs w:val="24"/>
                <w:vertAlign w:val="baseline"/>
                <w:lang w:val="en-US" w:eastAsia="zh-CN"/>
              </w:rPr>
              <w:t>项。参考项不少于</w:t>
            </w:r>
            <w:r>
              <w:rPr>
                <w:rFonts w:hint="eastAsia" w:ascii="宋体" w:hAnsi="宋体" w:cs="宋体"/>
                <w:color w:val="auto"/>
                <w:sz w:val="24"/>
                <w:szCs w:val="24"/>
                <w:vertAlign w:val="baseline"/>
                <w:lang w:val="en-US" w:eastAsia="zh-CN"/>
              </w:rPr>
              <w:t>2</w:t>
            </w:r>
            <w:r>
              <w:rPr>
                <w:rFonts w:hint="eastAsia" w:ascii="宋体" w:hAnsi="宋体" w:eastAsia="宋体" w:cs="宋体"/>
                <w:color w:val="auto"/>
                <w:sz w:val="24"/>
                <w:szCs w:val="24"/>
                <w:vertAlign w:val="baseline"/>
                <w:lang w:val="en-US" w:eastAsia="zh-CN"/>
              </w:rPr>
              <w:t>项;</w:t>
            </w:r>
          </w:p>
          <w:p w14:paraId="0FF8C1E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良好:满足检查表中的控制项，优选项不少于15项。参考项不少于1项;</w:t>
            </w:r>
          </w:p>
          <w:p w14:paraId="577C4C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合格:满足检查表中的控制项，优选项不少于</w:t>
            </w:r>
            <w:r>
              <w:rPr>
                <w:rFonts w:hint="eastAsia" w:ascii="宋体" w:hAnsi="宋体" w:cs="宋体"/>
                <w:color w:val="auto"/>
                <w:sz w:val="24"/>
                <w:szCs w:val="24"/>
                <w:vertAlign w:val="baseline"/>
                <w:lang w:val="en-US" w:eastAsia="zh-CN"/>
              </w:rPr>
              <w:t>15</w:t>
            </w:r>
            <w:r>
              <w:rPr>
                <w:rFonts w:hint="eastAsia" w:ascii="宋体" w:hAnsi="宋体" w:eastAsia="宋体" w:cs="宋体"/>
                <w:color w:val="auto"/>
                <w:sz w:val="24"/>
                <w:szCs w:val="24"/>
                <w:vertAlign w:val="baseline"/>
                <w:lang w:val="en-US" w:eastAsia="zh-CN"/>
              </w:rPr>
              <w:t>项;</w:t>
            </w:r>
          </w:p>
          <w:p w14:paraId="1493BF2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不合格:不满足检查表中控制项</w:t>
            </w:r>
            <w:r>
              <w:rPr>
                <w:rFonts w:hint="eastAsia" w:ascii="宋体" w:hAnsi="宋体" w:cs="宋体"/>
                <w:color w:val="auto"/>
                <w:sz w:val="24"/>
                <w:szCs w:val="24"/>
                <w:vertAlign w:val="baseline"/>
                <w:lang w:val="en-US" w:eastAsia="zh-CN"/>
              </w:rPr>
              <w:t>。</w:t>
            </w:r>
          </w:p>
        </w:tc>
        <w:tc>
          <w:tcPr>
            <w:tcW w:w="1988" w:type="dxa"/>
            <w:gridSpan w:val="2"/>
            <w:vAlign w:val="center"/>
          </w:tcPr>
          <w:p w14:paraId="48C0D61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p>
          <w:p w14:paraId="1B0C4B8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优秀</w:t>
            </w:r>
          </w:p>
          <w:p w14:paraId="28E0191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良好</w:t>
            </w:r>
          </w:p>
          <w:p w14:paraId="5A2D29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color w:val="auto"/>
                <w:kern w:val="0"/>
                <w:szCs w:val="21"/>
                <w:lang w:eastAsia="zh-CN"/>
              </w:rPr>
              <w:t>☑</w:t>
            </w:r>
            <w:r>
              <w:rPr>
                <w:rFonts w:hint="eastAsia" w:ascii="宋体" w:hAnsi="宋体" w:eastAsia="宋体" w:cs="宋体"/>
                <w:color w:val="auto"/>
                <w:sz w:val="24"/>
                <w:szCs w:val="24"/>
                <w:vertAlign w:val="baseline"/>
                <w:lang w:val="en-US" w:eastAsia="zh-CN"/>
              </w:rPr>
              <w:t xml:space="preserve"> 合格</w:t>
            </w:r>
          </w:p>
          <w:p w14:paraId="120634C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口 不合格</w:t>
            </w:r>
          </w:p>
        </w:tc>
      </w:tr>
    </w:tbl>
    <w:p w14:paraId="4C08780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备注：</w:t>
      </w:r>
    </w:p>
    <w:p w14:paraId="46A2D26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 w:val="0"/>
          <w:bCs w:val="0"/>
          <w:color w:val="auto"/>
          <w:sz w:val="32"/>
          <w:szCs w:val="32"/>
          <w:vertAlign w:val="baseline"/>
          <w:lang w:val="en-US"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vertAlign w:val="baseline"/>
          <w:lang w:val="en-US" w:eastAsia="zh-CN"/>
        </w:rPr>
        <w:t>施工单位应结合本《建筑垃圾源头减量化工作专题设计说明》组织编制施工现场建筑垃圾减量化专项方案，明确建筑垃圾减量化目标和职责分工，提出源头减量、分类管理、就地处置、排放控制的具体措施。</w:t>
      </w:r>
    </w:p>
    <w:sectPr>
      <w:footerReference r:id="rId4" w:type="default"/>
      <w:pgSz w:w="11906" w:h="16838"/>
      <w:pgMar w:top="2098" w:right="1474" w:bottom="1984" w:left="1587" w:header="851" w:footer="1644" w:gutter="0"/>
      <w:pgBorders>
        <w:top w:val="none" w:sz="0" w:space="0"/>
        <w:left w:val="none" w:sz="0" w:space="0"/>
        <w:bottom w:val="none" w:sz="0" w:space="0"/>
        <w:right w:val="none" w:sz="0" w:space="0"/>
      </w:pgBorders>
      <w:pgNumType w:fmt="decimal" w:start="1"/>
      <w:cols w:space="0" w:num="1"/>
      <w:rtlGutter w:val="0"/>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7FFAEFF" w:usb1="F9DFFFFF" w:usb2="0000007F" w:usb3="00000000" w:csb0="203F01FF" w:csb1="DFFF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9343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361A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7EF2B0">
                          <w:pPr>
                            <w:pStyle w:val="6"/>
                            <w:jc w:val="cente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74AAF59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7EF2B0">
                    <w:pPr>
                      <w:pStyle w:val="6"/>
                      <w:jc w:val="cente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p w14:paraId="74AAF592"/>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02078"/>
    <w:multiLevelType w:val="singleLevel"/>
    <w:tmpl w:val="65A0207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1"/>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1B361E"/>
    <w:rsid w:val="005D2DF0"/>
    <w:rsid w:val="00C575A8"/>
    <w:rsid w:val="010920E7"/>
    <w:rsid w:val="011B6997"/>
    <w:rsid w:val="01455368"/>
    <w:rsid w:val="01570814"/>
    <w:rsid w:val="01761E20"/>
    <w:rsid w:val="01BB7833"/>
    <w:rsid w:val="01EA0118"/>
    <w:rsid w:val="02231BEE"/>
    <w:rsid w:val="02A8425B"/>
    <w:rsid w:val="02BB0712"/>
    <w:rsid w:val="02DA1F3A"/>
    <w:rsid w:val="02EB239A"/>
    <w:rsid w:val="0306774E"/>
    <w:rsid w:val="036D482C"/>
    <w:rsid w:val="04497378"/>
    <w:rsid w:val="05064468"/>
    <w:rsid w:val="05257DE5"/>
    <w:rsid w:val="05CA44E8"/>
    <w:rsid w:val="073A744C"/>
    <w:rsid w:val="07783D1B"/>
    <w:rsid w:val="08444E10"/>
    <w:rsid w:val="08D538D0"/>
    <w:rsid w:val="08FD2BF5"/>
    <w:rsid w:val="09A64E01"/>
    <w:rsid w:val="09D21BBD"/>
    <w:rsid w:val="0A1C2BF8"/>
    <w:rsid w:val="0A27015B"/>
    <w:rsid w:val="0A6C1C2C"/>
    <w:rsid w:val="0A6F1B02"/>
    <w:rsid w:val="0A7113D6"/>
    <w:rsid w:val="0A913BCA"/>
    <w:rsid w:val="0B2968C1"/>
    <w:rsid w:val="0B6E5916"/>
    <w:rsid w:val="0C7E3A19"/>
    <w:rsid w:val="0DE545B5"/>
    <w:rsid w:val="0E320E7D"/>
    <w:rsid w:val="0E6F3E7F"/>
    <w:rsid w:val="0E9438E5"/>
    <w:rsid w:val="0F061C8F"/>
    <w:rsid w:val="0F072309"/>
    <w:rsid w:val="0F737B3B"/>
    <w:rsid w:val="0FE64614"/>
    <w:rsid w:val="10653901"/>
    <w:rsid w:val="110805BA"/>
    <w:rsid w:val="11BD5B2E"/>
    <w:rsid w:val="12303925"/>
    <w:rsid w:val="12AE2A45"/>
    <w:rsid w:val="14206D94"/>
    <w:rsid w:val="14B7657F"/>
    <w:rsid w:val="150D619F"/>
    <w:rsid w:val="15683658"/>
    <w:rsid w:val="157E0E4B"/>
    <w:rsid w:val="17514A69"/>
    <w:rsid w:val="180B0509"/>
    <w:rsid w:val="186E33F9"/>
    <w:rsid w:val="18FA657C"/>
    <w:rsid w:val="1917583F"/>
    <w:rsid w:val="19E424E4"/>
    <w:rsid w:val="1AB5530F"/>
    <w:rsid w:val="1B592EBC"/>
    <w:rsid w:val="1B852F33"/>
    <w:rsid w:val="1BF754B3"/>
    <w:rsid w:val="1CC72750"/>
    <w:rsid w:val="1CF758B6"/>
    <w:rsid w:val="1D796AC8"/>
    <w:rsid w:val="1D952CE6"/>
    <w:rsid w:val="1DA11B7B"/>
    <w:rsid w:val="1DB91EF3"/>
    <w:rsid w:val="1DEA3522"/>
    <w:rsid w:val="1E9E249F"/>
    <w:rsid w:val="1EFE48DC"/>
    <w:rsid w:val="1FC8504A"/>
    <w:rsid w:val="1FCB7383"/>
    <w:rsid w:val="1FF97A4C"/>
    <w:rsid w:val="2043516B"/>
    <w:rsid w:val="20D90987"/>
    <w:rsid w:val="21A1039B"/>
    <w:rsid w:val="21A53343"/>
    <w:rsid w:val="21D85E85"/>
    <w:rsid w:val="225E44DE"/>
    <w:rsid w:val="226F0499"/>
    <w:rsid w:val="23C6233B"/>
    <w:rsid w:val="23F32351"/>
    <w:rsid w:val="24507E57"/>
    <w:rsid w:val="24761396"/>
    <w:rsid w:val="24A87C93"/>
    <w:rsid w:val="25285D38"/>
    <w:rsid w:val="253D03DB"/>
    <w:rsid w:val="25F74A2E"/>
    <w:rsid w:val="26971D6D"/>
    <w:rsid w:val="26F0317B"/>
    <w:rsid w:val="26F7280B"/>
    <w:rsid w:val="27C941A8"/>
    <w:rsid w:val="283933A9"/>
    <w:rsid w:val="297B3FB9"/>
    <w:rsid w:val="29E03A2B"/>
    <w:rsid w:val="2A353E3F"/>
    <w:rsid w:val="2A3E12B4"/>
    <w:rsid w:val="2B2F4C6A"/>
    <w:rsid w:val="2BD52BA1"/>
    <w:rsid w:val="2BFF288E"/>
    <w:rsid w:val="2C723060"/>
    <w:rsid w:val="2D263E4A"/>
    <w:rsid w:val="2D392AFC"/>
    <w:rsid w:val="2D94509A"/>
    <w:rsid w:val="2DCE2518"/>
    <w:rsid w:val="2DE41D3C"/>
    <w:rsid w:val="2E163EBF"/>
    <w:rsid w:val="2E3A1961"/>
    <w:rsid w:val="2E5F5866"/>
    <w:rsid w:val="2FA16CBF"/>
    <w:rsid w:val="2FA3766B"/>
    <w:rsid w:val="2FC21854"/>
    <w:rsid w:val="2FC67770"/>
    <w:rsid w:val="2FFF78FF"/>
    <w:rsid w:val="30DD2A72"/>
    <w:rsid w:val="30EB33E1"/>
    <w:rsid w:val="31250826"/>
    <w:rsid w:val="31264419"/>
    <w:rsid w:val="322C1F03"/>
    <w:rsid w:val="32C46156"/>
    <w:rsid w:val="33356B95"/>
    <w:rsid w:val="33BD10F8"/>
    <w:rsid w:val="34B85CD0"/>
    <w:rsid w:val="34D348B8"/>
    <w:rsid w:val="35466831"/>
    <w:rsid w:val="35594C04"/>
    <w:rsid w:val="35D01F67"/>
    <w:rsid w:val="366D4F8D"/>
    <w:rsid w:val="37D050DF"/>
    <w:rsid w:val="395A0970"/>
    <w:rsid w:val="39EB6200"/>
    <w:rsid w:val="3A3E012C"/>
    <w:rsid w:val="3B9308FD"/>
    <w:rsid w:val="3C1E7F75"/>
    <w:rsid w:val="3C2E6878"/>
    <w:rsid w:val="3CF47AC1"/>
    <w:rsid w:val="3E855C22"/>
    <w:rsid w:val="3F116709"/>
    <w:rsid w:val="3F56236D"/>
    <w:rsid w:val="3FC84C20"/>
    <w:rsid w:val="408F7774"/>
    <w:rsid w:val="40E63BC5"/>
    <w:rsid w:val="40FE5E69"/>
    <w:rsid w:val="410D019C"/>
    <w:rsid w:val="41A53B3B"/>
    <w:rsid w:val="424246DB"/>
    <w:rsid w:val="42AD6748"/>
    <w:rsid w:val="430A5DDD"/>
    <w:rsid w:val="43574906"/>
    <w:rsid w:val="43CE7979"/>
    <w:rsid w:val="43D441A9"/>
    <w:rsid w:val="45156827"/>
    <w:rsid w:val="453C3DB3"/>
    <w:rsid w:val="466C7F40"/>
    <w:rsid w:val="469F0A9E"/>
    <w:rsid w:val="4743487A"/>
    <w:rsid w:val="474B6530"/>
    <w:rsid w:val="486F26F2"/>
    <w:rsid w:val="492D13F6"/>
    <w:rsid w:val="496D6C31"/>
    <w:rsid w:val="4A54394D"/>
    <w:rsid w:val="4B6B0F4E"/>
    <w:rsid w:val="4C043151"/>
    <w:rsid w:val="4C6432DA"/>
    <w:rsid w:val="4CA04E74"/>
    <w:rsid w:val="4D07114B"/>
    <w:rsid w:val="4D3A32CE"/>
    <w:rsid w:val="4DF82355"/>
    <w:rsid w:val="4E3C3076"/>
    <w:rsid w:val="4E560C1B"/>
    <w:rsid w:val="4EAC2166"/>
    <w:rsid w:val="4F225DF1"/>
    <w:rsid w:val="4F6665FD"/>
    <w:rsid w:val="50642410"/>
    <w:rsid w:val="50832EE6"/>
    <w:rsid w:val="50C828AD"/>
    <w:rsid w:val="51742085"/>
    <w:rsid w:val="517E6FDF"/>
    <w:rsid w:val="51A32396"/>
    <w:rsid w:val="51C8534D"/>
    <w:rsid w:val="51FC4FF6"/>
    <w:rsid w:val="522925BA"/>
    <w:rsid w:val="526B0ADB"/>
    <w:rsid w:val="52E55A8A"/>
    <w:rsid w:val="539B439B"/>
    <w:rsid w:val="54406A99"/>
    <w:rsid w:val="547370C6"/>
    <w:rsid w:val="549A6737"/>
    <w:rsid w:val="54AC528B"/>
    <w:rsid w:val="551509A8"/>
    <w:rsid w:val="553C122E"/>
    <w:rsid w:val="56951575"/>
    <w:rsid w:val="569A6B8C"/>
    <w:rsid w:val="56E85B49"/>
    <w:rsid w:val="575823DC"/>
    <w:rsid w:val="57D83E10"/>
    <w:rsid w:val="58005F43"/>
    <w:rsid w:val="580547FF"/>
    <w:rsid w:val="58BA52C3"/>
    <w:rsid w:val="59374B66"/>
    <w:rsid w:val="5943582A"/>
    <w:rsid w:val="59442D7B"/>
    <w:rsid w:val="59513E7A"/>
    <w:rsid w:val="599B6EA3"/>
    <w:rsid w:val="5A025174"/>
    <w:rsid w:val="5A247A7C"/>
    <w:rsid w:val="5A500AB4"/>
    <w:rsid w:val="5B0F5D9A"/>
    <w:rsid w:val="5B647E9A"/>
    <w:rsid w:val="5B841BB9"/>
    <w:rsid w:val="5CF35248"/>
    <w:rsid w:val="5DEA664B"/>
    <w:rsid w:val="5E3478C6"/>
    <w:rsid w:val="5FB7255D"/>
    <w:rsid w:val="60E90E3C"/>
    <w:rsid w:val="612C48FF"/>
    <w:rsid w:val="616B4F82"/>
    <w:rsid w:val="618F6DDA"/>
    <w:rsid w:val="628801E0"/>
    <w:rsid w:val="62A0552A"/>
    <w:rsid w:val="630622FD"/>
    <w:rsid w:val="63CF5861"/>
    <w:rsid w:val="63DF5502"/>
    <w:rsid w:val="64440E4E"/>
    <w:rsid w:val="64F352EC"/>
    <w:rsid w:val="659375C8"/>
    <w:rsid w:val="65E9231B"/>
    <w:rsid w:val="66014531"/>
    <w:rsid w:val="666D1BC7"/>
    <w:rsid w:val="669E0B12"/>
    <w:rsid w:val="677B6565"/>
    <w:rsid w:val="68363CFA"/>
    <w:rsid w:val="683C7AA3"/>
    <w:rsid w:val="685D7972"/>
    <w:rsid w:val="691A6D8E"/>
    <w:rsid w:val="693C634F"/>
    <w:rsid w:val="69851242"/>
    <w:rsid w:val="69F820EF"/>
    <w:rsid w:val="6AD9782B"/>
    <w:rsid w:val="6B8754D9"/>
    <w:rsid w:val="6C072F4D"/>
    <w:rsid w:val="6C345001"/>
    <w:rsid w:val="6C991968"/>
    <w:rsid w:val="6CB71193"/>
    <w:rsid w:val="6CFE17CB"/>
    <w:rsid w:val="6D413DAD"/>
    <w:rsid w:val="6D5E66CB"/>
    <w:rsid w:val="6D60129F"/>
    <w:rsid w:val="6D806684"/>
    <w:rsid w:val="6D843B56"/>
    <w:rsid w:val="6DAB2625"/>
    <w:rsid w:val="6E693F43"/>
    <w:rsid w:val="6E963C85"/>
    <w:rsid w:val="6ED57F01"/>
    <w:rsid w:val="6F457B85"/>
    <w:rsid w:val="6F4C2993"/>
    <w:rsid w:val="6F854425"/>
    <w:rsid w:val="6FF03DBB"/>
    <w:rsid w:val="70022FCC"/>
    <w:rsid w:val="70666005"/>
    <w:rsid w:val="708151F7"/>
    <w:rsid w:val="70D07922"/>
    <w:rsid w:val="70E1248B"/>
    <w:rsid w:val="710E16A9"/>
    <w:rsid w:val="711B7D99"/>
    <w:rsid w:val="71EC42E8"/>
    <w:rsid w:val="72275320"/>
    <w:rsid w:val="72CC4119"/>
    <w:rsid w:val="743D707D"/>
    <w:rsid w:val="743E2DF5"/>
    <w:rsid w:val="74FA6D1C"/>
    <w:rsid w:val="751A116C"/>
    <w:rsid w:val="7533222E"/>
    <w:rsid w:val="7561437B"/>
    <w:rsid w:val="75A60C51"/>
    <w:rsid w:val="7621327B"/>
    <w:rsid w:val="77D820B8"/>
    <w:rsid w:val="78C23FF4"/>
    <w:rsid w:val="792203D2"/>
    <w:rsid w:val="79425135"/>
    <w:rsid w:val="79492020"/>
    <w:rsid w:val="79C124FE"/>
    <w:rsid w:val="79D7587D"/>
    <w:rsid w:val="7A0643B5"/>
    <w:rsid w:val="7ABD4E1C"/>
    <w:rsid w:val="7AD93877"/>
    <w:rsid w:val="7ADD3367"/>
    <w:rsid w:val="7B172047"/>
    <w:rsid w:val="7B2849CC"/>
    <w:rsid w:val="7CAC259A"/>
    <w:rsid w:val="7D1B361E"/>
    <w:rsid w:val="7D893333"/>
    <w:rsid w:val="7D9341B1"/>
    <w:rsid w:val="7DDB1E56"/>
    <w:rsid w:val="7E257814"/>
    <w:rsid w:val="7E927FC5"/>
    <w:rsid w:val="7EF1576F"/>
    <w:rsid w:val="7F3E7F8E"/>
    <w:rsid w:val="7F916F1C"/>
    <w:rsid w:val="7FAA7590"/>
    <w:rsid w:val="7FD50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宋体" w:hAnsi="宋体" w:eastAsia="宋体"/>
      <w:b/>
      <w:kern w:val="44"/>
      <w:sz w:val="30"/>
    </w:rPr>
  </w:style>
  <w:style w:type="paragraph" w:styleId="3">
    <w:name w:val="heading 2"/>
    <w:basedOn w:val="1"/>
    <w:next w:val="1"/>
    <w:link w:val="13"/>
    <w:semiHidden/>
    <w:unhideWhenUsed/>
    <w:qFormat/>
    <w:uiPriority w:val="0"/>
    <w:pPr>
      <w:keepNext/>
      <w:keepLines/>
      <w:spacing w:beforeLines="0" w:beforeAutospacing="0" w:afterLines="0" w:afterAutospacing="0" w:line="360" w:lineRule="auto"/>
      <w:jc w:val="center"/>
      <w:outlineLvl w:val="1"/>
    </w:pPr>
    <w:rPr>
      <w:rFonts w:ascii="宋体" w:hAnsi="宋体" w:eastAsia="宋体" w:cs="Times New Roman"/>
      <w:b/>
      <w:sz w:val="24"/>
    </w:rPr>
  </w:style>
  <w:style w:type="character" w:default="1" w:styleId="11">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customStyle="1" w:styleId="13">
    <w:name w:val="标题 2 Char"/>
    <w:link w:val="3"/>
    <w:qFormat/>
    <w:uiPriority w:val="0"/>
    <w:rPr>
      <w:rFonts w:ascii="宋体" w:hAnsi="宋体" w:eastAsia="宋体" w:cs="Times New Roman"/>
      <w:b/>
      <w:sz w:val="24"/>
    </w:rPr>
  </w:style>
  <w:style w:type="paragraph" w:customStyle="1" w:styleId="1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15">
    <w:name w:val="p15"/>
    <w:basedOn w:val="1"/>
    <w:qFormat/>
    <w:uiPriority w:val="0"/>
    <w:pPr>
      <w:widowControl/>
      <w:pBdr>
        <w:bottom w:val="single" w:color="000000" w:sz="6" w:space="1"/>
      </w:pBdr>
      <w:jc w:val="center"/>
    </w:pPr>
    <w:rPr>
      <w:kern w:val="0"/>
      <w:sz w:val="18"/>
      <w:szCs w:val="18"/>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5621</Words>
  <Characters>6401</Characters>
  <Lines>0</Lines>
  <Paragraphs>0</Paragraphs>
  <TotalTime>0</TotalTime>
  <ScaleCrop>false</ScaleCrop>
  <LinksUpToDate>false</LinksUpToDate>
  <CharactersWithSpaces>6720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2025-02-19T01:00:00Z</dcterms:created>
  <dc:creator>番茄炖梨</dc:creator>
  <cp:lastModifiedBy>小A</cp:lastModifiedBy>
  <dcterms:modified xsi:type="dcterms:W3CDTF">2026-07-09T02:47:58Z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0D653DE977E14C7DBA7F81B1A4EBAF28_13</vt:lpwstr>
  </property>
  <property fmtid="{D5CDD505-2E9C-101B-9397-08002B2CF9AE}" pid="4" name="KSOTemplateDocerSaveRecord">
    <vt:lpwstr>eyJoZGlkIjoiNWU4MDBlYzY4ZjA4Y2Q3NzBkODc3Y2VkNDlmMmNkNmMiLCJ1c2VySWQiOiIzOTE1MjEwMzEifQ==</vt:lpwstr>
  </property>
</Properties>
</file>