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440105-2024-03853</w:t>
      </w:r>
    </w:p>
    <w:p>
      <w:pPr>
        <w:pStyle w:val="null3"/>
        <w:jc w:val="center"/>
        <w:outlineLvl w:val="3"/>
      </w:pPr>
      <w:r>
        <w:rPr>
          <w:sz w:val="24"/>
          <w:b/>
        </w:rPr>
        <w:t>采购项目编号：</w:t>
      </w:r>
      <w:r>
        <w:rPr>
          <w:sz w:val="24"/>
          <w:b/>
        </w:rPr>
        <w:t>HYGZ24WJ01A0538</w:t>
      </w:r>
    </w:p>
    <w:p>
      <w:pPr>
        <w:pStyle w:val="null3"/>
        <w:jc w:val="center"/>
        <w:outlineLvl w:val="3"/>
      </w:pPr>
      <w:r>
        <w:rPr>
          <w:sz w:val="24"/>
          <w:b/>
        </w:rPr>
        <w:t>项目名称：</w:t>
      </w:r>
      <w:r>
        <w:rPr>
          <w:sz w:val="24"/>
          <w:b/>
        </w:rPr>
        <w:t>广州市海珠区中医医院全自动微生物药敏分析仪等医疗设备采购项目</w:t>
      </w:r>
    </w:p>
    <w:p>
      <w:pPr>
        <w:pStyle w:val="null3"/>
        <w:jc w:val="center"/>
        <w:outlineLvl w:val="3"/>
      </w:pPr>
      <w:r>
        <w:rPr>
          <w:sz w:val="24"/>
          <w:b/>
        </w:rPr>
        <w:t>采购人：</w:t>
      </w:r>
      <w:r>
        <w:rPr>
          <w:sz w:val="24"/>
          <w:b/>
        </w:rPr>
        <w:t>广州市海珠区中医医院</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广州市海珠区中医医院</w:t>
      </w:r>
      <w:r>
        <w:rPr/>
        <w:t>的委托，采用</w:t>
      </w:r>
      <w:r>
        <w:rPr/>
        <w:t>公开招标</w:t>
      </w:r>
      <w:r>
        <w:rPr/>
        <w:t>方式组织采购</w:t>
      </w:r>
      <w:r>
        <w:rPr/>
        <w:t>广州市海珠区中医医院全自动微生物药敏分析仪等医疗设备采购项目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广州市海珠区中医医院全自动微生物药敏分析仪等医疗设备采购项目</w:t>
      </w:r>
    </w:p>
    <w:p>
      <w:pPr>
        <w:pStyle w:val="null3"/>
        <w:ind w:firstLine="480"/>
      </w:pPr>
      <w:r>
        <w:rPr/>
        <w:t>采购计划编号：</w:t>
      </w:r>
      <w:r>
        <w:rPr/>
        <w:t>440105-2024-03853</w:t>
      </w:r>
    </w:p>
    <w:p>
      <w:pPr>
        <w:pStyle w:val="null3"/>
        <w:ind w:firstLine="480"/>
      </w:pPr>
      <w:r>
        <w:rPr/>
        <w:t>采购项目编号：</w:t>
      </w:r>
      <w:r>
        <w:rPr/>
        <w:t>HYGZ24WJ01A0538</w:t>
      </w:r>
    </w:p>
    <w:p>
      <w:pPr>
        <w:pStyle w:val="null3"/>
        <w:ind w:firstLine="480"/>
      </w:pPr>
      <w:r>
        <w:rPr/>
        <w:t>采购方式：</w:t>
      </w:r>
      <w:r>
        <w:rPr/>
        <w:t>公开招标</w:t>
      </w:r>
    </w:p>
    <w:p>
      <w:pPr>
        <w:pStyle w:val="null3"/>
        <w:ind w:firstLine="480"/>
      </w:pPr>
      <w:r>
        <w:rPr/>
        <w:t>预算金额：</w:t>
      </w:r>
      <w:r>
        <w:rPr/>
        <w:t>2,460,000.00</w:t>
      </w:r>
      <w:r>
        <w:rPr/>
        <w:t>元</w:t>
      </w:r>
    </w:p>
    <w:p>
      <w:pPr>
        <w:pStyle w:val="null3"/>
        <w:outlineLvl w:val="3"/>
      </w:pPr>
      <w:r>
        <w:rPr>
          <w:sz w:val="24"/>
          <w:b/>
        </w:rPr>
        <w:t>2.项目内容及需求情况（采购项目技术规格、参数及要求）</w:t>
      </w:r>
    </w:p>
    <w:p>
      <w:pPr>
        <w:pStyle w:val="null3"/>
      </w:pPr>
      <w:r>
        <w:rPr/>
        <w:t>采购包1(全自动微生物药敏分析仪等医疗设备):</w:t>
      </w:r>
    </w:p>
    <w:p>
      <w:pPr>
        <w:pStyle w:val="null3"/>
      </w:pPr>
      <w:r>
        <w:rPr/>
        <w:t>采购包预算金额：2,460,000.00元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全自动微生物药敏分析仪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细菌鉴定质谱仪（全自动生物质谱检测系统）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全自动细菌鉴定仪（全自动细菌鉴定及药敏分析系统）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二氧化碳孵箱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合同履行期限：签订合同后30天内交货。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采购包1（全自动微生物药敏分析仪等医疗设备）：</w:t>
      </w:r>
      <w:r>
        <w:rPr/>
        <w:t>本采购包不属于专门面向中小企业。</w:t>
      </w:r>
    </w:p>
    <w:p>
      <w:pPr>
        <w:pStyle w:val="null3"/>
        <w:outlineLvl w:val="3"/>
      </w:pPr>
      <w:r>
        <w:rPr>
          <w:sz w:val="24"/>
          <w:b/>
        </w:rPr>
        <w:t>3.本项目特定的资格要求：</w:t>
      </w:r>
    </w:p>
    <w:p>
      <w:pPr>
        <w:pStyle w:val="null3"/>
      </w:pPr>
      <w:r>
        <w:rPr/>
        <w:t>采购包1（全自动微生物药敏分析仪等医疗设备）：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p>
      <w:pPr>
        <w:pStyle w:val="null3"/>
      </w:pPr>
      <w:r>
        <w:rPr/>
        <w:t>4)所投产品属于第二类、第三类医疗器械，则必须提供监督管理部门签发的有效的《医疗器械注册证》复印件（如国家另有规定，则适用其规定）。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广州市海珠区中医医院</w:t>
      </w:r>
    </w:p>
    <w:p>
      <w:pPr>
        <w:pStyle w:val="null3"/>
        <w:ind w:firstLine="480"/>
      </w:pPr>
      <w:r>
        <w:rPr/>
        <w:t xml:space="preserve"> 地址：</w:t>
      </w:r>
      <w:r>
        <w:rPr/>
        <w:t>广州市海珠区前进路南园大街1号之一</w:t>
      </w:r>
    </w:p>
    <w:p>
      <w:pPr>
        <w:pStyle w:val="null3"/>
        <w:ind w:firstLine="480"/>
      </w:pPr>
      <w:r>
        <w:rPr/>
        <w:t xml:space="preserve"> 联系方式：</w:t>
      </w:r>
      <w:r>
        <w:rPr/>
        <w:t>020-84407210</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赖小姐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详见</w:t>
      </w:r>
      <w:r>
        <w:rPr>
          <w:sz w:val="24"/>
        </w:rPr>
        <w:t>“</w:t>
      </w:r>
      <w:r>
        <w:rPr>
          <w:sz w:val="24"/>
        </w:rPr>
        <w:t>采购需求</w:t>
      </w:r>
      <w:r>
        <w:rPr>
          <w:sz w:val="24"/>
        </w:rPr>
        <w:t>”</w:t>
      </w:r>
    </w:p>
    <w:p>
      <w:pPr>
        <w:pStyle w:val="null3"/>
      </w:pPr>
      <w:r>
        <w:rPr/>
        <w:t>采购包1（全自动微生物药敏分析仪等医疗设备）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签订合同后30天内交货。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1期：支付比例50%,1. 付款方式：签定合同后，且专项债经费下达后，采购人在收到中标供应商提交的与拟支付金额等额正规税务发票后5个工作日内，采购人向当地财政部门申请办理合同总金额50%的支付手续；</w:t>
            </w:r>
          </w:p>
          <w:p>
            <w:pPr>
              <w:pStyle w:val="null3"/>
            </w:pPr>
            <w:r>
              <w:rPr/>
              <w:t>2期：支付比例50%,所有设备验收合格后，且专项债经费下达后5个工作日内采购人向当地财政部门申请办理合同总金额50%的支付手续； 第二期支付具体付款要求如下： 合同设备到采购人指定地点交付并完成安装验收后，凭以下材料结算： （1）合同； （2）中标供应商开具的正式全额发票复印件； （3）验收调试报告（加盖采购人公章）； （4）中标通知书。 2.付款时间：由于此次使用经费是财政下达的专项债经费，根据专项债经费下达的时间进行支付。在规定时间内，采购人向政府采购支付部门提出办理支付申请手续的时间（不包含政府财政支付部门审核的时间），视为采购人完成本合同约定的付款义务，中标供应商不得追究采购人任何延期支付的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 货物为原制造商制造的全新产品，整机无污染，无侵权行为、表面无划损、无任何缺陷隐患，在中国境内可依常规安全合法使用； 2.交付验收标准依次序对照适用标准为：①符合中华人民共和国国家安全质量标准、环保标准或行业标准；②符合招标文件和响应承诺中采购人认可的合理最佳配置、参数及各项要求；③货物来源国官方标准； 3. 货物为原厂商未启封全新包装，具出厂合格证，序列号、包装箱号与出厂批号一致，并可追索查阅； 4. 中标供应商应将关键主机设备的用户手册、保修手册、有关单证资料及配备件、随机工具等交付给采购人，使用操作及安全须知等重要资料应附有中文说明； 5．合同设备如属《中华人民共和国进口计量器具型式审查目录》或者《中华人民共和国强制检定的工作计量器具目录》内的，中标供应商需提供计量强检合格证，费用已含在合同总价内。 6.进口产品必须具备原产地证明和商检局的检验证明及合法进货渠道证明。</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 货物运至采购人指定的地点。投标报价包括货物的搬运费、运输费、卸装费、保险费、验收、货物设计、制造、包装、培训、强检设备的首次检测费用、设备检测、质保期服务、设备与医院信息系统的接口费用、技术服务（包括技术资料、图纸的提供）、质保期保障、产品成本、利润、各种税金、及合同实施过程中不可预见费用等一切费用。 2. 投标报价超过最高限价的投标，一律视为无效投标。</w:t>
            </w:r>
          </w:p>
          <w:p>
            <w:pPr>
              <w:pStyle w:val="null3"/>
            </w:pPr>
            <w:r>
              <w:rPr/>
              <w:t>（二）签订合同期，采购合同由中标供应商与采购人双方签订，签订时间为中标结果出来后的7个工作日内。</w:t>
            </w:r>
          </w:p>
          <w:p>
            <w:pPr>
              <w:pStyle w:val="null3"/>
            </w:pPr>
            <w:r>
              <w:rPr/>
              <w:t>（三）交货要求（技术参数有要求的以技术参数为准），1. 中标供应商应提供原装、原厂、全新的、符合国家质量标准的货物，不得以旧货翻新充数，并按有关要求进行包装及装运。 2. 进口产品必须提供原产地证明和中国商检证明及合法进货渠道全套单证，如能办理进口免税的，手续由采购人协助办理，办理免税手续相关费用由中标供应商承担。中国境内制造的产品必须提供原出厂合格证等证明文件。 3. 中标供应商应将所提供货物的装箱清单、备件清单、正规发票、用户手册、原厂保修卡、随机资料及配件、随机工具、维修技术资料手册、维护手册、软件备份、故障代码表、零部件、维修密码等交付给采购人；中标供应商不能完整交付货物及本款规定的单证和工具的，视为未按采购人需求约定供货，中标供应商必须负责补齐，因此导致逾期交付的，由中标供应商承担相关的违约责任。 4.所有国产产品到货日期不得超过出厂日期（或者生产日期）6个月，进口产品到货日期不得超过出厂日期（或者生产日期）12个月。</w:t>
            </w:r>
          </w:p>
          <w:p>
            <w:pPr>
              <w:pStyle w:val="null3"/>
            </w:pPr>
            <w:r>
              <w:rPr/>
              <w:t>（四）包装、保险及发运、保管要求（技术参数有要求的以技术参数为准），1. 设备材料的包装必须是制造商原厂包装，其包装均应有良好的防湿、防锈、防潮、防雨、防腐及防碰撞的措施。凡由于包装不良造成的损失和由此产生的费用均由中标供应商承担。 2. 所有新购设备需要的备品备件、专用工具、设备运输、卸货、搬运、安装、调试、检验、培训、技术服务等已包含在合同总价中。 3. 各种设备，必须提供装箱清单，按装箱清单验收货物。 4. 货物在现场的保管由中标供应商负责，直至项目安装、验收完毕。 5. 货物在系统安装调试验收合格前的保险由中标供应商负责，中标供应商负责其派出的现场服务人员人身意外保险。 6. 设备至采购人指定的使用现场的包装、保险及发运等环节和费用均由中标供应商负责。</w:t>
            </w:r>
          </w:p>
          <w:p>
            <w:pPr>
              <w:pStyle w:val="null3"/>
            </w:pPr>
            <w:r>
              <w:rPr/>
              <w:t>（五）售后服务，1.所有设备提供至少叁年或以上的原厂上门保修服务，负责保修期内所有零配件更换和软件维护，相关费用包含在投标报价中。 2. 保证开机率≥98%，设备售后由原厂家专业技术人员维修设备，机器一旦出现故障2小时内响应,24小时内有工作人员上门检测、维修，48小时内仍未能有效解决，提供详细解决方案。若72小时故障仍未修复。厂家需要免费提供备用的设备给采购人临时使用。 3. 保修期过后，承诺提供终身上门服务和软件升级，中标供应商有义务督促厂家定期上门保养和巡视服务，遇设备故障，采购人应第一时间通知厂家工程师，工程师在接到通知后及时响应，优先电话指导处理，电话未能解决的，须在 4 小时内安排技术人员到达现场处理。如需更换零配件，征得采购人同意后可对要更换的零配件收取材料费，且配件费提供优惠价格，不得以任何理由收取上门服务费及差旅费（需附配件价格清单）仪器维修好后六个月内，对仪器再次发生同样的故障并且是需要更换同样的零配件的情况，中标供应商承诺免费维修及更换零配件。所有配件均为当前市场最低价，过保后生产厂家保证设备8年以上的零配件供应服务。 4. 中标供应商负责临床技术培训、保证使用人员能够正确操作设备的各项，培训次数不限，根据采购人需求安排。技术支持和宣传推广,定期提供相关最新治疗进展资讯。 5. 保修期内每季度安排人员上门对机器进行维护保养检查和设备校准,并做好维修保养和校准记录，把维护保养信息反馈给用户，以确保设备精确正常运行。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全自动微生物药敏分析仪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细菌鉴定质谱仪（全自动生物质谱检测系统）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1,200,000.00</w:t>
            </w:r>
          </w:p>
        </w:tc>
        <w:tc>
          <w:tcPr>
            <w:tcW w:type="dxa" w:w="831"/>
          </w:tcPr>
          <w:p>
            <w:pPr>
              <w:pStyle w:val="null3"/>
              <w:jc w:val="right"/>
            </w:pPr>
            <w:r>
              <w:rPr/>
              <w:t>1,200,000.00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全自动细菌鉴定仪（全自动细菌鉴定及药敏分析系统）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二氧化碳孵箱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全自动微生物药敏分析仪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1.适用范围：</w:t>
            </w:r>
            <w:r>
              <w:rPr/>
              <w:t>用于纯化培养后具有临床意义的革兰氏阳性细菌、革兰氏阴性细菌的体外药物敏感度MIC测试。</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2.检测原理：</w:t>
            </w:r>
            <w:r>
              <w:rPr/>
              <w:t>采用比浊、荧光、氧化还原显色三种方法对药物进行MIC和敏感度分析，提升检测效率及准确性。</w:t>
            </w:r>
          </w:p>
        </w:tc>
      </w:tr>
      <w:tr>
        <w:tc>
          <w:tcPr>
            <w:tcW w:type="dxa" w:w="2076"/>
          </w:tcPr>
          <w:p/>
        </w:tc>
        <w:tc>
          <w:tcPr>
            <w:tcW w:type="dxa" w:w="415"/>
          </w:tcPr>
          <w:p>
            <w:pPr>
              <w:pStyle w:val="null3"/>
            </w:pPr>
            <w:r>
              <w:rPr/>
              <w:t>4</w:t>
            </w:r>
          </w:p>
        </w:tc>
        <w:tc>
          <w:tcPr>
            <w:tcW w:type="dxa" w:w="5814"/>
          </w:tcPr>
          <w:p>
            <w:pPr>
              <w:pStyle w:val="null3"/>
            </w:pPr>
            <w:r>
              <w:rPr/>
              <w:t>3.药敏结果：</w:t>
            </w:r>
            <w:r>
              <w:rPr/>
              <w:t>报告药物S,I,R结果，通过实测MIC及推测扩大MIC测试结果，得到各药物更宽的MIC范围及更精准的MIC值。</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4.接种方式：</w:t>
            </w:r>
            <w:r>
              <w:rPr/>
              <w:t>微流控药敏板利用重力加样原理接种，无需机械接种设备，药敏卡接种时间≤10秒。</w:t>
            </w:r>
          </w:p>
        </w:tc>
      </w:tr>
      <w:tr>
        <w:tc>
          <w:tcPr>
            <w:tcW w:type="dxa" w:w="2076"/>
          </w:tcPr>
          <w:p/>
        </w:tc>
        <w:tc>
          <w:tcPr>
            <w:tcW w:type="dxa" w:w="415"/>
          </w:tcPr>
          <w:p>
            <w:pPr>
              <w:pStyle w:val="null3"/>
            </w:pPr>
            <w:r>
              <w:rPr/>
              <w:t>6</w:t>
            </w:r>
          </w:p>
        </w:tc>
        <w:tc>
          <w:tcPr>
            <w:tcW w:type="dxa" w:w="5814"/>
          </w:tcPr>
          <w:p>
            <w:pPr>
              <w:pStyle w:val="null3"/>
            </w:pPr>
            <w:r>
              <w:rPr/>
              <w:t>5.检测时间：</w:t>
            </w:r>
            <w:r>
              <w:rPr/>
              <w:t>一般细菌为≤8小时出结果。（提供说明书作为佐证材料）</w:t>
            </w:r>
          </w:p>
        </w:tc>
      </w:tr>
      <w:tr>
        <w:tc>
          <w:tcPr>
            <w:tcW w:type="dxa" w:w="2076"/>
          </w:tcPr>
          <w:p/>
        </w:tc>
        <w:tc>
          <w:tcPr>
            <w:tcW w:type="dxa" w:w="415"/>
          </w:tcPr>
          <w:p>
            <w:pPr>
              <w:pStyle w:val="null3"/>
            </w:pPr>
            <w:r>
              <w:rPr/>
              <w:t>7</w:t>
            </w:r>
          </w:p>
        </w:tc>
        <w:tc>
          <w:tcPr>
            <w:tcW w:type="dxa" w:w="5814"/>
          </w:tcPr>
          <w:p>
            <w:pPr>
              <w:pStyle w:val="null3"/>
            </w:pPr>
            <w:r>
              <w:rPr/>
              <w:t>6.仪器容量：</w:t>
            </w:r>
            <w:r>
              <w:rPr/>
              <w:t>仪器容量≥60个卡位</w:t>
            </w:r>
          </w:p>
        </w:tc>
      </w:tr>
      <w:tr>
        <w:tc>
          <w:tcPr>
            <w:tcW w:type="dxa" w:w="2076"/>
          </w:tcPr>
          <w:p/>
        </w:tc>
        <w:tc>
          <w:tcPr>
            <w:tcW w:type="dxa" w:w="415"/>
          </w:tcPr>
          <w:p>
            <w:pPr>
              <w:pStyle w:val="null3"/>
            </w:pPr>
            <w:r>
              <w:rPr/>
              <w:t>8</w:t>
            </w:r>
          </w:p>
        </w:tc>
        <w:tc>
          <w:tcPr>
            <w:tcW w:type="dxa" w:w="5814"/>
          </w:tcPr>
          <w:p>
            <w:pPr>
              <w:pStyle w:val="null3"/>
            </w:pPr>
            <w:r>
              <w:rPr/>
              <w:t>7.系统自动化：</w:t>
            </w:r>
          </w:p>
        </w:tc>
      </w:tr>
      <w:tr>
        <w:tc>
          <w:tcPr>
            <w:tcW w:type="dxa" w:w="2076"/>
          </w:tcPr>
          <w:p/>
        </w:tc>
        <w:tc>
          <w:tcPr>
            <w:tcW w:type="dxa" w:w="415"/>
          </w:tcPr>
          <w:p>
            <w:pPr>
              <w:pStyle w:val="null3"/>
            </w:pPr>
            <w:r>
              <w:rPr/>
              <w:t>9</w:t>
            </w:r>
          </w:p>
        </w:tc>
        <w:tc>
          <w:tcPr>
            <w:tcW w:type="dxa" w:w="5814"/>
          </w:tcPr>
          <w:p>
            <w:pPr>
              <w:pStyle w:val="null3"/>
            </w:pPr>
            <w:r>
              <w:rPr/>
              <w:t>7.1自动识别板卡信息、自动温育、动态监测、绘制生长曲线并自动报告结果。</w:t>
            </w:r>
          </w:p>
        </w:tc>
      </w:tr>
      <w:tr>
        <w:tc>
          <w:tcPr>
            <w:tcW w:type="dxa" w:w="2076"/>
          </w:tcPr>
          <w:p/>
        </w:tc>
        <w:tc>
          <w:tcPr>
            <w:tcW w:type="dxa" w:w="415"/>
          </w:tcPr>
          <w:p>
            <w:pPr>
              <w:pStyle w:val="null3"/>
            </w:pPr>
            <w:r>
              <w:rPr/>
              <w:t>10</w:t>
            </w:r>
          </w:p>
        </w:tc>
        <w:tc>
          <w:tcPr>
            <w:tcW w:type="dxa" w:w="5814"/>
          </w:tcPr>
          <w:p>
            <w:pPr>
              <w:pStyle w:val="null3"/>
            </w:pPr>
            <w:r>
              <w:rPr/>
              <w:t>7.2仪器≤15分钟进行一次测试。</w:t>
            </w:r>
          </w:p>
        </w:tc>
      </w:tr>
      <w:tr>
        <w:tc>
          <w:tcPr>
            <w:tcW w:type="dxa" w:w="2076"/>
          </w:tcPr>
          <w:p/>
        </w:tc>
        <w:tc>
          <w:tcPr>
            <w:tcW w:type="dxa" w:w="415"/>
          </w:tcPr>
          <w:p>
            <w:pPr>
              <w:pStyle w:val="null3"/>
            </w:pPr>
            <w:r>
              <w:rPr/>
              <w:t>11</w:t>
            </w:r>
          </w:p>
        </w:tc>
        <w:tc>
          <w:tcPr>
            <w:tcW w:type="dxa" w:w="5814"/>
          </w:tcPr>
          <w:p>
            <w:pPr>
              <w:pStyle w:val="null3"/>
            </w:pPr>
            <w:r>
              <w:rPr/>
              <w:t>7.3温控系统：温度准确度偏差应≤±1.5℃。</w:t>
            </w:r>
          </w:p>
        </w:tc>
      </w:tr>
      <w:tr>
        <w:tc>
          <w:tcPr>
            <w:tcW w:type="dxa" w:w="2076"/>
          </w:tcPr>
          <w:p/>
        </w:tc>
        <w:tc>
          <w:tcPr>
            <w:tcW w:type="dxa" w:w="415"/>
          </w:tcPr>
          <w:p>
            <w:pPr>
              <w:pStyle w:val="null3"/>
            </w:pPr>
            <w:r>
              <w:rPr/>
              <w:t>12</w:t>
            </w:r>
          </w:p>
        </w:tc>
        <w:tc>
          <w:tcPr>
            <w:tcW w:type="dxa" w:w="5814"/>
          </w:tcPr>
          <w:p>
            <w:pPr>
              <w:pStyle w:val="null3"/>
            </w:pPr>
            <w:r>
              <w:rPr/>
              <w:t>7.4仪器可通过多彩光色自动提示测试卡检测情况。</w:t>
            </w:r>
          </w:p>
        </w:tc>
      </w:tr>
      <w:tr>
        <w:tc>
          <w:tcPr>
            <w:tcW w:type="dxa" w:w="2076"/>
          </w:tcPr>
          <w:p/>
        </w:tc>
        <w:tc>
          <w:tcPr>
            <w:tcW w:type="dxa" w:w="415"/>
          </w:tcPr>
          <w:p>
            <w:pPr>
              <w:pStyle w:val="null3"/>
            </w:pPr>
            <w:r>
              <w:rPr/>
              <w:t>13</w:t>
            </w:r>
          </w:p>
        </w:tc>
        <w:tc>
          <w:tcPr>
            <w:tcW w:type="dxa" w:w="5814"/>
          </w:tcPr>
          <w:p>
            <w:pPr>
              <w:pStyle w:val="null3"/>
            </w:pPr>
            <w:r>
              <w:rPr/>
              <w:t>7.5仪器可自动出具质控报告。</w:t>
            </w:r>
          </w:p>
        </w:tc>
      </w:tr>
      <w:tr>
        <w:tc>
          <w:tcPr>
            <w:tcW w:type="dxa" w:w="2076"/>
          </w:tcPr>
          <w:p/>
        </w:tc>
        <w:tc>
          <w:tcPr>
            <w:tcW w:type="dxa" w:w="415"/>
          </w:tcPr>
          <w:p>
            <w:pPr>
              <w:pStyle w:val="null3"/>
            </w:pPr>
            <w:r>
              <w:rPr/>
              <w:t>14</w:t>
            </w:r>
          </w:p>
        </w:tc>
        <w:tc>
          <w:tcPr>
            <w:tcW w:type="dxa" w:w="5814"/>
          </w:tcPr>
          <w:p>
            <w:pPr>
              <w:pStyle w:val="null3"/>
            </w:pPr>
            <w:r>
              <w:rPr/>
              <w:t>8.专家系统：</w:t>
            </w:r>
          </w:p>
        </w:tc>
      </w:tr>
      <w:tr>
        <w:tc>
          <w:tcPr>
            <w:tcW w:type="dxa" w:w="2076"/>
          </w:tcPr>
          <w:p/>
        </w:tc>
        <w:tc>
          <w:tcPr>
            <w:tcW w:type="dxa" w:w="415"/>
          </w:tcPr>
          <w:p>
            <w:pPr>
              <w:pStyle w:val="null3"/>
            </w:pPr>
            <w:r>
              <w:rPr/>
              <w:t>15</w:t>
            </w:r>
          </w:p>
        </w:tc>
        <w:tc>
          <w:tcPr>
            <w:tcW w:type="dxa" w:w="5814"/>
          </w:tcPr>
          <w:p>
            <w:pPr>
              <w:pStyle w:val="null3"/>
            </w:pPr>
            <w:r>
              <w:rPr/>
              <w:t>8.1系统可报告＞20种耐药表型。</w:t>
            </w:r>
          </w:p>
        </w:tc>
      </w:tr>
      <w:tr>
        <w:tc>
          <w:tcPr>
            <w:tcW w:type="dxa" w:w="2076"/>
          </w:tcPr>
          <w:p/>
        </w:tc>
        <w:tc>
          <w:tcPr>
            <w:tcW w:type="dxa" w:w="415"/>
          </w:tcPr>
          <w:p>
            <w:pPr>
              <w:pStyle w:val="null3"/>
            </w:pPr>
            <w:r>
              <w:rPr/>
              <w:t>16</w:t>
            </w:r>
          </w:p>
        </w:tc>
        <w:tc>
          <w:tcPr>
            <w:tcW w:type="dxa" w:w="5814"/>
          </w:tcPr>
          <w:p>
            <w:pPr>
              <w:pStyle w:val="null3"/>
            </w:pPr>
            <w:r>
              <w:rPr/>
              <w:t>8.2标明抗菌药物与其它药物的共同活性与交叉耐药性。</w:t>
            </w:r>
          </w:p>
        </w:tc>
      </w:tr>
      <w:tr>
        <w:tc>
          <w:tcPr>
            <w:tcW w:type="dxa" w:w="2076"/>
          </w:tcPr>
          <w:p/>
        </w:tc>
        <w:tc>
          <w:tcPr>
            <w:tcW w:type="dxa" w:w="415"/>
          </w:tcPr>
          <w:p>
            <w:pPr>
              <w:pStyle w:val="null3"/>
            </w:pPr>
            <w:r>
              <w:rPr/>
              <w:t>17</w:t>
            </w:r>
          </w:p>
        </w:tc>
        <w:tc>
          <w:tcPr>
            <w:tcW w:type="dxa" w:w="5814"/>
          </w:tcPr>
          <w:p>
            <w:pPr>
              <w:pStyle w:val="null3"/>
            </w:pPr>
            <w:r>
              <w:rPr/>
              <w:t>8.3抗生素优化组合：根据CLSI、 EUCAST将抗菌药物分A、B、C、U、O、Inv组报告。</w:t>
            </w:r>
          </w:p>
        </w:tc>
      </w:tr>
      <w:tr>
        <w:tc>
          <w:tcPr>
            <w:tcW w:type="dxa" w:w="2076"/>
          </w:tcPr>
          <w:p/>
        </w:tc>
        <w:tc>
          <w:tcPr>
            <w:tcW w:type="dxa" w:w="415"/>
          </w:tcPr>
          <w:p>
            <w:pPr>
              <w:pStyle w:val="null3"/>
            </w:pPr>
            <w:r>
              <w:rPr/>
              <w:t>18</w:t>
            </w:r>
          </w:p>
        </w:tc>
        <w:tc>
          <w:tcPr>
            <w:tcW w:type="dxa" w:w="5814"/>
          </w:tcPr>
          <w:p>
            <w:pPr>
              <w:pStyle w:val="null3"/>
            </w:pPr>
            <w:r>
              <w:rPr/>
              <w:t>9.药敏统计：</w:t>
            </w:r>
          </w:p>
        </w:tc>
      </w:tr>
      <w:tr>
        <w:tc>
          <w:tcPr>
            <w:tcW w:type="dxa" w:w="2076"/>
          </w:tcPr>
          <w:p/>
        </w:tc>
        <w:tc>
          <w:tcPr>
            <w:tcW w:type="dxa" w:w="415"/>
          </w:tcPr>
          <w:p>
            <w:pPr>
              <w:pStyle w:val="null3"/>
            </w:pPr>
            <w:r>
              <w:rPr/>
              <w:t>19</w:t>
            </w:r>
          </w:p>
        </w:tc>
        <w:tc>
          <w:tcPr>
            <w:tcW w:type="dxa" w:w="5814"/>
          </w:tcPr>
          <w:p>
            <w:pPr>
              <w:pStyle w:val="null3"/>
            </w:pPr>
            <w:r>
              <w:rPr/>
              <w:t>9.1统计模块应包括基础统计、耐药率统计、多重耐药率统计。</w:t>
            </w:r>
          </w:p>
        </w:tc>
      </w:tr>
      <w:tr>
        <w:tc>
          <w:tcPr>
            <w:tcW w:type="dxa" w:w="2076"/>
          </w:tcPr>
          <w:p/>
        </w:tc>
        <w:tc>
          <w:tcPr>
            <w:tcW w:type="dxa" w:w="415"/>
          </w:tcPr>
          <w:p>
            <w:pPr>
              <w:pStyle w:val="null3"/>
            </w:pPr>
            <w:r>
              <w:rPr/>
              <w:t>20</w:t>
            </w:r>
          </w:p>
        </w:tc>
        <w:tc>
          <w:tcPr>
            <w:tcW w:type="dxa" w:w="5814"/>
          </w:tcPr>
          <w:p>
            <w:pPr>
              <w:pStyle w:val="null3"/>
            </w:pPr>
            <w:r>
              <w:rPr/>
              <w:t>9.2统计结果可以自定义选择多种图形类型。</w:t>
            </w:r>
          </w:p>
        </w:tc>
      </w:tr>
      <w:tr>
        <w:tc>
          <w:tcPr>
            <w:tcW w:type="dxa" w:w="2076"/>
          </w:tcPr>
          <w:p/>
        </w:tc>
        <w:tc>
          <w:tcPr>
            <w:tcW w:type="dxa" w:w="415"/>
          </w:tcPr>
          <w:p>
            <w:pPr>
              <w:pStyle w:val="null3"/>
            </w:pPr>
            <w:r>
              <w:rPr/>
              <w:t>21</w:t>
            </w:r>
          </w:p>
        </w:tc>
        <w:tc>
          <w:tcPr>
            <w:tcW w:type="dxa" w:w="5814"/>
          </w:tcPr>
          <w:p>
            <w:pPr>
              <w:pStyle w:val="null3"/>
            </w:pPr>
            <w:r>
              <w:rPr/>
              <w:t>10.信息系统：</w:t>
            </w:r>
          </w:p>
        </w:tc>
      </w:tr>
      <w:tr>
        <w:tc>
          <w:tcPr>
            <w:tcW w:type="dxa" w:w="2076"/>
          </w:tcPr>
          <w:p/>
        </w:tc>
        <w:tc>
          <w:tcPr>
            <w:tcW w:type="dxa" w:w="415"/>
          </w:tcPr>
          <w:p>
            <w:pPr>
              <w:pStyle w:val="null3"/>
            </w:pPr>
            <w:r>
              <w:rPr/>
              <w:t>22</w:t>
            </w:r>
          </w:p>
        </w:tc>
        <w:tc>
          <w:tcPr>
            <w:tcW w:type="dxa" w:w="5814"/>
          </w:tcPr>
          <w:p>
            <w:pPr>
              <w:pStyle w:val="null3"/>
            </w:pPr>
            <w:r>
              <w:rPr/>
              <w:t>10.1支持院内LIS/HIS系统联网。</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10.2 药敏仪可与质谱仪物联，质谱鉴定结果直接传输到药敏仪上，无需手工录入。</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10.3实验室信息系统:提供药敏监测数据分析中间件软件，可连接</w:t>
            </w:r>
            <w:r>
              <w:rPr/>
              <w:t>LIS</w:t>
            </w:r>
            <w:r>
              <w:rPr/>
              <w:t>系统，自动审核并导出符合</w:t>
            </w:r>
            <w:r>
              <w:rPr/>
              <w:t>CARSS</w:t>
            </w:r>
            <w:r>
              <w:rPr/>
              <w:t>数据标准的文件，并可检查罕见耐药表型对重点耐药监测指标进行预警。</w:t>
            </w:r>
          </w:p>
        </w:tc>
      </w:tr>
      <w:tr>
        <w:tc>
          <w:tcPr>
            <w:tcW w:type="dxa" w:w="2076"/>
          </w:tcPr>
          <w:p/>
        </w:tc>
        <w:tc>
          <w:tcPr>
            <w:tcW w:type="dxa" w:w="415"/>
          </w:tcPr>
          <w:p>
            <w:pPr>
              <w:pStyle w:val="null3"/>
            </w:pPr>
            <w:r>
              <w:rPr/>
              <w:t>25</w:t>
            </w:r>
          </w:p>
        </w:tc>
        <w:tc>
          <w:tcPr>
            <w:tcW w:type="dxa" w:w="5814"/>
          </w:tcPr>
          <w:p>
            <w:pPr>
              <w:pStyle w:val="null3"/>
            </w:pPr>
            <w:r>
              <w:rPr/>
              <w:t>11.药敏板卡：</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11.1板卡类别：配套革兰氏阳性细菌≥120孔药敏卡、革兰氏阴性细菌≥120孔药敏卡。</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11.2革兰阳性菌板应包含去甲万古霉素、头孢洛林等抗菌药物，应对多重耐药菌的治疗；革兰阴性菌板应包含头孢他啶/阿维巴坦、氨曲南/阿维巴坦针对CRE的治疗。</w:t>
            </w:r>
          </w:p>
        </w:tc>
      </w:tr>
      <w:tr>
        <w:tc>
          <w:tcPr>
            <w:tcW w:type="dxa" w:w="2076"/>
          </w:tcPr>
          <w:p/>
        </w:tc>
        <w:tc>
          <w:tcPr>
            <w:tcW w:type="dxa" w:w="415"/>
          </w:tcPr>
          <w:p>
            <w:pPr>
              <w:pStyle w:val="null3"/>
            </w:pPr>
            <w:r>
              <w:rPr/>
              <w:t>28</w:t>
            </w:r>
          </w:p>
        </w:tc>
        <w:tc>
          <w:tcPr>
            <w:tcW w:type="dxa" w:w="5814"/>
          </w:tcPr>
          <w:p>
            <w:pPr>
              <w:pStyle w:val="null3"/>
            </w:pPr>
            <w:r>
              <w:rPr/>
              <w:t>11.3配套药敏卡可在25℃温度条件下储存。</w:t>
            </w:r>
          </w:p>
        </w:tc>
      </w:tr>
      <w:tr>
        <w:tc>
          <w:tcPr>
            <w:tcW w:type="dxa" w:w="2076"/>
          </w:tcPr>
          <w:p/>
        </w:tc>
        <w:tc>
          <w:tcPr>
            <w:tcW w:type="dxa" w:w="415"/>
          </w:tcPr>
          <w:p>
            <w:pPr>
              <w:pStyle w:val="null3"/>
            </w:pPr>
            <w:r>
              <w:rPr/>
              <w:t>29</w:t>
            </w:r>
          </w:p>
        </w:tc>
        <w:tc>
          <w:tcPr>
            <w:tcW w:type="dxa" w:w="5814"/>
          </w:tcPr>
          <w:p>
            <w:pPr>
              <w:pStyle w:val="null3"/>
            </w:pPr>
            <w:r>
              <w:rPr/>
              <w:t>11.4药敏卡为封闭式卡片，保证实验室人员安全。</w:t>
            </w:r>
          </w:p>
        </w:tc>
      </w:tr>
      <w:tr>
        <w:tc>
          <w:tcPr>
            <w:tcW w:type="dxa" w:w="2076"/>
          </w:tcPr>
          <w:p/>
        </w:tc>
        <w:tc>
          <w:tcPr>
            <w:tcW w:type="dxa" w:w="415"/>
          </w:tcPr>
          <w:p>
            <w:pPr>
              <w:pStyle w:val="null3"/>
            </w:pPr>
            <w:r>
              <w:rPr/>
              <w:t>30</w:t>
            </w:r>
          </w:p>
        </w:tc>
        <w:tc>
          <w:tcPr>
            <w:tcW w:type="dxa" w:w="5814"/>
          </w:tcPr>
          <w:p>
            <w:pPr>
              <w:pStyle w:val="null3"/>
            </w:pPr>
            <w:r>
              <w:rPr/>
              <w:t>11.5药敏板卡实测6-7个梯度的抗菌药物最多可达16种，确保给出精准的MIC值。</w:t>
            </w:r>
          </w:p>
        </w:tc>
      </w:tr>
      <w:tr>
        <w:tc>
          <w:tcPr>
            <w:tcW w:type="dxa" w:w="2076"/>
          </w:tcPr>
          <w:p/>
        </w:tc>
        <w:tc>
          <w:tcPr>
            <w:tcW w:type="dxa" w:w="415"/>
          </w:tcPr>
          <w:p>
            <w:pPr>
              <w:pStyle w:val="null3"/>
            </w:pPr>
            <w:r>
              <w:rPr/>
              <w:t>31</w:t>
            </w:r>
          </w:p>
        </w:tc>
        <w:tc>
          <w:tcPr>
            <w:tcW w:type="dxa" w:w="5814"/>
          </w:tcPr>
          <w:p>
            <w:pPr>
              <w:pStyle w:val="null3"/>
            </w:pPr>
            <w:r>
              <w:rPr/>
              <w:t>11.6药敏卡符合最新CLSI文件、EUCAST标准、CARSS技术要求与行业标准。</w:t>
            </w:r>
          </w:p>
        </w:tc>
      </w:tr>
      <w:tr>
        <w:tc>
          <w:tcPr>
            <w:tcW w:type="dxa" w:w="2076"/>
          </w:tcPr>
          <w:p/>
        </w:tc>
        <w:tc>
          <w:tcPr>
            <w:tcW w:type="dxa" w:w="415"/>
          </w:tcPr>
          <w:p>
            <w:pPr>
              <w:pStyle w:val="null3"/>
            </w:pPr>
            <w:r>
              <w:rPr/>
              <w:t>32</w:t>
            </w:r>
          </w:p>
        </w:tc>
        <w:tc>
          <w:tcPr>
            <w:tcW w:type="dxa" w:w="5814"/>
          </w:tcPr>
          <w:p>
            <w:pPr>
              <w:pStyle w:val="null3"/>
            </w:pPr>
            <w:r>
              <w:rPr/>
              <w:t>（二）配置清单</w:t>
            </w:r>
          </w:p>
          <w:p>
            <w:pPr>
              <w:pStyle w:val="null3"/>
              <w:jc w:val="left"/>
            </w:pPr>
            <w:r>
              <w:rPr>
                <w:sz w:val="24"/>
              </w:rPr>
              <w:t>1.</w:t>
            </w:r>
            <w:r>
              <w:rPr>
                <w:sz w:val="24"/>
              </w:rPr>
              <w:t>全自动微生物药敏分析仪整一套</w:t>
            </w:r>
          </w:p>
          <w:p>
            <w:pPr>
              <w:pStyle w:val="null3"/>
              <w:jc w:val="left"/>
            </w:pPr>
            <w:r>
              <w:rPr>
                <w:sz w:val="24"/>
              </w:rPr>
              <w:t>2.电源线1条</w:t>
            </w:r>
          </w:p>
          <w:p>
            <w:pPr>
              <w:pStyle w:val="null3"/>
              <w:jc w:val="left"/>
            </w:pPr>
            <w:r>
              <w:rPr>
                <w:sz w:val="24"/>
              </w:rPr>
              <w:t>3.使用说明书2份</w:t>
            </w:r>
          </w:p>
          <w:p>
            <w:pPr>
              <w:pStyle w:val="null3"/>
              <w:jc w:val="left"/>
            </w:pPr>
            <w:r>
              <w:rPr>
                <w:sz w:val="24"/>
              </w:rPr>
              <w:t>4.合格证1份</w:t>
            </w:r>
          </w:p>
          <w:p>
            <w:pPr>
              <w:pStyle w:val="null3"/>
              <w:jc w:val="left"/>
            </w:pPr>
            <w:r>
              <w:rPr>
                <w:sz w:val="24"/>
              </w:rPr>
              <w:t>5.保修卡1份</w:t>
            </w:r>
          </w:p>
          <w:p>
            <w:pPr>
              <w:pStyle w:val="null3"/>
              <w:jc w:val="left"/>
            </w:pPr>
            <w:r>
              <w:rPr>
                <w:sz w:val="24"/>
              </w:rPr>
              <w:t>6.键盘鼠标1套</w:t>
            </w:r>
          </w:p>
          <w:p>
            <w:pPr>
              <w:pStyle w:val="null3"/>
              <w:jc w:val="left"/>
            </w:pPr>
            <w:r>
              <w:rPr>
                <w:sz w:val="24"/>
              </w:rPr>
              <w:t>7.HDMI高清线1件</w:t>
            </w:r>
          </w:p>
          <w:p>
            <w:pPr>
              <w:pStyle w:val="null3"/>
              <w:jc w:val="left"/>
            </w:pPr>
            <w:r>
              <w:rPr>
                <w:sz w:val="24"/>
              </w:rPr>
              <w:t>8.</w:t>
            </w:r>
            <w:r>
              <w:rPr>
                <w:sz w:val="24"/>
              </w:rPr>
              <w:t>图像显示设备</w:t>
            </w:r>
            <w:r>
              <w:rPr>
                <w:sz w:val="24"/>
              </w:rPr>
              <w:t>1套</w:t>
            </w:r>
          </w:p>
          <w:p>
            <w:pPr>
              <w:pStyle w:val="null3"/>
              <w:jc w:val="left"/>
            </w:pPr>
            <w:r>
              <w:rPr>
                <w:sz w:val="24"/>
              </w:rPr>
              <w:t>9.图文报告工作站1套</w:t>
            </w:r>
          </w:p>
          <w:p>
            <w:pPr>
              <w:pStyle w:val="null3"/>
              <w:jc w:val="left"/>
            </w:pPr>
            <w:r>
              <w:rPr>
                <w:sz w:val="24"/>
              </w:rPr>
              <w:t>10.图文报告输出设备 1套</w:t>
            </w:r>
          </w:p>
          <w:p>
            <w:pPr>
              <w:pStyle w:val="null3"/>
              <w:jc w:val="left"/>
            </w:pPr>
            <w:r>
              <w:rPr>
                <w:sz w:val="24"/>
              </w:rPr>
              <w:t>11</w:t>
            </w:r>
            <w:r>
              <w:rPr>
                <w:sz w:val="24"/>
              </w:rPr>
              <w:t>.设备验收单1份</w:t>
            </w:r>
          </w:p>
          <w:p>
            <w:pPr>
              <w:pStyle w:val="null3"/>
              <w:jc w:val="both"/>
            </w:pPr>
            <w:r>
              <w:rPr>
                <w:sz w:val="24"/>
              </w:rPr>
              <w:t>12</w:t>
            </w:r>
            <w:r>
              <w:rPr>
                <w:sz w:val="24"/>
              </w:rPr>
              <w:t>.仪器培训表1份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细菌鉴定质谱仪（全自动生物质谱检测系统）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1.适用范围：</w:t>
            </w:r>
            <w:r>
              <w:rPr/>
              <w:t>用于对样本分离出的细菌、真菌鉴定。</w:t>
            </w:r>
          </w:p>
        </w:tc>
      </w:tr>
      <w:tr>
        <w:tc>
          <w:tcPr>
            <w:tcW w:type="dxa" w:w="2076"/>
          </w:tcPr>
          <w:p/>
        </w:tc>
        <w:tc>
          <w:tcPr>
            <w:tcW w:type="dxa" w:w="415"/>
          </w:tcPr>
          <w:p>
            <w:pPr>
              <w:pStyle w:val="null3"/>
            </w:pPr>
            <w:r>
              <w:rPr/>
              <w:t>3</w:t>
            </w:r>
          </w:p>
        </w:tc>
        <w:tc>
          <w:tcPr>
            <w:tcW w:type="dxa" w:w="5814"/>
          </w:tcPr>
          <w:p>
            <w:pPr>
              <w:pStyle w:val="null3"/>
            </w:pPr>
            <w:r>
              <w:rPr/>
              <w:t>2.仪器性能：</w:t>
            </w:r>
          </w:p>
        </w:tc>
      </w:tr>
      <w:tr>
        <w:tc>
          <w:tcPr>
            <w:tcW w:type="dxa" w:w="2076"/>
          </w:tcPr>
          <w:p/>
        </w:tc>
        <w:tc>
          <w:tcPr>
            <w:tcW w:type="dxa" w:w="415"/>
          </w:tcPr>
          <w:p>
            <w:pPr>
              <w:pStyle w:val="null3"/>
            </w:pPr>
            <w:r>
              <w:rPr/>
              <w:t>4</w:t>
            </w:r>
          </w:p>
        </w:tc>
        <w:tc>
          <w:tcPr>
            <w:tcW w:type="dxa" w:w="5814"/>
          </w:tcPr>
          <w:p>
            <w:pPr>
              <w:pStyle w:val="null3"/>
            </w:pPr>
            <w:r>
              <w:rPr/>
              <w:t>2.1分辨率：ACTH(1-17)（m/z 2093.09） &gt;4500 FWHM 。</w:t>
            </w:r>
          </w:p>
        </w:tc>
      </w:tr>
      <w:tr>
        <w:tc>
          <w:tcPr>
            <w:tcW w:type="dxa" w:w="2076"/>
          </w:tcPr>
          <w:p/>
        </w:tc>
        <w:tc>
          <w:tcPr>
            <w:tcW w:type="dxa" w:w="415"/>
          </w:tcPr>
          <w:p>
            <w:pPr>
              <w:pStyle w:val="null3"/>
            </w:pPr>
            <w:r>
              <w:rPr/>
              <w:t>5</w:t>
            </w:r>
          </w:p>
        </w:tc>
        <w:tc>
          <w:tcPr>
            <w:tcW w:type="dxa" w:w="5814"/>
          </w:tcPr>
          <w:p>
            <w:pPr>
              <w:pStyle w:val="null3"/>
            </w:pPr>
            <w:r>
              <w:rPr/>
              <w:t>2.2灵敏度：</w:t>
            </w:r>
            <w:r>
              <w:rPr/>
              <w:t>≥</w:t>
            </w:r>
            <w:r>
              <w:rPr/>
              <w:t>100 fmolBSA，激光轰击</w:t>
            </w:r>
            <w:r>
              <w:rPr/>
              <w:t>≥</w:t>
            </w:r>
            <w:r>
              <w:rPr/>
              <w:t>200次，信噪比≥100:1。</w:t>
            </w:r>
          </w:p>
        </w:tc>
      </w:tr>
      <w:tr>
        <w:tc>
          <w:tcPr>
            <w:tcW w:type="dxa" w:w="2076"/>
          </w:tcPr>
          <w:p/>
        </w:tc>
        <w:tc>
          <w:tcPr>
            <w:tcW w:type="dxa" w:w="415"/>
          </w:tcPr>
          <w:p>
            <w:pPr>
              <w:pStyle w:val="null3"/>
            </w:pPr>
            <w:r>
              <w:rPr/>
              <w:t>6</w:t>
            </w:r>
          </w:p>
        </w:tc>
        <w:tc>
          <w:tcPr>
            <w:tcW w:type="dxa" w:w="5814"/>
          </w:tcPr>
          <w:p>
            <w:pPr>
              <w:pStyle w:val="null3"/>
            </w:pPr>
            <w:r>
              <w:rPr/>
              <w:t>2.3质量准确度：&lt;60ppm（内部校正误差）；&lt;100ppm（外部校正误差）。</w:t>
            </w:r>
          </w:p>
        </w:tc>
      </w:tr>
      <w:tr>
        <w:tc>
          <w:tcPr>
            <w:tcW w:type="dxa" w:w="2076"/>
          </w:tcPr>
          <w:p/>
        </w:tc>
        <w:tc>
          <w:tcPr>
            <w:tcW w:type="dxa" w:w="415"/>
          </w:tcPr>
          <w:p>
            <w:pPr>
              <w:pStyle w:val="null3"/>
            </w:pPr>
            <w:r>
              <w:rPr/>
              <w:t>7</w:t>
            </w:r>
          </w:p>
        </w:tc>
        <w:tc>
          <w:tcPr>
            <w:tcW w:type="dxa" w:w="5814"/>
          </w:tcPr>
          <w:p>
            <w:pPr>
              <w:pStyle w:val="null3"/>
            </w:pPr>
            <w:r>
              <w:rPr/>
              <w:t>2.4质量检测范围：1-500,000 m/z（Da）。</w:t>
            </w:r>
          </w:p>
        </w:tc>
      </w:tr>
      <w:tr>
        <w:tc>
          <w:tcPr>
            <w:tcW w:type="dxa" w:w="2076"/>
          </w:tcPr>
          <w:p/>
        </w:tc>
        <w:tc>
          <w:tcPr>
            <w:tcW w:type="dxa" w:w="415"/>
          </w:tcPr>
          <w:p>
            <w:pPr>
              <w:pStyle w:val="null3"/>
            </w:pPr>
            <w:r>
              <w:rPr/>
              <w:t>8</w:t>
            </w:r>
          </w:p>
        </w:tc>
        <w:tc>
          <w:tcPr>
            <w:tcW w:type="dxa" w:w="5814"/>
          </w:tcPr>
          <w:p>
            <w:pPr>
              <w:pStyle w:val="null3"/>
            </w:pPr>
            <w:r>
              <w:rPr/>
              <w:t>3.外观设计：</w:t>
            </w:r>
          </w:p>
        </w:tc>
      </w:tr>
      <w:tr>
        <w:tc>
          <w:tcPr>
            <w:tcW w:type="dxa" w:w="2076"/>
          </w:tcPr>
          <w:p/>
        </w:tc>
        <w:tc>
          <w:tcPr>
            <w:tcW w:type="dxa" w:w="415"/>
          </w:tcPr>
          <w:p>
            <w:pPr>
              <w:pStyle w:val="null3"/>
            </w:pPr>
            <w:r>
              <w:rPr/>
              <w:t>9</w:t>
            </w:r>
          </w:p>
        </w:tc>
        <w:tc>
          <w:tcPr>
            <w:tcW w:type="dxa" w:w="5814"/>
          </w:tcPr>
          <w:p>
            <w:pPr>
              <w:pStyle w:val="null3"/>
            </w:pPr>
            <w:r>
              <w:rPr/>
              <w:t>3.1主机紧凑小巧，真空飞行管长度≤0.7m。</w:t>
            </w:r>
          </w:p>
        </w:tc>
      </w:tr>
      <w:tr>
        <w:tc>
          <w:tcPr>
            <w:tcW w:type="dxa" w:w="2076"/>
          </w:tcPr>
          <w:p/>
        </w:tc>
        <w:tc>
          <w:tcPr>
            <w:tcW w:type="dxa" w:w="415"/>
          </w:tcPr>
          <w:p>
            <w:pPr>
              <w:pStyle w:val="null3"/>
            </w:pPr>
            <w:r>
              <w:rPr/>
              <w:t>10</w:t>
            </w:r>
          </w:p>
        </w:tc>
        <w:tc>
          <w:tcPr>
            <w:tcW w:type="dxa" w:w="5814"/>
          </w:tcPr>
          <w:p>
            <w:pPr>
              <w:pStyle w:val="null3"/>
            </w:pPr>
            <w:r>
              <w:rPr/>
              <w:t>3.2通过感应式按键进行进、出仓舱操作便于非接触操作；双侧门采用卡扣式设计，易于维护。</w:t>
            </w:r>
          </w:p>
        </w:tc>
      </w:tr>
      <w:tr>
        <w:tc>
          <w:tcPr>
            <w:tcW w:type="dxa" w:w="2076"/>
          </w:tcPr>
          <w:p/>
        </w:tc>
        <w:tc>
          <w:tcPr>
            <w:tcW w:type="dxa" w:w="415"/>
          </w:tcPr>
          <w:p>
            <w:pPr>
              <w:pStyle w:val="null3"/>
            </w:pPr>
            <w:r>
              <w:rPr/>
              <w:t>11</w:t>
            </w:r>
          </w:p>
        </w:tc>
        <w:tc>
          <w:tcPr>
            <w:tcW w:type="dxa" w:w="5814"/>
          </w:tcPr>
          <w:p>
            <w:pPr>
              <w:pStyle w:val="null3"/>
            </w:pPr>
            <w:r>
              <w:rPr/>
              <w:t>4.硬件：</w:t>
            </w:r>
          </w:p>
        </w:tc>
      </w:tr>
      <w:tr>
        <w:tc>
          <w:tcPr>
            <w:tcW w:type="dxa" w:w="2076"/>
          </w:tcPr>
          <w:p/>
        </w:tc>
        <w:tc>
          <w:tcPr>
            <w:tcW w:type="dxa" w:w="415"/>
          </w:tcPr>
          <w:p>
            <w:pPr>
              <w:pStyle w:val="null3"/>
            </w:pPr>
            <w:r>
              <w:rPr/>
              <w:t>12</w:t>
            </w:r>
          </w:p>
        </w:tc>
        <w:tc>
          <w:tcPr>
            <w:tcW w:type="dxa" w:w="5814"/>
          </w:tcPr>
          <w:p>
            <w:pPr>
              <w:pStyle w:val="null3"/>
            </w:pPr>
            <w:r>
              <w:rPr/>
              <w:t>4.1配备固体激光器，频率在1-200Hz可调，激光波长355nm，激光发射次数≥2×10</w:t>
            </w:r>
            <w:r>
              <w:rPr/>
              <w:t>11</w:t>
            </w:r>
            <w:r>
              <w:rPr/>
              <w:t>。</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4.2采用独立电机顶靶装置，最大程度解决平台丝杆磨损，进靶时间≤24s。</w:t>
            </w:r>
          </w:p>
        </w:tc>
      </w:tr>
      <w:tr>
        <w:tc>
          <w:tcPr>
            <w:tcW w:type="dxa" w:w="2076"/>
          </w:tcPr>
          <w:p/>
        </w:tc>
        <w:tc>
          <w:tcPr>
            <w:tcW w:type="dxa" w:w="415"/>
          </w:tcPr>
          <w:p>
            <w:pPr>
              <w:pStyle w:val="null3"/>
            </w:pPr>
            <w:r>
              <w:rPr/>
              <w:t>14</w:t>
            </w:r>
          </w:p>
        </w:tc>
        <w:tc>
          <w:tcPr>
            <w:tcW w:type="dxa" w:w="5814"/>
          </w:tcPr>
          <w:p>
            <w:pPr>
              <w:pStyle w:val="null3"/>
            </w:pPr>
            <w:r>
              <w:rPr/>
              <w:t>4.3采用双通道超MCP检测器，高速数据采集卡，采集频率1-2GHz可调。</w:t>
            </w:r>
          </w:p>
        </w:tc>
      </w:tr>
      <w:tr>
        <w:tc>
          <w:tcPr>
            <w:tcW w:type="dxa" w:w="2076"/>
          </w:tcPr>
          <w:p/>
        </w:tc>
        <w:tc>
          <w:tcPr>
            <w:tcW w:type="dxa" w:w="415"/>
          </w:tcPr>
          <w:p>
            <w:pPr>
              <w:pStyle w:val="null3"/>
            </w:pPr>
            <w:r>
              <w:rPr/>
              <w:t>15</w:t>
            </w:r>
          </w:p>
        </w:tc>
        <w:tc>
          <w:tcPr>
            <w:tcW w:type="dxa" w:w="5814"/>
          </w:tcPr>
          <w:p>
            <w:pPr>
              <w:pStyle w:val="null3"/>
            </w:pPr>
            <w:r>
              <w:rPr/>
              <w:t>4.4采用FPGA+ARM模块化电路控制系统、全数字化高压电源、高精度低抖动延时控制电路，电压稳定、质量精度高。（投标文件中提供技术白皮书作为佐证材料）</w:t>
            </w:r>
          </w:p>
        </w:tc>
      </w:tr>
      <w:tr>
        <w:tc>
          <w:tcPr>
            <w:tcW w:type="dxa" w:w="2076"/>
          </w:tcPr>
          <w:p/>
        </w:tc>
        <w:tc>
          <w:tcPr>
            <w:tcW w:type="dxa" w:w="415"/>
          </w:tcPr>
          <w:p>
            <w:pPr>
              <w:pStyle w:val="null3"/>
            </w:pPr>
            <w:r>
              <w:rPr/>
              <w:t>16</w:t>
            </w:r>
          </w:p>
        </w:tc>
        <w:tc>
          <w:tcPr>
            <w:tcW w:type="dxa" w:w="5814"/>
          </w:tcPr>
          <w:p>
            <w:pPr>
              <w:pStyle w:val="null3"/>
            </w:pPr>
            <w:r>
              <w:rPr/>
              <w:t>4.5工作站与主机通讯均为USB接口，易于维护。（投标文件中提供技术白皮书作为佐证材料）</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4.6采用智能控制的低噪声双级联前级真空泵和高抽速的涡轮分子泵，可将真空管长时间维持在4×10</w:t>
            </w:r>
            <w:r>
              <w:rPr/>
              <w:t>-8</w:t>
            </w:r>
            <w:r>
              <w:rPr/>
              <w:t>mbar的高真空度，真空恢复时间≤30s。</w:t>
            </w:r>
          </w:p>
        </w:tc>
      </w:tr>
      <w:tr>
        <w:tc>
          <w:tcPr>
            <w:tcW w:type="dxa" w:w="2076"/>
          </w:tcPr>
          <w:p/>
        </w:tc>
        <w:tc>
          <w:tcPr>
            <w:tcW w:type="dxa" w:w="415"/>
          </w:tcPr>
          <w:p>
            <w:pPr>
              <w:pStyle w:val="null3"/>
            </w:pPr>
            <w:r>
              <w:rPr/>
              <w:t>18</w:t>
            </w:r>
          </w:p>
        </w:tc>
        <w:tc>
          <w:tcPr>
            <w:tcW w:type="dxa" w:w="5814"/>
          </w:tcPr>
          <w:p>
            <w:pPr>
              <w:pStyle w:val="null3"/>
            </w:pPr>
            <w:r>
              <w:rPr/>
              <w:t>4.7配备可拆卸分子筛排气过滤系统，吸附效率99%，有效保证生物安全问题。</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4.8仪器内置机械泵（油泵）及涡轮分子泵，抽速快且噪音低。</w:t>
            </w:r>
          </w:p>
        </w:tc>
      </w:tr>
      <w:tr>
        <w:tc>
          <w:tcPr>
            <w:tcW w:type="dxa" w:w="2076"/>
          </w:tcPr>
          <w:p/>
        </w:tc>
        <w:tc>
          <w:tcPr>
            <w:tcW w:type="dxa" w:w="415"/>
          </w:tcPr>
          <w:p>
            <w:pPr>
              <w:pStyle w:val="null3"/>
            </w:pPr>
            <w:r>
              <w:rPr/>
              <w:t>20</w:t>
            </w:r>
          </w:p>
        </w:tc>
        <w:tc>
          <w:tcPr>
            <w:tcW w:type="dxa" w:w="5814"/>
          </w:tcPr>
          <w:p>
            <w:pPr>
              <w:pStyle w:val="null3"/>
            </w:pPr>
            <w:r>
              <w:rPr/>
              <w:t>5.数据库</w:t>
            </w:r>
          </w:p>
        </w:tc>
      </w:tr>
      <w:tr>
        <w:tc>
          <w:tcPr>
            <w:tcW w:type="dxa" w:w="2076"/>
          </w:tcPr>
          <w:p/>
        </w:tc>
        <w:tc>
          <w:tcPr>
            <w:tcW w:type="dxa" w:w="415"/>
          </w:tcPr>
          <w:p>
            <w:pPr>
              <w:pStyle w:val="null3"/>
            </w:pPr>
            <w:r>
              <w:rPr/>
              <w:t>21</w:t>
            </w:r>
          </w:p>
        </w:tc>
        <w:tc>
          <w:tcPr>
            <w:tcW w:type="dxa" w:w="5814"/>
          </w:tcPr>
          <w:p>
            <w:pPr>
              <w:pStyle w:val="null3"/>
            </w:pPr>
            <w:r>
              <w:rPr/>
              <w:t>5.1本地临床数据库，包含微生物质谱指纹图谱、培养菌落形态和显微镜下染色形态，其中指纹图谱库大于2700种，形态图片可编辑，备注，多维度报告检测结果。（投标文件中提供软件截图作为佐证材料）</w:t>
            </w:r>
          </w:p>
        </w:tc>
      </w:tr>
      <w:tr>
        <w:tc>
          <w:tcPr>
            <w:tcW w:type="dxa" w:w="2076"/>
          </w:tcPr>
          <w:p/>
        </w:tc>
        <w:tc>
          <w:tcPr>
            <w:tcW w:type="dxa" w:w="415"/>
          </w:tcPr>
          <w:p>
            <w:pPr>
              <w:pStyle w:val="null3"/>
            </w:pPr>
            <w:r>
              <w:rPr/>
              <w:t>22</w:t>
            </w:r>
          </w:p>
        </w:tc>
        <w:tc>
          <w:tcPr>
            <w:tcW w:type="dxa" w:w="5814"/>
          </w:tcPr>
          <w:p>
            <w:pPr>
              <w:pStyle w:val="null3"/>
            </w:pPr>
            <w:r>
              <w:rPr/>
              <w:t>5.2数据库中包含传染性强的细菌结核分枝杆菌、按蚊伊丽莎白菌等。（提供鉴定图谱作为佐证材料）</w:t>
            </w:r>
          </w:p>
        </w:tc>
      </w:tr>
      <w:tr>
        <w:tc>
          <w:tcPr>
            <w:tcW w:type="dxa" w:w="2076"/>
          </w:tcPr>
          <w:p/>
        </w:tc>
        <w:tc>
          <w:tcPr>
            <w:tcW w:type="dxa" w:w="415"/>
          </w:tcPr>
          <w:p>
            <w:pPr>
              <w:pStyle w:val="null3"/>
            </w:pPr>
            <w:r>
              <w:rPr/>
              <w:t>23</w:t>
            </w:r>
          </w:p>
        </w:tc>
        <w:tc>
          <w:tcPr>
            <w:tcW w:type="dxa" w:w="5814"/>
          </w:tcPr>
          <w:p>
            <w:pPr>
              <w:pStyle w:val="null3"/>
            </w:pPr>
            <w:r>
              <w:rPr/>
              <w:t>6.智能软件系统：</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6.1采谱和分析鉴定软件一体化，96个样本采集鉴定时间≤5min。</w:t>
            </w:r>
          </w:p>
        </w:tc>
      </w:tr>
      <w:tr>
        <w:tc>
          <w:tcPr>
            <w:tcW w:type="dxa" w:w="2076"/>
          </w:tcPr>
          <w:p/>
        </w:tc>
        <w:tc>
          <w:tcPr>
            <w:tcW w:type="dxa" w:w="415"/>
          </w:tcPr>
          <w:p>
            <w:pPr>
              <w:pStyle w:val="null3"/>
            </w:pPr>
            <w:r>
              <w:rPr/>
              <w:t>25</w:t>
            </w:r>
          </w:p>
        </w:tc>
        <w:tc>
          <w:tcPr>
            <w:tcW w:type="dxa" w:w="5814"/>
          </w:tcPr>
          <w:p>
            <w:pPr>
              <w:pStyle w:val="null3"/>
            </w:pPr>
            <w:r>
              <w:rPr/>
              <w:t>6.2软件具有样品放大监控画面，激光打样位置清晰可见，便于观察靶点结晶效果，可实现自动偏移起始点采集，充分利用样本。</w:t>
            </w:r>
          </w:p>
        </w:tc>
      </w:tr>
      <w:tr>
        <w:tc>
          <w:tcPr>
            <w:tcW w:type="dxa" w:w="2076"/>
          </w:tcPr>
          <w:p/>
        </w:tc>
        <w:tc>
          <w:tcPr>
            <w:tcW w:type="dxa" w:w="415"/>
          </w:tcPr>
          <w:p>
            <w:pPr>
              <w:pStyle w:val="null3"/>
            </w:pPr>
            <w:r>
              <w:rPr/>
              <w:t>26</w:t>
            </w:r>
          </w:p>
        </w:tc>
        <w:tc>
          <w:tcPr>
            <w:tcW w:type="dxa" w:w="5814"/>
          </w:tcPr>
          <w:p>
            <w:pPr>
              <w:pStyle w:val="null3"/>
            </w:pPr>
            <w:r>
              <w:rPr/>
              <w:t>6.3谱图预览功能，可同时预览超过6张谱图，便于选择最佳谱图进行检索；</w:t>
            </w:r>
          </w:p>
        </w:tc>
      </w:tr>
      <w:tr>
        <w:tc>
          <w:tcPr>
            <w:tcW w:type="dxa" w:w="2076"/>
          </w:tcPr>
          <w:p/>
        </w:tc>
        <w:tc>
          <w:tcPr>
            <w:tcW w:type="dxa" w:w="415"/>
          </w:tcPr>
          <w:p>
            <w:pPr>
              <w:pStyle w:val="null3"/>
            </w:pPr>
            <w:r>
              <w:rPr/>
              <w:t>27</w:t>
            </w:r>
          </w:p>
        </w:tc>
        <w:tc>
          <w:tcPr>
            <w:tcW w:type="dxa" w:w="5814"/>
          </w:tcPr>
          <w:p>
            <w:pPr>
              <w:pStyle w:val="null3"/>
            </w:pPr>
            <w:r>
              <w:rPr/>
              <w:t>6.4软件系统具有聚类分析、同源性分析、主成分分析等用于菌株溯源分析等临床研究工作。</w:t>
            </w:r>
          </w:p>
        </w:tc>
      </w:tr>
      <w:tr>
        <w:tc>
          <w:tcPr>
            <w:tcW w:type="dxa" w:w="2076"/>
          </w:tcPr>
          <w:p/>
        </w:tc>
        <w:tc>
          <w:tcPr>
            <w:tcW w:type="dxa" w:w="415"/>
          </w:tcPr>
          <w:p>
            <w:pPr>
              <w:pStyle w:val="null3"/>
            </w:pPr>
            <w:r>
              <w:rPr/>
              <w:t>28</w:t>
            </w:r>
          </w:p>
        </w:tc>
        <w:tc>
          <w:tcPr>
            <w:tcW w:type="dxa" w:w="5814"/>
          </w:tcPr>
          <w:p>
            <w:pPr>
              <w:pStyle w:val="null3"/>
            </w:pPr>
            <w:r>
              <w:rPr/>
              <w:t>6.5软件提供小分子检测模块，可对0-1000Da的小分子进行检测，可实现菌株耐药性分析。如产酶耐药表型：β内酰胺酶等。（投标文件中提供软件小分子模块检测截图作为佐证材料）</w:t>
            </w:r>
          </w:p>
        </w:tc>
      </w:tr>
      <w:tr>
        <w:tc>
          <w:tcPr>
            <w:tcW w:type="dxa" w:w="2076"/>
          </w:tcPr>
          <w:p/>
        </w:tc>
        <w:tc>
          <w:tcPr>
            <w:tcW w:type="dxa" w:w="415"/>
          </w:tcPr>
          <w:p>
            <w:pPr>
              <w:pStyle w:val="null3"/>
            </w:pPr>
            <w:r>
              <w:rPr/>
              <w:t>29</w:t>
            </w:r>
          </w:p>
        </w:tc>
        <w:tc>
          <w:tcPr>
            <w:tcW w:type="dxa" w:w="5814"/>
          </w:tcPr>
          <w:p>
            <w:pPr>
              <w:pStyle w:val="null3"/>
            </w:pPr>
            <w:r>
              <w:rPr/>
              <w:t>6.6具有混合菌分析模块，对于难分离的菌落样本可支持≥3种菌的种类鉴定及混合菌含量测定。（投标文件中提供混合菌分析结果截图作为佐证材料）</w:t>
            </w:r>
          </w:p>
        </w:tc>
      </w:tr>
      <w:tr>
        <w:tc>
          <w:tcPr>
            <w:tcW w:type="dxa" w:w="2076"/>
          </w:tcPr>
          <w:p/>
        </w:tc>
        <w:tc>
          <w:tcPr>
            <w:tcW w:type="dxa" w:w="415"/>
          </w:tcPr>
          <w:p>
            <w:pPr>
              <w:pStyle w:val="null3"/>
            </w:pPr>
            <w:r>
              <w:rPr/>
              <w:t>30</w:t>
            </w:r>
          </w:p>
        </w:tc>
        <w:tc>
          <w:tcPr>
            <w:tcW w:type="dxa" w:w="5814"/>
          </w:tcPr>
          <w:p>
            <w:pPr>
              <w:pStyle w:val="null3"/>
            </w:pPr>
            <w:r>
              <w:rPr/>
              <w:t>6.7具备自建库和谱库管理功能，还可以导入文本格式数据进行建库。</w:t>
            </w:r>
          </w:p>
        </w:tc>
      </w:tr>
      <w:tr>
        <w:tc>
          <w:tcPr>
            <w:tcW w:type="dxa" w:w="2076"/>
          </w:tcPr>
          <w:p/>
        </w:tc>
        <w:tc>
          <w:tcPr>
            <w:tcW w:type="dxa" w:w="415"/>
          </w:tcPr>
          <w:p>
            <w:pPr>
              <w:pStyle w:val="null3"/>
            </w:pPr>
            <w:r>
              <w:rPr/>
              <w:t>31</w:t>
            </w:r>
          </w:p>
        </w:tc>
        <w:tc>
          <w:tcPr>
            <w:tcW w:type="dxa" w:w="5814"/>
          </w:tcPr>
          <w:p>
            <w:pPr>
              <w:pStyle w:val="null3"/>
            </w:pPr>
            <w:r>
              <w:rPr/>
              <w:t>7.仪器配置：</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7.1配套自动真空干靶箱，采用负压干燥模式，干燥时间在1min-30min</w:t>
            </w:r>
            <w:r>
              <w:rPr/>
              <w:t>，</w:t>
            </w:r>
            <w:r>
              <w:rPr/>
              <w:t>允差±1min可调，快速干燥靶板，使结晶更均匀；可同时放置4片96孔位靶板或者1片384孔位靶板。</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7.2配备可与报告系统物联的菌落形态拍摄仪，可将平板菌落图上传到软件与数据库菌体形态图进行比对与修改、编辑，具备学习功能；可扫描靶板条形码，关联记录靶板标本信息。</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7.3配备微生物质谱直涂专业工具，可通过一次性直涂头进行菌体的挑取及靶板点样。</w:t>
            </w:r>
          </w:p>
        </w:tc>
      </w:tr>
      <w:tr>
        <w:tc>
          <w:tcPr>
            <w:tcW w:type="dxa" w:w="2076"/>
          </w:tcPr>
          <w:p/>
        </w:tc>
        <w:tc>
          <w:tcPr>
            <w:tcW w:type="dxa" w:w="415"/>
          </w:tcPr>
          <w:p>
            <w:pPr>
              <w:pStyle w:val="null3"/>
            </w:pPr>
            <w:r>
              <w:rPr/>
              <w:t>35</w:t>
            </w:r>
          </w:p>
        </w:tc>
        <w:tc>
          <w:tcPr>
            <w:tcW w:type="dxa" w:w="5814"/>
          </w:tcPr>
          <w:p>
            <w:pPr>
              <w:pStyle w:val="null3"/>
            </w:pPr>
            <w:r>
              <w:rPr/>
              <w:t>7.4质谱鉴定仪主机：1台（包括激光器、离子源、不锈钢靶板、TOF质量分析器、检测器）</w:t>
            </w:r>
          </w:p>
        </w:tc>
      </w:tr>
      <w:tr>
        <w:tc>
          <w:tcPr>
            <w:tcW w:type="dxa" w:w="2076"/>
          </w:tcPr>
          <w:p/>
        </w:tc>
        <w:tc>
          <w:tcPr>
            <w:tcW w:type="dxa" w:w="415"/>
          </w:tcPr>
          <w:p>
            <w:pPr>
              <w:pStyle w:val="null3"/>
            </w:pPr>
            <w:r>
              <w:rPr/>
              <w:t>36</w:t>
            </w:r>
          </w:p>
        </w:tc>
        <w:tc>
          <w:tcPr>
            <w:tcW w:type="dxa" w:w="5814"/>
          </w:tcPr>
          <w:p>
            <w:pPr>
              <w:pStyle w:val="null3"/>
            </w:pPr>
            <w:r>
              <w:rPr/>
              <w:t>7.5数据处理系统：正版Windows10操作系统和Office办公软件，工作站，CPU处理器性能≥3.5 GHz ，SSD≥256G，内存≥16GB，硬盘≥1TB，图像显示设备≥23寸。</w:t>
            </w:r>
          </w:p>
        </w:tc>
      </w:tr>
      <w:tr>
        <w:tc>
          <w:tcPr>
            <w:tcW w:type="dxa" w:w="2076"/>
          </w:tcPr>
          <w:p/>
        </w:tc>
        <w:tc>
          <w:tcPr>
            <w:tcW w:type="dxa" w:w="415"/>
          </w:tcPr>
          <w:p>
            <w:pPr>
              <w:pStyle w:val="null3"/>
            </w:pPr>
            <w:r>
              <w:rPr/>
              <w:t>37</w:t>
            </w:r>
          </w:p>
        </w:tc>
        <w:tc>
          <w:tcPr>
            <w:tcW w:type="dxa" w:w="5814"/>
          </w:tcPr>
          <w:p>
            <w:pPr>
              <w:pStyle w:val="null3"/>
            </w:pPr>
            <w:r>
              <w:rPr/>
              <w:t>7.6软件和数据库终身免费升级。</w:t>
            </w:r>
          </w:p>
        </w:tc>
      </w:tr>
      <w:tr>
        <w:tc>
          <w:tcPr>
            <w:tcW w:type="dxa" w:w="2076"/>
          </w:tcPr>
          <w:p/>
        </w:tc>
        <w:tc>
          <w:tcPr>
            <w:tcW w:type="dxa" w:w="415"/>
          </w:tcPr>
          <w:p>
            <w:pPr>
              <w:pStyle w:val="null3"/>
            </w:pPr>
            <w:r>
              <w:rPr/>
              <w:t>38</w:t>
            </w:r>
          </w:p>
        </w:tc>
        <w:tc>
          <w:tcPr>
            <w:tcW w:type="dxa" w:w="5814"/>
          </w:tcPr>
          <w:p>
            <w:pPr>
              <w:pStyle w:val="null3"/>
            </w:pPr>
            <w:r>
              <w:rPr/>
              <w:t>8.配套耗材：</w:t>
            </w:r>
          </w:p>
        </w:tc>
      </w:tr>
      <w:tr>
        <w:tc>
          <w:tcPr>
            <w:tcW w:type="dxa" w:w="2076"/>
          </w:tcPr>
          <w:p/>
        </w:tc>
        <w:tc>
          <w:tcPr>
            <w:tcW w:type="dxa" w:w="415"/>
          </w:tcPr>
          <w:p>
            <w:pPr>
              <w:pStyle w:val="null3"/>
            </w:pPr>
            <w:r>
              <w:rPr/>
              <w:t>39</w:t>
            </w:r>
          </w:p>
        </w:tc>
        <w:tc>
          <w:tcPr>
            <w:tcW w:type="dxa" w:w="5814"/>
          </w:tcPr>
          <w:p>
            <w:pPr>
              <w:pStyle w:val="null3"/>
            </w:pPr>
            <w:r>
              <w:rPr/>
              <w:t>8.1配备可重复使用的不锈钢靶板，不低于96个样本靶位，分区域质控。</w:t>
            </w:r>
          </w:p>
        </w:tc>
      </w:tr>
      <w:tr>
        <w:tc>
          <w:tcPr>
            <w:tcW w:type="dxa" w:w="2076"/>
          </w:tcPr>
          <w:p/>
        </w:tc>
        <w:tc>
          <w:tcPr>
            <w:tcW w:type="dxa" w:w="415"/>
          </w:tcPr>
          <w:p>
            <w:pPr>
              <w:pStyle w:val="null3"/>
            </w:pPr>
            <w:r>
              <w:rPr/>
              <w:t>40</w:t>
            </w:r>
          </w:p>
        </w:tc>
        <w:tc>
          <w:tcPr>
            <w:tcW w:type="dxa" w:w="5814"/>
          </w:tcPr>
          <w:p>
            <w:pPr>
              <w:pStyle w:val="null3"/>
            </w:pPr>
            <w:r>
              <w:rPr/>
              <w:t>8.2提供质谱仪配套使用的干粉型基质液和液基型基质液（提供注册证）</w:t>
            </w:r>
          </w:p>
        </w:tc>
      </w:tr>
      <w:tr>
        <w:tc>
          <w:tcPr>
            <w:tcW w:type="dxa" w:w="2076"/>
          </w:tcPr>
          <w:p/>
        </w:tc>
        <w:tc>
          <w:tcPr>
            <w:tcW w:type="dxa" w:w="415"/>
          </w:tcPr>
          <w:p>
            <w:pPr>
              <w:pStyle w:val="null3"/>
            </w:pPr>
            <w:r>
              <w:rPr/>
              <w:t>41</w:t>
            </w:r>
          </w:p>
        </w:tc>
        <w:tc>
          <w:tcPr>
            <w:tcW w:type="dxa" w:w="5814"/>
          </w:tcPr>
          <w:p>
            <w:pPr>
              <w:pStyle w:val="null3"/>
            </w:pPr>
            <w:r>
              <w:rPr/>
              <w:t>8.3提供三种样本处理试剂盒，分别用于细菌、酵母样真菌、丝状真菌和分枝菌等处理（提供注册证）</w:t>
            </w:r>
          </w:p>
        </w:tc>
      </w:tr>
      <w:tr>
        <w:tc>
          <w:tcPr>
            <w:tcW w:type="dxa" w:w="2076"/>
          </w:tcPr>
          <w:p/>
        </w:tc>
        <w:tc>
          <w:tcPr>
            <w:tcW w:type="dxa" w:w="415"/>
          </w:tcPr>
          <w:p>
            <w:pPr>
              <w:pStyle w:val="null3"/>
            </w:pPr>
            <w:r>
              <w:rPr/>
              <w:t>42</w:t>
            </w:r>
          </w:p>
        </w:tc>
        <w:tc>
          <w:tcPr>
            <w:tcW w:type="dxa" w:w="5814"/>
          </w:tcPr>
          <w:p>
            <w:pPr>
              <w:pStyle w:val="null3"/>
            </w:pPr>
            <w:r>
              <w:rPr/>
              <w:t>9.物联功能：</w:t>
            </w:r>
            <w:r>
              <w:rPr/>
              <w:t>可与药敏仪互联并传输鉴定结果。</w:t>
            </w:r>
          </w:p>
        </w:tc>
      </w:tr>
      <w:tr>
        <w:tc>
          <w:tcPr>
            <w:tcW w:type="dxa" w:w="2076"/>
          </w:tcPr>
          <w:p/>
        </w:tc>
        <w:tc>
          <w:tcPr>
            <w:tcW w:type="dxa" w:w="415"/>
          </w:tcPr>
          <w:p>
            <w:pPr>
              <w:pStyle w:val="null3"/>
            </w:pPr>
            <w:r>
              <w:rPr/>
              <w:t>43</w:t>
            </w:r>
          </w:p>
        </w:tc>
        <w:tc>
          <w:tcPr>
            <w:tcW w:type="dxa" w:w="5814"/>
          </w:tcPr>
          <w:p>
            <w:pPr>
              <w:pStyle w:val="null3"/>
            </w:pPr>
            <w:r>
              <w:rPr/>
              <w:t xml:space="preserve">（二）配置清单 </w:t>
            </w:r>
          </w:p>
          <w:p>
            <w:pPr>
              <w:pStyle w:val="null3"/>
              <w:jc w:val="both"/>
            </w:pPr>
            <w:r>
              <w:rPr>
                <w:sz w:val="24"/>
              </w:rPr>
              <w:t>1、全自动生物质谱检测系统(主机)</w:t>
            </w:r>
            <w:r>
              <w:rPr>
                <w:sz w:val="24"/>
              </w:rPr>
              <w:t>1</w:t>
            </w:r>
            <w:r>
              <w:rPr>
                <w:sz w:val="24"/>
              </w:rPr>
              <w:t>台</w:t>
            </w:r>
          </w:p>
          <w:p>
            <w:pPr>
              <w:pStyle w:val="null3"/>
              <w:jc w:val="both"/>
            </w:pPr>
            <w:r>
              <w:rPr>
                <w:sz w:val="24"/>
              </w:rPr>
              <w:t>2、</w:t>
            </w:r>
            <w:r>
              <w:rPr>
                <w:sz w:val="24"/>
              </w:rPr>
              <w:t>专用数据分析</w:t>
            </w:r>
            <w:r>
              <w:rPr>
                <w:sz w:val="24"/>
              </w:rPr>
              <w:t>工作站</w:t>
            </w:r>
            <w:r>
              <w:rPr>
                <w:sz w:val="24"/>
              </w:rPr>
              <w:t>1</w:t>
            </w:r>
            <w:r>
              <w:rPr>
                <w:sz w:val="24"/>
              </w:rPr>
              <w:t>套</w:t>
            </w:r>
          </w:p>
          <w:p>
            <w:pPr>
              <w:pStyle w:val="null3"/>
              <w:jc w:val="both"/>
            </w:pPr>
            <w:r>
              <w:rPr>
                <w:sz w:val="24"/>
              </w:rPr>
              <w:t>3、微生物数据库</w:t>
            </w:r>
            <w:r>
              <w:rPr>
                <w:sz w:val="24"/>
              </w:rPr>
              <w:t>1</w:t>
            </w:r>
            <w:r>
              <w:rPr>
                <w:sz w:val="24"/>
              </w:rPr>
              <w:t>套</w:t>
            </w:r>
          </w:p>
          <w:p>
            <w:pPr>
              <w:pStyle w:val="null3"/>
              <w:jc w:val="both"/>
            </w:pPr>
            <w:r>
              <w:rPr>
                <w:sz w:val="24"/>
              </w:rPr>
              <w:t>4、仪器操作控制软件和基本数据处理软件</w:t>
            </w:r>
            <w:r>
              <w:rPr>
                <w:sz w:val="24"/>
              </w:rPr>
              <w:t>1</w:t>
            </w:r>
            <w:r>
              <w:rPr>
                <w:sz w:val="24"/>
              </w:rPr>
              <w:t>套</w:t>
            </w:r>
          </w:p>
          <w:p>
            <w:pPr>
              <w:pStyle w:val="null3"/>
              <w:jc w:val="both"/>
            </w:pPr>
            <w:r>
              <w:rPr>
                <w:sz w:val="24"/>
              </w:rPr>
              <w:t>5、可重复使用的金属靶板2块</w:t>
            </w:r>
          </w:p>
          <w:p>
            <w:pPr>
              <w:pStyle w:val="null3"/>
              <w:jc w:val="both"/>
            </w:pPr>
            <w:r>
              <w:rPr>
                <w:sz w:val="24"/>
              </w:rPr>
              <w:t>6、配</w:t>
            </w:r>
            <w:r>
              <w:rPr>
                <w:sz w:val="24"/>
              </w:rPr>
              <w:t>套</w:t>
            </w:r>
            <w:r>
              <w:rPr>
                <w:sz w:val="24"/>
              </w:rPr>
              <w:t>自动真空干靶箱</w:t>
            </w:r>
            <w:r>
              <w:rPr>
                <w:sz w:val="24"/>
              </w:rPr>
              <w:t>1</w:t>
            </w:r>
            <w:r>
              <w:rPr>
                <w:sz w:val="24"/>
              </w:rPr>
              <w:t>个</w:t>
            </w:r>
          </w:p>
          <w:p>
            <w:pPr>
              <w:pStyle w:val="null3"/>
              <w:jc w:val="both"/>
            </w:pPr>
            <w:r>
              <w:rPr>
                <w:sz w:val="24"/>
              </w:rPr>
              <w:t>7、配</w:t>
            </w:r>
            <w:r>
              <w:rPr>
                <w:sz w:val="24"/>
              </w:rPr>
              <w:t>备</w:t>
            </w:r>
            <w:r>
              <w:rPr>
                <w:sz w:val="24"/>
              </w:rPr>
              <w:t>可物联菌落形态拍摄仪</w:t>
            </w:r>
            <w:r>
              <w:rPr>
                <w:sz w:val="24"/>
              </w:rPr>
              <w:t>1</w:t>
            </w:r>
            <w:r>
              <w:rPr>
                <w:sz w:val="24"/>
              </w:rPr>
              <w:t>台</w:t>
            </w:r>
          </w:p>
          <w:p>
            <w:pPr>
              <w:pStyle w:val="null3"/>
              <w:jc w:val="both"/>
            </w:pPr>
            <w:r>
              <w:rPr>
                <w:sz w:val="24"/>
              </w:rPr>
              <w:t>8、配置点靶笔</w:t>
            </w:r>
            <w:r>
              <w:rPr>
                <w:sz w:val="24"/>
              </w:rPr>
              <w:t>1</w:t>
            </w:r>
            <w:r>
              <w:rPr>
                <w:sz w:val="24"/>
              </w:rPr>
              <w:t>套</w:t>
            </w:r>
          </w:p>
          <w:p>
            <w:pPr>
              <w:pStyle w:val="null3"/>
              <w:jc w:val="both"/>
            </w:pPr>
            <w:r>
              <w:rPr>
                <w:sz w:val="24"/>
              </w:rPr>
              <w:t>9、电源线1条</w:t>
            </w:r>
          </w:p>
          <w:p>
            <w:pPr>
              <w:pStyle w:val="null3"/>
              <w:jc w:val="both"/>
            </w:pPr>
            <w:r>
              <w:rPr>
                <w:sz w:val="24"/>
              </w:rPr>
              <w:t>10、使用说明书2份，合格证1份，保修卡1份</w:t>
            </w:r>
          </w:p>
          <w:p>
            <w:pPr>
              <w:pStyle w:val="null3"/>
              <w:jc w:val="both"/>
            </w:pPr>
            <w:r>
              <w:rPr>
                <w:sz w:val="24"/>
              </w:rPr>
              <w:t>11、设备验收单1份，仪器培训表1份</w:t>
            </w:r>
          </w:p>
          <w:p>
            <w:pPr>
              <w:pStyle w:val="null3"/>
              <w:jc w:val="both"/>
            </w:pPr>
            <w:r>
              <w:rPr>
                <w:sz w:val="24"/>
              </w:rPr>
              <w:t>12、图文报告</w:t>
            </w:r>
            <w:r>
              <w:rPr>
                <w:sz w:val="24"/>
              </w:rPr>
              <w:t>工作站</w:t>
            </w:r>
            <w:r>
              <w:rPr>
                <w:sz w:val="24"/>
              </w:rPr>
              <w:t xml:space="preserve"> </w:t>
            </w:r>
            <w:r>
              <w:rPr>
                <w:sz w:val="24"/>
              </w:rPr>
              <w:t>1套</w:t>
            </w:r>
          </w:p>
          <w:p>
            <w:pPr>
              <w:pStyle w:val="null3"/>
              <w:jc w:val="both"/>
            </w:pPr>
            <w:r>
              <w:rPr>
                <w:sz w:val="24"/>
              </w:rPr>
              <w:t>1</w:t>
            </w:r>
            <w:r>
              <w:rPr>
                <w:sz w:val="24"/>
              </w:rPr>
              <w:t>3</w:t>
            </w:r>
            <w:r>
              <w:rPr>
                <w:sz w:val="24"/>
              </w:rPr>
              <w:t>、图文报告输出设备</w:t>
            </w:r>
            <w:r>
              <w:rPr>
                <w:sz w:val="24"/>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全自动细菌鉴定仪（全自动细菌鉴定及药敏分析系统）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1.鉴定功能：</w:t>
            </w:r>
          </w:p>
        </w:tc>
      </w:tr>
      <w:tr>
        <w:tc>
          <w:tcPr>
            <w:tcW w:type="dxa" w:w="2076"/>
          </w:tcPr>
          <w:p/>
        </w:tc>
        <w:tc>
          <w:tcPr>
            <w:tcW w:type="dxa" w:w="415"/>
          </w:tcPr>
          <w:p>
            <w:pPr>
              <w:pStyle w:val="null3"/>
            </w:pPr>
            <w:r>
              <w:rPr/>
              <w:t>3</w:t>
            </w:r>
          </w:p>
        </w:tc>
        <w:tc>
          <w:tcPr>
            <w:tcW w:type="dxa" w:w="5814"/>
          </w:tcPr>
          <w:p>
            <w:pPr>
              <w:pStyle w:val="null3"/>
            </w:pPr>
            <w:r>
              <w:rPr/>
              <w:t>1.1仪器可鉴定超过500种细菌及真菌，包括革兰阴性杆菌、革兰阳性球菌、真菌、弯曲菌、嗜血杆菌及奈瑟氏菌、厌氧菌及棒状杆菌等。</w:t>
            </w:r>
          </w:p>
        </w:tc>
      </w:tr>
      <w:tr>
        <w:tc>
          <w:tcPr>
            <w:tcW w:type="dxa" w:w="2076"/>
          </w:tcPr>
          <w:p/>
        </w:tc>
        <w:tc>
          <w:tcPr>
            <w:tcW w:type="dxa" w:w="415"/>
          </w:tcPr>
          <w:p>
            <w:pPr>
              <w:pStyle w:val="null3"/>
            </w:pPr>
            <w:r>
              <w:rPr/>
              <w:t>4</w:t>
            </w:r>
          </w:p>
        </w:tc>
        <w:tc>
          <w:tcPr>
            <w:tcW w:type="dxa" w:w="5814"/>
          </w:tcPr>
          <w:p>
            <w:pPr>
              <w:pStyle w:val="null3"/>
            </w:pPr>
            <w:r>
              <w:rPr/>
              <w:t>1.2具备快速鉴定功能（2-5小时）</w:t>
            </w:r>
            <w:r>
              <w:rPr/>
              <w:t>，允差</w:t>
            </w:r>
            <w:r>
              <w:rPr/>
              <w:t>±</w:t>
            </w:r>
            <w:r>
              <w:rPr/>
              <w:t>1</w:t>
            </w:r>
            <w:r>
              <w:rPr/>
              <w:t>小时</w:t>
            </w:r>
          </w:p>
        </w:tc>
      </w:tr>
      <w:tr>
        <w:tc>
          <w:tcPr>
            <w:tcW w:type="dxa" w:w="2076"/>
          </w:tcPr>
          <w:p/>
        </w:tc>
        <w:tc>
          <w:tcPr>
            <w:tcW w:type="dxa" w:w="415"/>
          </w:tcPr>
          <w:p>
            <w:pPr>
              <w:pStyle w:val="null3"/>
            </w:pPr>
            <w:r>
              <w:rPr/>
              <w:t>5</w:t>
            </w:r>
          </w:p>
        </w:tc>
        <w:tc>
          <w:tcPr>
            <w:tcW w:type="dxa" w:w="5814"/>
          </w:tcPr>
          <w:p>
            <w:pPr>
              <w:pStyle w:val="null3"/>
            </w:pPr>
            <w:r>
              <w:rPr/>
              <w:t>2.药敏功能：</w:t>
            </w:r>
          </w:p>
        </w:tc>
      </w:tr>
      <w:tr>
        <w:tc>
          <w:tcPr>
            <w:tcW w:type="dxa" w:w="2076"/>
          </w:tcPr>
          <w:p/>
        </w:tc>
        <w:tc>
          <w:tcPr>
            <w:tcW w:type="dxa" w:w="415"/>
          </w:tcPr>
          <w:p>
            <w:pPr>
              <w:pStyle w:val="null3"/>
            </w:pPr>
            <w:r>
              <w:rPr/>
              <w:t>6</w:t>
            </w:r>
          </w:p>
        </w:tc>
        <w:tc>
          <w:tcPr>
            <w:tcW w:type="dxa" w:w="5814"/>
          </w:tcPr>
          <w:p>
            <w:pPr>
              <w:pStyle w:val="null3"/>
            </w:pPr>
            <w:r>
              <w:rPr/>
              <w:t>2.1 具有革兰阴性杆菌、革兰阳性球菌及肺炎链球菌的快速药敏试验功能。</w:t>
            </w:r>
          </w:p>
        </w:tc>
      </w:tr>
      <w:tr>
        <w:tc>
          <w:tcPr>
            <w:tcW w:type="dxa" w:w="2076"/>
          </w:tcPr>
          <w:p/>
        </w:tc>
        <w:tc>
          <w:tcPr>
            <w:tcW w:type="dxa" w:w="415"/>
          </w:tcPr>
          <w:p>
            <w:pPr>
              <w:pStyle w:val="null3"/>
            </w:pPr>
            <w:r>
              <w:rPr/>
              <w:t>7</w:t>
            </w:r>
          </w:p>
        </w:tc>
        <w:tc>
          <w:tcPr>
            <w:tcW w:type="dxa" w:w="5814"/>
          </w:tcPr>
          <w:p>
            <w:pPr>
              <w:pStyle w:val="null3"/>
            </w:pPr>
            <w:r>
              <w:rPr/>
              <w:t>2.2 单张药敏卡提供≥15-20个药物敏感性结果及MIC值，双卡模式下可提供≥35个药物的检测结果。</w:t>
            </w:r>
          </w:p>
        </w:tc>
      </w:tr>
      <w:tr>
        <w:tc>
          <w:tcPr>
            <w:tcW w:type="dxa" w:w="2076"/>
          </w:tcPr>
          <w:p/>
        </w:tc>
        <w:tc>
          <w:tcPr>
            <w:tcW w:type="dxa" w:w="415"/>
          </w:tcPr>
          <w:p>
            <w:pPr>
              <w:pStyle w:val="null3"/>
            </w:pPr>
            <w:r>
              <w:rPr/>
              <w:t>8</w:t>
            </w:r>
          </w:p>
        </w:tc>
        <w:tc>
          <w:tcPr>
            <w:tcW w:type="dxa" w:w="5814"/>
          </w:tcPr>
          <w:p>
            <w:pPr>
              <w:pStyle w:val="null3"/>
            </w:pPr>
            <w:r>
              <w:rPr/>
              <w:t>2.3 具有头孢哌酮/舒巴坦、替加环素、米诺环素、多西环素、粘菌素等药物的药敏检测；对于革兰阳性球菌可以提供达托霉素、替考拉宁、头孢罗膦等最新药物的药敏检测。</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2.4 MIC检测范围：可提供5～7个MIC浓度报告范围，完全覆盖CLSI、EUCAST的折点，满足临床根据PK/PD用药的需求。</w:t>
            </w:r>
          </w:p>
        </w:tc>
      </w:tr>
      <w:tr>
        <w:tc>
          <w:tcPr>
            <w:tcW w:type="dxa" w:w="2076"/>
          </w:tcPr>
          <w:p/>
        </w:tc>
        <w:tc>
          <w:tcPr>
            <w:tcW w:type="dxa" w:w="415"/>
          </w:tcPr>
          <w:p>
            <w:pPr>
              <w:pStyle w:val="null3"/>
            </w:pPr>
            <w:r>
              <w:rPr/>
              <w:t>10</w:t>
            </w:r>
          </w:p>
        </w:tc>
        <w:tc>
          <w:tcPr>
            <w:tcW w:type="dxa" w:w="5814"/>
          </w:tcPr>
          <w:p>
            <w:pPr>
              <w:pStyle w:val="null3"/>
            </w:pPr>
            <w:r>
              <w:rPr/>
              <w:t xml:space="preserve">2.5 </w:t>
            </w:r>
            <w:r>
              <w:rPr/>
              <w:t>耐药机制：可检测包括ESBL，CRE，MRSA，VRE，高水平氨基糖苷类耐药，可诱导克林霉素耐药、头孢西丁耐药等多种耐药机制，可检测并提示低水平产碳青霉烯酶的菌株。</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2.6具有通过CARSS中间件实现对ESBL，CRE，MRSA，VRE等13种重点耐药率指标监测，对高于全国/本省平均耐药率的结果实现自动预警功能。</w:t>
            </w:r>
          </w:p>
        </w:tc>
      </w:tr>
      <w:tr>
        <w:tc>
          <w:tcPr>
            <w:tcW w:type="dxa" w:w="2076"/>
          </w:tcPr>
          <w:p/>
        </w:tc>
        <w:tc>
          <w:tcPr>
            <w:tcW w:type="dxa" w:w="415"/>
          </w:tcPr>
          <w:p>
            <w:pPr>
              <w:pStyle w:val="null3"/>
            </w:pPr>
            <w:r>
              <w:rPr/>
              <w:t>12</w:t>
            </w:r>
          </w:p>
        </w:tc>
        <w:tc>
          <w:tcPr>
            <w:tcW w:type="dxa" w:w="5814"/>
          </w:tcPr>
          <w:p>
            <w:pPr>
              <w:pStyle w:val="null3"/>
            </w:pPr>
            <w:r>
              <w:rPr/>
              <w:t>2.7 药敏结果符合CLSI 及EUCAST规则要求。</w:t>
            </w:r>
          </w:p>
        </w:tc>
      </w:tr>
      <w:tr>
        <w:tc>
          <w:tcPr>
            <w:tcW w:type="dxa" w:w="2076"/>
          </w:tcPr>
          <w:p/>
        </w:tc>
        <w:tc>
          <w:tcPr>
            <w:tcW w:type="dxa" w:w="415"/>
          </w:tcPr>
          <w:p>
            <w:pPr>
              <w:pStyle w:val="null3"/>
            </w:pPr>
            <w:r>
              <w:rPr/>
              <w:t>13</w:t>
            </w:r>
          </w:p>
        </w:tc>
        <w:tc>
          <w:tcPr>
            <w:tcW w:type="dxa" w:w="5814"/>
          </w:tcPr>
          <w:p>
            <w:pPr>
              <w:pStyle w:val="null3"/>
            </w:pPr>
            <w:r>
              <w:rPr/>
              <w:t>3、性能</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3.1设备通量为≥（30）卡位，最多同时进行30个鉴定或药敏实验，每次可以同时填充≥10个测试板</w:t>
            </w:r>
          </w:p>
        </w:tc>
      </w:tr>
      <w:tr>
        <w:tc>
          <w:tcPr>
            <w:tcW w:type="dxa" w:w="2076"/>
          </w:tcPr>
          <w:p/>
        </w:tc>
        <w:tc>
          <w:tcPr>
            <w:tcW w:type="dxa" w:w="415"/>
          </w:tcPr>
          <w:p>
            <w:pPr>
              <w:pStyle w:val="null3"/>
            </w:pPr>
            <w:r>
              <w:rPr/>
              <w:t>15</w:t>
            </w:r>
          </w:p>
        </w:tc>
        <w:tc>
          <w:tcPr>
            <w:tcW w:type="dxa" w:w="5814"/>
          </w:tcPr>
          <w:p>
            <w:pPr>
              <w:pStyle w:val="null3"/>
            </w:pPr>
            <w:r>
              <w:rPr/>
              <w:t>3.2仪器对鉴定/药敏卡片进行自动孵育，每15分钟一次动态读数。</w:t>
            </w:r>
          </w:p>
        </w:tc>
      </w:tr>
      <w:tr>
        <w:tc>
          <w:tcPr>
            <w:tcW w:type="dxa" w:w="2076"/>
          </w:tcPr>
          <w:p/>
        </w:tc>
        <w:tc>
          <w:tcPr>
            <w:tcW w:type="dxa" w:w="415"/>
          </w:tcPr>
          <w:p>
            <w:pPr>
              <w:pStyle w:val="null3"/>
            </w:pPr>
            <w:r>
              <w:rPr/>
              <w:t>16</w:t>
            </w:r>
          </w:p>
        </w:tc>
        <w:tc>
          <w:tcPr>
            <w:tcW w:type="dxa" w:w="5814"/>
          </w:tcPr>
          <w:p>
            <w:pPr>
              <w:pStyle w:val="null3"/>
            </w:pPr>
            <w:r>
              <w:rPr/>
              <w:t>3.3仪器可以将完成后的试卡自动从读数架中退出，进入废卡收集装置。</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3.4 专家系统中储存有≥ 50,000 张MIC 分布图谱，并可以分析3,000种以上的耐药表型。</w:t>
            </w:r>
          </w:p>
        </w:tc>
      </w:tr>
      <w:tr>
        <w:tc>
          <w:tcPr>
            <w:tcW w:type="dxa" w:w="2076"/>
          </w:tcPr>
          <w:p/>
        </w:tc>
        <w:tc>
          <w:tcPr>
            <w:tcW w:type="dxa" w:w="415"/>
          </w:tcPr>
          <w:p>
            <w:pPr>
              <w:pStyle w:val="null3"/>
            </w:pPr>
            <w:r>
              <w:rPr/>
              <w:t>18</w:t>
            </w:r>
          </w:p>
        </w:tc>
        <w:tc>
          <w:tcPr>
            <w:tcW w:type="dxa" w:w="5814"/>
          </w:tcPr>
          <w:p>
            <w:pPr>
              <w:pStyle w:val="null3"/>
            </w:pPr>
            <w:r>
              <w:rPr/>
              <w:t>3.5 具有对万古霉素非敏感的金黄色葡萄球菌、利奈唑胺非敏感的金黄色葡萄球菌、黏菌素/多粘菌素耐药的肠杆菌目等12种罕见耐药菌实现监测预警功能。</w:t>
            </w:r>
          </w:p>
        </w:tc>
      </w:tr>
      <w:tr>
        <w:tc>
          <w:tcPr>
            <w:tcW w:type="dxa" w:w="2076"/>
          </w:tcPr>
          <w:p/>
        </w:tc>
        <w:tc>
          <w:tcPr>
            <w:tcW w:type="dxa" w:w="415"/>
          </w:tcPr>
          <w:p>
            <w:pPr>
              <w:pStyle w:val="null3"/>
            </w:pPr>
            <w:r>
              <w:rPr/>
              <w:t>19</w:t>
            </w:r>
          </w:p>
        </w:tc>
        <w:tc>
          <w:tcPr>
            <w:tcW w:type="dxa" w:w="5814"/>
          </w:tcPr>
          <w:p>
            <w:pPr>
              <w:pStyle w:val="null3"/>
            </w:pPr>
            <w:r>
              <w:rPr/>
              <w:t>3.6 具有通过新增独立数据传输通道实现与CARSS中间件的连接，保障耐药数据规范快速上报的功能。</w:t>
            </w:r>
          </w:p>
        </w:tc>
      </w:tr>
      <w:tr>
        <w:tc>
          <w:tcPr>
            <w:tcW w:type="dxa" w:w="2076"/>
          </w:tcPr>
          <w:p/>
        </w:tc>
        <w:tc>
          <w:tcPr>
            <w:tcW w:type="dxa" w:w="415"/>
          </w:tcPr>
          <w:p>
            <w:pPr>
              <w:pStyle w:val="null3"/>
            </w:pPr>
            <w:r>
              <w:rPr/>
              <w:t>20</w:t>
            </w:r>
          </w:p>
        </w:tc>
        <w:tc>
          <w:tcPr>
            <w:tcW w:type="dxa" w:w="5814"/>
          </w:tcPr>
          <w:p>
            <w:pPr>
              <w:pStyle w:val="null3"/>
            </w:pPr>
            <w:r>
              <w:rPr/>
              <w:t>（二）配置清单</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Pr>
                <w:p>
                  <w:pPr>
                    <w:pStyle w:val="null3"/>
                    <w:jc w:val="center"/>
                  </w:pPr>
                  <w:r>
                    <w:rPr>
                      <w:sz w:val="21"/>
                    </w:rPr>
                    <w:t>序号</w:t>
                  </w:r>
                </w:p>
              </w:tc>
              <w:tc>
                <w:tcPr>
                  <w:tcW w:type="dxa" w:w="1866"/>
                </w:tcPr>
                <w:p>
                  <w:pPr>
                    <w:pStyle w:val="null3"/>
                    <w:jc w:val="center"/>
                  </w:pPr>
                  <w:r>
                    <w:rPr>
                      <w:sz w:val="21"/>
                    </w:rPr>
                    <w:t>品名</w:t>
                  </w:r>
                </w:p>
              </w:tc>
              <w:tc>
                <w:tcPr>
                  <w:tcW w:type="dxa" w:w="1866"/>
                </w:tcPr>
                <w:p>
                  <w:pPr>
                    <w:pStyle w:val="null3"/>
                    <w:jc w:val="center"/>
                  </w:pPr>
                  <w:r>
                    <w:rPr>
                      <w:sz w:val="21"/>
                    </w:rPr>
                    <w:t>数量</w:t>
                  </w:r>
                </w:p>
              </w:tc>
            </w:tr>
            <w:tr>
              <w:tc>
                <w:tcPr>
                  <w:tcW w:type="dxa" w:w="1866"/>
                </w:tcPr>
                <w:p>
                  <w:pPr>
                    <w:pStyle w:val="null3"/>
                    <w:jc w:val="center"/>
                  </w:pPr>
                  <w:r>
                    <w:rPr>
                      <w:sz w:val="21"/>
                    </w:rPr>
                    <w:t>1</w:t>
                  </w:r>
                </w:p>
              </w:tc>
              <w:tc>
                <w:tcPr>
                  <w:tcW w:type="dxa" w:w="1866"/>
                </w:tcPr>
                <w:p>
                  <w:pPr>
                    <w:pStyle w:val="null3"/>
                    <w:jc w:val="center"/>
                  </w:pPr>
                  <w:r>
                    <w:rPr>
                      <w:sz w:val="21"/>
                    </w:rPr>
                    <w:t>全自动微生物鉴定及药敏分析系统</w:t>
                  </w:r>
                </w:p>
              </w:tc>
              <w:tc>
                <w:tcPr>
                  <w:tcW w:type="dxa" w:w="1866"/>
                </w:tcPr>
                <w:p>
                  <w:pPr>
                    <w:pStyle w:val="null3"/>
                    <w:jc w:val="center"/>
                  </w:pPr>
                  <w:r>
                    <w:rPr>
                      <w:sz w:val="21"/>
                    </w:rPr>
                    <w:t>1台</w:t>
                  </w:r>
                </w:p>
              </w:tc>
            </w:tr>
            <w:tr>
              <w:tc>
                <w:tcPr>
                  <w:tcW w:type="dxa" w:w="1866"/>
                </w:tcPr>
                <w:p>
                  <w:pPr>
                    <w:pStyle w:val="null3"/>
                    <w:jc w:val="center"/>
                  </w:pPr>
                  <w:r>
                    <w:rPr>
                      <w:sz w:val="21"/>
                    </w:rPr>
                    <w:t>2</w:t>
                  </w:r>
                </w:p>
              </w:tc>
              <w:tc>
                <w:tcPr>
                  <w:tcW w:type="dxa" w:w="1866"/>
                </w:tcPr>
                <w:p>
                  <w:pPr>
                    <w:pStyle w:val="null3"/>
                    <w:jc w:val="center"/>
                  </w:pPr>
                  <w:r>
                    <w:rPr>
                      <w:sz w:val="21"/>
                    </w:rPr>
                    <w:t>专用数据分析工作站</w:t>
                  </w:r>
                </w:p>
              </w:tc>
              <w:tc>
                <w:tcPr>
                  <w:tcW w:type="dxa" w:w="1866"/>
                </w:tcPr>
                <w:p>
                  <w:pPr>
                    <w:pStyle w:val="null3"/>
                    <w:jc w:val="center"/>
                  </w:pPr>
                  <w:r>
                    <w:rPr>
                      <w:sz w:val="21"/>
                    </w:rPr>
                    <w:t>1台</w:t>
                  </w:r>
                </w:p>
              </w:tc>
            </w:tr>
            <w:tr>
              <w:tc>
                <w:tcPr>
                  <w:tcW w:type="dxa" w:w="1866"/>
                </w:tcPr>
                <w:p>
                  <w:pPr>
                    <w:pStyle w:val="null3"/>
                    <w:jc w:val="center"/>
                  </w:pPr>
                  <w:r>
                    <w:rPr>
                      <w:sz w:val="21"/>
                    </w:rPr>
                    <w:t>3</w:t>
                  </w:r>
                </w:p>
              </w:tc>
              <w:tc>
                <w:tcPr>
                  <w:tcW w:type="dxa" w:w="1866"/>
                </w:tcPr>
                <w:p>
                  <w:pPr>
                    <w:pStyle w:val="null3"/>
                    <w:jc w:val="center"/>
                  </w:pPr>
                  <w:r>
                    <w:rPr>
                      <w:sz w:val="21"/>
                    </w:rPr>
                    <w:t>电源</w:t>
                  </w:r>
                </w:p>
              </w:tc>
              <w:tc>
                <w:tcPr>
                  <w:tcW w:type="dxa" w:w="1866"/>
                </w:tcPr>
                <w:p>
                  <w:pPr>
                    <w:pStyle w:val="null3"/>
                    <w:jc w:val="center"/>
                  </w:pPr>
                  <w:r>
                    <w:rPr>
                      <w:sz w:val="21"/>
                    </w:rPr>
                    <w:t>1台</w:t>
                  </w:r>
                </w:p>
              </w:tc>
            </w:tr>
            <w:tr>
              <w:tc>
                <w:tcPr>
                  <w:tcW w:type="dxa" w:w="1866"/>
                </w:tcPr>
                <w:p>
                  <w:pPr>
                    <w:pStyle w:val="null3"/>
                    <w:jc w:val="center"/>
                  </w:pPr>
                  <w:r>
                    <w:rPr>
                      <w:sz w:val="21"/>
                    </w:rPr>
                    <w:t>4</w:t>
                  </w:r>
                </w:p>
              </w:tc>
              <w:tc>
                <w:tcPr>
                  <w:tcW w:type="dxa" w:w="1866"/>
                </w:tcPr>
                <w:p>
                  <w:pPr>
                    <w:pStyle w:val="null3"/>
                    <w:jc w:val="center"/>
                  </w:pPr>
                  <w:r>
                    <w:rPr>
                      <w:sz w:val="21"/>
                    </w:rPr>
                    <w:t>微生物比浊仪</w:t>
                  </w:r>
                </w:p>
              </w:tc>
              <w:tc>
                <w:tcPr>
                  <w:tcW w:type="dxa" w:w="1866"/>
                </w:tcPr>
                <w:p>
                  <w:pPr>
                    <w:pStyle w:val="null3"/>
                    <w:jc w:val="center"/>
                  </w:pPr>
                  <w:r>
                    <w:rPr>
                      <w:sz w:val="21"/>
                    </w:rPr>
                    <w:t>1台</w:t>
                  </w:r>
                </w:p>
              </w:tc>
            </w:tr>
            <w:tr>
              <w:tc>
                <w:tcPr>
                  <w:tcW w:type="dxa" w:w="1866"/>
                </w:tcPr>
                <w:p>
                  <w:pPr>
                    <w:pStyle w:val="null3"/>
                    <w:jc w:val="center"/>
                  </w:pPr>
                  <w:r>
                    <w:rPr>
                      <w:sz w:val="21"/>
                    </w:rPr>
                    <w:t>5</w:t>
                  </w:r>
                </w:p>
              </w:tc>
              <w:tc>
                <w:tcPr>
                  <w:tcW w:type="dxa" w:w="1866"/>
                </w:tcPr>
                <w:p>
                  <w:pPr>
                    <w:pStyle w:val="null3"/>
                    <w:jc w:val="center"/>
                  </w:pPr>
                  <w:r>
                    <w:rPr>
                      <w:sz w:val="21"/>
                    </w:rPr>
                    <w:t>条码处理器</w:t>
                  </w:r>
                </w:p>
              </w:tc>
              <w:tc>
                <w:tcPr>
                  <w:tcW w:type="dxa" w:w="1866"/>
                </w:tcPr>
                <w:p>
                  <w:pPr>
                    <w:pStyle w:val="null3"/>
                    <w:jc w:val="center"/>
                  </w:pPr>
                  <w:r>
                    <w:rPr>
                      <w:sz w:val="21"/>
                    </w:rPr>
                    <w:t>1个</w:t>
                  </w:r>
                </w:p>
              </w:tc>
            </w:tr>
            <w:tr>
              <w:tc>
                <w:tcPr>
                  <w:tcW w:type="dxa" w:w="1866"/>
                </w:tcPr>
                <w:p>
                  <w:pPr>
                    <w:pStyle w:val="null3"/>
                    <w:jc w:val="center"/>
                  </w:pPr>
                  <w:r>
                    <w:rPr>
                      <w:sz w:val="21"/>
                    </w:rPr>
                    <w:t>6</w:t>
                  </w:r>
                </w:p>
              </w:tc>
              <w:tc>
                <w:tcPr>
                  <w:tcW w:type="dxa" w:w="1866"/>
                </w:tcPr>
                <w:p>
                  <w:pPr>
                    <w:pStyle w:val="null3"/>
                    <w:jc w:val="center"/>
                  </w:pPr>
                  <w:r>
                    <w:rPr>
                      <w:sz w:val="21"/>
                    </w:rPr>
                    <w:t>操作手册</w:t>
                  </w:r>
                </w:p>
              </w:tc>
              <w:tc>
                <w:tcPr>
                  <w:tcW w:type="dxa" w:w="1866"/>
                </w:tcPr>
                <w:p>
                  <w:pPr>
                    <w:pStyle w:val="null3"/>
                    <w:jc w:val="center"/>
                  </w:pPr>
                  <w:r>
                    <w:rPr>
                      <w:sz w:val="21"/>
                    </w:rPr>
                    <w:t>1套</w:t>
                  </w:r>
                </w:p>
              </w:tc>
            </w:tr>
            <w:tr>
              <w:tc>
                <w:tcPr>
                  <w:tcW w:type="dxa" w:w="1866"/>
                </w:tcPr>
                <w:p>
                  <w:pPr>
                    <w:pStyle w:val="null3"/>
                    <w:jc w:val="center"/>
                  </w:pPr>
                  <w:r>
                    <w:rPr>
                      <w:sz w:val="21"/>
                    </w:rPr>
                    <w:t>7</w:t>
                  </w:r>
                </w:p>
              </w:tc>
              <w:tc>
                <w:tcPr>
                  <w:tcW w:type="dxa" w:w="1866"/>
                </w:tcPr>
                <w:p>
                  <w:pPr>
                    <w:pStyle w:val="null3"/>
                    <w:jc w:val="center"/>
                  </w:pPr>
                  <w:r>
                    <w:rPr>
                      <w:sz w:val="21"/>
                    </w:rPr>
                    <w:t>维修手册</w:t>
                  </w:r>
                </w:p>
              </w:tc>
              <w:tc>
                <w:tcPr>
                  <w:tcW w:type="dxa" w:w="1866"/>
                </w:tcPr>
                <w:p>
                  <w:pPr>
                    <w:pStyle w:val="null3"/>
                    <w:jc w:val="center"/>
                  </w:pPr>
                  <w:r>
                    <w:rPr>
                      <w:sz w:val="21"/>
                    </w:rPr>
                    <w:t>1套</w:t>
                  </w:r>
                </w:p>
              </w:tc>
            </w:tr>
            <w:tr>
              <w:tc>
                <w:tcPr>
                  <w:tcW w:type="dxa" w:w="1866"/>
                </w:tcPr>
                <w:p>
                  <w:pPr>
                    <w:pStyle w:val="null3"/>
                    <w:jc w:val="center"/>
                  </w:pPr>
                  <w:r>
                    <w:rPr>
                      <w:sz w:val="21"/>
                    </w:rPr>
                    <w:t>8</w:t>
                  </w:r>
                </w:p>
              </w:tc>
              <w:tc>
                <w:tcPr>
                  <w:tcW w:type="dxa" w:w="1866"/>
                </w:tcPr>
                <w:p>
                  <w:pPr>
                    <w:pStyle w:val="null3"/>
                    <w:jc w:val="center"/>
                  </w:pPr>
                  <w:r>
                    <w:rPr>
                      <w:sz w:val="21"/>
                    </w:rPr>
                    <w:t>启动用具箱</w:t>
                  </w:r>
                </w:p>
              </w:tc>
              <w:tc>
                <w:tcPr>
                  <w:tcW w:type="dxa" w:w="1866"/>
                </w:tcPr>
                <w:p>
                  <w:pPr>
                    <w:pStyle w:val="null3"/>
                    <w:jc w:val="center"/>
                  </w:pPr>
                  <w:r>
                    <w:rPr>
                      <w:sz w:val="21"/>
                    </w:rPr>
                    <w:t>1套</w:t>
                  </w:r>
                </w:p>
              </w:tc>
            </w:tr>
            <w:tr>
              <w:tc>
                <w:tcPr>
                  <w:tcW w:type="dxa" w:w="1866"/>
                </w:tcPr>
                <w:p>
                  <w:pPr>
                    <w:pStyle w:val="null3"/>
                    <w:jc w:val="center"/>
                  </w:pPr>
                  <w:r>
                    <w:rPr>
                      <w:sz w:val="21"/>
                    </w:rPr>
                    <w:t>9</w:t>
                  </w:r>
                </w:p>
              </w:tc>
              <w:tc>
                <w:tcPr>
                  <w:tcW w:type="dxa" w:w="1866"/>
                </w:tcPr>
                <w:p>
                  <w:pPr>
                    <w:pStyle w:val="null3"/>
                    <w:jc w:val="center"/>
                  </w:pPr>
                  <w:r>
                    <w:rPr>
                      <w:sz w:val="21"/>
                    </w:rPr>
                    <w:t>稳压电源</w:t>
                  </w:r>
                </w:p>
              </w:tc>
              <w:tc>
                <w:tcPr>
                  <w:tcW w:type="dxa" w:w="1866"/>
                </w:tcPr>
                <w:p>
                  <w:pPr>
                    <w:pStyle w:val="null3"/>
                    <w:jc w:val="center"/>
                  </w:pPr>
                  <w:r>
                    <w:rPr>
                      <w:sz w:val="21"/>
                    </w:rPr>
                    <w:t>1台</w:t>
                  </w:r>
                </w:p>
              </w:tc>
            </w:tr>
            <w:tr>
              <w:tc>
                <w:tcPr>
                  <w:tcW w:type="dxa" w:w="1866"/>
                </w:tcPr>
                <w:p>
                  <w:pPr>
                    <w:pStyle w:val="null3"/>
                    <w:jc w:val="center"/>
                  </w:pPr>
                  <w:r>
                    <w:rPr>
                      <w:sz w:val="21"/>
                    </w:rPr>
                    <w:t>10</w:t>
                  </w:r>
                </w:p>
              </w:tc>
              <w:tc>
                <w:tcPr>
                  <w:tcW w:type="dxa" w:w="1866"/>
                </w:tcPr>
                <w:p>
                  <w:pPr>
                    <w:pStyle w:val="null3"/>
                    <w:jc w:val="center"/>
                  </w:pPr>
                  <w:r>
                    <w:rPr>
                      <w:sz w:val="21"/>
                    </w:rPr>
                    <w:t>盐水分液器</w:t>
                  </w:r>
                </w:p>
              </w:tc>
              <w:tc>
                <w:tcPr>
                  <w:tcW w:type="dxa" w:w="1866"/>
                </w:tcPr>
                <w:p>
                  <w:pPr>
                    <w:pStyle w:val="null3"/>
                    <w:jc w:val="center"/>
                  </w:pPr>
                  <w:r>
                    <w:rPr>
                      <w:sz w:val="21"/>
                    </w:rPr>
                    <w:t>1个</w:t>
                  </w:r>
                </w:p>
              </w:tc>
            </w:tr>
            <w:tr>
              <w:tc>
                <w:tcPr>
                  <w:tcW w:type="dxa" w:w="1866"/>
                </w:tcPr>
                <w:p>
                  <w:pPr>
                    <w:pStyle w:val="null3"/>
                    <w:jc w:val="center"/>
                  </w:pPr>
                  <w:r>
                    <w:rPr>
                      <w:sz w:val="21"/>
                    </w:rPr>
                    <w:t>11</w:t>
                  </w:r>
                </w:p>
              </w:tc>
              <w:tc>
                <w:tcPr>
                  <w:tcW w:type="dxa" w:w="1866"/>
                </w:tcPr>
                <w:p>
                  <w:pPr>
                    <w:pStyle w:val="null3"/>
                    <w:jc w:val="center"/>
                  </w:pPr>
                  <w:r>
                    <w:rPr>
                      <w:sz w:val="21"/>
                    </w:rPr>
                    <w:t>图文报告输出工作站</w:t>
                  </w:r>
                </w:p>
              </w:tc>
              <w:tc>
                <w:tcPr>
                  <w:tcW w:type="dxa" w:w="1866"/>
                </w:tcPr>
                <w:p>
                  <w:pPr>
                    <w:pStyle w:val="null3"/>
                    <w:jc w:val="center"/>
                  </w:pPr>
                  <w:r>
                    <w:rPr>
                      <w:sz w:val="21"/>
                    </w:rPr>
                    <w:t>1台</w:t>
                  </w:r>
                </w:p>
              </w:tc>
            </w:tr>
            <w:tr>
              <w:tc>
                <w:tcPr>
                  <w:tcW w:type="dxa" w:w="1866"/>
                </w:tcPr>
                <w:p>
                  <w:pPr>
                    <w:pStyle w:val="null3"/>
                    <w:jc w:val="center"/>
                  </w:pPr>
                  <w:r>
                    <w:rPr>
                      <w:sz w:val="21"/>
                    </w:rPr>
                    <w:t>12</w:t>
                  </w:r>
                </w:p>
              </w:tc>
              <w:tc>
                <w:tcPr>
                  <w:tcW w:type="dxa" w:w="1866"/>
                </w:tcPr>
                <w:p>
                  <w:pPr>
                    <w:pStyle w:val="null3"/>
                    <w:jc w:val="center"/>
                  </w:pPr>
                  <w:r>
                    <w:rPr>
                      <w:sz w:val="21"/>
                    </w:rPr>
                    <w:t>图文报告工作站</w:t>
                  </w:r>
                </w:p>
              </w:tc>
              <w:tc>
                <w:tcPr>
                  <w:tcW w:type="dxa" w:w="1866"/>
                </w:tcPr>
                <w:p>
                  <w:pPr>
                    <w:pStyle w:val="null3"/>
                    <w:jc w:val="center"/>
                  </w:pPr>
                  <w:r>
                    <w:rPr>
                      <w:sz w:val="21"/>
                    </w:rPr>
                    <w:t>1套</w:t>
                  </w: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二氧化碳孵箱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 最高温度可达≥75°C；</w:t>
            </w:r>
          </w:p>
        </w:tc>
      </w:tr>
      <w:tr>
        <w:tc>
          <w:tcPr>
            <w:tcW w:type="dxa" w:w="2076"/>
          </w:tcPr>
          <w:p/>
        </w:tc>
        <w:tc>
          <w:tcPr>
            <w:tcW w:type="dxa" w:w="415"/>
          </w:tcPr>
          <w:p>
            <w:pPr>
              <w:pStyle w:val="null3"/>
            </w:pPr>
            <w:r>
              <w:rPr/>
              <w:t>3</w:t>
            </w:r>
          </w:p>
        </w:tc>
        <w:tc>
          <w:tcPr>
            <w:tcW w:type="dxa" w:w="5814"/>
          </w:tcPr>
          <w:p>
            <w:pPr>
              <w:pStyle w:val="null3"/>
            </w:pPr>
            <w:r>
              <w:rPr/>
              <w:t>2. 体积≥190L；</w:t>
            </w:r>
          </w:p>
        </w:tc>
      </w:tr>
      <w:tr>
        <w:tc>
          <w:tcPr>
            <w:tcW w:type="dxa" w:w="2076"/>
          </w:tcPr>
          <w:p/>
        </w:tc>
        <w:tc>
          <w:tcPr>
            <w:tcW w:type="dxa" w:w="415"/>
          </w:tcPr>
          <w:p>
            <w:pPr>
              <w:pStyle w:val="null3"/>
            </w:pPr>
            <w:r>
              <w:rPr/>
              <w:t>4</w:t>
            </w:r>
          </w:p>
        </w:tc>
        <w:tc>
          <w:tcPr>
            <w:tcW w:type="dxa" w:w="5814"/>
          </w:tcPr>
          <w:p>
            <w:pPr>
              <w:pStyle w:val="null3"/>
            </w:pPr>
            <w:r>
              <w:rPr/>
              <w:t>3. 采用微处理控制温度,大屏幕数字显示；</w:t>
            </w:r>
          </w:p>
        </w:tc>
      </w:tr>
      <w:tr>
        <w:tc>
          <w:tcPr>
            <w:tcW w:type="dxa" w:w="2076"/>
          </w:tcPr>
          <w:p/>
        </w:tc>
        <w:tc>
          <w:tcPr>
            <w:tcW w:type="dxa" w:w="415"/>
          </w:tcPr>
          <w:p>
            <w:pPr>
              <w:pStyle w:val="null3"/>
            </w:pPr>
            <w:r>
              <w:rPr/>
              <w:t>5</w:t>
            </w:r>
          </w:p>
        </w:tc>
        <w:tc>
          <w:tcPr>
            <w:tcW w:type="dxa" w:w="5814"/>
          </w:tcPr>
          <w:p>
            <w:pPr>
              <w:pStyle w:val="null3"/>
            </w:pPr>
            <w:r>
              <w:rPr/>
              <w:t>4. 隔板最大承重≥20kg；</w:t>
            </w:r>
          </w:p>
        </w:tc>
      </w:tr>
      <w:tr>
        <w:tc>
          <w:tcPr>
            <w:tcW w:type="dxa" w:w="2076"/>
          </w:tcPr>
          <w:p/>
        </w:tc>
        <w:tc>
          <w:tcPr>
            <w:tcW w:type="dxa" w:w="415"/>
          </w:tcPr>
          <w:p>
            <w:pPr>
              <w:pStyle w:val="null3"/>
            </w:pPr>
            <w:r>
              <w:rPr/>
              <w:t>6</w:t>
            </w:r>
          </w:p>
        </w:tc>
        <w:tc>
          <w:tcPr>
            <w:tcW w:type="dxa" w:w="5814"/>
          </w:tcPr>
          <w:p>
            <w:pPr>
              <w:pStyle w:val="null3"/>
            </w:pPr>
            <w:r>
              <w:rPr/>
              <w:t>5. 温度均一度≤ ±0.6℃ （37℃下测量）</w:t>
            </w:r>
          </w:p>
        </w:tc>
      </w:tr>
      <w:tr>
        <w:tc>
          <w:tcPr>
            <w:tcW w:type="dxa" w:w="2076"/>
          </w:tcPr>
          <w:p/>
        </w:tc>
        <w:tc>
          <w:tcPr>
            <w:tcW w:type="dxa" w:w="415"/>
          </w:tcPr>
          <w:p>
            <w:pPr>
              <w:pStyle w:val="null3"/>
            </w:pPr>
            <w:r>
              <w:rPr/>
              <w:t>7</w:t>
            </w:r>
          </w:p>
        </w:tc>
        <w:tc>
          <w:tcPr>
            <w:tcW w:type="dxa" w:w="5814"/>
          </w:tcPr>
          <w:p>
            <w:pPr>
              <w:pStyle w:val="null3"/>
            </w:pPr>
            <w:r>
              <w:rPr/>
              <w:t>6. 温度稳定性≤ ±0.2℃（37℃下测量）</w:t>
            </w:r>
          </w:p>
        </w:tc>
      </w:tr>
      <w:tr>
        <w:tc>
          <w:tcPr>
            <w:tcW w:type="dxa" w:w="2076"/>
          </w:tcPr>
          <w:p/>
        </w:tc>
        <w:tc>
          <w:tcPr>
            <w:tcW w:type="dxa" w:w="415"/>
          </w:tcPr>
          <w:p>
            <w:pPr>
              <w:pStyle w:val="null3"/>
            </w:pPr>
            <w:r>
              <w:rPr/>
              <w:t>8</w:t>
            </w:r>
          </w:p>
        </w:tc>
        <w:tc>
          <w:tcPr>
            <w:tcW w:type="dxa" w:w="5814"/>
          </w:tcPr>
          <w:p>
            <w:pPr>
              <w:pStyle w:val="null3"/>
            </w:pPr>
            <w:r>
              <w:rPr/>
              <w:t>7. 可两台叠放使用</w:t>
            </w:r>
          </w:p>
        </w:tc>
      </w:tr>
      <w:tr>
        <w:tc>
          <w:tcPr>
            <w:tcW w:type="dxa" w:w="2076"/>
          </w:tcPr>
          <w:p/>
        </w:tc>
        <w:tc>
          <w:tcPr>
            <w:tcW w:type="dxa" w:w="415"/>
          </w:tcPr>
          <w:p>
            <w:pPr>
              <w:pStyle w:val="null3"/>
            </w:pPr>
            <w:r>
              <w:rPr/>
              <w:t>9</w:t>
            </w:r>
          </w:p>
        </w:tc>
        <w:tc>
          <w:tcPr>
            <w:tcW w:type="dxa" w:w="5814"/>
          </w:tcPr>
          <w:p>
            <w:pPr>
              <w:pStyle w:val="null3"/>
            </w:pPr>
            <w:r>
              <w:rPr/>
              <w:t>8. 箱体内部不锈钢材质，圆角设计，带玻璃观察门</w:t>
            </w:r>
          </w:p>
        </w:tc>
      </w:tr>
      <w:tr>
        <w:tc>
          <w:tcPr>
            <w:tcW w:type="dxa" w:w="2076"/>
          </w:tcPr>
          <w:p/>
        </w:tc>
        <w:tc>
          <w:tcPr>
            <w:tcW w:type="dxa" w:w="415"/>
          </w:tcPr>
          <w:p>
            <w:pPr>
              <w:pStyle w:val="null3"/>
            </w:pPr>
            <w:r>
              <w:rPr/>
              <w:t>10</w:t>
            </w:r>
          </w:p>
        </w:tc>
        <w:tc>
          <w:tcPr>
            <w:tcW w:type="dxa" w:w="5814"/>
          </w:tcPr>
          <w:p>
            <w:pPr>
              <w:pStyle w:val="null3"/>
            </w:pPr>
            <w:r>
              <w:rPr/>
              <w:t>9. 自动超温报警系统</w:t>
            </w:r>
          </w:p>
        </w:tc>
      </w:tr>
      <w:tr>
        <w:tc>
          <w:tcPr>
            <w:tcW w:type="dxa" w:w="2076"/>
          </w:tcPr>
          <w:p/>
        </w:tc>
        <w:tc>
          <w:tcPr>
            <w:tcW w:type="dxa" w:w="415"/>
          </w:tcPr>
          <w:p>
            <w:pPr>
              <w:pStyle w:val="null3"/>
            </w:pPr>
            <w:r>
              <w:rPr/>
              <w:t>11</w:t>
            </w:r>
          </w:p>
        </w:tc>
        <w:tc>
          <w:tcPr>
            <w:tcW w:type="dxa" w:w="5814"/>
          </w:tcPr>
          <w:p>
            <w:pPr>
              <w:pStyle w:val="null3"/>
            </w:pPr>
            <w:r>
              <w:rPr/>
              <w:t>10. 自带校正功能</w:t>
            </w:r>
          </w:p>
        </w:tc>
      </w:tr>
      <w:tr>
        <w:tc>
          <w:tcPr>
            <w:tcW w:type="dxa" w:w="2076"/>
          </w:tcPr>
          <w:p/>
        </w:tc>
        <w:tc>
          <w:tcPr>
            <w:tcW w:type="dxa" w:w="415"/>
          </w:tcPr>
          <w:p>
            <w:pPr>
              <w:pStyle w:val="null3"/>
            </w:pPr>
            <w:r>
              <w:rPr/>
              <w:t>12</w:t>
            </w:r>
          </w:p>
        </w:tc>
        <w:tc>
          <w:tcPr>
            <w:tcW w:type="dxa" w:w="5814"/>
          </w:tcPr>
          <w:p>
            <w:pPr>
              <w:pStyle w:val="null3"/>
            </w:pPr>
            <w:r>
              <w:rPr/>
              <w:t>11 自然对流循环功能</w:t>
            </w:r>
          </w:p>
        </w:tc>
      </w:tr>
      <w:tr>
        <w:tc>
          <w:tcPr>
            <w:tcW w:type="dxa" w:w="2076"/>
          </w:tcPr>
          <w:p/>
        </w:tc>
        <w:tc>
          <w:tcPr>
            <w:tcW w:type="dxa" w:w="415"/>
          </w:tcPr>
          <w:p>
            <w:pPr>
              <w:pStyle w:val="null3"/>
            </w:pPr>
            <w:r>
              <w:rPr/>
              <w:t>13</w:t>
            </w:r>
          </w:p>
        </w:tc>
        <w:tc>
          <w:tcPr>
            <w:tcW w:type="dxa" w:w="5814"/>
          </w:tcPr>
          <w:p>
            <w:pPr>
              <w:pStyle w:val="null3"/>
            </w:pPr>
            <w:r>
              <w:rPr/>
              <w:t>12带有RS232数据接口</w:t>
            </w:r>
          </w:p>
        </w:tc>
      </w:tr>
      <w:tr>
        <w:tc>
          <w:tcPr>
            <w:tcW w:type="dxa" w:w="2076"/>
          </w:tcPr>
          <w:p/>
        </w:tc>
        <w:tc>
          <w:tcPr>
            <w:tcW w:type="dxa" w:w="415"/>
          </w:tcPr>
          <w:p>
            <w:pPr>
              <w:pStyle w:val="null3"/>
            </w:pPr>
            <w:r>
              <w:rPr/>
              <w:t>14</w:t>
            </w:r>
          </w:p>
        </w:tc>
        <w:tc>
          <w:tcPr>
            <w:tcW w:type="dxa" w:w="5814"/>
          </w:tcPr>
          <w:p>
            <w:pPr>
              <w:pStyle w:val="null3"/>
            </w:pPr>
            <w:r>
              <w:rPr/>
              <w:t>（二）配置清单</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Pr>
                <w:p>
                  <w:pPr>
                    <w:pStyle w:val="null3"/>
                    <w:jc w:val="center"/>
                  </w:pPr>
                  <w:r>
                    <w:rPr>
                      <w:sz w:val="21"/>
                    </w:rPr>
                    <w:t>序号</w:t>
                  </w:r>
                </w:p>
              </w:tc>
              <w:tc>
                <w:tcPr>
                  <w:tcW w:type="dxa" w:w="1400"/>
                </w:tcPr>
                <w:p>
                  <w:pPr>
                    <w:pStyle w:val="null3"/>
                    <w:jc w:val="center"/>
                  </w:pPr>
                  <w:r>
                    <w:rPr>
                      <w:sz w:val="21"/>
                    </w:rPr>
                    <w:t>产品名称</w:t>
                  </w:r>
                </w:p>
              </w:tc>
              <w:tc>
                <w:tcPr>
                  <w:tcW w:type="dxa" w:w="1400"/>
                </w:tcPr>
                <w:p>
                  <w:pPr>
                    <w:pStyle w:val="null3"/>
                    <w:jc w:val="center"/>
                  </w:pPr>
                  <w:r>
                    <w:rPr>
                      <w:sz w:val="21"/>
                    </w:rPr>
                    <w:t>数量</w:t>
                  </w:r>
                </w:p>
              </w:tc>
              <w:tc>
                <w:tcPr>
                  <w:tcW w:type="dxa" w:w="1400"/>
                </w:tcPr>
                <w:p>
                  <w:pPr>
                    <w:pStyle w:val="null3"/>
                    <w:jc w:val="center"/>
                  </w:pPr>
                  <w:r>
                    <w:rPr>
                      <w:sz w:val="21"/>
                    </w:rPr>
                    <w:t>配置</w:t>
                  </w:r>
                </w:p>
              </w:tc>
            </w:tr>
            <w:tr>
              <w:tc>
                <w:tcPr>
                  <w:tcW w:type="dxa" w:w="1400"/>
                </w:tcPr>
                <w:p>
                  <w:pPr>
                    <w:pStyle w:val="null3"/>
                    <w:jc w:val="center"/>
                  </w:pPr>
                  <w:r>
                    <w:rPr>
                      <w:sz w:val="21"/>
                    </w:rPr>
                    <w:t>1</w:t>
                  </w:r>
                </w:p>
              </w:tc>
              <w:tc>
                <w:tcPr>
                  <w:tcW w:type="dxa" w:w="1400"/>
                </w:tcPr>
                <w:p>
                  <w:pPr>
                    <w:pStyle w:val="null3"/>
                    <w:jc w:val="center"/>
                  </w:pPr>
                  <w:r>
                    <w:rPr>
                      <w:sz w:val="21"/>
                    </w:rPr>
                    <w:t>烘箱</w:t>
                  </w:r>
                </w:p>
              </w:tc>
              <w:tc>
                <w:tcPr>
                  <w:tcW w:type="dxa" w:w="1400"/>
                </w:tcPr>
                <w:p>
                  <w:pPr>
                    <w:pStyle w:val="null3"/>
                    <w:jc w:val="center"/>
                  </w:pPr>
                  <w:r>
                    <w:rPr>
                      <w:sz w:val="21"/>
                    </w:rPr>
                    <w:t>1台</w:t>
                  </w:r>
                </w:p>
              </w:tc>
              <w:tc>
                <w:tcPr>
                  <w:tcW w:type="dxa" w:w="1400"/>
                </w:tcPr>
                <w:p>
                  <w:pPr>
                    <w:pStyle w:val="null3"/>
                    <w:jc w:val="center"/>
                  </w:pPr>
                  <w:r>
                    <w:rPr>
                      <w:sz w:val="21"/>
                    </w:rPr>
                    <w:t>1.微生物培养箱主机</w:t>
                  </w:r>
                </w:p>
                <w:p>
                  <w:pPr>
                    <w:pStyle w:val="null3"/>
                    <w:jc w:val="center"/>
                  </w:pPr>
                  <w:r>
                    <w:rPr>
                      <w:sz w:val="21"/>
                    </w:rPr>
                    <w:t>2.两块不锈钢隔板</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项目预算金额作为计算基数；参考国家计委（计价格〔2002〕1980号）及国家发改委（发改价格〔2011〕534号）规定的收费标准实行差额定率累进法计算，本项目按定额叁万壹仟零陆拾元整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中标供应商在本项目发布结果公告后3天内，须提供与递交投标文件电子标书内容一致且每页加盖单位公章的纸质文件1套（1正）及非加密电子版投标文件U盘（或光盘）1份给采购人（邮寄地址：广州市海珠区前进路南园大街1号之一，联系人：王小姐，020-84407210），邮寄外包裹须注明项目名称、项目编号、包号（如有）、供应商名称等能识别其身份的信息，请合理安排时间并及时将快递单号发送至采购代理机构邮箱（gdonghongye@163.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赖小姐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全自动微生物药敏分析仪等医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采购包1（全自动微生物药敏分析仪等医疗设备）：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采购包1（全自动微生物药敏分析仪等医疗设备）：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①投标人为生产企业：所投产品为第一类医疗器械，提供监督管理部门签发的有效的《医疗器械生产备案凭证》复印件；所投产品为第二、三类医疗器械，提供监督管理部门签发的有效的《医疗器械生产许可证》复印件（如国家另有规定，则适用其规定）；②投标人为经营企业：所投产品为第二类医疗器械，提供监督管理部门签发的有效的《医疗器械经营备案凭证》复印件；所投产品为第三类医疗器械，提供监督管理部门签发的有效的《医疗器械经营许可证》复印件（如国家另有规定，则适用其规定）。</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所投产品属于第二类、第三类医疗器械，则必须提供监督管理部门签发的有效的《医疗器械注册证》复印件（如国家另有规定，则适用其规定）。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本采购包不属于专门面向中小企业。</w:t>
            </w:r>
          </w:p>
        </w:tc>
      </w:tr>
    </w:tbl>
    <w:p>
      <w:pPr>
        <w:pStyle w:val="null3"/>
        <w:ind w:firstLine="480"/>
      </w:pPr>
      <w:r>
        <w:rPr/>
        <w:t>表二符合性审查表：</w:t>
      </w:r>
    </w:p>
    <w:p>
      <w:pPr>
        <w:pStyle w:val="null3"/>
      </w:pPr>
      <w:r>
        <w:rPr/>
        <w:t>采购包1（全自动微生物药敏分析仪等医疗设备）：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采购包1(全自动微生物药敏分析仪等医疗设备):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(25.5分)</w:t>
            </w:r>
          </w:p>
        </w:tc>
        <w:tc>
          <w:tcPr>
            <w:tcW w:type="dxa" w:w="5076"/>
          </w:tcPr>
          <w:p>
            <w:pPr>
              <w:pStyle w:val="null3"/>
              <w:jc w:val="left"/>
            </w:pPr>
            <w:r>
              <w:rPr/>
              <w:t>根据各投标人对采购需求重要技术参数（带“▲”共17条）响应程度进行评审：满足或优于采购需求的每条得1.5分，17条全部满足或优于采购需求最高得25.5分。【注：采购需求中要求提供相关证明材料的，必须按采购需求要求提供相关证明材料，如未按要求提供相关证明材料的，则视为“不满足”。若采购需求中无明确证明材料的，以投标人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一般技术参数响应 (8.0分)</w:t>
            </w:r>
          </w:p>
        </w:tc>
        <w:tc>
          <w:tcPr>
            <w:tcW w:type="dxa" w:w="5076"/>
          </w:tcPr>
          <w:p>
            <w:pPr>
              <w:pStyle w:val="null3"/>
              <w:jc w:val="left"/>
            </w:pPr>
            <w:r>
              <w:rPr/>
              <w:t>采购需求中2.“技术标准与要求”附表一到附表四（共4款产品），每款产品“具体技术(参数)要求及配置清单”非“▲”项全部满足得2分，不能完全满足该产品不得分；本项最高得8分。 【注：采购需求中要求提供相关证明材料的，必须按采购需求要求提供相关证明材料，如未按要求提供相关证明材料的，则视为不满足。若采购需求中无明确证明材料的，以投标人投标文件《技术与服务要求响应表》填写的“是否偏离”为准，未填写或未响应的视为不满足。】</w:t>
            </w:r>
          </w:p>
        </w:tc>
      </w:tr>
      <w:tr>
        <w:tc>
          <w:tcPr>
            <w:tcW w:type="dxa" w:w="922"/>
            <w:gridSpan w:val="2"/>
            <w:vMerge/>
          </w:tcPr>
          <w:p/>
        </w:tc>
        <w:tc>
          <w:tcPr>
            <w:tcW w:type="dxa" w:w="2307"/>
          </w:tcPr>
          <w:p>
            <w:pPr>
              <w:pStyle w:val="null3"/>
              <w:jc w:val="left"/>
            </w:pPr>
            <w:r>
              <w:rPr/>
              <w:t>交货方案 (6.0分)</w:t>
            </w:r>
            <w:r>
              <w:rPr/>
              <w:t>，（等次分值选择：</w:t>
            </w:r>
            <w:r>
              <w:rPr/>
              <w:t>0.0;</w:t>
            </w:r>
            <w:r>
              <w:rPr/>
              <w:t>2.0;</w:t>
            </w:r>
            <w:r>
              <w:rPr/>
              <w:t>4.0;</w:t>
            </w:r>
            <w:r>
              <w:rPr/>
              <w:t>6.0;</w:t>
            </w:r>
            <w:r>
              <w:rPr/>
              <w:t>）</w:t>
            </w:r>
          </w:p>
        </w:tc>
        <w:tc>
          <w:tcPr>
            <w:tcW w:type="dxa" w:w="5076"/>
          </w:tcPr>
          <w:p>
            <w:pPr>
              <w:pStyle w:val="null3"/>
              <w:jc w:val="left"/>
            </w:pPr>
            <w:r>
              <w:rPr/>
              <w:t>投标人根据用户需求书“交货要求”的要求，制定详细具体、科学合理的交货方案，并根据方案的响应情况进行评审： 1.方案完全适用且优于本项目用户需求，得6分； 2.方案完全适用本项目用户需求，得4分； 3.方案不能完全适用本项目用户需求，得2分； 4.未提供方案，不得分。</w:t>
            </w:r>
          </w:p>
        </w:tc>
      </w:tr>
      <w:tr>
        <w:tc>
          <w:tcPr>
            <w:tcW w:type="dxa" w:w="922"/>
            <w:gridSpan w:val="2"/>
            <w:vMerge/>
          </w:tcPr>
          <w:p/>
        </w:tc>
        <w:tc>
          <w:tcPr>
            <w:tcW w:type="dxa" w:w="2307"/>
          </w:tcPr>
          <w:p>
            <w:pPr>
              <w:pStyle w:val="null3"/>
              <w:jc w:val="left"/>
            </w:pPr>
            <w:r>
              <w:rPr/>
              <w:t>包装、保险及发运、保管方案 (5.5分)</w:t>
            </w:r>
            <w:r>
              <w:rPr/>
              <w:t>，（等次分值选择：</w:t>
            </w:r>
            <w:r>
              <w:rPr/>
              <w:t>0.0;</w:t>
            </w:r>
            <w:r>
              <w:rPr/>
              <w:t>2.5;</w:t>
            </w:r>
            <w:r>
              <w:rPr/>
              <w:t>4.0;</w:t>
            </w:r>
            <w:r>
              <w:rPr/>
              <w:t>5.5;</w:t>
            </w:r>
            <w:r>
              <w:rPr/>
              <w:t>）</w:t>
            </w:r>
          </w:p>
        </w:tc>
        <w:tc>
          <w:tcPr>
            <w:tcW w:type="dxa" w:w="5076"/>
          </w:tcPr>
          <w:p>
            <w:pPr>
              <w:pStyle w:val="null3"/>
              <w:jc w:val="left"/>
            </w:pPr>
            <w:r>
              <w:rPr/>
              <w:t>投标人根据用户需求书“包装、保险及发运、保管要求”的要求，制定详细具体、科学合理的包装、保险及发运、保管方案，并根据方案的响应情况进行评审： 1.方案完全适用且优于本项目用户需求，得5.5分； 2.方案完全适用本项目用户需求，得4分； 3.方案不能完全适用本项目用户需求，得2.5分； 4.未提供方案，不得分。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根据投标人在2021年至今承接的同类项目业绩（以合同签署时间为准）进行评审。每提供一项业绩证明文件得1分，最高5分。 【注：须提供合同复印件加盖公章，不提供不得分。】</w:t>
            </w:r>
          </w:p>
        </w:tc>
      </w:tr>
      <w:tr>
        <w:tc>
          <w:tcPr>
            <w:tcW w:type="dxa" w:w="922"/>
            <w:gridSpan w:val="2"/>
            <w:vMerge/>
          </w:tcPr>
          <w:p/>
        </w:tc>
        <w:tc>
          <w:tcPr>
            <w:tcW w:type="dxa" w:w="2307"/>
          </w:tcPr>
          <w:p>
            <w:pPr>
              <w:pStyle w:val="null3"/>
              <w:jc w:val="left"/>
            </w:pPr>
            <w:r>
              <w:rPr/>
              <w:t>客户满意评价 (5.0分)</w:t>
            </w:r>
          </w:p>
        </w:tc>
        <w:tc>
          <w:tcPr>
            <w:tcW w:type="dxa" w:w="5076"/>
          </w:tcPr>
          <w:p>
            <w:pPr>
              <w:pStyle w:val="null3"/>
              <w:jc w:val="left"/>
            </w:pPr>
            <w:r>
              <w:rPr/>
              <w:t>投标人上述有效的同类项目中，得到服务客户类似于“优”、“满意”或依照百分制评分得到90分以上服务评价的，每个得1分，最高5分。 【注：同一服务客户不累计计算。须提供服务客户加盖公章的满意评价证明文件，不提供不得分。】</w:t>
            </w:r>
          </w:p>
        </w:tc>
      </w:tr>
      <w:tr>
        <w:tc>
          <w:tcPr>
            <w:tcW w:type="dxa" w:w="922"/>
            <w:gridSpan w:val="2"/>
            <w:vMerge/>
          </w:tcPr>
          <w:p/>
        </w:tc>
        <w:tc>
          <w:tcPr>
            <w:tcW w:type="dxa" w:w="2307"/>
          </w:tcPr>
          <w:p>
            <w:pPr>
              <w:pStyle w:val="null3"/>
              <w:jc w:val="left"/>
            </w:pPr>
            <w:r>
              <w:rPr/>
              <w:t>企业管理体系 (3.0分)</w:t>
            </w:r>
          </w:p>
        </w:tc>
        <w:tc>
          <w:tcPr>
            <w:tcW w:type="dxa" w:w="5076"/>
          </w:tcPr>
          <w:p>
            <w:pPr>
              <w:pStyle w:val="null3"/>
              <w:jc w:val="left"/>
            </w:pPr>
            <w:r>
              <w:rPr/>
              <w:t>投标人获得有效期内的质量管理体系认证证书、环境管理体系认证证书、职业健康安全管理体系认证证书的，每提供一项得1分，最高3分。 【注：提供有效期内的证书复印件或在全国认证认可信息公共服务平台（http://cx.cnca.cn/）对体系证书的信息查询截图作为评审依据，未按上述要求提供证明材料或证书已失效或撤销或暂停的不得分。】</w:t>
            </w:r>
          </w:p>
        </w:tc>
      </w:tr>
      <w:tr>
        <w:tc>
          <w:tcPr>
            <w:tcW w:type="dxa" w:w="922"/>
            <w:gridSpan w:val="2"/>
            <w:vMerge/>
          </w:tcPr>
          <w:p/>
        </w:tc>
        <w:tc>
          <w:tcPr>
            <w:tcW w:type="dxa" w:w="2307"/>
          </w:tcPr>
          <w:p>
            <w:pPr>
              <w:pStyle w:val="null3"/>
              <w:jc w:val="left"/>
            </w:pPr>
            <w:r>
              <w:rPr/>
              <w:t>售后服务方案 (7.0分)</w:t>
            </w:r>
            <w:r>
              <w:rPr/>
              <w:t>，（等次分值选择：</w:t>
            </w:r>
            <w:r>
              <w:rPr/>
              <w:t>0.0;</w:t>
            </w:r>
            <w:r>
              <w:rPr/>
              <w:t>1.0;</w:t>
            </w:r>
            <w:r>
              <w:rPr/>
              <w:t>4.0;</w:t>
            </w:r>
            <w:r>
              <w:rPr/>
              <w:t>7.0;</w:t>
            </w:r>
            <w:r>
              <w:rPr/>
              <w:t>）</w:t>
            </w:r>
          </w:p>
        </w:tc>
        <w:tc>
          <w:tcPr>
            <w:tcW w:type="dxa" w:w="5076"/>
          </w:tcPr>
          <w:p>
            <w:pPr>
              <w:pStyle w:val="null3"/>
              <w:jc w:val="left"/>
            </w:pPr>
            <w:r>
              <w:rPr/>
              <w:t>投标人根据用户需求书“售后服务”的要求，制定详细具体、科学合理的售后服务方案（包括产品的质量、因产品质量问题造成事故的责任承担及赔偿方案、产品的三包、培训计划、质保期、服务响应时间、服务方式、保修范围、质保期外的维修服务收费标准、其它服务承诺等），并根据方案的响应情况进行评审： 1.售后服务完全适用且优于本项目用户需求，得7分； 2.售后服务完全适用本项目用户需求，得4分； 3.售后服务不能完全适用本项目用户需求，得1分； 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广州市海珠区中医医院</w:t>
      </w:r>
    </w:p>
    <w:p>
      <w:pPr>
        <w:pStyle w:val="null3"/>
        <w:jc w:val="center"/>
      </w:pPr>
      <w:r>
        <w:rPr>
          <w:sz w:val="48"/>
          <w:b/>
          <w:shd w:fill="FFFFFF" w:val="clear"/>
        </w:rPr>
        <w:t>政府采购</w:t>
      </w:r>
    </w:p>
    <w:p>
      <w:pPr>
        <w:pStyle w:val="null3"/>
        <w:jc w:val="center"/>
      </w:pPr>
      <w:r>
        <w:rPr>
          <w:sz w:val="36"/>
          <w:b/>
          <w:shd w:fill="FFFFFF" w:val="clear"/>
        </w:rPr>
        <w:t>合　同　书</w:t>
      </w:r>
    </w:p>
    <w:p>
      <w:pPr>
        <w:pStyle w:val="null3"/>
        <w:jc w:val="center"/>
      </w:pPr>
      <w:r>
        <w:rPr>
          <w:sz w:val="24"/>
          <w:shd w:fill="FFFFFF" w:val="clear"/>
        </w:rPr>
        <w:t>采购编号：</w:t>
      </w:r>
    </w:p>
    <w:p>
      <w:pPr>
        <w:pStyle w:val="null3"/>
        <w:ind w:left="2100"/>
        <w:jc w:val="left"/>
      </w:pPr>
      <w:r>
        <w:rPr>
          <w:sz w:val="24"/>
          <w:shd w:fill="FFFFFF" w:val="clear"/>
        </w:rPr>
        <w:t>项目名称：</w:t>
      </w:r>
    </w:p>
    <w:p>
      <w:pPr>
        <w:pStyle w:val="null3"/>
        <w:ind w:left="2100"/>
        <w:jc w:val="left"/>
      </w:pPr>
      <w:r>
        <w:rPr>
          <w:sz w:val="24"/>
          <w:b/>
          <w:shd w:fill="FFFFFF" w:val="clear"/>
        </w:rPr>
        <w:t>注：本合同仅为合同的参考文本，合同签订双方可根据项目的具体要求进行修订，但不得修改实质性条款。</w:t>
      </w:r>
    </w:p>
    <w:p>
      <w:pPr>
        <w:pStyle w:val="null3"/>
        <w:jc w:val="both"/>
      </w:pPr>
      <w:r>
        <w:rPr/>
        <w:t xml:space="preserve"> </w:t>
      </w:r>
    </w:p>
    <w:p>
      <w:pPr>
        <w:pStyle w:val="null3"/>
        <w:ind w:firstLine="420"/>
        <w:jc w:val="both"/>
      </w:pPr>
      <w:r>
        <w:rPr>
          <w:sz w:val="24"/>
          <w:shd w:fill="FFFFFF" w:val="clear"/>
        </w:rPr>
        <w:t>甲　　方：</w:t>
      </w:r>
    </w:p>
    <w:p>
      <w:pPr>
        <w:pStyle w:val="null3"/>
        <w:ind w:firstLine="420"/>
        <w:jc w:val="both"/>
      </w:pPr>
      <w:r>
        <w:rPr>
          <w:sz w:val="24"/>
          <w:shd w:fill="FFFFFF" w:val="clear"/>
        </w:rPr>
        <w:t>电　　话：</w:t>
      </w:r>
    </w:p>
    <w:p>
      <w:pPr>
        <w:pStyle w:val="null3"/>
        <w:ind w:firstLine="420"/>
        <w:jc w:val="both"/>
      </w:pPr>
      <w:r>
        <w:rPr>
          <w:sz w:val="24"/>
          <w:shd w:fill="FFFFFF" w:val="clear"/>
        </w:rPr>
        <w:t>传　　真：</w:t>
      </w:r>
    </w:p>
    <w:p>
      <w:pPr>
        <w:pStyle w:val="null3"/>
        <w:ind w:firstLine="420"/>
        <w:jc w:val="both"/>
      </w:pPr>
      <w:r>
        <w:rPr>
          <w:sz w:val="24"/>
          <w:shd w:fill="FFFFFF" w:val="clear"/>
        </w:rPr>
        <w:t>地　　址：</w:t>
      </w:r>
    </w:p>
    <w:p>
      <w:pPr>
        <w:pStyle w:val="null3"/>
        <w:ind w:firstLine="420"/>
        <w:jc w:val="both"/>
      </w:pPr>
      <w:r>
        <w:rPr>
          <w:sz w:val="24"/>
          <w:shd w:fill="FFFFFF" w:val="clear"/>
        </w:rPr>
        <w:t>乙　　方：</w:t>
      </w:r>
    </w:p>
    <w:p>
      <w:pPr>
        <w:pStyle w:val="null3"/>
        <w:ind w:firstLine="420"/>
        <w:jc w:val="both"/>
      </w:pPr>
      <w:r>
        <w:rPr>
          <w:sz w:val="24"/>
          <w:shd w:fill="FFFFFF" w:val="clear"/>
        </w:rPr>
        <w:t>电　　话：</w:t>
      </w:r>
    </w:p>
    <w:p>
      <w:pPr>
        <w:pStyle w:val="null3"/>
        <w:ind w:firstLine="420"/>
        <w:jc w:val="both"/>
      </w:pPr>
      <w:r>
        <w:rPr>
          <w:sz w:val="24"/>
          <w:shd w:fill="FFFFFF" w:val="clear"/>
        </w:rPr>
        <w:t>传　　真：</w:t>
      </w:r>
    </w:p>
    <w:p>
      <w:pPr>
        <w:pStyle w:val="null3"/>
        <w:ind w:firstLine="420"/>
        <w:jc w:val="both"/>
      </w:pPr>
      <w:r>
        <w:rPr>
          <w:sz w:val="24"/>
          <w:shd w:fill="FFFFFF" w:val="clear"/>
        </w:rPr>
        <w:t>地　　址：</w:t>
      </w:r>
    </w:p>
    <w:p>
      <w:pPr>
        <w:pStyle w:val="null3"/>
        <w:ind w:firstLine="420"/>
        <w:jc w:val="both"/>
      </w:pPr>
      <w:r>
        <w:rPr>
          <w:sz w:val="24"/>
          <w:shd w:fill="FFFFFF" w:val="clear"/>
        </w:rPr>
        <w:t>根据</w:t>
      </w:r>
      <w:r>
        <w:rPr>
          <w:u w:val="single"/>
        </w:rPr>
        <w:t xml:space="preserve"> </w:t>
      </w:r>
      <w:r>
        <w:rPr>
          <w:u w:val="single"/>
        </w:rPr>
        <w:t xml:space="preserve"> </w:t>
      </w:r>
      <w:r>
        <w:rPr>
          <w:sz w:val="24"/>
          <w:u w:val="single"/>
        </w:rPr>
        <w:t xml:space="preserve">           </w:t>
      </w:r>
      <w:r>
        <w:rPr>
          <w:sz w:val="24"/>
          <w:u w:val="single"/>
        </w:rPr>
        <w:t>项目</w:t>
      </w:r>
      <w:r>
        <w:rPr>
          <w:sz w:val="24"/>
          <w:shd w:fill="FFFFFF" w:val="clear"/>
        </w:rPr>
        <w:t>（项目编号：</w:t>
      </w:r>
      <w:r>
        <w:rPr>
          <w:u w:val="single"/>
        </w:rPr>
        <w:t xml:space="preserve">          </w:t>
      </w:r>
      <w:r>
        <w:rPr>
          <w:sz w:val="24"/>
          <w:shd w:fill="FFFFFF" w:val="clear"/>
        </w:rPr>
        <w:t>）的采购结果，按照《中华人民共和国政府采购法》、《中华人民共和国民法典》的规定，经双方协商，本着平等互利和诚实信用的原则，一致同意签订本合同如下。</w:t>
      </w:r>
    </w:p>
    <w:p>
      <w:pPr>
        <w:pStyle w:val="null3"/>
        <w:ind w:firstLine="482"/>
        <w:jc w:val="both"/>
      </w:pPr>
      <w:r>
        <w:rPr>
          <w:sz w:val="24"/>
          <w:shd w:fill="FFFFFF" w:val="clear"/>
        </w:rPr>
        <w:t>一、</w:t>
      </w:r>
      <w:r>
        <w:rPr>
          <w:sz w:val="24"/>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1186"/>
        <w:gridCol w:w="1186"/>
        <w:gridCol w:w="1186"/>
        <w:gridCol w:w="1186"/>
        <w:gridCol w:w="1186"/>
        <w:gridCol w:w="1186"/>
        <w:gridCol w:w="1186"/>
      </w:tblGrid>
      <w:tr>
        <w:tc>
          <w:tcPr>
            <w:tcW w:type="dxa" w:w="1186"/>
          </w:tcPr>
          <w:p>
            <w:pPr>
              <w:pStyle w:val="null3"/>
              <w:jc w:val="center"/>
            </w:pPr>
            <w:r>
              <w:rPr>
                <w:sz w:val="21"/>
              </w:rPr>
              <w:t>序号</w:t>
            </w:r>
          </w:p>
        </w:tc>
        <w:tc>
          <w:tcPr>
            <w:tcW w:type="dxa" w:w="1186"/>
          </w:tcPr>
          <w:p>
            <w:pPr>
              <w:pStyle w:val="null3"/>
              <w:jc w:val="center"/>
            </w:pPr>
            <w:r>
              <w:rPr>
                <w:sz w:val="21"/>
              </w:rPr>
              <w:t>名称</w:t>
            </w:r>
          </w:p>
        </w:tc>
        <w:tc>
          <w:tcPr>
            <w:tcW w:type="dxa" w:w="1186"/>
          </w:tcPr>
          <w:p>
            <w:pPr>
              <w:pStyle w:val="null3"/>
              <w:jc w:val="center"/>
            </w:pPr>
            <w:r>
              <w:rPr>
                <w:sz w:val="21"/>
              </w:rPr>
              <w:t>品牌、规格型号、配置</w:t>
            </w:r>
          </w:p>
          <w:p>
            <w:pPr>
              <w:pStyle w:val="null3"/>
              <w:jc w:val="center"/>
            </w:pPr>
            <w:r>
              <w:rPr>
                <w:sz w:val="21"/>
              </w:rPr>
              <w:t>（性能参数）</w:t>
            </w:r>
          </w:p>
        </w:tc>
        <w:tc>
          <w:tcPr>
            <w:tcW w:type="dxa" w:w="1186"/>
          </w:tcPr>
          <w:p>
            <w:pPr>
              <w:pStyle w:val="null3"/>
              <w:jc w:val="center"/>
            </w:pPr>
            <w:r>
              <w:rPr>
                <w:sz w:val="21"/>
              </w:rPr>
              <w:t>产地</w:t>
            </w:r>
          </w:p>
        </w:tc>
        <w:tc>
          <w:tcPr>
            <w:tcW w:type="dxa" w:w="1186"/>
          </w:tcPr>
          <w:p>
            <w:pPr>
              <w:pStyle w:val="null3"/>
              <w:jc w:val="center"/>
            </w:pPr>
            <w:r>
              <w:rPr>
                <w:sz w:val="21"/>
              </w:rPr>
              <w:t>数量</w:t>
            </w:r>
          </w:p>
        </w:tc>
        <w:tc>
          <w:tcPr>
            <w:tcW w:type="dxa" w:w="1186"/>
          </w:tcPr>
          <w:p>
            <w:pPr>
              <w:pStyle w:val="null3"/>
              <w:jc w:val="center"/>
            </w:pPr>
            <w:r>
              <w:rPr>
                <w:sz w:val="21"/>
              </w:rPr>
              <w:t>单价(元)</w:t>
            </w:r>
          </w:p>
        </w:tc>
        <w:tc>
          <w:tcPr>
            <w:tcW w:type="dxa" w:w="1186"/>
          </w:tcPr>
          <w:p>
            <w:pPr>
              <w:pStyle w:val="null3"/>
              <w:jc w:val="center"/>
            </w:pPr>
            <w:r>
              <w:rPr>
                <w:sz w:val="21"/>
              </w:rPr>
              <w:t>金额(元)</w:t>
            </w:r>
          </w:p>
        </w:tc>
      </w:tr>
      <w:tr>
        <w:tc>
          <w:tcPr>
            <w:tcW w:type="dxa" w:w="1186"/>
          </w:tcPr>
          <w:p>
            <w:pPr>
              <w:pStyle w:val="null3"/>
              <w:jc w:val="center"/>
            </w:pPr>
            <w:r>
              <w:rPr>
                <w:sz w:val="21"/>
              </w:rPr>
              <w:t>1</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r>
      <w:tr>
        <w:tc>
          <w:tcPr>
            <w:tcW w:type="dxa" w:w="1186"/>
          </w:tcPr>
          <w:p>
            <w:pPr>
              <w:pStyle w:val="null3"/>
              <w:jc w:val="center"/>
            </w:pPr>
            <w:r>
              <w:rPr>
                <w:sz w:val="21"/>
              </w:rPr>
              <w:t>2</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r>
      <w:tr>
        <w:tc>
          <w:tcPr>
            <w:tcW w:type="dxa" w:w="1186"/>
          </w:tcPr>
          <w:p>
            <w:pPr>
              <w:pStyle w:val="null3"/>
              <w:jc w:val="center"/>
            </w:pPr>
            <w:r>
              <w:rPr>
                <w:sz w:val="21"/>
              </w:rPr>
              <w:t>...</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c>
          <w:tcPr>
            <w:tcW w:type="dxa" w:w="1186"/>
          </w:tcPr>
          <w:p>
            <w:pPr>
              <w:pStyle w:val="null3"/>
              <w:jc w:val="center"/>
            </w:pPr>
            <w:r>
              <w:rPr>
                <w:sz w:val="21"/>
              </w:rPr>
              <w:t xml:space="preserve"> </w:t>
            </w:r>
          </w:p>
        </w:tc>
      </w:tr>
      <w:tr>
        <w:tc>
          <w:tcPr>
            <w:tcW w:type="dxa" w:w="8302"/>
            <w:gridSpan w:val="7"/>
          </w:tcPr>
          <w:p>
            <w:pPr>
              <w:pStyle w:val="null3"/>
              <w:jc w:val="center"/>
            </w:pPr>
            <w:r>
              <w:rPr>
                <w:sz w:val="21"/>
              </w:rPr>
              <w:t>合计总额：￥           ；大写：        元</w:t>
            </w:r>
          </w:p>
        </w:tc>
      </w:tr>
    </w:tbl>
    <w:p>
      <w:pPr>
        <w:pStyle w:val="null3"/>
        <w:ind w:firstLine="420"/>
        <w:jc w:val="both"/>
      </w:pPr>
      <w:r>
        <w:rPr>
          <w:sz w:val="24"/>
          <w:b/>
          <w:shd w:fill="FFFFFF" w:val="clear"/>
        </w:rPr>
        <w:t>二、合同金额</w:t>
      </w:r>
    </w:p>
    <w:p>
      <w:pPr>
        <w:pStyle w:val="null3"/>
        <w:ind w:firstLine="420"/>
        <w:jc w:val="both"/>
      </w:pPr>
      <w:r>
        <w:rPr>
          <w:sz w:val="24"/>
          <w:shd w:fill="FFFFFF" w:val="clear"/>
        </w:rPr>
        <w:t>合同金额为（大写）：</w:t>
      </w:r>
      <w:r>
        <w:rPr>
          <w:sz w:val="24"/>
        </w:rPr>
        <w:t>人民币</w:t>
      </w:r>
      <w:r>
        <w:rPr>
          <w:sz w:val="24"/>
          <w:shd w:fill="FFFFFF" w:val="clear"/>
        </w:rPr>
        <w:t>_________元（￥_______元）。</w:t>
      </w:r>
    </w:p>
    <w:p>
      <w:pPr>
        <w:pStyle w:val="null3"/>
        <w:ind w:firstLine="420"/>
        <w:jc w:val="both"/>
      </w:pPr>
      <w:r>
        <w:rPr>
          <w:sz w:val="24"/>
          <w:shd w:fill="FFFFFF" w:val="clear"/>
        </w:rPr>
        <w:t>合同总价</w:t>
      </w:r>
      <w:r>
        <w:rPr>
          <w:sz w:val="24"/>
          <w:shd w:fill="FFFFFF" w:val="clear"/>
        </w:rPr>
        <w:t>包括货物的搬运费、运输费、卸装费、保险费、验收、货物设计、制造、包装、培训、强检设备的首次检测费用、设备检测、质保期服务、设备与医院信息系统的接口费用、技术服务（包括技术资料、图纸的提供）、质保期保障、产品成本、利润、各种税金、及合同实施过程中不可预见费用等一切费用。</w:t>
      </w:r>
    </w:p>
    <w:p>
      <w:pPr>
        <w:pStyle w:val="null3"/>
        <w:ind w:firstLine="420"/>
        <w:jc w:val="both"/>
      </w:pPr>
      <w:r>
        <w:rPr>
          <w:sz w:val="24"/>
          <w:b/>
          <w:shd w:fill="FFFFFF" w:val="clear"/>
        </w:rPr>
        <w:t>三、交货期及交货地点</w:t>
      </w:r>
    </w:p>
    <w:p>
      <w:pPr>
        <w:pStyle w:val="null3"/>
        <w:ind w:firstLine="420"/>
        <w:jc w:val="both"/>
      </w:pPr>
      <w:r>
        <w:rPr>
          <w:sz w:val="24"/>
          <w:shd w:fill="FFFFFF" w:val="clear"/>
        </w:rPr>
        <w:t>1.交货期：签订合同后30天内交货。</w:t>
      </w:r>
    </w:p>
    <w:p>
      <w:pPr>
        <w:pStyle w:val="null3"/>
        <w:ind w:firstLine="420"/>
        <w:jc w:val="both"/>
      </w:pPr>
      <w:r>
        <w:rPr>
          <w:sz w:val="24"/>
          <w:shd w:fill="FFFFFF" w:val="clear"/>
        </w:rPr>
        <w:t>2.交货地点：甲方指定地点。</w:t>
      </w:r>
    </w:p>
    <w:p>
      <w:pPr>
        <w:pStyle w:val="null3"/>
        <w:ind w:firstLine="420"/>
        <w:jc w:val="both"/>
      </w:pPr>
      <w:r>
        <w:rPr>
          <w:sz w:val="24"/>
          <w:b/>
          <w:shd w:fill="FFFFFF" w:val="clear"/>
        </w:rPr>
        <w:t>四、付款方式</w:t>
      </w:r>
    </w:p>
    <w:p>
      <w:pPr>
        <w:pStyle w:val="null3"/>
        <w:ind w:firstLine="420"/>
        <w:jc w:val="both"/>
      </w:pPr>
      <w:r>
        <w:rPr>
          <w:sz w:val="24"/>
        </w:rPr>
        <w:t>1.付款期限</w:t>
      </w:r>
    </w:p>
    <w:p>
      <w:pPr>
        <w:pStyle w:val="null3"/>
        <w:ind w:firstLine="480"/>
        <w:jc w:val="both"/>
      </w:pPr>
      <w:r>
        <w:rPr>
          <w:sz w:val="24"/>
        </w:rPr>
        <w:t>第一期支付：签定合同后</w:t>
      </w:r>
      <w:r>
        <w:rPr>
          <w:sz w:val="24"/>
        </w:rPr>
        <w:t>，</w:t>
      </w:r>
      <w:r>
        <w:rPr>
          <w:sz w:val="24"/>
        </w:rPr>
        <w:t>且专项债经费下达后，</w:t>
      </w:r>
      <w:r>
        <w:rPr>
          <w:sz w:val="24"/>
        </w:rPr>
        <w:t>甲方</w:t>
      </w:r>
      <w:r>
        <w:rPr>
          <w:sz w:val="24"/>
        </w:rPr>
        <w:t>在收到</w:t>
      </w:r>
      <w:r>
        <w:rPr>
          <w:sz w:val="24"/>
        </w:rPr>
        <w:t>乙方</w:t>
      </w:r>
      <w:r>
        <w:rPr>
          <w:sz w:val="24"/>
        </w:rPr>
        <w:t>提交的与拟支付金额等额正规税务发票后</w:t>
      </w:r>
      <w:r>
        <w:rPr>
          <w:sz w:val="24"/>
        </w:rPr>
        <w:t>5个工作日内，</w:t>
      </w:r>
      <w:r>
        <w:rPr>
          <w:sz w:val="24"/>
        </w:rPr>
        <w:t>甲方</w:t>
      </w:r>
      <w:r>
        <w:rPr>
          <w:sz w:val="24"/>
        </w:rPr>
        <w:t>向当地财政部门申请办理合同总金额</w:t>
      </w:r>
      <w:r>
        <w:rPr>
          <w:sz w:val="24"/>
        </w:rPr>
        <w:t>5</w:t>
      </w:r>
      <w:r>
        <w:rPr>
          <w:sz w:val="24"/>
        </w:rPr>
        <w:t>0%的支付手续；</w:t>
      </w:r>
    </w:p>
    <w:p>
      <w:pPr>
        <w:pStyle w:val="null3"/>
        <w:ind w:firstLine="480"/>
        <w:jc w:val="both"/>
      </w:pPr>
      <w:r>
        <w:rPr>
          <w:sz w:val="24"/>
        </w:rPr>
        <w:t>第二期支付：有设备验收合格后</w:t>
      </w:r>
      <w:r>
        <w:rPr>
          <w:sz w:val="24"/>
        </w:rPr>
        <w:t>，</w:t>
      </w:r>
      <w:r>
        <w:rPr>
          <w:sz w:val="24"/>
        </w:rPr>
        <w:t>且专项债经费下达后</w:t>
      </w:r>
      <w:r>
        <w:rPr>
          <w:sz w:val="24"/>
        </w:rPr>
        <w:t>5个工作日内</w:t>
      </w:r>
      <w:r>
        <w:rPr>
          <w:sz w:val="24"/>
        </w:rPr>
        <w:t>甲方</w:t>
      </w:r>
      <w:r>
        <w:rPr>
          <w:sz w:val="24"/>
        </w:rPr>
        <w:t>向当地财政部门申请办理合同总金额</w:t>
      </w:r>
      <w:r>
        <w:rPr>
          <w:sz w:val="24"/>
        </w:rPr>
        <w:t>5</w:t>
      </w:r>
      <w:r>
        <w:rPr>
          <w:sz w:val="24"/>
        </w:rPr>
        <w:t>0%的支付手续；</w:t>
      </w:r>
    </w:p>
    <w:p>
      <w:pPr>
        <w:pStyle w:val="null3"/>
        <w:ind w:firstLine="480"/>
        <w:jc w:val="both"/>
      </w:pPr>
      <w:r>
        <w:rPr>
          <w:sz w:val="24"/>
        </w:rPr>
        <w:t>2.第二期支付具体付款要求如下：</w:t>
      </w:r>
    </w:p>
    <w:p>
      <w:pPr>
        <w:pStyle w:val="null3"/>
        <w:ind w:firstLine="480"/>
        <w:jc w:val="both"/>
      </w:pPr>
      <w:r>
        <w:rPr>
          <w:sz w:val="24"/>
        </w:rPr>
        <w:t>合同设备到</w:t>
      </w:r>
      <w:r>
        <w:rPr>
          <w:sz w:val="24"/>
        </w:rPr>
        <w:t>甲方</w:t>
      </w:r>
      <w:r>
        <w:rPr>
          <w:sz w:val="24"/>
        </w:rPr>
        <w:t>指定地点交付并完成安装验收后，凭以下材料结算：</w:t>
      </w:r>
    </w:p>
    <w:p>
      <w:pPr>
        <w:pStyle w:val="null3"/>
        <w:ind w:firstLine="480"/>
        <w:jc w:val="both"/>
      </w:pPr>
      <w:r>
        <w:rPr>
          <w:sz w:val="24"/>
        </w:rPr>
        <w:t>（</w:t>
      </w:r>
      <w:r>
        <w:rPr>
          <w:sz w:val="24"/>
        </w:rPr>
        <w:t>1）合同；</w:t>
      </w:r>
    </w:p>
    <w:p>
      <w:pPr>
        <w:pStyle w:val="null3"/>
        <w:ind w:firstLine="480"/>
        <w:jc w:val="both"/>
      </w:pPr>
      <w:r>
        <w:rPr>
          <w:sz w:val="24"/>
        </w:rPr>
        <w:t>（</w:t>
      </w:r>
      <w:r>
        <w:rPr>
          <w:sz w:val="24"/>
        </w:rPr>
        <w:t>2）</w:t>
      </w:r>
      <w:r>
        <w:rPr>
          <w:sz w:val="24"/>
        </w:rPr>
        <w:t>乙方</w:t>
      </w:r>
      <w:r>
        <w:rPr>
          <w:sz w:val="24"/>
        </w:rPr>
        <w:t>开具的正式全额发票复印件；</w:t>
      </w:r>
    </w:p>
    <w:p>
      <w:pPr>
        <w:pStyle w:val="null3"/>
        <w:ind w:firstLine="480"/>
        <w:jc w:val="both"/>
      </w:pPr>
      <w:r>
        <w:rPr>
          <w:sz w:val="24"/>
        </w:rPr>
        <w:t>（</w:t>
      </w:r>
      <w:r>
        <w:rPr>
          <w:sz w:val="24"/>
        </w:rPr>
        <w:t>3）验收调试报告（加盖</w:t>
      </w:r>
      <w:r>
        <w:rPr>
          <w:sz w:val="24"/>
        </w:rPr>
        <w:t>甲方</w:t>
      </w:r>
      <w:r>
        <w:rPr>
          <w:sz w:val="24"/>
        </w:rPr>
        <w:t>公章）；</w:t>
      </w:r>
    </w:p>
    <w:p>
      <w:pPr>
        <w:pStyle w:val="null3"/>
        <w:ind w:firstLine="480"/>
        <w:jc w:val="both"/>
      </w:pPr>
      <w:r>
        <w:rPr>
          <w:sz w:val="24"/>
        </w:rPr>
        <w:t>（</w:t>
      </w:r>
      <w:r>
        <w:rPr>
          <w:sz w:val="24"/>
        </w:rPr>
        <w:t>4）中标通知书</w:t>
      </w:r>
    </w:p>
    <w:p>
      <w:pPr>
        <w:pStyle w:val="null3"/>
        <w:ind w:firstLine="480"/>
        <w:jc w:val="both"/>
      </w:pPr>
      <w:r>
        <w:rPr>
          <w:sz w:val="24"/>
        </w:rPr>
        <w:t>3.付款时间：</w:t>
      </w:r>
      <w:r>
        <w:rPr>
          <w:sz w:val="24"/>
        </w:rPr>
        <w:t>由于此次使用经费是财政下达的专项债经费，根据专项债经费下达的时间进行支付。在规定时间内，</w:t>
      </w:r>
      <w:r>
        <w:rPr>
          <w:sz w:val="24"/>
        </w:rPr>
        <w:t>甲方</w:t>
      </w:r>
      <w:r>
        <w:rPr>
          <w:sz w:val="24"/>
        </w:rPr>
        <w:t>向政府采购支付部门提出办理支付申请手续的时间（不包含政府财政支付部门审核的时间），视为</w:t>
      </w:r>
      <w:r>
        <w:rPr>
          <w:sz w:val="24"/>
        </w:rPr>
        <w:t>甲方</w:t>
      </w:r>
      <w:r>
        <w:rPr>
          <w:sz w:val="24"/>
        </w:rPr>
        <w:t>完成本合同约定的付款义务，</w:t>
      </w:r>
      <w:r>
        <w:rPr>
          <w:sz w:val="24"/>
        </w:rPr>
        <w:t>乙方</w:t>
      </w:r>
      <w:r>
        <w:rPr>
          <w:sz w:val="24"/>
        </w:rPr>
        <w:t>不得追究</w:t>
      </w:r>
      <w:r>
        <w:rPr>
          <w:sz w:val="24"/>
        </w:rPr>
        <w:t>甲方</w:t>
      </w:r>
      <w:r>
        <w:rPr>
          <w:sz w:val="24"/>
        </w:rPr>
        <w:t>任何延期支付的违约责任。</w:t>
      </w:r>
    </w:p>
    <w:p>
      <w:pPr>
        <w:pStyle w:val="null3"/>
        <w:ind w:firstLine="420"/>
        <w:jc w:val="both"/>
      </w:pPr>
      <w:r>
        <w:rPr>
          <w:sz w:val="24"/>
          <w:b/>
        </w:rPr>
        <w:t>五、验收要求</w:t>
      </w:r>
    </w:p>
    <w:p>
      <w:pPr>
        <w:pStyle w:val="null3"/>
        <w:ind w:firstLine="480"/>
        <w:jc w:val="both"/>
      </w:pPr>
      <w:r>
        <w:rPr>
          <w:sz w:val="24"/>
        </w:rPr>
        <w:t>1. 货物为原制造商制造的全新产品，整机无污染，无侵权行为、表面无划损、无任何缺陷隐患，在中国境内可依常规安全合法使用；</w:t>
      </w:r>
    </w:p>
    <w:p>
      <w:pPr>
        <w:pStyle w:val="null3"/>
        <w:ind w:firstLine="480"/>
        <w:jc w:val="both"/>
      </w:pPr>
      <w:r>
        <w:rPr>
          <w:sz w:val="24"/>
        </w:rPr>
        <w:t>2.交付验收标准依次序对照适用标准为：①符合中华人民共和国国家安全质量标准、环保标准或行业标准；②符合招标文件和响应承诺中</w:t>
      </w:r>
      <w:r>
        <w:rPr>
          <w:sz w:val="24"/>
        </w:rPr>
        <w:t>甲方</w:t>
      </w:r>
      <w:r>
        <w:rPr>
          <w:sz w:val="24"/>
        </w:rPr>
        <w:t>认可的合理最佳配置、参数及各项要求；</w:t>
      </w:r>
      <w:r>
        <w:rPr>
          <w:sz w:val="24"/>
        </w:rPr>
        <w:t>③货物来源国官方标准；</w:t>
      </w:r>
    </w:p>
    <w:p>
      <w:pPr>
        <w:pStyle w:val="null3"/>
        <w:ind w:firstLine="480"/>
        <w:jc w:val="both"/>
      </w:pPr>
      <w:r>
        <w:rPr>
          <w:sz w:val="24"/>
        </w:rPr>
        <w:t>3. 货物为原厂商未启封全新包装，具出厂合格证，序列号、包装箱号与出厂批号一致，并可追索查阅；</w:t>
      </w:r>
    </w:p>
    <w:p>
      <w:pPr>
        <w:pStyle w:val="null3"/>
        <w:ind w:firstLine="480"/>
        <w:jc w:val="both"/>
      </w:pPr>
      <w:r>
        <w:rPr>
          <w:sz w:val="24"/>
        </w:rPr>
        <w:t xml:space="preserve">4. </w:t>
      </w:r>
      <w:r>
        <w:rPr>
          <w:sz w:val="24"/>
        </w:rPr>
        <w:t>乙方</w:t>
      </w:r>
      <w:r>
        <w:rPr>
          <w:sz w:val="24"/>
        </w:rPr>
        <w:t>应将关键主机设备的用户手册、保修手册、有关单证资料及配备件、随机工具等交付给</w:t>
      </w:r>
      <w:r>
        <w:rPr>
          <w:sz w:val="24"/>
        </w:rPr>
        <w:t>甲方</w:t>
      </w:r>
      <w:r>
        <w:rPr>
          <w:sz w:val="24"/>
        </w:rPr>
        <w:t>，使用操作及安全须知等重要资料应附有中文说明；</w:t>
      </w:r>
    </w:p>
    <w:p>
      <w:pPr>
        <w:pStyle w:val="null3"/>
        <w:ind w:firstLine="480"/>
        <w:jc w:val="both"/>
      </w:pPr>
      <w:r>
        <w:rPr>
          <w:sz w:val="24"/>
        </w:rPr>
        <w:t>5．合同设备如属《中华人民共和国进口计量器具型式审查目录》或者《中华人民共和国强制检定的工作计量器具目录》内的，</w:t>
      </w:r>
      <w:r>
        <w:rPr>
          <w:sz w:val="24"/>
        </w:rPr>
        <w:t>乙方</w:t>
      </w:r>
      <w:r>
        <w:rPr>
          <w:sz w:val="24"/>
        </w:rPr>
        <w:t>需提供计量强检合格证，费用已含在合同总价内。</w:t>
      </w:r>
    </w:p>
    <w:p>
      <w:pPr>
        <w:pStyle w:val="null3"/>
        <w:ind w:firstLine="420"/>
        <w:jc w:val="both"/>
      </w:pPr>
      <w:r>
        <w:rPr>
          <w:sz w:val="24"/>
        </w:rPr>
        <w:t>6.进口产品必须具备原产地证明和商检局的检验证明及合法进货渠道证明。</w:t>
      </w:r>
    </w:p>
    <w:p>
      <w:pPr>
        <w:pStyle w:val="null3"/>
        <w:ind w:firstLine="420"/>
        <w:jc w:val="both"/>
      </w:pPr>
      <w:r>
        <w:rPr>
          <w:sz w:val="24"/>
          <w:b/>
        </w:rPr>
        <w:t>六、交货要求</w:t>
      </w:r>
    </w:p>
    <w:p>
      <w:pPr>
        <w:pStyle w:val="null3"/>
        <w:ind w:firstLine="480"/>
        <w:jc w:val="both"/>
      </w:pPr>
      <w:r>
        <w:rPr>
          <w:sz w:val="24"/>
        </w:rPr>
        <w:t xml:space="preserve">1. </w:t>
      </w:r>
      <w:r>
        <w:rPr>
          <w:sz w:val="24"/>
        </w:rPr>
        <w:t>乙方</w:t>
      </w:r>
      <w:r>
        <w:rPr>
          <w:sz w:val="24"/>
        </w:rPr>
        <w:t>应提供原装、原厂、全新的、符合国家质量标准的货物，不得以旧货翻新充数，并按有关要求进行包装及装运</w:t>
      </w:r>
      <w:r>
        <w:rPr>
          <w:sz w:val="24"/>
        </w:rPr>
        <w:t>。</w:t>
      </w:r>
    </w:p>
    <w:p>
      <w:pPr>
        <w:pStyle w:val="null3"/>
        <w:ind w:firstLine="480"/>
        <w:jc w:val="both"/>
      </w:pPr>
      <w:r>
        <w:rPr>
          <w:sz w:val="24"/>
        </w:rPr>
        <w:t>2. 进口产品必须提供原产地证明和中国商检证明及合法进货渠道全套单证，如能办理进口免税的，手续由</w:t>
      </w:r>
      <w:r>
        <w:rPr>
          <w:sz w:val="24"/>
        </w:rPr>
        <w:t>甲方</w:t>
      </w:r>
      <w:r>
        <w:rPr>
          <w:sz w:val="24"/>
        </w:rPr>
        <w:t>协助办理，办理免税手续相关费用由</w:t>
      </w:r>
      <w:r>
        <w:rPr>
          <w:sz w:val="24"/>
        </w:rPr>
        <w:t>乙方</w:t>
      </w:r>
      <w:r>
        <w:rPr>
          <w:sz w:val="24"/>
        </w:rPr>
        <w:t>承担。中国境内制造的产品必须提供原出厂合格证等证明文件。</w:t>
      </w:r>
    </w:p>
    <w:p>
      <w:pPr>
        <w:pStyle w:val="null3"/>
        <w:ind w:firstLine="480"/>
        <w:jc w:val="both"/>
      </w:pPr>
      <w:r>
        <w:rPr>
          <w:sz w:val="24"/>
        </w:rPr>
        <w:t xml:space="preserve">3. </w:t>
      </w:r>
      <w:r>
        <w:rPr>
          <w:sz w:val="24"/>
        </w:rPr>
        <w:t>乙方</w:t>
      </w:r>
      <w:r>
        <w:rPr>
          <w:sz w:val="24"/>
        </w:rPr>
        <w:t>应将所提供货物的装箱清单、备件清单、正规发票、用户手册、原厂保修卡、随机资料及配件、随机工具、维修技术资料手册、维护手册、软件备份、故障代码表、零部件、维修密码等交付给</w:t>
      </w:r>
      <w:r>
        <w:rPr>
          <w:sz w:val="24"/>
        </w:rPr>
        <w:t>甲方</w:t>
      </w:r>
      <w:r>
        <w:rPr>
          <w:sz w:val="24"/>
        </w:rPr>
        <w:t>；</w:t>
      </w:r>
      <w:r>
        <w:rPr>
          <w:sz w:val="24"/>
        </w:rPr>
        <w:t>乙方</w:t>
      </w:r>
      <w:r>
        <w:rPr>
          <w:sz w:val="24"/>
        </w:rPr>
        <w:t>不能完整交付货物及本款规定的单证和工具的，视为未按</w:t>
      </w:r>
      <w:r>
        <w:rPr>
          <w:sz w:val="24"/>
        </w:rPr>
        <w:t>甲方</w:t>
      </w:r>
      <w:r>
        <w:rPr>
          <w:sz w:val="24"/>
        </w:rPr>
        <w:t>需求约定供货，</w:t>
      </w:r>
      <w:r>
        <w:rPr>
          <w:sz w:val="24"/>
        </w:rPr>
        <w:t>乙方</w:t>
      </w:r>
      <w:r>
        <w:rPr>
          <w:sz w:val="24"/>
        </w:rPr>
        <w:t>必须负责补齐，因此导致逾期交付的，由</w:t>
      </w:r>
      <w:r>
        <w:rPr>
          <w:sz w:val="24"/>
        </w:rPr>
        <w:t>乙方</w:t>
      </w:r>
      <w:r>
        <w:rPr>
          <w:sz w:val="24"/>
        </w:rPr>
        <w:t>承担相关的违约责任。</w:t>
      </w:r>
    </w:p>
    <w:p>
      <w:pPr>
        <w:pStyle w:val="null3"/>
        <w:ind w:firstLine="520"/>
      </w:pPr>
      <w:r>
        <w:rPr>
          <w:sz w:val="24"/>
        </w:rPr>
        <w:t>4.</w:t>
      </w:r>
      <w:r>
        <w:rPr>
          <w:sz w:val="24"/>
        </w:rPr>
        <w:t>所有国产产品到货日期不得超过出厂日期（或者生产日期）</w:t>
      </w:r>
      <w:r>
        <w:rPr>
          <w:sz w:val="24"/>
        </w:rPr>
        <w:t>6个月，进口产品到货日期不得超过出厂日期（或者生产日期）12个月。</w:t>
      </w:r>
    </w:p>
    <w:p>
      <w:pPr>
        <w:pStyle w:val="null3"/>
        <w:ind w:firstLine="420"/>
        <w:jc w:val="both"/>
      </w:pPr>
      <w:r>
        <w:rPr>
          <w:sz w:val="24"/>
          <w:b/>
          <w:shd w:fill="FFFFFF" w:val="clear"/>
        </w:rPr>
        <w:t>七、包装、保险及发运、保管要求</w:t>
      </w:r>
    </w:p>
    <w:p>
      <w:pPr>
        <w:pStyle w:val="null3"/>
        <w:ind w:firstLine="480"/>
        <w:jc w:val="both"/>
      </w:pPr>
      <w:r>
        <w:rPr>
          <w:sz w:val="24"/>
        </w:rPr>
        <w:t xml:space="preserve">1. </w:t>
      </w:r>
      <w:r>
        <w:rPr>
          <w:sz w:val="24"/>
        </w:rPr>
        <w:t>设备材料的包装必须是制造商原厂包装，其包装均应有良好的防湿、防锈、防潮、防雨、防腐及防碰撞的措施。凡由于包装不良造成的损失和由此产生的费用均由</w:t>
      </w:r>
      <w:r>
        <w:rPr>
          <w:sz w:val="24"/>
        </w:rPr>
        <w:t>乙方</w:t>
      </w:r>
      <w:r>
        <w:rPr>
          <w:sz w:val="24"/>
        </w:rPr>
        <w:t>承担</w:t>
      </w:r>
      <w:r>
        <w:rPr>
          <w:sz w:val="24"/>
        </w:rPr>
        <w:t>。</w:t>
      </w:r>
    </w:p>
    <w:p>
      <w:pPr>
        <w:pStyle w:val="null3"/>
        <w:ind w:firstLine="480"/>
        <w:jc w:val="both"/>
      </w:pPr>
      <w:r>
        <w:rPr>
          <w:sz w:val="24"/>
        </w:rPr>
        <w:t xml:space="preserve">2. </w:t>
      </w:r>
      <w:r>
        <w:rPr>
          <w:sz w:val="24"/>
        </w:rPr>
        <w:t>所有新购设备需要的备品备件、专用工具、设备运输、卸货、搬运、安装、调试、检验、培训、技术服务等已包含在合同总价中</w:t>
      </w:r>
      <w:r>
        <w:rPr>
          <w:sz w:val="24"/>
        </w:rPr>
        <w:t>。</w:t>
      </w:r>
    </w:p>
    <w:p>
      <w:pPr>
        <w:pStyle w:val="null3"/>
        <w:ind w:firstLine="480"/>
        <w:jc w:val="both"/>
      </w:pPr>
      <w:r>
        <w:rPr>
          <w:sz w:val="24"/>
        </w:rPr>
        <w:t xml:space="preserve">3. </w:t>
      </w:r>
      <w:r>
        <w:rPr>
          <w:sz w:val="24"/>
        </w:rPr>
        <w:t>各种设备，必须提供装箱清单，按装箱清单验收货物</w:t>
      </w:r>
      <w:r>
        <w:rPr>
          <w:sz w:val="24"/>
        </w:rPr>
        <w:t>。</w:t>
      </w:r>
    </w:p>
    <w:p>
      <w:pPr>
        <w:pStyle w:val="null3"/>
        <w:ind w:firstLine="480"/>
        <w:jc w:val="both"/>
      </w:pPr>
      <w:r>
        <w:rPr>
          <w:sz w:val="24"/>
        </w:rPr>
        <w:t>4. 货物在现场的保管由</w:t>
      </w:r>
      <w:r>
        <w:rPr>
          <w:sz w:val="24"/>
        </w:rPr>
        <w:t>乙方</w:t>
      </w:r>
      <w:r>
        <w:rPr>
          <w:sz w:val="24"/>
        </w:rPr>
        <w:t>负责，直至项目安装、验收完毕。</w:t>
      </w:r>
    </w:p>
    <w:p>
      <w:pPr>
        <w:pStyle w:val="null3"/>
        <w:ind w:firstLine="480"/>
        <w:jc w:val="both"/>
      </w:pPr>
      <w:r>
        <w:rPr>
          <w:sz w:val="24"/>
        </w:rPr>
        <w:t xml:space="preserve">5. </w:t>
      </w:r>
      <w:r>
        <w:rPr>
          <w:sz w:val="24"/>
        </w:rPr>
        <w:t>货物在系统安装调试验收合格前的保险由</w:t>
      </w:r>
      <w:r>
        <w:rPr>
          <w:sz w:val="24"/>
        </w:rPr>
        <w:t>乙方</w:t>
      </w:r>
      <w:r>
        <w:rPr>
          <w:sz w:val="24"/>
        </w:rPr>
        <w:t>负责，</w:t>
      </w:r>
      <w:r>
        <w:rPr>
          <w:sz w:val="24"/>
        </w:rPr>
        <w:t>乙方</w:t>
      </w:r>
      <w:r>
        <w:rPr>
          <w:sz w:val="24"/>
        </w:rPr>
        <w:t>负责其派出的现场服务人员人身意外保险</w:t>
      </w:r>
      <w:r>
        <w:rPr>
          <w:sz w:val="24"/>
        </w:rPr>
        <w:t>。</w:t>
      </w:r>
    </w:p>
    <w:p>
      <w:pPr>
        <w:pStyle w:val="null3"/>
        <w:ind w:firstLine="480"/>
        <w:jc w:val="both"/>
      </w:pPr>
      <w:r>
        <w:rPr>
          <w:sz w:val="24"/>
        </w:rPr>
        <w:t xml:space="preserve">6. </w:t>
      </w:r>
      <w:r>
        <w:rPr>
          <w:sz w:val="24"/>
        </w:rPr>
        <w:t>设备至</w:t>
      </w:r>
      <w:r>
        <w:rPr>
          <w:sz w:val="24"/>
        </w:rPr>
        <w:t>甲方</w:t>
      </w:r>
      <w:r>
        <w:rPr>
          <w:sz w:val="24"/>
        </w:rPr>
        <w:t>指定的使用现场的包装、保险及发运等环节和费用均由</w:t>
      </w:r>
      <w:r>
        <w:rPr>
          <w:sz w:val="24"/>
        </w:rPr>
        <w:t>乙方</w:t>
      </w:r>
      <w:r>
        <w:rPr>
          <w:sz w:val="24"/>
        </w:rPr>
        <w:t>负责</w:t>
      </w:r>
      <w:r>
        <w:rPr>
          <w:sz w:val="24"/>
        </w:rPr>
        <w:t>。</w:t>
      </w:r>
    </w:p>
    <w:p>
      <w:pPr>
        <w:pStyle w:val="null3"/>
        <w:ind w:firstLine="420"/>
        <w:jc w:val="both"/>
      </w:pPr>
      <w:r>
        <w:rPr>
          <w:sz w:val="24"/>
          <w:b/>
          <w:shd w:fill="FFFFFF" w:val="clear"/>
        </w:rPr>
        <w:t>八、</w:t>
      </w:r>
      <w:r>
        <w:rPr>
          <w:sz w:val="24"/>
          <w:b/>
        </w:rPr>
        <w:t>售后服务</w:t>
      </w:r>
    </w:p>
    <w:p>
      <w:pPr>
        <w:pStyle w:val="null3"/>
        <w:ind w:firstLine="480"/>
        <w:jc w:val="both"/>
      </w:pPr>
      <w:r>
        <w:rPr>
          <w:sz w:val="24"/>
        </w:rPr>
        <w:t>1.所有设备提供</w:t>
      </w:r>
      <w:r>
        <w:rPr>
          <w:sz w:val="24"/>
        </w:rPr>
        <w:t>至少叁年或以</w:t>
      </w:r>
      <w:r>
        <w:rPr>
          <w:sz w:val="24"/>
        </w:rPr>
        <w:t>上的原厂上门保修服务，负责保修期内所有零配件更换和软件维护</w:t>
      </w:r>
      <w:r>
        <w:rPr>
          <w:sz w:val="24"/>
          <w:b/>
        </w:rPr>
        <w:t>，</w:t>
      </w:r>
      <w:r>
        <w:rPr>
          <w:sz w:val="24"/>
        </w:rPr>
        <w:t>相关费用包含在投标报价中。</w:t>
      </w:r>
    </w:p>
    <w:p>
      <w:pPr>
        <w:pStyle w:val="null3"/>
        <w:ind w:firstLine="480"/>
        <w:jc w:val="both"/>
      </w:pPr>
      <w:r>
        <w:rPr>
          <w:sz w:val="24"/>
        </w:rPr>
        <w:t>2. 保证开机率≥98%，设备售后由原厂家专业技术人员维修设备，机器一旦出现故障2小时内响应,24小时内有工作人员上门检测、维修，48小时内仍未能有效解决，提供详细解决方案。若72小时故障仍未修复。厂家需要免费提供</w:t>
      </w:r>
      <w:r>
        <w:rPr>
          <w:sz w:val="24"/>
        </w:rPr>
        <w:t>备用</w:t>
      </w:r>
      <w:r>
        <w:rPr>
          <w:sz w:val="24"/>
        </w:rPr>
        <w:t>的设备给</w:t>
      </w:r>
      <w:r>
        <w:rPr>
          <w:sz w:val="24"/>
        </w:rPr>
        <w:t>甲方</w:t>
      </w:r>
      <w:r>
        <w:rPr>
          <w:sz w:val="24"/>
        </w:rPr>
        <w:t>临时使用。</w:t>
      </w:r>
    </w:p>
    <w:p>
      <w:pPr>
        <w:pStyle w:val="null3"/>
        <w:ind w:firstLine="480"/>
        <w:jc w:val="both"/>
      </w:pPr>
      <w:r>
        <w:rPr>
          <w:sz w:val="24"/>
        </w:rPr>
        <w:t>3. 保修期过后，承诺提供终身上门服务和软件升级，</w:t>
      </w:r>
      <w:r>
        <w:rPr>
          <w:sz w:val="24"/>
        </w:rPr>
        <w:t>乙方</w:t>
      </w:r>
      <w:r>
        <w:rPr>
          <w:sz w:val="24"/>
        </w:rPr>
        <w:t>有义务督促厂家定期上门保养和巡视服务，遇设备故障，</w:t>
      </w:r>
      <w:r>
        <w:rPr>
          <w:sz w:val="24"/>
        </w:rPr>
        <w:t>甲方</w:t>
      </w:r>
      <w:r>
        <w:rPr>
          <w:sz w:val="24"/>
        </w:rPr>
        <w:t>应第一时间通知厂家工程师，工程师在接到通知后</w:t>
      </w:r>
      <w:r>
        <w:rPr>
          <w:sz w:val="24"/>
        </w:rPr>
        <w:t>及</w:t>
      </w:r>
      <w:r>
        <w:rPr>
          <w:sz w:val="24"/>
        </w:rPr>
        <w:t>时响应，优先电话指导处理，电话未能解决的，须在</w:t>
      </w:r>
      <w:r>
        <w:rPr>
          <w:sz w:val="24"/>
        </w:rPr>
        <w:t xml:space="preserve"> 4 小时内安排技术人员到达现场处理。如需更换零配件，</w:t>
      </w:r>
      <w:r>
        <w:rPr>
          <w:sz w:val="24"/>
        </w:rPr>
        <w:t>征得</w:t>
      </w:r>
      <w:r>
        <w:rPr>
          <w:sz w:val="24"/>
        </w:rPr>
        <w:t>甲方</w:t>
      </w:r>
      <w:r>
        <w:rPr>
          <w:sz w:val="24"/>
        </w:rPr>
        <w:t>同意后可对要更换的零配件收取材料费，</w:t>
      </w:r>
      <w:r>
        <w:rPr>
          <w:sz w:val="24"/>
        </w:rPr>
        <w:t>且配件费提供优惠价格，不得以任何理由收取上门服务费及差旅费（需附配件价格清单）仪器维修好后六个月内，对仪器再次发生同样的故障并且是需要更换同样的零配件的情况，</w:t>
      </w:r>
      <w:r>
        <w:rPr>
          <w:sz w:val="24"/>
        </w:rPr>
        <w:t>乙方</w:t>
      </w:r>
      <w:r>
        <w:rPr>
          <w:sz w:val="24"/>
        </w:rPr>
        <w:t>承诺免费维修及更换零配件。</w:t>
      </w:r>
      <w:r>
        <w:rPr>
          <w:sz w:val="24"/>
        </w:rPr>
        <w:t>所有配件均为当前市场最低价，过保后生产厂家保证设备</w:t>
      </w:r>
      <w:r>
        <w:rPr>
          <w:sz w:val="24"/>
        </w:rPr>
        <w:t>8年以上的零配件供应服务。</w:t>
      </w:r>
    </w:p>
    <w:p>
      <w:pPr>
        <w:pStyle w:val="null3"/>
        <w:ind w:firstLine="480"/>
        <w:jc w:val="both"/>
      </w:pPr>
      <w:r>
        <w:rPr>
          <w:sz w:val="24"/>
        </w:rPr>
        <w:t xml:space="preserve">4. </w:t>
      </w:r>
      <w:r>
        <w:rPr>
          <w:sz w:val="24"/>
        </w:rPr>
        <w:t>乙方</w:t>
      </w:r>
      <w:r>
        <w:rPr>
          <w:sz w:val="24"/>
        </w:rPr>
        <w:t>负责临床技术培训、保证使用人员能够正确操作设备的各项，培训次数不限，根据</w:t>
      </w:r>
      <w:r>
        <w:rPr>
          <w:sz w:val="24"/>
        </w:rPr>
        <w:t>甲方</w:t>
      </w:r>
      <w:r>
        <w:rPr>
          <w:sz w:val="24"/>
        </w:rPr>
        <w:t>需求安排。技术支持和宣传推广</w:t>
      </w:r>
      <w:r>
        <w:rPr>
          <w:sz w:val="24"/>
        </w:rPr>
        <w:t>,定期提供相关最新治疗进展资讯</w:t>
      </w:r>
      <w:r>
        <w:rPr>
          <w:sz w:val="24"/>
        </w:rPr>
        <w:t>。</w:t>
      </w:r>
    </w:p>
    <w:p>
      <w:pPr>
        <w:pStyle w:val="null3"/>
        <w:ind w:firstLine="480"/>
        <w:jc w:val="both"/>
      </w:pPr>
      <w:r>
        <w:rPr>
          <w:sz w:val="24"/>
        </w:rPr>
        <w:t>5. 保修期内每季度安排人员上门对机器进行维护保养检查和设备校准,并做好维修保养和校准记录，把维护保养信息反馈给用户，以确保设备精确正常运行。</w:t>
      </w:r>
    </w:p>
    <w:p>
      <w:pPr>
        <w:pStyle w:val="null3"/>
        <w:ind w:firstLine="482"/>
        <w:jc w:val="both"/>
      </w:pPr>
      <w:r>
        <w:rPr>
          <w:sz w:val="24"/>
          <w:b/>
          <w:shd w:fill="FFFFFF" w:val="clear"/>
        </w:rPr>
        <w:t>九、违约责任与赔偿损失</w:t>
      </w:r>
    </w:p>
    <w:p>
      <w:pPr>
        <w:pStyle w:val="null3"/>
        <w:ind w:firstLine="420"/>
        <w:jc w:val="both"/>
      </w:pPr>
      <w:r>
        <w:rPr>
          <w:sz w:val="24"/>
          <w:shd w:fill="FFFFFF" w:val="clear"/>
        </w:rPr>
        <w:t>1</w:t>
      </w:r>
      <w:r>
        <w:rPr>
          <w:sz w:val="24"/>
          <w:shd w:fill="FFFFFF" w:val="clear"/>
        </w:rPr>
        <w:t>.</w:t>
      </w:r>
      <w:r>
        <w:rPr>
          <w:sz w:val="24"/>
          <w:shd w:fill="FFFFFF" w:val="clear"/>
        </w:rPr>
        <w:t>乙方交付的货物、工程</w:t>
      </w:r>
      <w:r>
        <w:rPr>
          <w:sz w:val="24"/>
          <w:shd w:fill="FFFFFF" w:val="clear"/>
        </w:rPr>
        <w:t>/提供的服务不符合本合同规定的，甲方有权拒收，并且乙方须向甲方支付本合同总价5%的违约金。</w:t>
      </w:r>
    </w:p>
    <w:p>
      <w:pPr>
        <w:pStyle w:val="null3"/>
        <w:ind w:firstLine="420"/>
        <w:jc w:val="both"/>
      </w:pPr>
      <w:r>
        <w:rPr>
          <w:sz w:val="24"/>
          <w:shd w:fill="FFFFFF" w:val="clear"/>
        </w:rPr>
        <w:t>2</w:t>
      </w:r>
      <w:r>
        <w:rPr>
          <w:sz w:val="24"/>
          <w:shd w:fill="FFFFFF" w:val="clear"/>
        </w:rPr>
        <w:t>.</w:t>
      </w:r>
      <w:r>
        <w:rPr>
          <w:sz w:val="24"/>
          <w:shd w:fill="FFFFFF" w:val="clear"/>
        </w:rPr>
        <w:t>乙方未能按本合同规定的交货时间交付货物的</w:t>
      </w:r>
      <w:r>
        <w:rPr>
          <w:sz w:val="24"/>
          <w:shd w:fill="FFFFFF" w:val="clear"/>
        </w:rPr>
        <w:t>/提供服务，从逾期之日起每日按本合同总价3‰的数额向甲方支付违约金，违约金累计总额不超过合同总价的5%；逾期半个月以上的，甲方有权终止合同，由此造成的甲方经济损失由乙方承担。</w:t>
      </w:r>
    </w:p>
    <w:p>
      <w:pPr>
        <w:pStyle w:val="null3"/>
        <w:ind w:firstLine="420"/>
        <w:jc w:val="both"/>
      </w:pPr>
      <w:r>
        <w:rPr>
          <w:sz w:val="24"/>
          <w:shd w:fill="FFFFFF" w:val="clear"/>
        </w:rPr>
        <w:t>3</w:t>
      </w:r>
      <w:r>
        <w:rPr>
          <w:sz w:val="24"/>
          <w:shd w:fill="FFFFFF" w:val="clear"/>
        </w:rPr>
        <w:t>.</w:t>
      </w:r>
      <w:r>
        <w:rPr>
          <w:sz w:val="24"/>
          <w:shd w:fill="FFFFFF" w:val="clear"/>
        </w:rPr>
        <w:t>甲方无正当理由拒收货物</w:t>
      </w:r>
      <w:r>
        <w:rPr>
          <w:sz w:val="24"/>
          <w:shd w:fill="FFFFFF" w:val="clear"/>
        </w:rPr>
        <w:t>/接受服务，到期拒付货物/服务款项的，甲方向乙方偿付本合同总的5%的违约金。甲方人逾期付款，则每日按本合同总价的3‰向乙方偿付违约金，违约金累计总额不超过欠款总价的5%。</w:t>
      </w:r>
    </w:p>
    <w:p>
      <w:pPr>
        <w:pStyle w:val="null3"/>
        <w:ind w:firstLine="420"/>
        <w:jc w:val="both"/>
      </w:pPr>
      <w:r>
        <w:rPr>
          <w:sz w:val="24"/>
          <w:shd w:fill="FFFFFF" w:val="clear"/>
        </w:rPr>
        <w:t>4</w:t>
      </w:r>
      <w:r>
        <w:rPr>
          <w:sz w:val="24"/>
          <w:shd w:fill="FFFFFF" w:val="clear"/>
        </w:rPr>
        <w:t>.</w:t>
      </w:r>
      <w:r>
        <w:rPr>
          <w:sz w:val="24"/>
          <w:shd w:fill="FFFFFF" w:val="clear"/>
        </w:rPr>
        <w:t>其它违约责任按《中华人民共和国民法典》处理。</w:t>
      </w:r>
    </w:p>
    <w:p>
      <w:pPr>
        <w:pStyle w:val="null3"/>
        <w:ind w:firstLine="420"/>
        <w:jc w:val="both"/>
      </w:pPr>
      <w:r>
        <w:rPr>
          <w:sz w:val="24"/>
          <w:b/>
          <w:shd w:fill="FFFFFF" w:val="clear"/>
        </w:rPr>
        <w:t>十、争议的解决</w:t>
      </w:r>
    </w:p>
    <w:p>
      <w:pPr>
        <w:pStyle w:val="null3"/>
        <w:ind w:firstLine="420"/>
        <w:jc w:val="both"/>
      </w:pPr>
      <w:r>
        <w:rPr>
          <w:sz w:val="24"/>
          <w:shd w:fill="FFFFFF" w:val="clear"/>
        </w:rPr>
        <w:t>合同执行过程中发生的任何争议，如双方不能通过友好协商解决，按相关法律法规处理。</w:t>
      </w:r>
    </w:p>
    <w:p>
      <w:pPr>
        <w:pStyle w:val="null3"/>
        <w:ind w:firstLine="420"/>
        <w:jc w:val="both"/>
      </w:pPr>
      <w:r>
        <w:rPr>
          <w:sz w:val="24"/>
          <w:b/>
          <w:shd w:fill="FFFFFF" w:val="clear"/>
        </w:rPr>
        <w:t>十一、不可抗力</w:t>
      </w:r>
    </w:p>
    <w:p>
      <w:pPr>
        <w:pStyle w:val="null3"/>
        <w:ind w:firstLine="420"/>
        <w:jc w:val="both"/>
      </w:pPr>
      <w:r>
        <w:rPr>
          <w:sz w:val="24"/>
          <w:shd w:fill="FFFFFF" w:val="clear"/>
        </w:rPr>
        <w:t>任何一方由于不可抗力原因不能履行合同时，应在不可抗力事件结束后</w:t>
      </w:r>
      <w:r>
        <w:rPr>
          <w:sz w:val="24"/>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b/>
          <w:shd w:fill="FFFFFF" w:val="clear"/>
        </w:rPr>
        <w:t>十二、税费</w:t>
      </w:r>
    </w:p>
    <w:p>
      <w:pPr>
        <w:pStyle w:val="null3"/>
        <w:ind w:firstLine="420"/>
        <w:jc w:val="both"/>
      </w:pPr>
      <w:r>
        <w:rPr>
          <w:sz w:val="24"/>
          <w:shd w:fill="FFFFFF" w:val="clear"/>
        </w:rPr>
        <w:t>在中国境内、外发生的与本合同执行有关的一切税费均由乙方负担。</w:t>
      </w:r>
    </w:p>
    <w:p>
      <w:pPr>
        <w:pStyle w:val="null3"/>
        <w:ind w:firstLine="420"/>
        <w:jc w:val="both"/>
      </w:pPr>
      <w:r>
        <w:rPr>
          <w:sz w:val="24"/>
          <w:b/>
          <w:shd w:fill="FFFFFF" w:val="clear"/>
        </w:rPr>
        <w:t>十三、其它</w:t>
      </w:r>
    </w:p>
    <w:p>
      <w:pPr>
        <w:pStyle w:val="null3"/>
        <w:ind w:firstLine="420"/>
        <w:jc w:val="both"/>
      </w:pPr>
      <w:r>
        <w:rPr>
          <w:sz w:val="24"/>
          <w:shd w:fill="FFFFFF" w:val="clear"/>
        </w:rPr>
        <w:t>1.本合同所有附件、招标文件、投标文件、中标通知书均为合同的有效组成部分，与本合同具有同等法律效力。</w:t>
      </w:r>
    </w:p>
    <w:p>
      <w:pPr>
        <w:pStyle w:val="null3"/>
        <w:ind w:firstLine="420"/>
        <w:jc w:val="both"/>
      </w:pPr>
      <w:r>
        <w:rPr>
          <w:sz w:val="24"/>
          <w:shd w:fill="FFFFFF" w:val="clear"/>
        </w:rPr>
        <w:t>2.在执行本合同的过程中，所有经双方签署确认的文件（包括会议纪要、补充协议、往来信函）为本合同的有效组成部分。</w:t>
      </w:r>
    </w:p>
    <w:p>
      <w:pPr>
        <w:pStyle w:val="null3"/>
        <w:ind w:firstLine="420"/>
        <w:jc w:val="both"/>
      </w:pPr>
      <w:r>
        <w:rPr>
          <w:sz w:val="24"/>
          <w:shd w:fill="FFFFFF" w:val="clear"/>
        </w:rPr>
        <w:t>3.如一方地址、电话、传真号码有变更，应在变更当日内书面通知对方，否则，应承担相应责任。</w:t>
      </w:r>
    </w:p>
    <w:p>
      <w:pPr>
        <w:pStyle w:val="null3"/>
        <w:ind w:firstLine="420"/>
        <w:jc w:val="both"/>
      </w:pPr>
      <w:r>
        <w:rPr>
          <w:sz w:val="24"/>
          <w:shd w:fill="FFFFFF" w:val="clear"/>
        </w:rPr>
        <w:t>4.除甲方事先书面同意外，乙方不得部分或全部转让其应履行的合同项下的义务。</w:t>
      </w:r>
    </w:p>
    <w:p>
      <w:pPr>
        <w:pStyle w:val="null3"/>
        <w:ind w:firstLine="420"/>
        <w:jc w:val="both"/>
      </w:pPr>
      <w:r>
        <w:rPr>
          <w:sz w:val="24"/>
          <w:b/>
          <w:shd w:fill="FFFFFF" w:val="clear"/>
        </w:rPr>
        <w:t>十四、合同生效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2.合同一式</w:t>
      </w:r>
      <w:r>
        <w:rPr>
          <w:u w:val="single"/>
        </w:rPr>
        <w:t xml:space="preserve">   </w:t>
      </w:r>
      <w:r>
        <w:rPr>
          <w:sz w:val="24"/>
        </w:rPr>
        <w:t>份，其中甲乙双方各执</w:t>
      </w:r>
      <w:r>
        <w:rPr>
          <w:u w:val="single"/>
        </w:rPr>
        <w:t xml:space="preserve">   </w:t>
      </w:r>
      <w:r>
        <w:rPr>
          <w:sz w:val="24"/>
        </w:rPr>
        <w:t>份，采购代理机构执</w:t>
      </w:r>
      <w:r>
        <w:rPr>
          <w:sz w:val="24"/>
          <w:b/>
          <w:u w:val="single"/>
        </w:rPr>
        <w:t xml:space="preserve"> </w:t>
      </w:r>
      <w:r>
        <w:rPr>
          <w:sz w:val="24"/>
          <w:b/>
          <w:u w:val="single"/>
        </w:rPr>
        <w:t xml:space="preserve">1 </w:t>
      </w:r>
      <w:r>
        <w:rPr>
          <w:sz w:val="24"/>
        </w:rPr>
        <w:t>份。</w:t>
      </w:r>
    </w:p>
    <w:p>
      <w:pPr>
        <w:pStyle w:val="null3"/>
        <w:ind w:firstLine="420"/>
        <w:jc w:val="both"/>
      </w:pPr>
      <w:r>
        <w:rPr>
          <w:sz w:val="24"/>
          <w:shd w:fill="FFFFFF" w:val="clear"/>
        </w:rPr>
        <w:t>甲方（盖章）：</w:t>
      </w:r>
      <w:r>
        <w:rPr/>
        <w:t xml:space="preserve">                     </w:t>
      </w:r>
      <w:r>
        <w:rPr>
          <w:sz w:val="24"/>
          <w:shd w:fill="FFFFFF" w:val="clear"/>
        </w:rPr>
        <w:t>乙方（盖章）：</w:t>
      </w:r>
    </w:p>
    <w:p>
      <w:pPr>
        <w:pStyle w:val="null3"/>
        <w:ind w:firstLine="420"/>
        <w:jc w:val="both"/>
      </w:pPr>
      <w:r>
        <w:rPr>
          <w:sz w:val="24"/>
          <w:shd w:fill="FFFFFF" w:val="clear"/>
        </w:rPr>
        <w:t>代表：</w:t>
      </w:r>
      <w:r>
        <w:rPr/>
        <w:t xml:space="preserve">                             </w:t>
      </w:r>
      <w:r>
        <w:rPr>
          <w:sz w:val="24"/>
          <w:shd w:fill="FFFFFF" w:val="clear"/>
        </w:rPr>
        <w:t>代表：</w:t>
      </w:r>
    </w:p>
    <w:p>
      <w:pPr>
        <w:pStyle w:val="null3"/>
        <w:ind w:firstLine="420"/>
        <w:jc w:val="both"/>
      </w:pPr>
      <w:r>
        <w:rPr>
          <w:sz w:val="24"/>
          <w:shd w:fill="FFFFFF" w:val="clear"/>
        </w:rPr>
        <w:t>签定地点：</w:t>
      </w:r>
    </w:p>
    <w:p>
      <w:pPr>
        <w:pStyle w:val="null3"/>
        <w:ind w:firstLine="420"/>
        <w:jc w:val="both"/>
      </w:pPr>
      <w:r>
        <w:rPr>
          <w:sz w:val="24"/>
          <w:shd w:fill="FFFFFF" w:val="clear"/>
        </w:rPr>
        <w:t>签定日期：　　　年　　月　　日</w:t>
      </w:r>
      <w:r>
        <w:rPr/>
        <w:t xml:space="preserve">     </w:t>
      </w:r>
      <w:r>
        <w:rPr>
          <w:sz w:val="24"/>
          <w:shd w:fill="FFFFFF" w:val="clear"/>
        </w:rPr>
        <w:t>签定日期：　　年　　月　　日</w:t>
      </w:r>
    </w:p>
    <w:p>
      <w:pPr>
        <w:pStyle w:val="null3"/>
        <w:ind w:firstLine="2160"/>
        <w:jc w:val="both"/>
      </w:pPr>
      <w:r>
        <w:rPr/>
        <w:t xml:space="preserve">                    </w:t>
      </w:r>
      <w:r>
        <w:rPr>
          <w:sz w:val="24"/>
          <w:shd w:fill="FFFFFF" w:val="clear"/>
        </w:rPr>
        <w:t>开户名称：</w:t>
      </w:r>
    </w:p>
    <w:p>
      <w:pPr>
        <w:pStyle w:val="null3"/>
        <w:ind w:firstLine="420"/>
        <w:jc w:val="both"/>
      </w:pPr>
      <w:r>
        <w:rPr/>
        <w:t xml:space="preserve">                                   </w:t>
      </w:r>
      <w:r>
        <w:rPr>
          <w:sz w:val="24"/>
          <w:shd w:fill="FFFFFF" w:val="clear"/>
        </w:rPr>
        <w:t>银行帐号：</w:t>
      </w:r>
    </w:p>
    <w:p>
      <w:pPr>
        <w:pStyle w:val="null3"/>
        <w:ind w:firstLine="420"/>
        <w:jc w:val="both"/>
      </w:pPr>
      <w:r>
        <w:rPr/>
        <w:t xml:space="preserve">                                   </w:t>
      </w:r>
      <w:r>
        <w:rPr>
          <w:sz w:val="24"/>
          <w:shd w:fill="FFFFFF" w:val="clear"/>
        </w:rPr>
        <w:t>开户行：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440105-2024-03853</w:t>
      </w:r>
    </w:p>
    <w:p>
      <w:pPr>
        <w:pStyle w:val="null3"/>
        <w:jc w:val="center"/>
        <w:outlineLvl w:val="3"/>
      </w:pPr>
      <w:r>
        <w:rPr>
          <w:sz w:val="24"/>
          <w:b/>
        </w:rPr>
        <w:t>采购项目编号：</w:t>
      </w:r>
      <w:r>
        <w:rPr>
          <w:sz w:val="24"/>
          <w:b/>
        </w:rPr>
        <w:t>HYGZ24WJ01A0538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广州市海珠区中医医院全自动微生物药敏分析仪等医疗设备采购项目</w:t>
      </w:r>
      <w:r>
        <w:rPr>
          <w:u w:val="single"/>
        </w:rPr>
        <w:t>”</w:t>
      </w:r>
      <w:r>
        <w:rPr/>
        <w:t>项目的招标[采购项目编号为：</w:t>
      </w:r>
      <w:r>
        <w:rPr>
          <w:u w:val="single"/>
        </w:rPr>
        <w:t>HYGZ24WJ01A0538</w:t>
      </w:r>
      <w:r>
        <w:rPr/>
        <w:t>]，我方愿参与投标。</w:t>
      </w:r>
    </w:p>
    <w:p>
      <w:pPr>
        <w:pStyle w:val="null3"/>
        <w:ind w:firstLine="480"/>
      </w:pPr>
      <w:r>
        <w:rPr/>
        <w:t>我方确认收到贵方提供的</w:t>
      </w:r>
      <w:r>
        <w:rPr>
          <w:u w:val="single"/>
        </w:rPr>
        <w:t>“</w:t>
      </w:r>
      <w:r>
        <w:rPr>
          <w:u w:val="single"/>
        </w:rPr>
        <w:t>广州市海珠区中医医院全自动微生物药敏分析仪等医疗设备采购项目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广州市海珠区中医医院全自动微生物药敏分析仪等医疗设备采购项目</w:t>
      </w:r>
      <w:r>
        <w:rPr/>
        <w:t>”项目采购[采购项目编号为</w:t>
      </w:r>
      <w:r>
        <w:rPr/>
        <w:t>HYGZ24WJ01A0538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pPr>
      <w:r>
        <w:rPr/>
        <w:t xml:space="preserve">  </w:t>
      </w:r>
    </w:p>
    <w:p>
      <w:pPr>
        <w:pStyle w:val="null3"/>
        <w:ind w:firstLine="480"/>
      </w:pPr>
      <w:r>
        <w:rPr/>
        <w:t>中小企业声明函（所响应产品制造商为中小企业时提交本函，所属行业应符合询价通知书中明确的本项目所属行业）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1.（标的名称），属于（询价通知书中明确的所属行业）行业；制造商为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2.（标的名称），属于（询价通知书中明确的所属行业）行业；制造商为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广州市海珠区中医医院全自动微生物药敏分析仪等医疗设备采购项目</w:t>
      </w:r>
      <w:r>
        <w:rPr/>
        <w:t>招标中获中标（采购项目编号：</w:t>
      </w:r>
      <w:r>
        <w:rPr/>
        <w:t>HYGZ24WJ01A0538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